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166370</wp:posOffset>
            </wp:positionH>
            <wp:positionV relativeFrom="page">
              <wp:posOffset>757555</wp:posOffset>
            </wp:positionV>
            <wp:extent cx="722947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29475" cy="8890"/>
                    </a:xfrm>
                    <a:prstGeom prst="rect">
                      <a:avLst/>
                    </a:prstGeom>
                    <a:noFill/>
                  </pic:spPr>
                </pic:pic>
              </a:graphicData>
            </a:graphic>
          </wp:anchor>
        </w:drawing>
        <w:drawing>
          <wp:anchor simplePos="0" relativeHeight="251657728" behindDoc="1" locked="0" layoutInCell="0" allowOverlap="1">
            <wp:simplePos x="0" y="0"/>
            <wp:positionH relativeFrom="page">
              <wp:posOffset>166370</wp:posOffset>
            </wp:positionH>
            <wp:positionV relativeFrom="page">
              <wp:posOffset>671830</wp:posOffset>
            </wp:positionV>
            <wp:extent cx="722947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29475" cy="8890"/>
                    </a:xfrm>
                    <a:prstGeom prst="rect">
                      <a:avLst/>
                    </a:prstGeom>
                    <a:noFill/>
                  </pic:spPr>
                </pic:pic>
              </a:graphicData>
            </a:graphic>
          </wp:anchor>
        </w:drawing>
        <w:t>UNITED STATES</w:t>
      </w:r>
    </w:p>
    <w:p>
      <w:pPr>
        <w:spacing w:after="0" w:line="46"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SECURITIES AND EXCHANGE COMMISSION</w:t>
      </w:r>
    </w:p>
    <w:p>
      <w:pPr>
        <w:spacing w:after="0" w:line="12"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Washington, D.C. 20549</w:t>
      </w:r>
    </w:p>
    <w:p>
      <w:pPr>
        <w:spacing w:after="0" w:line="168" w:lineRule="exact"/>
        <w:rPr>
          <w:sz w:val="24"/>
          <w:szCs w:val="24"/>
          <w:color w:val="auto"/>
        </w:rPr>
      </w:pPr>
    </w:p>
    <w:p>
      <w:pPr>
        <w:ind w:left="4020"/>
        <w:spacing w:after="0"/>
        <w:rPr>
          <w:sz w:val="20"/>
          <w:szCs w:val="20"/>
          <w:color w:val="auto"/>
        </w:rPr>
      </w:pPr>
      <w:r>
        <w:rPr>
          <w:rFonts w:ascii="Arial" w:cs="Arial" w:eastAsia="Arial" w:hAnsi="Arial"/>
          <w:sz w:val="18"/>
          <w:szCs w:val="18"/>
          <w:color w:val="auto"/>
        </w:rPr>
        <w:t>_____________________________________</w:t>
      </w:r>
    </w:p>
    <w:p>
      <w:pPr>
        <w:spacing w:after="0" w:line="158"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FORM 10-K</w:t>
      </w:r>
    </w:p>
    <w:p>
      <w:pPr>
        <w:spacing w:after="0" w:line="213" w:lineRule="exact"/>
        <w:rPr>
          <w:sz w:val="24"/>
          <w:szCs w:val="24"/>
          <w:color w:val="auto"/>
        </w:rPr>
      </w:pPr>
    </w:p>
    <w:p>
      <w:pPr>
        <w:ind w:left="4020"/>
        <w:spacing w:after="0"/>
        <w:rPr>
          <w:sz w:val="20"/>
          <w:szCs w:val="20"/>
          <w:color w:val="auto"/>
        </w:rPr>
      </w:pPr>
      <w:r>
        <w:rPr>
          <w:rFonts w:ascii="Arial" w:cs="Arial" w:eastAsia="Arial" w:hAnsi="Arial"/>
          <w:sz w:val="18"/>
          <w:szCs w:val="18"/>
          <w:color w:val="auto"/>
        </w:rPr>
        <w:t>_____________________________________</w:t>
      </w:r>
    </w:p>
    <w:p>
      <w:pPr>
        <w:spacing w:after="0" w:line="163"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ANNUAL REPORT PURSUANT TO SECTION 13 or 15(d)</w:t>
      </w:r>
    </w:p>
    <w:p>
      <w:pPr>
        <w:spacing w:after="0" w:line="38"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OF THE SECURITIES EXCHANGE ACT OF 1934</w:t>
      </w:r>
    </w:p>
    <w:p>
      <w:pPr>
        <w:spacing w:after="0" w:line="148"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For The Fiscal Year Ended January 1, 2016</w:t>
      </w:r>
    </w:p>
    <w:p>
      <w:pPr>
        <w:spacing w:after="0" w:line="171"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Commission File Number 1-16137</w:t>
      </w:r>
    </w:p>
    <w:p>
      <w:pPr>
        <w:spacing w:after="0" w:line="27" w:lineRule="exact"/>
        <w:rPr>
          <w:sz w:val="24"/>
          <w:szCs w:val="24"/>
          <w:color w:val="auto"/>
        </w:rPr>
      </w:pPr>
    </w:p>
    <w:p>
      <w:pPr>
        <w:ind w:left="4040"/>
        <w:spacing w:after="0"/>
        <w:rPr>
          <w:sz w:val="20"/>
          <w:szCs w:val="20"/>
          <w:color w:val="auto"/>
        </w:rPr>
      </w:pPr>
      <w:r>
        <w:rPr>
          <w:rFonts w:ascii="Arial" w:cs="Arial" w:eastAsia="Arial" w:hAnsi="Arial"/>
          <w:sz w:val="18"/>
          <w:szCs w:val="18"/>
          <w:color w:val="auto"/>
        </w:rPr>
        <w:t>_____________________________________</w:t>
      </w:r>
    </w:p>
    <w:p>
      <w:pPr>
        <w:spacing w:after="0" w:line="141" w:lineRule="exact"/>
        <w:rPr>
          <w:sz w:val="24"/>
          <w:szCs w:val="24"/>
          <w:color w:val="auto"/>
        </w:rPr>
      </w:pPr>
    </w:p>
    <w:p>
      <w:pPr>
        <w:jc w:val="center"/>
        <w:ind w:right="-19"/>
        <w:spacing w:after="0"/>
        <w:rPr>
          <w:sz w:val="20"/>
          <w:szCs w:val="20"/>
          <w:color w:val="auto"/>
        </w:rPr>
      </w:pPr>
      <w:r>
        <w:rPr>
          <w:rFonts w:ascii="Arial" w:cs="Arial" w:eastAsia="Arial" w:hAnsi="Arial"/>
          <w:sz w:val="43"/>
          <w:szCs w:val="43"/>
          <w:b w:val="1"/>
          <w:bCs w:val="1"/>
          <w:color w:val="auto"/>
        </w:rPr>
        <w:t>GREATBATCH, INC.</w:t>
      </w:r>
    </w:p>
    <w:p>
      <w:pPr>
        <w:spacing w:after="0" w:line="50"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182" w:lineRule="exact"/>
        <w:rPr>
          <w:sz w:val="24"/>
          <w:szCs w:val="24"/>
          <w:color w:val="auto"/>
        </w:rPr>
      </w:pPr>
    </w:p>
    <w:p>
      <w:pPr>
        <w:ind w:left="4040"/>
        <w:spacing w:after="0"/>
        <w:rPr>
          <w:sz w:val="20"/>
          <w:szCs w:val="20"/>
          <w:color w:val="auto"/>
        </w:rPr>
      </w:pPr>
      <w:r>
        <w:rPr>
          <w:rFonts w:ascii="Arial" w:cs="Arial" w:eastAsia="Arial" w:hAnsi="Arial"/>
          <w:sz w:val="18"/>
          <w:szCs w:val="18"/>
          <w:color w:val="auto"/>
        </w:rPr>
        <w:t>_____________________________________</w:t>
      </w:r>
    </w:p>
    <w:p>
      <w:pPr>
        <w:spacing w:after="0" w:line="383" w:lineRule="exact"/>
        <w:rPr>
          <w:sz w:val="24"/>
          <w:szCs w:val="24"/>
          <w:color w:val="auto"/>
        </w:rPr>
      </w:pPr>
    </w:p>
    <w:tbl>
      <w:tblPr>
        <w:tblLayout w:type="fixed"/>
        <w:tblInd w:w="440" w:type="dxa"/>
        <w:tblCellMar>
          <w:top w:w="0" w:type="dxa"/>
          <w:left w:w="0" w:type="dxa"/>
          <w:bottom w:w="0" w:type="dxa"/>
          <w:right w:w="0" w:type="dxa"/>
        </w:tblCellMar>
      </w:tblPr>
      <w:tr>
        <w:trPr>
          <w:trHeight w:val="234"/>
        </w:trPr>
        <w:tc>
          <w:tcPr>
            <w:tcW w:w="1760" w:type="dxa"/>
            <w:vAlign w:val="bottom"/>
          </w:tcPr>
          <w:p>
            <w:pPr>
              <w:spacing w:after="0"/>
              <w:rPr>
                <w:sz w:val="20"/>
                <w:szCs w:val="20"/>
                <w:color w:val="auto"/>
              </w:rPr>
            </w:pPr>
          </w:p>
        </w:tc>
        <w:tc>
          <w:tcPr>
            <w:tcW w:w="2300" w:type="dxa"/>
            <w:vAlign w:val="bottom"/>
            <w:gridSpan w:val="3"/>
          </w:tcPr>
          <w:p>
            <w:pPr>
              <w:jc w:val="center"/>
              <w:ind w:right="988"/>
              <w:spacing w:after="0"/>
              <w:rPr>
                <w:sz w:val="20"/>
                <w:szCs w:val="20"/>
                <w:color w:val="auto"/>
              </w:rPr>
            </w:pPr>
            <w:r>
              <w:rPr>
                <w:rFonts w:ascii="Arial" w:cs="Arial" w:eastAsia="Arial" w:hAnsi="Arial"/>
                <w:sz w:val="18"/>
                <w:szCs w:val="18"/>
                <w:b w:val="1"/>
                <w:bCs w:val="1"/>
                <w:color w:val="auto"/>
                <w:w w:val="91"/>
              </w:rPr>
              <w:t>Delaware</w:t>
            </w:r>
          </w:p>
        </w:tc>
        <w:tc>
          <w:tcPr>
            <w:tcW w:w="5040" w:type="dxa"/>
            <w:vAlign w:val="bottom"/>
            <w:gridSpan w:val="4"/>
          </w:tcPr>
          <w:p>
            <w:pPr>
              <w:jc w:val="center"/>
              <w:ind w:left="3235"/>
              <w:spacing w:after="0"/>
              <w:rPr>
                <w:sz w:val="20"/>
                <w:szCs w:val="20"/>
                <w:color w:val="auto"/>
              </w:rPr>
            </w:pPr>
            <w:r>
              <w:rPr>
                <w:rFonts w:ascii="Arial" w:cs="Arial" w:eastAsia="Arial" w:hAnsi="Arial"/>
                <w:sz w:val="18"/>
                <w:szCs w:val="18"/>
                <w:b w:val="1"/>
                <w:bCs w:val="1"/>
                <w:color w:val="auto"/>
                <w:w w:val="91"/>
              </w:rPr>
              <w:t>16-1531026</w:t>
            </w:r>
          </w:p>
        </w:tc>
        <w:tc>
          <w:tcPr>
            <w:tcW w:w="3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80"/>
        </w:trPr>
        <w:tc>
          <w:tcPr>
            <w:tcW w:w="1760" w:type="dxa"/>
            <w:vAlign w:val="bottom"/>
          </w:tcPr>
          <w:p>
            <w:pPr>
              <w:spacing w:after="0"/>
              <w:rPr>
                <w:sz w:val="15"/>
                <w:szCs w:val="15"/>
                <w:color w:val="auto"/>
              </w:rPr>
            </w:pPr>
          </w:p>
        </w:tc>
        <w:tc>
          <w:tcPr>
            <w:tcW w:w="2300" w:type="dxa"/>
            <w:vAlign w:val="bottom"/>
            <w:gridSpan w:val="3"/>
          </w:tcPr>
          <w:p>
            <w:pPr>
              <w:jc w:val="center"/>
              <w:ind w:right="988"/>
              <w:spacing w:after="0"/>
              <w:rPr>
                <w:sz w:val="20"/>
                <w:szCs w:val="20"/>
                <w:color w:val="auto"/>
              </w:rPr>
            </w:pPr>
            <w:r>
              <w:rPr>
                <w:rFonts w:ascii="Arial" w:cs="Arial" w:eastAsia="Arial" w:hAnsi="Arial"/>
                <w:sz w:val="14"/>
                <w:szCs w:val="14"/>
                <w:b w:val="1"/>
                <w:bCs w:val="1"/>
                <w:color w:val="auto"/>
                <w:w w:val="92"/>
              </w:rPr>
              <w:t>(State of</w:t>
            </w:r>
          </w:p>
        </w:tc>
        <w:tc>
          <w:tcPr>
            <w:tcW w:w="274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880" w:type="dxa"/>
            <w:vAlign w:val="bottom"/>
            <w:gridSpan w:val="2"/>
          </w:tcPr>
          <w:p>
            <w:pPr>
              <w:jc w:val="center"/>
              <w:ind w:left="88"/>
              <w:spacing w:after="0"/>
              <w:rPr>
                <w:sz w:val="20"/>
                <w:szCs w:val="20"/>
                <w:color w:val="auto"/>
              </w:rPr>
            </w:pPr>
            <w:r>
              <w:rPr>
                <w:rFonts w:ascii="Arial" w:cs="Arial" w:eastAsia="Arial" w:hAnsi="Arial"/>
                <w:sz w:val="14"/>
                <w:szCs w:val="14"/>
                <w:b w:val="1"/>
                <w:bCs w:val="1"/>
                <w:color w:val="auto"/>
                <w:w w:val="96"/>
              </w:rPr>
              <w:t>(I.R.S. Employer</w:t>
            </w:r>
          </w:p>
        </w:tc>
        <w:tc>
          <w:tcPr>
            <w:tcW w:w="3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6"/>
        </w:trPr>
        <w:tc>
          <w:tcPr>
            <w:tcW w:w="1760" w:type="dxa"/>
            <w:vAlign w:val="bottom"/>
          </w:tcPr>
          <w:p>
            <w:pPr>
              <w:spacing w:after="0"/>
              <w:rPr>
                <w:sz w:val="16"/>
                <w:szCs w:val="16"/>
                <w:color w:val="auto"/>
              </w:rPr>
            </w:pPr>
          </w:p>
        </w:tc>
        <w:tc>
          <w:tcPr>
            <w:tcW w:w="2300" w:type="dxa"/>
            <w:vAlign w:val="bottom"/>
            <w:gridSpan w:val="3"/>
          </w:tcPr>
          <w:p>
            <w:pPr>
              <w:jc w:val="center"/>
              <w:ind w:right="988"/>
              <w:spacing w:after="0"/>
              <w:rPr>
                <w:sz w:val="20"/>
                <w:szCs w:val="20"/>
                <w:color w:val="auto"/>
              </w:rPr>
            </w:pPr>
            <w:r>
              <w:rPr>
                <w:rFonts w:ascii="Arial" w:cs="Arial" w:eastAsia="Arial" w:hAnsi="Arial"/>
                <w:sz w:val="14"/>
                <w:szCs w:val="14"/>
                <w:b w:val="1"/>
                <w:bCs w:val="1"/>
                <w:color w:val="auto"/>
                <w:w w:val="96"/>
              </w:rPr>
              <w:t>Incorporation)</w:t>
            </w:r>
          </w:p>
        </w:tc>
        <w:tc>
          <w:tcPr>
            <w:tcW w:w="274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1880" w:type="dxa"/>
            <w:vAlign w:val="bottom"/>
            <w:gridSpan w:val="2"/>
          </w:tcPr>
          <w:p>
            <w:pPr>
              <w:jc w:val="center"/>
              <w:ind w:left="88"/>
              <w:spacing w:after="0"/>
              <w:rPr>
                <w:sz w:val="20"/>
                <w:szCs w:val="20"/>
                <w:color w:val="auto"/>
              </w:rPr>
            </w:pPr>
            <w:r>
              <w:rPr>
                <w:rFonts w:ascii="Arial" w:cs="Arial" w:eastAsia="Arial" w:hAnsi="Arial"/>
                <w:sz w:val="14"/>
                <w:szCs w:val="14"/>
                <w:b w:val="1"/>
                <w:bCs w:val="1"/>
                <w:color w:val="auto"/>
                <w:w w:val="94"/>
              </w:rPr>
              <w:t>Identification No.)</w:t>
            </w:r>
          </w:p>
        </w:tc>
        <w:tc>
          <w:tcPr>
            <w:tcW w:w="3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72"/>
        </w:trPr>
        <w:tc>
          <w:tcPr>
            <w:tcW w:w="17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4560" w:type="dxa"/>
            <w:vAlign w:val="bottom"/>
            <w:gridSpan w:val="3"/>
          </w:tcPr>
          <w:p>
            <w:pPr>
              <w:jc w:val="center"/>
              <w:ind w:right="2068"/>
              <w:spacing w:after="0"/>
              <w:rPr>
                <w:sz w:val="20"/>
                <w:szCs w:val="20"/>
                <w:color w:val="auto"/>
              </w:rPr>
            </w:pPr>
            <w:r>
              <w:rPr>
                <w:rFonts w:ascii="Arial" w:cs="Arial" w:eastAsia="Arial" w:hAnsi="Arial"/>
                <w:sz w:val="18"/>
                <w:szCs w:val="18"/>
                <w:b w:val="1"/>
                <w:bCs w:val="1"/>
                <w:color w:val="auto"/>
                <w:w w:val="91"/>
              </w:rPr>
              <w:t>2595 Dallas Parkway</w:t>
            </w:r>
          </w:p>
        </w:tc>
        <w:tc>
          <w:tcPr>
            <w:tcW w:w="4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7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4560" w:type="dxa"/>
            <w:vAlign w:val="bottom"/>
            <w:gridSpan w:val="3"/>
          </w:tcPr>
          <w:p>
            <w:pPr>
              <w:jc w:val="center"/>
              <w:ind w:right="2068"/>
              <w:spacing w:after="0"/>
              <w:rPr>
                <w:sz w:val="20"/>
                <w:szCs w:val="20"/>
                <w:color w:val="auto"/>
              </w:rPr>
            </w:pPr>
            <w:r>
              <w:rPr>
                <w:rFonts w:ascii="Arial" w:cs="Arial" w:eastAsia="Arial" w:hAnsi="Arial"/>
                <w:sz w:val="18"/>
                <w:szCs w:val="18"/>
                <w:b w:val="1"/>
                <w:bCs w:val="1"/>
                <w:color w:val="auto"/>
                <w:w w:val="88"/>
              </w:rPr>
              <w:t>Suite 310</w:t>
            </w:r>
          </w:p>
        </w:tc>
        <w:tc>
          <w:tcPr>
            <w:tcW w:w="4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17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4560" w:type="dxa"/>
            <w:vAlign w:val="bottom"/>
            <w:gridSpan w:val="3"/>
          </w:tcPr>
          <w:p>
            <w:pPr>
              <w:jc w:val="center"/>
              <w:ind w:right="2068"/>
              <w:spacing w:after="0"/>
              <w:rPr>
                <w:sz w:val="20"/>
                <w:szCs w:val="20"/>
                <w:color w:val="auto"/>
              </w:rPr>
            </w:pPr>
            <w:r>
              <w:rPr>
                <w:rFonts w:ascii="Arial" w:cs="Arial" w:eastAsia="Arial" w:hAnsi="Arial"/>
                <w:sz w:val="18"/>
                <w:szCs w:val="18"/>
                <w:b w:val="1"/>
                <w:bCs w:val="1"/>
                <w:color w:val="auto"/>
                <w:w w:val="88"/>
              </w:rPr>
              <w:t>Frisco, Texas 75034</w:t>
            </w:r>
          </w:p>
        </w:tc>
        <w:tc>
          <w:tcPr>
            <w:tcW w:w="4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86"/>
        </w:trPr>
        <w:tc>
          <w:tcPr>
            <w:tcW w:w="176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4560" w:type="dxa"/>
            <w:vAlign w:val="bottom"/>
            <w:gridSpan w:val="3"/>
          </w:tcPr>
          <w:p>
            <w:pPr>
              <w:jc w:val="center"/>
              <w:ind w:right="2068"/>
              <w:spacing w:after="0"/>
              <w:rPr>
                <w:sz w:val="20"/>
                <w:szCs w:val="20"/>
                <w:color w:val="auto"/>
              </w:rPr>
            </w:pPr>
            <w:r>
              <w:rPr>
                <w:rFonts w:ascii="Arial" w:cs="Arial" w:eastAsia="Arial" w:hAnsi="Arial"/>
                <w:sz w:val="14"/>
                <w:szCs w:val="14"/>
                <w:b w:val="1"/>
                <w:bCs w:val="1"/>
                <w:color w:val="auto"/>
                <w:w w:val="91"/>
              </w:rPr>
              <w:t>(Address of principal executive offices)</w:t>
            </w:r>
          </w:p>
        </w:tc>
        <w:tc>
          <w:tcPr>
            <w:tcW w:w="48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54"/>
        </w:trPr>
        <w:tc>
          <w:tcPr>
            <w:tcW w:w="17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740" w:type="dxa"/>
            <w:vAlign w:val="bottom"/>
          </w:tcPr>
          <w:p>
            <w:pPr>
              <w:jc w:val="center"/>
              <w:ind w:right="215"/>
              <w:spacing w:after="0"/>
              <w:rPr>
                <w:sz w:val="20"/>
                <w:szCs w:val="20"/>
                <w:color w:val="auto"/>
              </w:rPr>
            </w:pPr>
            <w:r>
              <w:rPr>
                <w:rFonts w:ascii="Arial" w:cs="Arial" w:eastAsia="Arial" w:hAnsi="Arial"/>
                <w:sz w:val="18"/>
                <w:szCs w:val="18"/>
                <w:b w:val="1"/>
                <w:bCs w:val="1"/>
                <w:color w:val="auto"/>
                <w:w w:val="90"/>
              </w:rPr>
              <w:t>(716) 759-5600</w:t>
            </w:r>
          </w:p>
        </w:tc>
        <w:tc>
          <w:tcPr>
            <w:tcW w:w="42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6"/>
        </w:trPr>
        <w:tc>
          <w:tcPr>
            <w:tcW w:w="176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5140" w:type="dxa"/>
            <w:vAlign w:val="bottom"/>
            <w:gridSpan w:val="4"/>
          </w:tcPr>
          <w:p>
            <w:pPr>
              <w:jc w:val="center"/>
              <w:ind w:right="1488"/>
              <w:spacing w:after="0"/>
              <w:rPr>
                <w:sz w:val="20"/>
                <w:szCs w:val="20"/>
                <w:color w:val="auto"/>
              </w:rPr>
            </w:pPr>
            <w:r>
              <w:rPr>
                <w:rFonts w:ascii="Arial" w:cs="Arial" w:eastAsia="Arial" w:hAnsi="Arial"/>
                <w:sz w:val="14"/>
                <w:szCs w:val="14"/>
                <w:b w:val="1"/>
                <w:bCs w:val="1"/>
                <w:color w:val="auto"/>
                <w:w w:val="91"/>
              </w:rPr>
              <w:t>(Registrant’s telephone number, including area code)</w:t>
            </w:r>
          </w:p>
        </w:tc>
        <w:tc>
          <w:tcPr>
            <w:tcW w:w="48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77"/>
        </w:trPr>
        <w:tc>
          <w:tcPr>
            <w:tcW w:w="17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5660" w:type="dxa"/>
            <w:vAlign w:val="bottom"/>
            <w:gridSpan w:val="5"/>
          </w:tcPr>
          <w:p>
            <w:pPr>
              <w:jc w:val="center"/>
              <w:ind w:right="968"/>
              <w:spacing w:after="0"/>
              <w:rPr>
                <w:sz w:val="20"/>
                <w:szCs w:val="20"/>
                <w:color w:val="auto"/>
              </w:rPr>
            </w:pPr>
            <w:r>
              <w:rPr>
                <w:rFonts w:ascii="Arial" w:cs="Arial" w:eastAsia="Arial" w:hAnsi="Arial"/>
                <w:sz w:val="18"/>
                <w:szCs w:val="18"/>
                <w:b w:val="1"/>
                <w:bCs w:val="1"/>
                <w:color w:val="auto"/>
                <w:w w:val="88"/>
              </w:rPr>
              <w:t>Securities Registered Pursuant to Section 12(b) of the Act:</w:t>
            </w:r>
          </w:p>
        </w:tc>
        <w:tc>
          <w:tcPr>
            <w:tcW w:w="4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60" w:type="dxa"/>
            <w:vAlign w:val="bottom"/>
          </w:tcPr>
          <w:p>
            <w:pPr>
              <w:spacing w:after="0"/>
              <w:rPr>
                <w:sz w:val="24"/>
                <w:szCs w:val="24"/>
                <w:color w:val="auto"/>
              </w:rPr>
            </w:pPr>
          </w:p>
        </w:tc>
        <w:tc>
          <w:tcPr>
            <w:tcW w:w="2300" w:type="dxa"/>
            <w:vAlign w:val="bottom"/>
            <w:gridSpan w:val="3"/>
          </w:tcPr>
          <w:p>
            <w:pPr>
              <w:jc w:val="center"/>
              <w:ind w:right="1028"/>
              <w:spacing w:after="0"/>
              <w:rPr>
                <w:sz w:val="20"/>
                <w:szCs w:val="20"/>
                <w:color w:val="auto"/>
              </w:rPr>
            </w:pPr>
            <w:r>
              <w:rPr>
                <w:rFonts w:ascii="Arial" w:cs="Arial" w:eastAsia="Arial" w:hAnsi="Arial"/>
                <w:sz w:val="14"/>
                <w:szCs w:val="14"/>
                <w:b w:val="1"/>
                <w:bCs w:val="1"/>
                <w:color w:val="auto"/>
                <w:w w:val="92"/>
              </w:rPr>
              <w:t>Title of Each Class:</w:t>
            </w:r>
          </w:p>
        </w:tc>
        <w:tc>
          <w:tcPr>
            <w:tcW w:w="5820" w:type="dxa"/>
            <w:vAlign w:val="bottom"/>
            <w:gridSpan w:val="7"/>
          </w:tcPr>
          <w:p>
            <w:pPr>
              <w:jc w:val="center"/>
              <w:ind w:left="2435"/>
              <w:spacing w:after="0"/>
              <w:rPr>
                <w:sz w:val="20"/>
                <w:szCs w:val="20"/>
                <w:color w:val="auto"/>
              </w:rPr>
            </w:pPr>
            <w:r>
              <w:rPr>
                <w:rFonts w:ascii="Arial" w:cs="Arial" w:eastAsia="Arial" w:hAnsi="Arial"/>
                <w:sz w:val="14"/>
                <w:szCs w:val="14"/>
                <w:b w:val="1"/>
                <w:bCs w:val="1"/>
                <w:color w:val="auto"/>
                <w:w w:val="92"/>
              </w:rPr>
              <w:t>Name of Each Exchange on Which Registered:</w:t>
            </w:r>
          </w:p>
        </w:tc>
        <w:tc>
          <w:tcPr>
            <w:tcW w:w="0" w:type="dxa"/>
            <w:vAlign w:val="bottom"/>
          </w:tcPr>
          <w:p>
            <w:pPr>
              <w:spacing w:after="0"/>
              <w:rPr>
                <w:sz w:val="1"/>
                <w:szCs w:val="1"/>
                <w:color w:val="auto"/>
              </w:rPr>
            </w:pPr>
          </w:p>
        </w:tc>
      </w:tr>
      <w:tr>
        <w:trPr>
          <w:trHeight w:val="20"/>
        </w:trPr>
        <w:tc>
          <w:tcPr>
            <w:tcW w:w="1760" w:type="dxa"/>
            <w:vAlign w:val="bottom"/>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100" w:type="dxa"/>
            <w:vAlign w:val="bottom"/>
            <w:gridSpan w:val="2"/>
          </w:tcPr>
          <w:p>
            <w:pPr>
              <w:spacing w:after="0" w:line="20" w:lineRule="exact"/>
              <w:rPr>
                <w:sz w:val="1"/>
                <w:szCs w:val="1"/>
                <w:color w:val="auto"/>
              </w:rPr>
            </w:pPr>
          </w:p>
        </w:tc>
        <w:tc>
          <w:tcPr>
            <w:tcW w:w="2740" w:type="dxa"/>
            <w:vAlign w:val="bottom"/>
          </w:tcPr>
          <w:p>
            <w:pPr>
              <w:spacing w:after="0" w:line="20" w:lineRule="exact"/>
              <w:rPr>
                <w:sz w:val="1"/>
                <w:szCs w:val="1"/>
                <w:color w:val="auto"/>
              </w:rPr>
            </w:pPr>
          </w:p>
        </w:tc>
        <w:tc>
          <w:tcPr>
            <w:tcW w:w="2680" w:type="dxa"/>
            <w:vAlign w:val="bottom"/>
            <w:gridSpan w:val="4"/>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4060" w:type="dxa"/>
            <w:vAlign w:val="bottom"/>
            <w:gridSpan w:val="4"/>
          </w:tcPr>
          <w:p>
            <w:pPr>
              <w:jc w:val="center"/>
              <w:ind w:left="590"/>
              <w:spacing w:after="0"/>
              <w:rPr>
                <w:sz w:val="20"/>
                <w:szCs w:val="20"/>
                <w:color w:val="auto"/>
              </w:rPr>
            </w:pPr>
            <w:r>
              <w:rPr>
                <w:rFonts w:ascii="Arial" w:cs="Arial" w:eastAsia="Arial" w:hAnsi="Arial"/>
                <w:sz w:val="18"/>
                <w:szCs w:val="18"/>
                <w:b w:val="1"/>
                <w:bCs w:val="1"/>
                <w:color w:val="auto"/>
                <w:w w:val="90"/>
              </w:rPr>
              <w:t>Common Stock, Par Value $0.001 Per Share</w:t>
            </w:r>
          </w:p>
        </w:tc>
        <w:tc>
          <w:tcPr>
            <w:tcW w:w="2740" w:type="dxa"/>
            <w:vAlign w:val="bottom"/>
          </w:tcPr>
          <w:p>
            <w:pPr>
              <w:spacing w:after="0"/>
              <w:rPr>
                <w:sz w:val="22"/>
                <w:szCs w:val="22"/>
                <w:color w:val="auto"/>
              </w:rPr>
            </w:pPr>
          </w:p>
        </w:tc>
        <w:tc>
          <w:tcPr>
            <w:tcW w:w="2680" w:type="dxa"/>
            <w:vAlign w:val="bottom"/>
            <w:gridSpan w:val="4"/>
          </w:tcPr>
          <w:p>
            <w:pPr>
              <w:jc w:val="center"/>
              <w:ind w:left="70"/>
              <w:spacing w:after="0"/>
              <w:rPr>
                <w:sz w:val="20"/>
                <w:szCs w:val="20"/>
                <w:color w:val="auto"/>
              </w:rPr>
            </w:pPr>
            <w:r>
              <w:rPr>
                <w:rFonts w:ascii="Arial" w:cs="Arial" w:eastAsia="Arial" w:hAnsi="Arial"/>
                <w:sz w:val="18"/>
                <w:szCs w:val="18"/>
                <w:b w:val="1"/>
                <w:bCs w:val="1"/>
                <w:color w:val="auto"/>
                <w:w w:val="90"/>
              </w:rPr>
              <w:t>New York Stock Exchange</w:t>
            </w:r>
          </w:p>
        </w:tc>
        <w:tc>
          <w:tcPr>
            <w:tcW w:w="1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405"/>
        </w:trPr>
        <w:tc>
          <w:tcPr>
            <w:tcW w:w="1760" w:type="dxa"/>
            <w:vAlign w:val="bottom"/>
          </w:tcPr>
          <w:p>
            <w:pPr>
              <w:spacing w:after="0"/>
              <w:rPr>
                <w:sz w:val="24"/>
                <w:szCs w:val="24"/>
                <w:color w:val="auto"/>
              </w:rPr>
            </w:pPr>
          </w:p>
        </w:tc>
        <w:tc>
          <w:tcPr>
            <w:tcW w:w="6860" w:type="dxa"/>
            <w:vAlign w:val="bottom"/>
            <w:gridSpan w:val="6"/>
          </w:tcPr>
          <w:p>
            <w:pPr>
              <w:jc w:val="center"/>
              <w:ind w:left="81"/>
              <w:spacing w:after="0"/>
              <w:rPr>
                <w:sz w:val="20"/>
                <w:szCs w:val="20"/>
                <w:color w:val="auto"/>
              </w:rPr>
            </w:pPr>
            <w:r>
              <w:rPr>
                <w:rFonts w:ascii="Arial" w:cs="Arial" w:eastAsia="Arial" w:hAnsi="Arial"/>
                <w:sz w:val="18"/>
                <w:szCs w:val="18"/>
                <w:b w:val="1"/>
                <w:bCs w:val="1"/>
                <w:color w:val="auto"/>
                <w:w w:val="88"/>
              </w:rPr>
              <w:t>Securities Registered Pursuant to Section 12(g) of the Act: None</w:t>
            </w:r>
          </w:p>
        </w:tc>
        <w:tc>
          <w:tcPr>
            <w:tcW w:w="4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5"/>
        </w:trPr>
        <w:tc>
          <w:tcPr>
            <w:tcW w:w="17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320" w:type="dxa"/>
            <w:vAlign w:val="bottom"/>
            <w:tcBorders>
              <w:bottom w:val="single" w:sz="8" w:color="auto"/>
            </w:tcBorders>
            <w:gridSpan w:val="2"/>
          </w:tcPr>
          <w:p>
            <w:pPr>
              <w:spacing w:after="0"/>
              <w:rPr>
                <w:sz w:val="11"/>
                <w:szCs w:val="11"/>
                <w:color w:val="auto"/>
              </w:rPr>
            </w:pPr>
          </w:p>
        </w:tc>
        <w:tc>
          <w:tcPr>
            <w:tcW w:w="420" w:type="dxa"/>
            <w:vAlign w:val="bottom"/>
            <w:tcBorders>
              <w:bottom w:val="single" w:sz="8" w:color="auto"/>
            </w:tcBorders>
          </w:tcPr>
          <w:p>
            <w:pPr>
              <w:spacing w:after="0"/>
              <w:rPr>
                <w:sz w:val="11"/>
                <w:szCs w:val="11"/>
                <w:color w:val="auto"/>
              </w:rPr>
            </w:pPr>
          </w:p>
        </w:tc>
        <w:tc>
          <w:tcPr>
            <w:tcW w:w="14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00" w:type="dxa"/>
            <w:vAlign w:val="bottom"/>
            <w:gridSpan w:val="2"/>
            <w:vMerge w:val="restart"/>
          </w:tcPr>
          <w:p>
            <w:pPr>
              <w:ind w:left="8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729"/>
        </w:trPr>
        <w:tc>
          <w:tcPr>
            <w:tcW w:w="8620" w:type="dxa"/>
            <w:vAlign w:val="bottom"/>
            <w:gridSpan w:val="7"/>
          </w:tcPr>
          <w:p>
            <w:pPr>
              <w:spacing w:after="0"/>
              <w:rPr>
                <w:sz w:val="20"/>
                <w:szCs w:val="20"/>
                <w:color w:val="auto"/>
              </w:rPr>
            </w:pPr>
            <w:r>
              <w:rPr>
                <w:rFonts w:ascii="Arial" w:cs="Arial" w:eastAsia="Arial" w:hAnsi="Arial"/>
                <w:sz w:val="18"/>
                <w:szCs w:val="18"/>
                <w:color w:val="auto"/>
                <w:w w:val="92"/>
              </w:rPr>
              <w:t>Indicate by check mark if the registrant is a well-known seasoned issuer, as defined in Rule 405 of the Securities Act.</w:t>
            </w:r>
          </w:p>
        </w:tc>
        <w:tc>
          <w:tcPr>
            <w:tcW w:w="480" w:type="dxa"/>
            <w:vAlign w:val="bottom"/>
          </w:tcPr>
          <w:p>
            <w:pPr>
              <w:spacing w:after="0"/>
              <w:rPr>
                <w:sz w:val="20"/>
                <w:szCs w:val="20"/>
                <w:color w:val="auto"/>
              </w:rPr>
            </w:pPr>
            <w:r>
              <w:rPr>
                <w:rFonts w:ascii="Arial" w:cs="Arial" w:eastAsia="Arial" w:hAnsi="Arial"/>
                <w:sz w:val="18"/>
                <w:szCs w:val="18"/>
                <w:color w:val="auto"/>
              </w:rPr>
              <w:t>Yes x</w:t>
            </w:r>
          </w:p>
        </w:tc>
        <w:tc>
          <w:tcPr>
            <w:tcW w:w="380" w:type="dxa"/>
            <w:vAlign w:val="bottom"/>
          </w:tcPr>
          <w:p>
            <w:pPr>
              <w:ind w:left="140"/>
              <w:spacing w:after="0"/>
              <w:rPr>
                <w:sz w:val="20"/>
                <w:szCs w:val="20"/>
                <w:color w:val="auto"/>
              </w:rPr>
            </w:pPr>
            <w:r>
              <w:rPr>
                <w:rFonts w:ascii="Arial" w:cs="Arial" w:eastAsia="Arial" w:hAnsi="Arial"/>
                <w:sz w:val="18"/>
                <w:szCs w:val="18"/>
                <w:color w:val="auto"/>
                <w:w w:val="95"/>
              </w:rPr>
              <w:t>No</w:t>
            </w:r>
          </w:p>
        </w:tc>
        <w:tc>
          <w:tcPr>
            <w:tcW w:w="400" w:type="dxa"/>
            <w:vAlign w:val="bottom"/>
            <w:gridSpan w:val="2"/>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78"/>
        </w:trPr>
        <w:tc>
          <w:tcPr>
            <w:tcW w:w="8620" w:type="dxa"/>
            <w:vAlign w:val="bottom"/>
            <w:gridSpan w:val="7"/>
          </w:tcPr>
          <w:p>
            <w:pPr>
              <w:spacing w:after="0"/>
              <w:rPr>
                <w:sz w:val="20"/>
                <w:szCs w:val="20"/>
                <w:color w:val="auto"/>
              </w:rPr>
            </w:pPr>
            <w:r>
              <w:rPr>
                <w:rFonts w:ascii="Arial" w:cs="Arial" w:eastAsia="Arial" w:hAnsi="Arial"/>
                <w:sz w:val="18"/>
                <w:szCs w:val="18"/>
                <w:color w:val="auto"/>
                <w:w w:val="91"/>
              </w:rPr>
              <w:t>Indicate by check mark if the registrant is not required to file reports pursuant to Section 13 or Section 15(d) of the Act.</w:t>
            </w:r>
          </w:p>
        </w:tc>
        <w:tc>
          <w:tcPr>
            <w:tcW w:w="480" w:type="dxa"/>
            <w:vAlign w:val="bottom"/>
          </w:tcPr>
          <w:p>
            <w:pPr>
              <w:ind w:left="160"/>
              <w:spacing w:after="0"/>
              <w:rPr>
                <w:sz w:val="20"/>
                <w:szCs w:val="20"/>
                <w:color w:val="auto"/>
              </w:rPr>
            </w:pPr>
            <w:r>
              <w:rPr>
                <w:rFonts w:ascii="Arial" w:cs="Arial" w:eastAsia="Arial" w:hAnsi="Arial"/>
                <w:sz w:val="18"/>
                <w:szCs w:val="18"/>
                <w:color w:val="auto"/>
                <w:w w:val="96"/>
              </w:rPr>
              <w:t>Yes</w:t>
            </w:r>
          </w:p>
        </w:tc>
        <w:tc>
          <w:tcPr>
            <w:tcW w:w="380" w:type="dxa"/>
            <w:vAlign w:val="bottom"/>
          </w:tcPr>
          <w:p>
            <w:pPr>
              <w:ind w:left="40"/>
              <w:spacing w:after="0" w:line="181" w:lineRule="exact"/>
              <w:rPr>
                <w:sz w:val="20"/>
                <w:szCs w:val="20"/>
                <w:color w:val="auto"/>
              </w:rPr>
            </w:pPr>
            <w:r>
              <w:rPr>
                <w:rFonts w:ascii="MS PGothic" w:cs="MS PGothic" w:eastAsia="MS PGothic" w:hAnsi="MS PGothic"/>
                <w:sz w:val="18"/>
                <w:szCs w:val="18"/>
                <w:color w:val="auto"/>
              </w:rPr>
              <w:t>☐</w:t>
            </w:r>
          </w:p>
        </w:tc>
        <w:tc>
          <w:tcPr>
            <w:tcW w:w="400" w:type="dxa"/>
            <w:vAlign w:val="bottom"/>
            <w:gridSpan w:val="2"/>
          </w:tcPr>
          <w:p>
            <w:pPr>
              <w:spacing w:after="0"/>
              <w:rPr>
                <w:sz w:val="20"/>
                <w:szCs w:val="20"/>
                <w:color w:val="auto"/>
              </w:rPr>
            </w:pPr>
            <w:r>
              <w:rPr>
                <w:rFonts w:ascii="Arial" w:cs="Arial" w:eastAsia="Arial" w:hAnsi="Arial"/>
                <w:sz w:val="18"/>
                <w:szCs w:val="18"/>
                <w:color w:val="auto"/>
              </w:rPr>
              <w:t>No x</w:t>
            </w:r>
          </w:p>
        </w:tc>
        <w:tc>
          <w:tcPr>
            <w:tcW w:w="0" w:type="dxa"/>
            <w:vAlign w:val="bottom"/>
          </w:tcPr>
          <w:p>
            <w:pPr>
              <w:spacing w:after="0"/>
              <w:rPr>
                <w:sz w:val="1"/>
                <w:szCs w:val="1"/>
                <w:color w:val="auto"/>
              </w:rPr>
            </w:pPr>
          </w:p>
        </w:tc>
      </w:tr>
    </w:tbl>
    <w:p>
      <w:pPr>
        <w:spacing w:after="0" w:line="128" w:lineRule="exact"/>
        <w:rPr>
          <w:sz w:val="24"/>
          <w:szCs w:val="24"/>
          <w:color w:val="auto"/>
        </w:rPr>
      </w:pPr>
    </w:p>
    <w:p>
      <w:pPr>
        <w:ind w:right="40" w:firstLine="432"/>
        <w:spacing w:after="0" w:line="227" w:lineRule="exact"/>
        <w:rPr>
          <w:sz w:val="20"/>
          <w:szCs w:val="20"/>
          <w:color w:val="auto"/>
        </w:rPr>
      </w:pPr>
      <w:r>
        <w:rPr>
          <w:rFonts w:ascii="Arial" w:cs="Arial" w:eastAsia="Arial" w:hAnsi="Arial"/>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x No </w:t>
      </w:r>
      <w:r>
        <w:rPr>
          <w:rFonts w:ascii="MS PGothic" w:cs="MS PGothic" w:eastAsia="MS PGothic" w:hAnsi="MS PGothic"/>
          <w:sz w:val="18"/>
          <w:szCs w:val="18"/>
          <w:color w:val="auto"/>
        </w:rPr>
        <w:t>☐</w:t>
      </w:r>
    </w:p>
    <w:p>
      <w:pPr>
        <w:spacing w:after="0" w:line="130" w:lineRule="exact"/>
        <w:rPr>
          <w:sz w:val="24"/>
          <w:szCs w:val="24"/>
          <w:color w:val="auto"/>
        </w:rPr>
      </w:pPr>
    </w:p>
    <w:p>
      <w:pPr>
        <w:ind w:right="260" w:firstLine="432"/>
        <w:spacing w:after="0" w:line="227" w:lineRule="exact"/>
        <w:rPr>
          <w:sz w:val="20"/>
          <w:szCs w:val="20"/>
          <w:color w:val="auto"/>
        </w:rPr>
      </w:pPr>
      <w:r>
        <w:rPr>
          <w:rFonts w:ascii="Arial" w:cs="Arial" w:eastAsia="Arial" w:hAnsi="Arial"/>
          <w:sz w:val="18"/>
          <w:szCs w:val="18"/>
          <w:color w:val="auto"/>
        </w:rPr>
        <w:t xml:space="preserve">Indicate by checkmark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x No </w:t>
      </w:r>
      <w:r>
        <w:rPr>
          <w:rFonts w:ascii="MS PGothic" w:cs="MS PGothic" w:eastAsia="MS PGothic" w:hAnsi="MS PGothic"/>
          <w:sz w:val="18"/>
          <w:szCs w:val="18"/>
          <w:color w:val="auto"/>
        </w:rPr>
        <w:t>☐</w:t>
      </w:r>
    </w:p>
    <w:p>
      <w:pPr>
        <w:spacing w:after="0" w:line="130" w:lineRule="exact"/>
        <w:rPr>
          <w:sz w:val="24"/>
          <w:szCs w:val="24"/>
          <w:color w:val="auto"/>
        </w:rPr>
      </w:pPr>
    </w:p>
    <w:p>
      <w:pPr>
        <w:ind w:firstLine="432"/>
        <w:spacing w:after="0" w:line="227" w:lineRule="exact"/>
        <w:rPr>
          <w:sz w:val="20"/>
          <w:szCs w:val="20"/>
          <w:color w:val="auto"/>
        </w:rPr>
      </w:pPr>
      <w:r>
        <w:rPr>
          <w:rFonts w:ascii="Arial" w:cs="Arial" w:eastAsia="Arial" w:hAnsi="Arial"/>
          <w:sz w:val="18"/>
          <w:szCs w:val="18"/>
          <w:color w:val="auto"/>
        </w:rPr>
        <w:t xml:space="preserve">Indicate by check mark if disclosure of delinquent filers pursuant to Item 405 of Regulation S-K (§229.405 of this chapter) is not contained herein, and will not be contained, to the best of registrant’s knowledge, in definitive proxy or information statements incorporated by reference in Part III of this Form 10-K or any amendment to this Form 10-K. </w:t>
      </w:r>
      <w:r>
        <w:rPr>
          <w:rFonts w:ascii="MS PGothic" w:cs="MS PGothic" w:eastAsia="MS PGothic" w:hAnsi="MS PGothic"/>
          <w:sz w:val="18"/>
          <w:szCs w:val="18"/>
          <w:color w:val="auto"/>
        </w:rPr>
        <w:t>☐</w:t>
      </w:r>
    </w:p>
    <w:p>
      <w:pPr>
        <w:spacing w:after="0" w:line="130" w:lineRule="exact"/>
        <w:rPr>
          <w:sz w:val="24"/>
          <w:szCs w:val="24"/>
          <w:color w:val="auto"/>
        </w:rPr>
      </w:pPr>
    </w:p>
    <w:p>
      <w:pPr>
        <w:ind w:left="440"/>
        <w:spacing w:after="0"/>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or a smaller reporting company.</w:t>
      </w:r>
    </w:p>
    <w:p>
      <w:pPr>
        <w:spacing w:after="0" w:line="46" w:lineRule="exact"/>
        <w:rPr>
          <w:sz w:val="24"/>
          <w:szCs w:val="24"/>
          <w:color w:val="auto"/>
        </w:rPr>
      </w:pPr>
    </w:p>
    <w:p>
      <w:pPr>
        <w:spacing w:after="0"/>
        <w:rPr>
          <w:sz w:val="20"/>
          <w:szCs w:val="20"/>
          <w:color w:val="auto"/>
        </w:rPr>
      </w:pPr>
      <w:r>
        <w:rPr>
          <w:rFonts w:ascii="Arial" w:cs="Arial" w:eastAsia="Arial" w:hAnsi="Arial"/>
          <w:sz w:val="18"/>
          <w:szCs w:val="18"/>
          <w:color w:val="auto"/>
        </w:rPr>
        <w:t>See the definitions of “large accelerated filer,” “accelerated filer” and “smaller reporting company” in Rule 12b-2 of the Exchange Act.</w:t>
      </w:r>
    </w:p>
    <w:p>
      <w:pPr>
        <w:sectPr>
          <w:pgSz w:w="11900" w:h="16838" w:orient="portrait"/>
          <w:cols w:equalWidth="0" w:num="1">
            <w:col w:w="11420"/>
          </w:cols>
          <w:pgMar w:left="240" w:top="1233" w:right="239" w:bottom="167" w:gutter="0" w:footer="0" w:header="0"/>
        </w:sectPr>
      </w:pPr>
    </w:p>
    <w:p>
      <w:pPr>
        <w:spacing w:after="0" w:line="157" w:lineRule="exact"/>
        <w:rPr>
          <w:sz w:val="24"/>
          <w:szCs w:val="24"/>
          <w:color w:val="auto"/>
        </w:rPr>
      </w:pPr>
    </w:p>
    <w:p>
      <w:pPr>
        <w:ind w:left="1920"/>
        <w:spacing w:after="0"/>
        <w:rPr>
          <w:sz w:val="20"/>
          <w:szCs w:val="20"/>
          <w:color w:val="auto"/>
        </w:rPr>
      </w:pPr>
      <w:r>
        <w:rPr>
          <w:rFonts w:ascii="Arial" w:cs="Arial" w:eastAsia="Arial" w:hAnsi="Arial"/>
          <w:sz w:val="16"/>
          <w:szCs w:val="16"/>
          <w:color w:val="auto"/>
        </w:rPr>
        <w:t>Large accelerated filer</w:t>
      </w:r>
    </w:p>
    <w:p>
      <w:pPr>
        <w:spacing w:after="0" w:line="20" w:lineRule="exact"/>
        <w:rPr>
          <w:sz w:val="24"/>
          <w:szCs w:val="24"/>
          <w:color w:val="auto"/>
        </w:rPr>
      </w:pPr>
      <w:r>
        <w:rPr>
          <w:sz w:val="24"/>
          <w:szCs w:val="24"/>
          <w:color w:val="auto"/>
        </w:rPr>
        <w:br w:type="column"/>
      </w:r>
    </w:p>
    <w:p>
      <w:pPr>
        <w:spacing w:after="0" w:line="137" w:lineRule="exact"/>
        <w:rPr>
          <w:sz w:val="24"/>
          <w:szCs w:val="24"/>
          <w:color w:val="auto"/>
        </w:rPr>
      </w:pPr>
    </w:p>
    <w:p>
      <w:pPr>
        <w:spacing w:after="0"/>
        <w:rPr>
          <w:sz w:val="20"/>
          <w:szCs w:val="20"/>
          <w:color w:val="auto"/>
        </w:rPr>
      </w:pPr>
      <w:r>
        <w:rPr>
          <w:rFonts w:ascii="Arial" w:cs="Arial" w:eastAsia="Arial" w:hAnsi="Arial"/>
          <w:sz w:val="18"/>
          <w:szCs w:val="18"/>
          <w:color w:val="auto"/>
        </w:rPr>
        <w:t>x</w:t>
      </w:r>
    </w:p>
    <w:p>
      <w:pPr>
        <w:spacing w:after="0" w:line="20" w:lineRule="exact"/>
        <w:rPr>
          <w:sz w:val="24"/>
          <w:szCs w:val="24"/>
          <w:color w:val="auto"/>
        </w:rPr>
      </w:pPr>
      <w:r>
        <w:rPr>
          <w:sz w:val="24"/>
          <w:szCs w:val="24"/>
          <w:color w:val="auto"/>
        </w:rPr>
        <w:br w:type="column"/>
      </w:r>
    </w:p>
    <w:p>
      <w:pPr>
        <w:spacing w:after="0" w:line="137" w:lineRule="exact"/>
        <w:rPr>
          <w:sz w:val="24"/>
          <w:szCs w:val="24"/>
          <w:color w:val="auto"/>
        </w:rPr>
      </w:pPr>
    </w:p>
    <w:p>
      <w:pPr>
        <w:spacing w:after="0"/>
        <w:rPr>
          <w:sz w:val="20"/>
          <w:szCs w:val="20"/>
          <w:color w:val="auto"/>
        </w:rPr>
      </w:pPr>
      <w:r>
        <w:rPr>
          <w:rFonts w:ascii="Arial" w:cs="Arial" w:eastAsia="Arial" w:hAnsi="Arial"/>
          <w:sz w:val="16"/>
          <w:szCs w:val="16"/>
          <w:color w:val="auto"/>
        </w:rPr>
        <w:t>Accelerated filer</w:t>
      </w:r>
    </w:p>
    <w:p>
      <w:pPr>
        <w:spacing w:after="0" w:line="20" w:lineRule="exact"/>
        <w:rPr>
          <w:sz w:val="24"/>
          <w:szCs w:val="24"/>
          <w:color w:val="auto"/>
        </w:rPr>
      </w:pPr>
      <w:r>
        <w:rPr>
          <w:sz w:val="24"/>
          <w:szCs w:val="24"/>
          <w:color w:val="auto"/>
        </w:rPr>
        <w:br w:type="column"/>
      </w:r>
    </w:p>
    <w:p>
      <w:pPr>
        <w:spacing w:after="0" w:line="104" w:lineRule="exact"/>
        <w:rPr>
          <w:sz w:val="24"/>
          <w:szCs w:val="24"/>
          <w:color w:val="auto"/>
        </w:rPr>
      </w:pPr>
    </w:p>
    <w:p>
      <w:pPr>
        <w:spacing w:after="0" w:line="161" w:lineRule="exact"/>
        <w:rPr>
          <w:sz w:val="20"/>
          <w:szCs w:val="20"/>
          <w:color w:val="auto"/>
        </w:rPr>
      </w:pPr>
      <w:r>
        <w:rPr>
          <w:rFonts w:ascii="MS PGothic" w:cs="MS PGothic" w:eastAsia="MS PGothic" w:hAnsi="MS PGothic"/>
          <w:sz w:val="16"/>
          <w:szCs w:val="16"/>
          <w:color w:val="auto"/>
        </w:rPr>
        <w:t>☐</w:t>
      </w:r>
    </w:p>
    <w:p>
      <w:pPr>
        <w:spacing w:after="0" w:line="231" w:lineRule="exact"/>
        <w:rPr>
          <w:sz w:val="24"/>
          <w:szCs w:val="24"/>
          <w:color w:val="auto"/>
        </w:rPr>
      </w:pPr>
    </w:p>
    <w:p>
      <w:pPr>
        <w:sectPr>
          <w:pgSz w:w="11900" w:h="16838" w:orient="portrait"/>
          <w:cols w:equalWidth="0" w:num="4">
            <w:col w:w="3540" w:space="520"/>
            <w:col w:w="1600" w:space="720"/>
            <w:col w:w="2020" w:space="720"/>
            <w:col w:w="2300"/>
          </w:cols>
          <w:pgMar w:left="240" w:top="1233" w:right="239" w:bottom="167" w:gutter="0" w:footer="0" w:header="0"/>
          <w:type w:val="continuous"/>
        </w:sectPr>
      </w:pPr>
    </w:p>
    <w:p>
      <w:pPr>
        <w:spacing w:after="0" w:line="33" w:lineRule="exact"/>
        <w:rPr>
          <w:sz w:val="24"/>
          <w:szCs w:val="24"/>
          <w:color w:val="auto"/>
        </w:rPr>
      </w:pPr>
    </w:p>
    <w:p>
      <w:pPr>
        <w:ind w:left="1920"/>
        <w:spacing w:after="0"/>
        <w:rPr>
          <w:sz w:val="20"/>
          <w:szCs w:val="20"/>
          <w:color w:val="auto"/>
        </w:rPr>
      </w:pPr>
      <w:r>
        <w:rPr>
          <w:rFonts w:ascii="Arial" w:cs="Arial" w:eastAsia="Arial" w:hAnsi="Arial"/>
          <w:sz w:val="16"/>
          <w:szCs w:val="16"/>
          <w:color w:val="auto"/>
        </w:rPr>
        <w:t>Non-accelerated filer</w:t>
      </w:r>
    </w:p>
    <w:p>
      <w:pPr>
        <w:spacing w:after="0" w:line="20" w:lineRule="exact"/>
        <w:rPr>
          <w:sz w:val="24"/>
          <w:szCs w:val="24"/>
          <w:color w:val="auto"/>
        </w:rPr>
      </w:pPr>
      <w:r>
        <w:rPr>
          <w:sz w:val="24"/>
          <w:szCs w:val="24"/>
          <w:color w:val="auto"/>
        </w:rPr>
        <w:br w:type="column"/>
      </w:r>
    </w:p>
    <w:p>
      <w:pPr>
        <w:spacing w:after="0" w:line="141" w:lineRule="exact"/>
        <w:rPr>
          <w:sz w:val="20"/>
          <w:szCs w:val="20"/>
          <w:color w:val="auto"/>
        </w:rPr>
      </w:pP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br w:type="column"/>
      </w:r>
    </w:p>
    <w:p>
      <w:pPr>
        <w:spacing w:after="0" w:line="13" w:lineRule="exact"/>
        <w:rPr>
          <w:sz w:val="24"/>
          <w:szCs w:val="24"/>
          <w:color w:val="auto"/>
        </w:rPr>
      </w:pPr>
    </w:p>
    <w:p>
      <w:pPr>
        <w:spacing w:after="0"/>
        <w:rPr>
          <w:sz w:val="20"/>
          <w:szCs w:val="20"/>
          <w:color w:val="auto"/>
        </w:rPr>
      </w:pPr>
      <w:r>
        <w:rPr>
          <w:rFonts w:ascii="Arial" w:cs="Arial" w:eastAsia="Arial" w:hAnsi="Arial"/>
          <w:sz w:val="16"/>
          <w:szCs w:val="16"/>
          <w:color w:val="auto"/>
        </w:rPr>
        <w:t>Smaller reporting company</w:t>
      </w:r>
    </w:p>
    <w:p>
      <w:pPr>
        <w:spacing w:after="0" w:line="20" w:lineRule="exact"/>
        <w:rPr>
          <w:sz w:val="24"/>
          <w:szCs w:val="24"/>
          <w:color w:val="auto"/>
        </w:rPr>
      </w:pPr>
      <w:r>
        <w:rPr>
          <w:sz w:val="24"/>
          <w:szCs w:val="24"/>
          <w:color w:val="auto"/>
        </w:rPr>
        <w:br w:type="column"/>
      </w:r>
    </w:p>
    <w:p>
      <w:pPr>
        <w:spacing w:after="0" w:line="141" w:lineRule="exact"/>
        <w:rPr>
          <w:sz w:val="20"/>
          <w:szCs w:val="20"/>
          <w:color w:val="auto"/>
        </w:rPr>
      </w:pPr>
      <w:r>
        <w:rPr>
          <w:rFonts w:ascii="MS PGothic" w:cs="MS PGothic" w:eastAsia="MS PGothic" w:hAnsi="MS PGothic"/>
          <w:sz w:val="16"/>
          <w:szCs w:val="16"/>
          <w:color w:val="auto"/>
        </w:rPr>
        <w:t>☐</w:t>
      </w:r>
    </w:p>
    <w:p>
      <w:pPr>
        <w:spacing w:after="0" w:line="245" w:lineRule="exact"/>
        <w:rPr>
          <w:sz w:val="24"/>
          <w:szCs w:val="24"/>
          <w:color w:val="auto"/>
        </w:rPr>
      </w:pPr>
    </w:p>
    <w:p>
      <w:pPr>
        <w:sectPr>
          <w:pgSz w:w="11900" w:h="16838" w:orient="portrait"/>
          <w:cols w:equalWidth="0" w:num="4">
            <w:col w:w="3440" w:space="620"/>
            <w:col w:w="1600" w:space="720"/>
            <w:col w:w="2020" w:space="720"/>
            <w:col w:w="2300"/>
          </w:cols>
          <w:pgMar w:left="240" w:top="1233" w:right="239" w:bottom="167" w:gutter="0" w:footer="0" w:header="0"/>
          <w:type w:val="continuous"/>
        </w:sectPr>
      </w:pPr>
    </w:p>
    <w:p>
      <w:pPr>
        <w:ind w:left="440"/>
        <w:spacing w:after="0" w:line="196" w:lineRule="exact"/>
        <w:tabs>
          <w:tab w:leader="none" w:pos="8020" w:val="left"/>
        </w:tabs>
        <w:rPr>
          <w:sz w:val="20"/>
          <w:szCs w:val="20"/>
          <w:color w:val="auto"/>
        </w:rPr>
      </w:pPr>
      <w:r>
        <w:rPr>
          <w:rFonts w:ascii="Arial" w:cs="Arial" w:eastAsia="Arial" w:hAnsi="Arial"/>
          <w:sz w:val="17"/>
          <w:szCs w:val="17"/>
          <w:color w:val="auto"/>
        </w:rPr>
        <w:t>Indicate by check mark whether the registrant is a shell company (as defined in Rule 12b-2 of the Act).</w:t>
      </w:r>
      <w:r>
        <w:rPr>
          <w:sz w:val="20"/>
          <w:szCs w:val="20"/>
          <w:color w:val="auto"/>
        </w:rPr>
        <w:tab/>
      </w:r>
      <w:r>
        <w:rPr>
          <w:rFonts w:ascii="Arial" w:cs="Arial" w:eastAsia="Arial" w:hAnsi="Arial"/>
          <w:sz w:val="16"/>
          <w:szCs w:val="16"/>
          <w:color w:val="auto"/>
        </w:rPr>
        <w:t xml:space="preserve">Yes </w:t>
      </w: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br w:type="column"/>
      </w:r>
    </w:p>
    <w:p>
      <w:pPr>
        <w:spacing w:after="0" w:line="12" w:lineRule="exact"/>
        <w:rPr>
          <w:sz w:val="24"/>
          <w:szCs w:val="24"/>
          <w:color w:val="auto"/>
        </w:rPr>
      </w:pPr>
    </w:p>
    <w:p>
      <w:pPr>
        <w:spacing w:after="0"/>
        <w:rPr>
          <w:sz w:val="20"/>
          <w:szCs w:val="20"/>
          <w:color w:val="auto"/>
        </w:rPr>
      </w:pPr>
      <w:r>
        <w:rPr>
          <w:rFonts w:ascii="Arial" w:cs="Arial" w:eastAsia="Arial" w:hAnsi="Arial"/>
          <w:sz w:val="18"/>
          <w:szCs w:val="18"/>
          <w:color w:val="auto"/>
        </w:rPr>
        <w:t>No x</w:t>
      </w:r>
    </w:p>
    <w:p>
      <w:pPr>
        <w:sectPr>
          <w:pgSz w:w="11900" w:h="16838" w:orient="portrait"/>
          <w:cols w:equalWidth="0" w:num="2">
            <w:col w:w="8540" w:space="180"/>
            <w:col w:w="2700"/>
          </w:cols>
          <w:pgMar w:left="240" w:top="1233" w:right="239" w:bottom="167" w:gutter="0" w:footer="0" w:header="0"/>
          <w:type w:val="continuous"/>
        </w:sectPr>
      </w:pPr>
    </w:p>
    <w:bookmarkStart w:id="1" w:name="page2"/>
    <w:bookmarkEnd w:id="1"/>
    <w:p>
      <w:pPr>
        <w:ind w:right="20" w:firstLine="432"/>
        <w:spacing w:after="0" w:line="279" w:lineRule="auto"/>
        <w:rPr>
          <w:sz w:val="20"/>
          <w:szCs w:val="20"/>
          <w:color w:val="auto"/>
        </w:rPr>
      </w:pPr>
      <w:r>
        <w:rPr>
          <w:rFonts w:ascii="Arial" w:cs="Arial" w:eastAsia="Arial" w:hAnsi="Arial"/>
          <w:sz w:val="17"/>
          <w:szCs w:val="17"/>
          <w:color w:val="auto"/>
        </w:rPr>
        <w:t>The aggregate market value of common stock held by non-affiliates as of July 3, 2015 (the last business day of the registrant’s most recently completed second fiscal quarter), based on the last sale price of $53.50, as reported on the New York Stock Exchange on that date: $1,342 million. Solely for the purpose of this calculation, shares held by directors and officers and 10 percent shareholders of the registrant have been excluded. This exclusion should not be deemed a determination or an admission that these individuals are, in fact, affiliates of the registrant.</w:t>
      </w:r>
    </w:p>
    <w:p>
      <w:pPr>
        <w:spacing w:after="0" w:line="11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Shares of common stock outstanding as of March 1, 2016: 30,778,835</w:t>
      </w:r>
    </w:p>
    <w:p>
      <w:pPr>
        <w:spacing w:after="0" w:line="167" w:lineRule="exact"/>
        <w:rPr>
          <w:sz w:val="20"/>
          <w:szCs w:val="20"/>
          <w:color w:val="auto"/>
        </w:rPr>
      </w:pPr>
    </w:p>
    <w:p>
      <w:pPr>
        <w:ind w:left="3640"/>
        <w:spacing w:after="0"/>
        <w:rPr>
          <w:sz w:val="20"/>
          <w:szCs w:val="20"/>
          <w:color w:val="auto"/>
        </w:rPr>
      </w:pPr>
      <w:r>
        <w:rPr>
          <w:rFonts w:ascii="Arial" w:cs="Arial" w:eastAsia="Arial" w:hAnsi="Arial"/>
          <w:sz w:val="18"/>
          <w:szCs w:val="18"/>
          <w:b w:val="1"/>
          <w:bCs w:val="1"/>
          <w:color w:val="auto"/>
        </w:rPr>
        <w:t>DOCUMENTS INCORPORATED BY REFERENCE</w:t>
      </w:r>
    </w:p>
    <w:p>
      <w:pPr>
        <w:spacing w:after="0" w:line="17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Portions of the following document are specifically incorporated by reference into the indicated parts of this report:</w:t>
      </w:r>
    </w:p>
    <w:p>
      <w:pPr>
        <w:spacing w:after="0" w:line="200" w:lineRule="exact"/>
        <w:rPr>
          <w:sz w:val="20"/>
          <w:szCs w:val="20"/>
          <w:color w:val="auto"/>
        </w:rPr>
      </w:pP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700" w:type="dxa"/>
            <w:vAlign w:val="bottom"/>
            <w:gridSpan w:val="3"/>
          </w:tcPr>
          <w:p>
            <w:pPr>
              <w:ind w:left="40"/>
              <w:spacing w:after="0"/>
              <w:rPr>
                <w:sz w:val="20"/>
                <w:szCs w:val="20"/>
                <w:color w:val="auto"/>
              </w:rPr>
            </w:pPr>
            <w:r>
              <w:rPr>
                <w:rFonts w:ascii="Arial" w:cs="Arial" w:eastAsia="Arial" w:hAnsi="Arial"/>
                <w:sz w:val="14"/>
                <w:szCs w:val="14"/>
                <w:b w:val="1"/>
                <w:bCs w:val="1"/>
                <w:color w:val="auto"/>
              </w:rPr>
              <w:t>Document</w:t>
            </w:r>
          </w:p>
        </w:tc>
        <w:tc>
          <w:tcPr>
            <w:tcW w:w="5700" w:type="dxa"/>
            <w:vAlign w:val="bottom"/>
          </w:tcPr>
          <w:p>
            <w:pPr>
              <w:ind w:left="2720"/>
              <w:spacing w:after="0"/>
              <w:rPr>
                <w:sz w:val="20"/>
                <w:szCs w:val="20"/>
                <w:color w:val="auto"/>
              </w:rPr>
            </w:pPr>
            <w:r>
              <w:rPr>
                <w:rFonts w:ascii="Arial" w:cs="Arial" w:eastAsia="Arial" w:hAnsi="Arial"/>
                <w:sz w:val="14"/>
                <w:szCs w:val="14"/>
                <w:b w:val="1"/>
                <w:bCs w:val="1"/>
                <w:color w:val="auto"/>
              </w:rPr>
              <w:t>Part</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5040" w:type="dxa"/>
            <w:vAlign w:val="bottom"/>
          </w:tcPr>
          <w:p>
            <w:pPr>
              <w:spacing w:after="0" w:line="20" w:lineRule="exact"/>
              <w:rPr>
                <w:sz w:val="1"/>
                <w:szCs w:val="1"/>
                <w:color w:val="auto"/>
              </w:rPr>
            </w:pPr>
          </w:p>
        </w:tc>
        <w:tc>
          <w:tcPr>
            <w:tcW w:w="57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
        </w:trPr>
        <w:tc>
          <w:tcPr>
            <w:tcW w:w="5700" w:type="dxa"/>
            <w:vAlign w:val="bottom"/>
            <w:gridSpan w:val="3"/>
            <w:vMerge w:val="restart"/>
          </w:tcPr>
          <w:p>
            <w:pPr>
              <w:ind w:left="40"/>
              <w:spacing w:after="0"/>
              <w:rPr>
                <w:sz w:val="20"/>
                <w:szCs w:val="20"/>
                <w:color w:val="auto"/>
              </w:rPr>
            </w:pPr>
            <w:r>
              <w:rPr>
                <w:rFonts w:ascii="Arial" w:cs="Arial" w:eastAsia="Arial" w:hAnsi="Arial"/>
                <w:sz w:val="18"/>
                <w:szCs w:val="18"/>
                <w:color w:val="auto"/>
              </w:rPr>
              <w:t>Proxy Statement for the 2016 Annual Meeting of Stockholders</w:t>
            </w:r>
          </w:p>
        </w:tc>
        <w:tc>
          <w:tcPr>
            <w:tcW w:w="57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22"/>
        </w:trPr>
        <w:tc>
          <w:tcPr>
            <w:tcW w:w="5700" w:type="dxa"/>
            <w:vAlign w:val="bottom"/>
            <w:gridSpan w:val="3"/>
            <w:vMerge w:val="continue"/>
          </w:tcPr>
          <w:p>
            <w:pPr>
              <w:spacing w:after="0"/>
              <w:rPr>
                <w:sz w:val="19"/>
                <w:szCs w:val="19"/>
                <w:color w:val="auto"/>
              </w:rPr>
            </w:pPr>
          </w:p>
        </w:tc>
        <w:tc>
          <w:tcPr>
            <w:tcW w:w="5700" w:type="dxa"/>
            <w:vAlign w:val="bottom"/>
          </w:tcPr>
          <w:p>
            <w:pPr>
              <w:ind w:left="40"/>
              <w:spacing w:after="0"/>
              <w:rPr>
                <w:sz w:val="20"/>
                <w:szCs w:val="20"/>
                <w:color w:val="auto"/>
              </w:rPr>
            </w:pPr>
            <w:r>
              <w:rPr>
                <w:rFonts w:ascii="Arial" w:cs="Arial" w:eastAsia="Arial" w:hAnsi="Arial"/>
                <w:sz w:val="18"/>
                <w:szCs w:val="18"/>
                <w:color w:val="auto"/>
              </w:rPr>
              <w:t>Part III, Item 10</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040" w:type="dxa"/>
            <w:vAlign w:val="bottom"/>
          </w:tcPr>
          <w:p>
            <w:pPr>
              <w:spacing w:after="0"/>
              <w:rPr>
                <w:sz w:val="20"/>
                <w:szCs w:val="20"/>
                <w:color w:val="auto"/>
              </w:rPr>
            </w:pPr>
          </w:p>
        </w:tc>
        <w:tc>
          <w:tcPr>
            <w:tcW w:w="5700" w:type="dxa"/>
            <w:vAlign w:val="bottom"/>
          </w:tcPr>
          <w:p>
            <w:pPr>
              <w:ind w:left="40"/>
              <w:spacing w:after="0"/>
              <w:rPr>
                <w:sz w:val="20"/>
                <w:szCs w:val="20"/>
                <w:color w:val="auto"/>
              </w:rPr>
            </w:pPr>
            <w:r>
              <w:rPr>
                <w:rFonts w:ascii="Arial" w:cs="Arial" w:eastAsia="Arial" w:hAnsi="Arial"/>
                <w:sz w:val="18"/>
                <w:szCs w:val="18"/>
                <w:color w:val="auto"/>
              </w:rPr>
              <w:t>“Directors, Executive Officers and Corporate Governance”</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040" w:type="dxa"/>
            <w:vAlign w:val="bottom"/>
          </w:tcPr>
          <w:p>
            <w:pPr>
              <w:spacing w:after="0"/>
              <w:rPr>
                <w:sz w:val="24"/>
                <w:szCs w:val="24"/>
                <w:color w:val="auto"/>
              </w:rPr>
            </w:pPr>
          </w:p>
        </w:tc>
        <w:tc>
          <w:tcPr>
            <w:tcW w:w="5700" w:type="dxa"/>
            <w:vAlign w:val="bottom"/>
          </w:tcPr>
          <w:p>
            <w:pPr>
              <w:ind w:left="40"/>
              <w:spacing w:after="0"/>
              <w:rPr>
                <w:sz w:val="20"/>
                <w:szCs w:val="20"/>
                <w:color w:val="auto"/>
              </w:rPr>
            </w:pPr>
            <w:r>
              <w:rPr>
                <w:rFonts w:ascii="Arial" w:cs="Arial" w:eastAsia="Arial" w:hAnsi="Arial"/>
                <w:sz w:val="18"/>
                <w:szCs w:val="18"/>
                <w:color w:val="auto"/>
              </w:rPr>
              <w:t>Part III, Item 11</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040" w:type="dxa"/>
            <w:vAlign w:val="bottom"/>
          </w:tcPr>
          <w:p>
            <w:pPr>
              <w:spacing w:after="0"/>
              <w:rPr>
                <w:sz w:val="20"/>
                <w:szCs w:val="20"/>
                <w:color w:val="auto"/>
              </w:rPr>
            </w:pPr>
          </w:p>
        </w:tc>
        <w:tc>
          <w:tcPr>
            <w:tcW w:w="5700" w:type="dxa"/>
            <w:vAlign w:val="bottom"/>
          </w:tcPr>
          <w:p>
            <w:pPr>
              <w:ind w:left="40"/>
              <w:spacing w:after="0"/>
              <w:rPr>
                <w:sz w:val="20"/>
                <w:szCs w:val="20"/>
                <w:color w:val="auto"/>
              </w:rPr>
            </w:pPr>
            <w:r>
              <w:rPr>
                <w:rFonts w:ascii="Arial" w:cs="Arial" w:eastAsia="Arial" w:hAnsi="Arial"/>
                <w:sz w:val="18"/>
                <w:szCs w:val="18"/>
                <w:color w:val="auto"/>
              </w:rPr>
              <w:t>“Executive Compensation”</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040" w:type="dxa"/>
            <w:vAlign w:val="bottom"/>
          </w:tcPr>
          <w:p>
            <w:pPr>
              <w:spacing w:after="0"/>
              <w:rPr>
                <w:sz w:val="24"/>
                <w:szCs w:val="24"/>
                <w:color w:val="auto"/>
              </w:rPr>
            </w:pPr>
          </w:p>
        </w:tc>
        <w:tc>
          <w:tcPr>
            <w:tcW w:w="5700" w:type="dxa"/>
            <w:vAlign w:val="bottom"/>
          </w:tcPr>
          <w:p>
            <w:pPr>
              <w:ind w:left="40"/>
              <w:spacing w:after="0"/>
              <w:rPr>
                <w:sz w:val="20"/>
                <w:szCs w:val="20"/>
                <w:color w:val="auto"/>
              </w:rPr>
            </w:pPr>
            <w:r>
              <w:rPr>
                <w:rFonts w:ascii="Arial" w:cs="Arial" w:eastAsia="Arial" w:hAnsi="Arial"/>
                <w:sz w:val="18"/>
                <w:szCs w:val="18"/>
                <w:color w:val="auto"/>
              </w:rPr>
              <w:t>Part III, Item 12</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040" w:type="dxa"/>
            <w:vAlign w:val="bottom"/>
          </w:tcPr>
          <w:p>
            <w:pPr>
              <w:spacing w:after="0"/>
              <w:rPr>
                <w:sz w:val="18"/>
                <w:szCs w:val="18"/>
                <w:color w:val="auto"/>
              </w:rPr>
            </w:pPr>
          </w:p>
        </w:tc>
        <w:tc>
          <w:tcPr>
            <w:tcW w:w="5700" w:type="dxa"/>
            <w:vAlign w:val="bottom"/>
          </w:tcPr>
          <w:p>
            <w:pPr>
              <w:ind w:left="40"/>
              <w:spacing w:after="0"/>
              <w:rPr>
                <w:sz w:val="20"/>
                <w:szCs w:val="20"/>
                <w:color w:val="auto"/>
              </w:rPr>
            </w:pPr>
            <w:r>
              <w:rPr>
                <w:rFonts w:ascii="Arial" w:cs="Arial" w:eastAsia="Arial" w:hAnsi="Arial"/>
                <w:sz w:val="18"/>
                <w:szCs w:val="18"/>
                <w:color w:val="auto"/>
                <w:w w:val="98"/>
              </w:rPr>
              <w:t>“Security Ownership of Certain Beneficial Owners and Management and</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040" w:type="dxa"/>
            <w:vAlign w:val="bottom"/>
          </w:tcPr>
          <w:p>
            <w:pPr>
              <w:spacing w:after="0"/>
              <w:rPr>
                <w:sz w:val="20"/>
                <w:szCs w:val="20"/>
                <w:color w:val="auto"/>
              </w:rPr>
            </w:pPr>
          </w:p>
        </w:tc>
        <w:tc>
          <w:tcPr>
            <w:tcW w:w="5700" w:type="dxa"/>
            <w:vAlign w:val="bottom"/>
          </w:tcPr>
          <w:p>
            <w:pPr>
              <w:ind w:left="40"/>
              <w:spacing w:after="0"/>
              <w:rPr>
                <w:sz w:val="20"/>
                <w:szCs w:val="20"/>
                <w:color w:val="auto"/>
              </w:rPr>
            </w:pPr>
            <w:r>
              <w:rPr>
                <w:rFonts w:ascii="Arial" w:cs="Arial" w:eastAsia="Arial" w:hAnsi="Arial"/>
                <w:sz w:val="18"/>
                <w:szCs w:val="18"/>
                <w:color w:val="auto"/>
              </w:rPr>
              <w:t>Related Stockholder Matters”</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040" w:type="dxa"/>
            <w:vAlign w:val="bottom"/>
          </w:tcPr>
          <w:p>
            <w:pPr>
              <w:spacing w:after="0"/>
              <w:rPr>
                <w:sz w:val="24"/>
                <w:szCs w:val="24"/>
                <w:color w:val="auto"/>
              </w:rPr>
            </w:pPr>
          </w:p>
        </w:tc>
        <w:tc>
          <w:tcPr>
            <w:tcW w:w="5700" w:type="dxa"/>
            <w:vAlign w:val="bottom"/>
          </w:tcPr>
          <w:p>
            <w:pPr>
              <w:ind w:left="40"/>
              <w:spacing w:after="0"/>
              <w:rPr>
                <w:sz w:val="20"/>
                <w:szCs w:val="20"/>
                <w:color w:val="auto"/>
              </w:rPr>
            </w:pPr>
            <w:r>
              <w:rPr>
                <w:rFonts w:ascii="Arial" w:cs="Arial" w:eastAsia="Arial" w:hAnsi="Arial"/>
                <w:sz w:val="18"/>
                <w:szCs w:val="18"/>
                <w:color w:val="auto"/>
              </w:rPr>
              <w:t>Part III, Item 13</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040" w:type="dxa"/>
            <w:vAlign w:val="bottom"/>
          </w:tcPr>
          <w:p>
            <w:pPr>
              <w:spacing w:after="0"/>
              <w:rPr>
                <w:sz w:val="20"/>
                <w:szCs w:val="20"/>
                <w:color w:val="auto"/>
              </w:rPr>
            </w:pPr>
          </w:p>
        </w:tc>
        <w:tc>
          <w:tcPr>
            <w:tcW w:w="5700" w:type="dxa"/>
            <w:vAlign w:val="bottom"/>
          </w:tcPr>
          <w:p>
            <w:pPr>
              <w:ind w:left="40"/>
              <w:spacing w:after="0"/>
              <w:rPr>
                <w:sz w:val="20"/>
                <w:szCs w:val="20"/>
                <w:color w:val="auto"/>
              </w:rPr>
            </w:pPr>
            <w:r>
              <w:rPr>
                <w:rFonts w:ascii="Arial" w:cs="Arial" w:eastAsia="Arial" w:hAnsi="Arial"/>
                <w:sz w:val="18"/>
                <w:szCs w:val="18"/>
                <w:color w:val="auto"/>
                <w:w w:val="90"/>
              </w:rPr>
              <w:t>“Certain Relationships and Related Transactions, and Director Independence”</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040" w:type="dxa"/>
            <w:vAlign w:val="bottom"/>
          </w:tcPr>
          <w:p>
            <w:pPr>
              <w:spacing w:after="0"/>
              <w:rPr>
                <w:sz w:val="24"/>
                <w:szCs w:val="24"/>
                <w:color w:val="auto"/>
              </w:rPr>
            </w:pPr>
          </w:p>
        </w:tc>
        <w:tc>
          <w:tcPr>
            <w:tcW w:w="5700" w:type="dxa"/>
            <w:vAlign w:val="bottom"/>
          </w:tcPr>
          <w:p>
            <w:pPr>
              <w:ind w:left="40"/>
              <w:spacing w:after="0"/>
              <w:rPr>
                <w:sz w:val="20"/>
                <w:szCs w:val="20"/>
                <w:color w:val="auto"/>
              </w:rPr>
            </w:pPr>
            <w:r>
              <w:rPr>
                <w:rFonts w:ascii="Arial" w:cs="Arial" w:eastAsia="Arial" w:hAnsi="Arial"/>
                <w:sz w:val="18"/>
                <w:szCs w:val="18"/>
                <w:color w:val="auto"/>
              </w:rPr>
              <w:t>Part III, Item 14</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040" w:type="dxa"/>
            <w:vAlign w:val="bottom"/>
          </w:tcPr>
          <w:p>
            <w:pPr>
              <w:spacing w:after="0"/>
              <w:rPr>
                <w:sz w:val="20"/>
                <w:szCs w:val="20"/>
                <w:color w:val="auto"/>
              </w:rPr>
            </w:pPr>
          </w:p>
        </w:tc>
        <w:tc>
          <w:tcPr>
            <w:tcW w:w="5700" w:type="dxa"/>
            <w:vAlign w:val="bottom"/>
          </w:tcPr>
          <w:p>
            <w:pPr>
              <w:ind w:left="40"/>
              <w:spacing w:after="0"/>
              <w:rPr>
                <w:sz w:val="20"/>
                <w:szCs w:val="20"/>
                <w:color w:val="auto"/>
              </w:rPr>
            </w:pPr>
            <w:r>
              <w:rPr>
                <w:rFonts w:ascii="Arial" w:cs="Arial" w:eastAsia="Arial" w:hAnsi="Arial"/>
                <w:sz w:val="18"/>
                <w:szCs w:val="18"/>
                <w:color w:val="auto"/>
              </w:rPr>
              <w:t>“Principal Accountant Fees and Services”</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8"/>
        </w:trPr>
        <w:tc>
          <w:tcPr>
            <w:tcW w:w="4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5040" w:type="dxa"/>
            <w:vAlign w:val="bottom"/>
            <w:tcBorders>
              <w:bottom w:val="single" w:sz="8" w:color="auto"/>
            </w:tcBorders>
          </w:tcPr>
          <w:p>
            <w:pPr>
              <w:spacing w:after="0"/>
              <w:rPr>
                <w:sz w:val="24"/>
                <w:szCs w:val="24"/>
                <w:color w:val="auto"/>
              </w:rPr>
            </w:pPr>
          </w:p>
        </w:tc>
        <w:tc>
          <w:tcPr>
            <w:tcW w:w="57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40" w:type="dxa"/>
            <w:vAlign w:val="bottom"/>
            <w:tcBorders>
              <w:bottom w:val="single" w:sz="8" w:color="auto"/>
            </w:tcBorders>
          </w:tcPr>
          <w:p>
            <w:pPr>
              <w:spacing w:after="0"/>
              <w:rPr>
                <w:sz w:val="10"/>
                <w:szCs w:val="10"/>
                <w:color w:val="auto"/>
              </w:rPr>
            </w:pPr>
          </w:p>
        </w:tc>
        <w:tc>
          <w:tcPr>
            <w:tcW w:w="620" w:type="dxa"/>
            <w:vAlign w:val="bottom"/>
            <w:tcBorders>
              <w:bottom w:val="single" w:sz="8" w:color="auto"/>
            </w:tcBorders>
          </w:tcPr>
          <w:p>
            <w:pPr>
              <w:spacing w:after="0"/>
              <w:rPr>
                <w:sz w:val="10"/>
                <w:szCs w:val="10"/>
                <w:color w:val="auto"/>
              </w:rPr>
            </w:pPr>
          </w:p>
        </w:tc>
        <w:tc>
          <w:tcPr>
            <w:tcW w:w="5040" w:type="dxa"/>
            <w:vAlign w:val="bottom"/>
            <w:tcBorders>
              <w:bottom w:val="single" w:sz="8" w:color="auto"/>
            </w:tcBorders>
          </w:tcPr>
          <w:p>
            <w:pPr>
              <w:spacing w:after="0"/>
              <w:rPr>
                <w:sz w:val="10"/>
                <w:szCs w:val="10"/>
                <w:color w:val="auto"/>
              </w:rPr>
            </w:pPr>
          </w:p>
        </w:tc>
        <w:tc>
          <w:tcPr>
            <w:tcW w:w="5700" w:type="dxa"/>
            <w:vAlign w:val="bottom"/>
            <w:tcBorders>
              <w:bottom w:val="single" w:sz="8" w:color="auto"/>
            </w:tcBorders>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287" w:right="239" w:bottom="1440" w:gutter="0" w:footer="0" w:header="0"/>
        </w:sectPr>
      </w:pPr>
    </w:p>
    <w:bookmarkStart w:id="2" w:name="page3"/>
    <w:bookmarkEnd w:id="2"/>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5860" w:type="dxa"/>
            <w:vAlign w:val="bottom"/>
            <w:gridSpan w:val="14"/>
          </w:tcPr>
          <w:p>
            <w:pPr>
              <w:jc w:val="center"/>
              <w:ind w:right="3740"/>
              <w:spacing w:after="0"/>
              <w:rPr>
                <w:sz w:val="20"/>
                <w:szCs w:val="20"/>
                <w:color w:val="auto"/>
              </w:rPr>
            </w:pPr>
            <w:r>
              <w:rPr>
                <w:rFonts w:ascii="Arial" w:cs="Arial" w:eastAsia="Arial" w:hAnsi="Arial"/>
                <w:sz w:val="18"/>
                <w:szCs w:val="18"/>
                <w:b w:val="1"/>
                <w:bCs w:val="1"/>
                <w:color w:val="auto"/>
                <w:w w:val="98"/>
              </w:rPr>
              <w:t>TABLE OF CONTENTS</w:t>
            </w:r>
          </w:p>
        </w:tc>
        <w:tc>
          <w:tcPr>
            <w:tcW w:w="6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77"/>
        </w:trPr>
        <w:tc>
          <w:tcPr>
            <w:tcW w:w="10480" w:type="dxa"/>
            <w:vAlign w:val="bottom"/>
            <w:gridSpan w:val="31"/>
          </w:tcPr>
          <w:p>
            <w:pPr>
              <w:spacing w:after="0"/>
              <w:rPr>
                <w:sz w:val="20"/>
                <w:szCs w:val="20"/>
                <w:color w:val="auto"/>
              </w:rPr>
            </w:pPr>
            <w:r>
              <w:rPr>
                <w:rFonts w:ascii="Arial" w:cs="Arial" w:eastAsia="Arial" w:hAnsi="Arial"/>
                <w:sz w:val="14"/>
                <w:szCs w:val="14"/>
                <w:b w:val="1"/>
                <w:bCs w:val="1"/>
                <w:color w:val="auto"/>
              </w:rPr>
              <w:t>ITEM</w:t>
            </w:r>
          </w:p>
        </w:tc>
        <w:tc>
          <w:tcPr>
            <w:tcW w:w="900" w:type="dxa"/>
            <w:vAlign w:val="bottom"/>
            <w:gridSpan w:val="4"/>
          </w:tcPr>
          <w:p>
            <w:pPr>
              <w:jc w:val="center"/>
              <w:spacing w:after="0"/>
              <w:rPr>
                <w:sz w:val="20"/>
                <w:szCs w:val="20"/>
                <w:color w:val="auto"/>
              </w:rPr>
            </w:pPr>
            <w:r>
              <w:rPr>
                <w:rFonts w:ascii="Arial" w:cs="Arial" w:eastAsia="Arial" w:hAnsi="Arial"/>
                <w:sz w:val="14"/>
                <w:szCs w:val="14"/>
                <w:b w:val="1"/>
                <w:bCs w:val="1"/>
                <w:color w:val="auto"/>
                <w:w w:val="95"/>
              </w:rPr>
              <w:t>PAGE</w:t>
            </w:r>
          </w:p>
        </w:tc>
        <w:tc>
          <w:tcPr>
            <w:tcW w:w="0" w:type="dxa"/>
            <w:vAlign w:val="bottom"/>
          </w:tcPr>
          <w:p>
            <w:pPr>
              <w:spacing w:after="0"/>
              <w:rPr>
                <w:sz w:val="1"/>
                <w:szCs w:val="1"/>
                <w:color w:val="auto"/>
              </w:rPr>
            </w:pPr>
          </w:p>
        </w:tc>
      </w:tr>
      <w:tr>
        <w:trPr>
          <w:trHeight w:val="158"/>
        </w:trPr>
        <w:tc>
          <w:tcPr>
            <w:tcW w:w="10480" w:type="dxa"/>
            <w:vAlign w:val="bottom"/>
            <w:gridSpan w:val="31"/>
          </w:tcPr>
          <w:p>
            <w:pPr>
              <w:spacing w:after="0" w:line="158" w:lineRule="exact"/>
              <w:rPr>
                <w:sz w:val="20"/>
                <w:szCs w:val="20"/>
                <w:color w:val="auto"/>
              </w:rPr>
            </w:pPr>
            <w:r>
              <w:rPr>
                <w:rFonts w:ascii="Arial" w:cs="Arial" w:eastAsia="Arial" w:hAnsi="Arial"/>
                <w:sz w:val="14"/>
                <w:szCs w:val="14"/>
                <w:b w:val="1"/>
                <w:bCs w:val="1"/>
                <w:color w:val="auto"/>
              </w:rPr>
              <w:t>NUMBER</w:t>
            </w:r>
          </w:p>
        </w:tc>
        <w:tc>
          <w:tcPr>
            <w:tcW w:w="900" w:type="dxa"/>
            <w:vAlign w:val="bottom"/>
            <w:gridSpan w:val="4"/>
          </w:tcPr>
          <w:p>
            <w:pPr>
              <w:jc w:val="center"/>
              <w:ind w:right="20"/>
              <w:spacing w:after="0" w:line="158" w:lineRule="exact"/>
              <w:rPr>
                <w:sz w:val="20"/>
                <w:szCs w:val="20"/>
                <w:color w:val="auto"/>
              </w:rPr>
            </w:pPr>
            <w:r>
              <w:rPr>
                <w:rFonts w:ascii="Arial" w:cs="Arial" w:eastAsia="Arial" w:hAnsi="Arial"/>
                <w:sz w:val="14"/>
                <w:szCs w:val="14"/>
                <w:b w:val="1"/>
                <w:bCs w:val="1"/>
                <w:color w:val="auto"/>
              </w:rPr>
              <w:t>NUMBER</w:t>
            </w:r>
          </w:p>
        </w:tc>
        <w:tc>
          <w:tcPr>
            <w:tcW w:w="0" w:type="dxa"/>
            <w:vAlign w:val="bottom"/>
          </w:tcPr>
          <w:p>
            <w:pPr>
              <w:spacing w:after="0"/>
              <w:rPr>
                <w:sz w:val="1"/>
                <w:szCs w:val="1"/>
                <w:color w:val="auto"/>
              </w:rPr>
            </w:pPr>
          </w:p>
        </w:tc>
      </w:tr>
      <w:tr>
        <w:trPr>
          <w:trHeight w:val="21"/>
        </w:trPr>
        <w:tc>
          <w:tcPr>
            <w:tcW w:w="100" w:type="dxa"/>
            <w:vAlign w:val="bottom"/>
            <w:tcBorders>
              <w:top w:val="single" w:sz="8" w:color="auto"/>
            </w:tcBorders>
          </w:tcPr>
          <w:p>
            <w:pPr>
              <w:spacing w:after="0" w:line="20" w:lineRule="exact"/>
              <w:rPr>
                <w:sz w:val="1"/>
                <w:szCs w:val="1"/>
                <w:color w:val="auto"/>
              </w:rPr>
            </w:pPr>
          </w:p>
        </w:tc>
        <w:tc>
          <w:tcPr>
            <w:tcW w:w="240" w:type="dxa"/>
            <w:vAlign w:val="bottom"/>
            <w:tcBorders>
              <w:top w:val="single" w:sz="8" w:color="auto"/>
            </w:tcBorders>
          </w:tcPr>
          <w:p>
            <w:pPr>
              <w:spacing w:after="0" w:line="20" w:lineRule="exact"/>
              <w:rPr>
                <w:sz w:val="1"/>
                <w:szCs w:val="1"/>
                <w:color w:val="auto"/>
              </w:rPr>
            </w:pPr>
          </w:p>
        </w:tc>
        <w:tc>
          <w:tcPr>
            <w:tcW w:w="300" w:type="dxa"/>
            <w:vAlign w:val="bottom"/>
            <w:tcBorders>
              <w:top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600" w:type="dxa"/>
            <w:vAlign w:val="bottom"/>
            <w:vMerge w:val="restart"/>
          </w:tcPr>
          <w:p>
            <w:pPr>
              <w:jc w:val="center"/>
              <w:spacing w:after="0"/>
              <w:rPr>
                <w:rFonts w:ascii="Arial" w:cs="Arial" w:eastAsia="Arial" w:hAnsi="Arial"/>
                <w:sz w:val="18"/>
                <w:szCs w:val="18"/>
                <w:b w:val="1"/>
                <w:bCs w:val="1"/>
                <w:color w:val="0000FF"/>
              </w:rPr>
            </w:pPr>
            <w:hyperlink w:anchor="page3">
              <w:r>
                <w:rPr>
                  <w:rFonts w:ascii="Arial" w:cs="Arial" w:eastAsia="Arial" w:hAnsi="Arial"/>
                  <w:sz w:val="18"/>
                  <w:szCs w:val="18"/>
                  <w:b w:val="1"/>
                  <w:bCs w:val="1"/>
                  <w:color w:val="0000FF"/>
                </w:rPr>
                <w:t>PART I</w:t>
              </w:r>
            </w:hyperlink>
          </w:p>
        </w:tc>
        <w:tc>
          <w:tcPr>
            <w:tcW w:w="4960" w:type="dxa"/>
            <w:vAlign w:val="bottom"/>
            <w:gridSpan w:val="9"/>
            <w:vMerge w:val="restart"/>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1"/>
        </w:trPr>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vMerge w:val="continue"/>
          </w:tcPr>
          <w:p>
            <w:pPr>
              <w:spacing w:after="0"/>
              <w:rPr>
                <w:sz w:val="17"/>
                <w:szCs w:val="17"/>
                <w:color w:val="auto"/>
              </w:rPr>
            </w:pPr>
          </w:p>
        </w:tc>
        <w:tc>
          <w:tcPr>
            <w:tcW w:w="600" w:type="dxa"/>
            <w:vAlign w:val="bottom"/>
            <w:tcBorders>
              <w:bottom w:val="single" w:sz="8" w:color="0000FF"/>
            </w:tcBorders>
            <w:vMerge w:val="continue"/>
          </w:tcPr>
          <w:p>
            <w:pPr>
              <w:spacing w:after="0"/>
              <w:rPr>
                <w:sz w:val="17"/>
                <w:szCs w:val="17"/>
                <w:color w:val="auto"/>
              </w:rPr>
            </w:pPr>
          </w:p>
        </w:tc>
        <w:tc>
          <w:tcPr>
            <w:tcW w:w="4960" w:type="dxa"/>
            <w:vAlign w:val="bottom"/>
            <w:gridSpan w:val="9"/>
            <w:vMerge w:val="continue"/>
          </w:tcPr>
          <w:p>
            <w:pPr>
              <w:spacing w:after="0"/>
              <w:rPr>
                <w:sz w:val="17"/>
                <w:szCs w:val="17"/>
                <w:color w:val="auto"/>
              </w:rPr>
            </w:pPr>
          </w:p>
        </w:tc>
        <w:tc>
          <w:tcPr>
            <w:tcW w:w="6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0"/>
        </w:trPr>
        <w:tc>
          <w:tcPr>
            <w:tcW w:w="100" w:type="dxa"/>
            <w:vAlign w:val="bottom"/>
          </w:tcPr>
          <w:p>
            <w:pPr>
              <w:spacing w:after="0"/>
              <w:rPr>
                <w:rFonts w:ascii="Arial" w:cs="Arial" w:eastAsia="Arial" w:hAnsi="Arial"/>
                <w:sz w:val="18"/>
                <w:szCs w:val="18"/>
                <w:color w:val="0000FF"/>
                <w:w w:val="79"/>
              </w:rPr>
            </w:pPr>
            <w:hyperlink w:anchor="page4">
              <w:r>
                <w:rPr>
                  <w:rFonts w:ascii="Arial" w:cs="Arial" w:eastAsia="Arial" w:hAnsi="Arial"/>
                  <w:sz w:val="18"/>
                  <w:szCs w:val="18"/>
                  <w:color w:val="0000FF"/>
                  <w:w w:val="79"/>
                </w:rPr>
                <w:t>1</w:t>
              </w:r>
            </w:hyperlink>
          </w:p>
        </w:tc>
        <w:tc>
          <w:tcPr>
            <w:tcW w:w="680" w:type="dxa"/>
            <w:vAlign w:val="bottom"/>
            <w:gridSpan w:val="3"/>
          </w:tcPr>
          <w:p>
            <w:pPr>
              <w:ind w:left="40"/>
              <w:spacing w:after="0"/>
              <w:rPr>
                <w:rFonts w:ascii="Arial" w:cs="Arial" w:eastAsia="Arial" w:hAnsi="Arial"/>
                <w:sz w:val="18"/>
                <w:szCs w:val="18"/>
                <w:color w:val="0000FF"/>
                <w:w w:val="84"/>
              </w:rPr>
            </w:pPr>
            <w:hyperlink w:anchor="page4">
              <w:r>
                <w:rPr>
                  <w:rFonts w:ascii="Arial" w:cs="Arial" w:eastAsia="Arial" w:hAnsi="Arial"/>
                  <w:sz w:val="18"/>
                  <w:szCs w:val="18"/>
                  <w:color w:val="0000FF"/>
                  <w:w w:val="84"/>
                </w:rPr>
                <w:t>Business</w:t>
              </w:r>
            </w:hyperlink>
          </w:p>
        </w:tc>
        <w:tc>
          <w:tcPr>
            <w:tcW w:w="9700" w:type="dxa"/>
            <w:vAlign w:val="bottom"/>
            <w:gridSpan w:val="27"/>
          </w:tcPr>
          <w:p>
            <w:pPr>
              <w:spacing w:after="0"/>
              <w:rPr>
                <w:sz w:val="21"/>
                <w:szCs w:val="21"/>
                <w:color w:val="auto"/>
              </w:rPr>
            </w:pPr>
          </w:p>
        </w:tc>
        <w:tc>
          <w:tcPr>
            <w:tcW w:w="880" w:type="dxa"/>
            <w:vAlign w:val="bottom"/>
            <w:gridSpan w:val="3"/>
          </w:tcPr>
          <w:p>
            <w:pPr>
              <w:jc w:val="right"/>
              <w:ind w:right="60"/>
              <w:spacing w:after="0"/>
              <w:rPr>
                <w:rFonts w:ascii="Arial" w:cs="Arial" w:eastAsia="Arial" w:hAnsi="Arial"/>
                <w:sz w:val="18"/>
                <w:szCs w:val="18"/>
                <w:color w:val="0000FF"/>
              </w:rPr>
            </w:pPr>
            <w:hyperlink w:anchor="page4">
              <w:r>
                <w:rPr>
                  <w:rFonts w:ascii="Arial" w:cs="Arial" w:eastAsia="Arial" w:hAnsi="Arial"/>
                  <w:sz w:val="18"/>
                  <w:szCs w:val="18"/>
                  <w:color w:val="0000FF"/>
                </w:rPr>
                <w:t>3</w:t>
              </w:r>
            </w:hyperlink>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340" w:type="dxa"/>
            <w:vAlign w:val="bottom"/>
            <w:gridSpan w:val="2"/>
            <w:shd w:val="clear" w:color="auto" w:fill="0000FF"/>
          </w:tcPr>
          <w:p>
            <w:pPr>
              <w:spacing w:after="0" w:line="20" w:lineRule="exact"/>
              <w:rPr>
                <w:sz w:val="1"/>
                <w:szCs w:val="1"/>
                <w:color w:val="auto"/>
              </w:rPr>
            </w:pPr>
          </w:p>
        </w:tc>
        <w:tc>
          <w:tcPr>
            <w:tcW w:w="440" w:type="dxa"/>
            <w:vAlign w:val="bottom"/>
            <w:gridSpan w:val="2"/>
            <w:shd w:val="clear" w:color="auto" w:fill="0000FF"/>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4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72"/>
        </w:trPr>
        <w:tc>
          <w:tcPr>
            <w:tcW w:w="10480" w:type="dxa"/>
            <w:vAlign w:val="bottom"/>
            <w:gridSpan w:val="31"/>
          </w:tcPr>
          <w:p>
            <w:pPr>
              <w:spacing w:after="0"/>
              <w:rPr>
                <w:rFonts w:ascii="Arial" w:cs="Arial" w:eastAsia="Arial" w:hAnsi="Arial"/>
                <w:sz w:val="18"/>
                <w:szCs w:val="18"/>
                <w:color w:val="0000FF"/>
              </w:rPr>
            </w:pPr>
            <w:hyperlink w:anchor="page23">
              <w:r>
                <w:rPr>
                  <w:rFonts w:ascii="Arial" w:cs="Arial" w:eastAsia="Arial" w:hAnsi="Arial"/>
                  <w:sz w:val="18"/>
                  <w:szCs w:val="18"/>
                  <w:color w:val="0000FF"/>
                </w:rPr>
                <w:t>1A Risk Factors</w:t>
              </w:r>
            </w:hyperlink>
          </w:p>
        </w:tc>
        <w:tc>
          <w:tcPr>
            <w:tcW w:w="900" w:type="dxa"/>
            <w:vAlign w:val="bottom"/>
            <w:gridSpan w:val="4"/>
          </w:tcPr>
          <w:p>
            <w:pPr>
              <w:jc w:val="right"/>
              <w:ind w:right="20"/>
              <w:spacing w:after="0"/>
              <w:rPr>
                <w:rFonts w:ascii="Arial" w:cs="Arial" w:eastAsia="Arial" w:hAnsi="Arial"/>
                <w:sz w:val="18"/>
                <w:szCs w:val="18"/>
                <w:color w:val="0000FF"/>
              </w:rPr>
            </w:pPr>
            <w:hyperlink w:anchor="page23">
              <w:r>
                <w:rPr>
                  <w:rFonts w:ascii="Arial" w:cs="Arial" w:eastAsia="Arial" w:hAnsi="Arial"/>
                  <w:sz w:val="18"/>
                  <w:szCs w:val="18"/>
                  <w:color w:val="0000FF"/>
                </w:rPr>
                <w:t>22</w:t>
              </w:r>
            </w:hyperlink>
          </w:p>
        </w:tc>
        <w:tc>
          <w:tcPr>
            <w:tcW w:w="0" w:type="dxa"/>
            <w:vAlign w:val="bottom"/>
          </w:tcPr>
          <w:p>
            <w:pPr>
              <w:spacing w:after="0"/>
              <w:rPr>
                <w:sz w:val="1"/>
                <w:szCs w:val="1"/>
                <w:color w:val="auto"/>
              </w:rPr>
            </w:pPr>
          </w:p>
        </w:tc>
      </w:tr>
      <w:tr>
        <w:trPr>
          <w:trHeight w:val="20"/>
        </w:trPr>
        <w:tc>
          <w:tcPr>
            <w:tcW w:w="340" w:type="dxa"/>
            <w:vAlign w:val="bottom"/>
            <w:gridSpan w:val="2"/>
            <w:shd w:val="clear" w:color="auto" w:fill="0000FF"/>
          </w:tcPr>
          <w:p>
            <w:pPr>
              <w:spacing w:after="0" w:line="20" w:lineRule="exact"/>
              <w:rPr>
                <w:sz w:val="1"/>
                <w:szCs w:val="1"/>
                <w:color w:val="auto"/>
              </w:rPr>
            </w:pPr>
          </w:p>
        </w:tc>
        <w:tc>
          <w:tcPr>
            <w:tcW w:w="520" w:type="dxa"/>
            <w:vAlign w:val="bottom"/>
            <w:gridSpan w:val="3"/>
            <w:shd w:val="clear" w:color="auto" w:fill="0000FF"/>
          </w:tcPr>
          <w:p>
            <w:pPr>
              <w:spacing w:after="0" w:line="20" w:lineRule="exact"/>
              <w:rPr>
                <w:sz w:val="1"/>
                <w:szCs w:val="1"/>
                <w:color w:val="auto"/>
              </w:rPr>
            </w:pPr>
          </w:p>
        </w:tc>
        <w:tc>
          <w:tcPr>
            <w:tcW w:w="300" w:type="dxa"/>
            <w:vAlign w:val="bottom"/>
            <w:tcBorders>
              <w:right w:val="single" w:sz="8" w:color="0000FF"/>
            </w:tcBorders>
            <w:shd w:val="clear" w:color="auto" w:fill="0000FF"/>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4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40" w:type="dxa"/>
            <w:vAlign w:val="bottom"/>
            <w:tcBorders>
              <w:right w:val="single" w:sz="8" w:color="0000FF"/>
            </w:tcBorders>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72"/>
        </w:trPr>
        <w:tc>
          <w:tcPr>
            <w:tcW w:w="2300" w:type="dxa"/>
            <w:vAlign w:val="bottom"/>
            <w:gridSpan w:val="12"/>
          </w:tcPr>
          <w:p>
            <w:pPr>
              <w:spacing w:after="0"/>
              <w:rPr>
                <w:rFonts w:ascii="Arial" w:cs="Arial" w:eastAsia="Arial" w:hAnsi="Arial"/>
                <w:sz w:val="18"/>
                <w:szCs w:val="18"/>
                <w:color w:val="0000FF"/>
                <w:w w:val="90"/>
              </w:rPr>
            </w:pPr>
            <w:hyperlink w:anchor="page31">
              <w:r>
                <w:rPr>
                  <w:rFonts w:ascii="Arial" w:cs="Arial" w:eastAsia="Arial" w:hAnsi="Arial"/>
                  <w:sz w:val="18"/>
                  <w:szCs w:val="18"/>
                  <w:color w:val="0000FF"/>
                  <w:w w:val="90"/>
                </w:rPr>
                <w:t>1B Unresolved Staff Comments</w:t>
              </w:r>
            </w:hyperlink>
          </w:p>
        </w:tc>
        <w:tc>
          <w:tcPr>
            <w:tcW w:w="8180" w:type="dxa"/>
            <w:vAlign w:val="bottom"/>
            <w:gridSpan w:val="19"/>
          </w:tcPr>
          <w:p>
            <w:pPr>
              <w:spacing w:after="0"/>
              <w:rPr>
                <w:sz w:val="24"/>
                <w:szCs w:val="24"/>
                <w:color w:val="auto"/>
              </w:rPr>
            </w:pPr>
          </w:p>
        </w:tc>
        <w:tc>
          <w:tcPr>
            <w:tcW w:w="900" w:type="dxa"/>
            <w:vAlign w:val="bottom"/>
            <w:gridSpan w:val="4"/>
          </w:tcPr>
          <w:p>
            <w:pPr>
              <w:jc w:val="right"/>
              <w:ind w:right="20"/>
              <w:spacing w:after="0"/>
              <w:rPr>
                <w:rFonts w:ascii="Arial" w:cs="Arial" w:eastAsia="Arial" w:hAnsi="Arial"/>
                <w:sz w:val="18"/>
                <w:szCs w:val="18"/>
                <w:color w:val="0000FF"/>
              </w:rPr>
            </w:pPr>
            <w:hyperlink w:anchor="page31">
              <w:r>
                <w:rPr>
                  <w:rFonts w:ascii="Arial" w:cs="Arial" w:eastAsia="Arial" w:hAnsi="Arial"/>
                  <w:sz w:val="18"/>
                  <w:szCs w:val="18"/>
                  <w:color w:val="0000FF"/>
                </w:rPr>
                <w:t>31</w:t>
              </w:r>
            </w:hyperlink>
          </w:p>
        </w:tc>
        <w:tc>
          <w:tcPr>
            <w:tcW w:w="0" w:type="dxa"/>
            <w:vAlign w:val="bottom"/>
          </w:tcPr>
          <w:p>
            <w:pPr>
              <w:spacing w:after="0"/>
              <w:rPr>
                <w:sz w:val="1"/>
                <w:szCs w:val="1"/>
                <w:color w:val="auto"/>
              </w:rPr>
            </w:pPr>
          </w:p>
        </w:tc>
      </w:tr>
      <w:tr>
        <w:trPr>
          <w:trHeight w:val="20"/>
        </w:trPr>
        <w:tc>
          <w:tcPr>
            <w:tcW w:w="10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520" w:type="dxa"/>
            <w:vAlign w:val="bottom"/>
            <w:gridSpan w:val="3"/>
            <w:shd w:val="clear" w:color="auto" w:fill="0000FF"/>
          </w:tcPr>
          <w:p>
            <w:pPr>
              <w:spacing w:after="0" w:line="20" w:lineRule="exact"/>
              <w:rPr>
                <w:sz w:val="1"/>
                <w:szCs w:val="1"/>
                <w:color w:val="auto"/>
              </w:rPr>
            </w:pPr>
          </w:p>
        </w:tc>
        <w:tc>
          <w:tcPr>
            <w:tcW w:w="300" w:type="dxa"/>
            <w:vAlign w:val="bottom"/>
            <w:tcBorders>
              <w:right w:val="single" w:sz="8" w:color="0000FF"/>
            </w:tcBorders>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8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280" w:type="dxa"/>
            <w:vAlign w:val="bottom"/>
            <w:shd w:val="clear" w:color="auto" w:fill="0000FF"/>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4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40" w:type="dxa"/>
            <w:vAlign w:val="bottom"/>
            <w:tcBorders>
              <w:right w:val="single" w:sz="8" w:color="0000FF"/>
            </w:tcBorders>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72"/>
        </w:trPr>
        <w:tc>
          <w:tcPr>
            <w:tcW w:w="100" w:type="dxa"/>
            <w:vAlign w:val="bottom"/>
          </w:tcPr>
          <w:p>
            <w:pPr>
              <w:spacing w:after="0"/>
              <w:rPr>
                <w:rFonts w:ascii="Arial" w:cs="Arial" w:eastAsia="Arial" w:hAnsi="Arial"/>
                <w:sz w:val="18"/>
                <w:szCs w:val="18"/>
                <w:color w:val="0000FF"/>
                <w:w w:val="79"/>
              </w:rPr>
            </w:pPr>
            <w:hyperlink w:anchor="page32">
              <w:r>
                <w:rPr>
                  <w:rFonts w:ascii="Arial" w:cs="Arial" w:eastAsia="Arial" w:hAnsi="Arial"/>
                  <w:sz w:val="18"/>
                  <w:szCs w:val="18"/>
                  <w:color w:val="0000FF"/>
                  <w:w w:val="79"/>
                </w:rPr>
                <w:t>2</w:t>
              </w:r>
            </w:hyperlink>
          </w:p>
        </w:tc>
        <w:tc>
          <w:tcPr>
            <w:tcW w:w="760" w:type="dxa"/>
            <w:vAlign w:val="bottom"/>
            <w:gridSpan w:val="4"/>
          </w:tcPr>
          <w:p>
            <w:pPr>
              <w:ind w:left="40"/>
              <w:spacing w:after="0"/>
              <w:rPr>
                <w:rFonts w:ascii="Arial" w:cs="Arial" w:eastAsia="Arial" w:hAnsi="Arial"/>
                <w:sz w:val="18"/>
                <w:szCs w:val="18"/>
                <w:color w:val="0000FF"/>
                <w:w w:val="85"/>
              </w:rPr>
            </w:pPr>
            <w:hyperlink w:anchor="page32">
              <w:r>
                <w:rPr>
                  <w:rFonts w:ascii="Arial" w:cs="Arial" w:eastAsia="Arial" w:hAnsi="Arial"/>
                  <w:sz w:val="18"/>
                  <w:szCs w:val="18"/>
                  <w:color w:val="0000FF"/>
                  <w:w w:val="85"/>
                </w:rPr>
                <w:t>Properties</w:t>
              </w:r>
            </w:hyperlink>
          </w:p>
        </w:tc>
        <w:tc>
          <w:tcPr>
            <w:tcW w:w="1440" w:type="dxa"/>
            <w:vAlign w:val="bottom"/>
            <w:gridSpan w:val="7"/>
          </w:tcPr>
          <w:p>
            <w:pPr>
              <w:spacing w:after="0"/>
              <w:rPr>
                <w:sz w:val="24"/>
                <w:szCs w:val="24"/>
                <w:color w:val="auto"/>
              </w:rPr>
            </w:pPr>
          </w:p>
        </w:tc>
        <w:tc>
          <w:tcPr>
            <w:tcW w:w="8180" w:type="dxa"/>
            <w:vAlign w:val="bottom"/>
            <w:gridSpan w:val="19"/>
          </w:tcPr>
          <w:p>
            <w:pPr>
              <w:spacing w:after="0"/>
              <w:rPr>
                <w:sz w:val="24"/>
                <w:szCs w:val="24"/>
                <w:color w:val="auto"/>
              </w:rPr>
            </w:pPr>
          </w:p>
        </w:tc>
        <w:tc>
          <w:tcPr>
            <w:tcW w:w="900" w:type="dxa"/>
            <w:vAlign w:val="bottom"/>
            <w:gridSpan w:val="4"/>
          </w:tcPr>
          <w:p>
            <w:pPr>
              <w:jc w:val="right"/>
              <w:ind w:right="20"/>
              <w:spacing w:after="0"/>
              <w:rPr>
                <w:rFonts w:ascii="Arial" w:cs="Arial" w:eastAsia="Arial" w:hAnsi="Arial"/>
                <w:sz w:val="18"/>
                <w:szCs w:val="18"/>
                <w:color w:val="0000FF"/>
              </w:rPr>
            </w:pPr>
            <w:hyperlink w:anchor="page32">
              <w:r>
                <w:rPr>
                  <w:rFonts w:ascii="Arial" w:cs="Arial" w:eastAsia="Arial" w:hAnsi="Arial"/>
                  <w:sz w:val="18"/>
                  <w:szCs w:val="18"/>
                  <w:color w:val="0000FF"/>
                </w:rPr>
                <w:t>31</w:t>
              </w:r>
            </w:hyperlink>
          </w:p>
        </w:tc>
        <w:tc>
          <w:tcPr>
            <w:tcW w:w="0" w:type="dxa"/>
            <w:vAlign w:val="bottom"/>
          </w:tcPr>
          <w:p>
            <w:pPr>
              <w:spacing w:after="0"/>
              <w:rPr>
                <w:sz w:val="1"/>
                <w:szCs w:val="1"/>
                <w:color w:val="auto"/>
              </w:rPr>
            </w:pPr>
          </w:p>
        </w:tc>
      </w:tr>
      <w:tr>
        <w:trPr>
          <w:trHeight w:val="20"/>
        </w:trPr>
        <w:tc>
          <w:tcPr>
            <w:tcW w:w="10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520" w:type="dxa"/>
            <w:vAlign w:val="bottom"/>
            <w:gridSpan w:val="3"/>
            <w:shd w:val="clear" w:color="auto" w:fill="0000FF"/>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6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4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40" w:type="dxa"/>
            <w:vAlign w:val="bottom"/>
            <w:tcBorders>
              <w:right w:val="single" w:sz="8" w:color="0000FF"/>
            </w:tcBorders>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72"/>
        </w:trPr>
        <w:tc>
          <w:tcPr>
            <w:tcW w:w="100" w:type="dxa"/>
            <w:vAlign w:val="bottom"/>
          </w:tcPr>
          <w:p>
            <w:pPr>
              <w:spacing w:after="0"/>
              <w:rPr>
                <w:rFonts w:ascii="Arial" w:cs="Arial" w:eastAsia="Arial" w:hAnsi="Arial"/>
                <w:sz w:val="18"/>
                <w:szCs w:val="18"/>
                <w:color w:val="0000FF"/>
                <w:w w:val="79"/>
              </w:rPr>
            </w:pPr>
            <w:hyperlink w:anchor="page32">
              <w:r>
                <w:rPr>
                  <w:rFonts w:ascii="Arial" w:cs="Arial" w:eastAsia="Arial" w:hAnsi="Arial"/>
                  <w:sz w:val="18"/>
                  <w:szCs w:val="18"/>
                  <w:color w:val="0000FF"/>
                  <w:w w:val="79"/>
                </w:rPr>
                <w:t>3</w:t>
              </w:r>
            </w:hyperlink>
          </w:p>
        </w:tc>
        <w:tc>
          <w:tcPr>
            <w:tcW w:w="10380" w:type="dxa"/>
            <w:vAlign w:val="bottom"/>
            <w:gridSpan w:val="30"/>
          </w:tcPr>
          <w:p>
            <w:pPr>
              <w:ind w:left="40"/>
              <w:spacing w:after="0"/>
              <w:rPr>
                <w:rFonts w:ascii="Arial" w:cs="Arial" w:eastAsia="Arial" w:hAnsi="Arial"/>
                <w:sz w:val="18"/>
                <w:szCs w:val="18"/>
                <w:color w:val="0000FF"/>
              </w:rPr>
            </w:pPr>
            <w:hyperlink w:anchor="page32">
              <w:r>
                <w:rPr>
                  <w:rFonts w:ascii="Arial" w:cs="Arial" w:eastAsia="Arial" w:hAnsi="Arial"/>
                  <w:sz w:val="18"/>
                  <w:szCs w:val="18"/>
                  <w:color w:val="0000FF"/>
                </w:rPr>
                <w:t>Legal Proceedings</w:t>
              </w:r>
            </w:hyperlink>
          </w:p>
        </w:tc>
        <w:tc>
          <w:tcPr>
            <w:tcW w:w="900" w:type="dxa"/>
            <w:vAlign w:val="bottom"/>
            <w:gridSpan w:val="4"/>
          </w:tcPr>
          <w:p>
            <w:pPr>
              <w:jc w:val="right"/>
              <w:ind w:right="20"/>
              <w:spacing w:after="0"/>
              <w:rPr>
                <w:rFonts w:ascii="Arial" w:cs="Arial" w:eastAsia="Arial" w:hAnsi="Arial"/>
                <w:sz w:val="18"/>
                <w:szCs w:val="18"/>
                <w:color w:val="0000FF"/>
              </w:rPr>
            </w:pPr>
            <w:hyperlink w:anchor="page32">
              <w:r>
                <w:rPr>
                  <w:rFonts w:ascii="Arial" w:cs="Arial" w:eastAsia="Arial" w:hAnsi="Arial"/>
                  <w:sz w:val="18"/>
                  <w:szCs w:val="18"/>
                  <w:color w:val="0000FF"/>
                </w:rPr>
                <w:t>31</w:t>
              </w:r>
            </w:hyperlink>
          </w:p>
        </w:tc>
        <w:tc>
          <w:tcPr>
            <w:tcW w:w="0" w:type="dxa"/>
            <w:vAlign w:val="bottom"/>
          </w:tcPr>
          <w:p>
            <w:pPr>
              <w:spacing w:after="0"/>
              <w:rPr>
                <w:sz w:val="1"/>
                <w:szCs w:val="1"/>
                <w:color w:val="auto"/>
              </w:rPr>
            </w:pPr>
          </w:p>
        </w:tc>
      </w:tr>
      <w:tr>
        <w:trPr>
          <w:trHeight w:val="20"/>
        </w:trPr>
        <w:tc>
          <w:tcPr>
            <w:tcW w:w="10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820" w:type="dxa"/>
            <w:vAlign w:val="bottom"/>
            <w:tcBorders>
              <w:right w:val="single" w:sz="8" w:color="0000FF"/>
            </w:tcBorders>
            <w:gridSpan w:val="4"/>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6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4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40" w:type="dxa"/>
            <w:vAlign w:val="bottom"/>
            <w:tcBorders>
              <w:right w:val="single" w:sz="8" w:color="0000FF"/>
            </w:tcBorders>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72"/>
        </w:trPr>
        <w:tc>
          <w:tcPr>
            <w:tcW w:w="100" w:type="dxa"/>
            <w:vAlign w:val="bottom"/>
          </w:tcPr>
          <w:p>
            <w:pPr>
              <w:spacing w:after="0"/>
              <w:rPr>
                <w:rFonts w:ascii="Arial" w:cs="Arial" w:eastAsia="Arial" w:hAnsi="Arial"/>
                <w:sz w:val="18"/>
                <w:szCs w:val="18"/>
                <w:color w:val="0000FF"/>
                <w:w w:val="79"/>
              </w:rPr>
            </w:pPr>
            <w:hyperlink w:anchor="page32">
              <w:r>
                <w:rPr>
                  <w:rFonts w:ascii="Arial" w:cs="Arial" w:eastAsia="Arial" w:hAnsi="Arial"/>
                  <w:sz w:val="18"/>
                  <w:szCs w:val="18"/>
                  <w:color w:val="0000FF"/>
                  <w:w w:val="79"/>
                </w:rPr>
                <w:t>4</w:t>
              </w:r>
            </w:hyperlink>
          </w:p>
        </w:tc>
        <w:tc>
          <w:tcPr>
            <w:tcW w:w="10380" w:type="dxa"/>
            <w:vAlign w:val="bottom"/>
            <w:gridSpan w:val="30"/>
          </w:tcPr>
          <w:p>
            <w:pPr>
              <w:ind w:left="40"/>
              <w:spacing w:after="0"/>
              <w:rPr>
                <w:rFonts w:ascii="Arial" w:cs="Arial" w:eastAsia="Arial" w:hAnsi="Arial"/>
                <w:sz w:val="18"/>
                <w:szCs w:val="18"/>
                <w:color w:val="0000FF"/>
              </w:rPr>
            </w:pPr>
            <w:hyperlink w:anchor="page32">
              <w:r>
                <w:rPr>
                  <w:rFonts w:ascii="Arial" w:cs="Arial" w:eastAsia="Arial" w:hAnsi="Arial"/>
                  <w:sz w:val="18"/>
                  <w:szCs w:val="18"/>
                  <w:color w:val="0000FF"/>
                </w:rPr>
                <w:t>Mine Safety Disclosures</w:t>
              </w:r>
            </w:hyperlink>
          </w:p>
        </w:tc>
        <w:tc>
          <w:tcPr>
            <w:tcW w:w="900" w:type="dxa"/>
            <w:vAlign w:val="bottom"/>
            <w:gridSpan w:val="4"/>
          </w:tcPr>
          <w:p>
            <w:pPr>
              <w:jc w:val="right"/>
              <w:ind w:right="20"/>
              <w:spacing w:after="0"/>
              <w:rPr>
                <w:rFonts w:ascii="Arial" w:cs="Arial" w:eastAsia="Arial" w:hAnsi="Arial"/>
                <w:sz w:val="18"/>
                <w:szCs w:val="18"/>
                <w:color w:val="0000FF"/>
              </w:rPr>
            </w:pPr>
            <w:hyperlink w:anchor="page32">
              <w:r>
                <w:rPr>
                  <w:rFonts w:ascii="Arial" w:cs="Arial" w:eastAsia="Arial" w:hAnsi="Arial"/>
                  <w:sz w:val="18"/>
                  <w:szCs w:val="18"/>
                  <w:color w:val="0000FF"/>
                </w:rPr>
                <w:t>31</w:t>
              </w:r>
            </w:hyperlink>
          </w:p>
        </w:tc>
        <w:tc>
          <w:tcPr>
            <w:tcW w:w="0" w:type="dxa"/>
            <w:vAlign w:val="bottom"/>
          </w:tcPr>
          <w:p>
            <w:pPr>
              <w:spacing w:after="0"/>
              <w:rPr>
                <w:sz w:val="1"/>
                <w:szCs w:val="1"/>
                <w:color w:val="auto"/>
              </w:rPr>
            </w:pPr>
          </w:p>
        </w:tc>
      </w:tr>
      <w:tr>
        <w:trPr>
          <w:trHeight w:val="250"/>
        </w:trPr>
        <w:tc>
          <w:tcPr>
            <w:tcW w:w="100" w:type="dxa"/>
            <w:vAlign w:val="bottom"/>
            <w:tcBorders>
              <w:top w:val="single" w:sz="8" w:color="0000FF"/>
            </w:tcBorders>
          </w:tcPr>
          <w:p>
            <w:pPr>
              <w:spacing w:after="0"/>
              <w:rPr>
                <w:sz w:val="21"/>
                <w:szCs w:val="21"/>
                <w:color w:val="auto"/>
              </w:rPr>
            </w:pPr>
          </w:p>
        </w:tc>
        <w:tc>
          <w:tcPr>
            <w:tcW w:w="240" w:type="dxa"/>
            <w:vAlign w:val="bottom"/>
            <w:tcBorders>
              <w:top w:val="single" w:sz="8" w:color="0000FF"/>
            </w:tcBorders>
          </w:tcPr>
          <w:p>
            <w:pPr>
              <w:spacing w:after="0"/>
              <w:rPr>
                <w:sz w:val="21"/>
                <w:szCs w:val="21"/>
                <w:color w:val="auto"/>
              </w:rPr>
            </w:pPr>
          </w:p>
        </w:tc>
        <w:tc>
          <w:tcPr>
            <w:tcW w:w="300" w:type="dxa"/>
            <w:vAlign w:val="bottom"/>
            <w:tcBorders>
              <w:top w:val="single" w:sz="8" w:color="0000FF"/>
            </w:tcBorders>
          </w:tcPr>
          <w:p>
            <w:pPr>
              <w:spacing w:after="0"/>
              <w:rPr>
                <w:sz w:val="21"/>
                <w:szCs w:val="21"/>
                <w:color w:val="auto"/>
              </w:rPr>
            </w:pPr>
          </w:p>
        </w:tc>
        <w:tc>
          <w:tcPr>
            <w:tcW w:w="140" w:type="dxa"/>
            <w:vAlign w:val="bottom"/>
            <w:tcBorders>
              <w:top w:val="single" w:sz="8" w:color="0000FF"/>
            </w:tcBorders>
          </w:tcPr>
          <w:p>
            <w:pPr>
              <w:spacing w:after="0"/>
              <w:rPr>
                <w:sz w:val="21"/>
                <w:szCs w:val="21"/>
                <w:color w:val="auto"/>
              </w:rPr>
            </w:pPr>
          </w:p>
        </w:tc>
        <w:tc>
          <w:tcPr>
            <w:tcW w:w="80" w:type="dxa"/>
            <w:vAlign w:val="bottom"/>
            <w:tcBorders>
              <w:top w:val="single" w:sz="8" w:color="0000FF"/>
            </w:tcBorders>
          </w:tcPr>
          <w:p>
            <w:pPr>
              <w:spacing w:after="0"/>
              <w:rPr>
                <w:sz w:val="21"/>
                <w:szCs w:val="21"/>
                <w:color w:val="auto"/>
              </w:rPr>
            </w:pPr>
          </w:p>
        </w:tc>
        <w:tc>
          <w:tcPr>
            <w:tcW w:w="300" w:type="dxa"/>
            <w:vAlign w:val="bottom"/>
            <w:tcBorders>
              <w:top w:val="single" w:sz="8" w:color="0000FF"/>
            </w:tcBorders>
          </w:tcPr>
          <w:p>
            <w:pPr>
              <w:spacing w:after="0"/>
              <w:rPr>
                <w:sz w:val="21"/>
                <w:szCs w:val="21"/>
                <w:color w:val="auto"/>
              </w:rPr>
            </w:pPr>
          </w:p>
        </w:tc>
        <w:tc>
          <w:tcPr>
            <w:tcW w:w="300" w:type="dxa"/>
            <w:vAlign w:val="bottom"/>
            <w:tcBorders>
              <w:top w:val="single" w:sz="8" w:color="0000FF"/>
            </w:tcBorders>
          </w:tcPr>
          <w:p>
            <w:pPr>
              <w:spacing w:after="0"/>
              <w:rPr>
                <w:sz w:val="21"/>
                <w:szCs w:val="21"/>
                <w:color w:val="auto"/>
              </w:rPr>
            </w:pPr>
          </w:p>
        </w:tc>
        <w:tc>
          <w:tcPr>
            <w:tcW w:w="100" w:type="dxa"/>
            <w:vAlign w:val="bottom"/>
            <w:tcBorders>
              <w:top w:val="single" w:sz="8" w:color="0000FF"/>
            </w:tcBorders>
          </w:tcPr>
          <w:p>
            <w:pPr>
              <w:spacing w:after="0"/>
              <w:rPr>
                <w:sz w:val="21"/>
                <w:szCs w:val="21"/>
                <w:color w:val="auto"/>
              </w:rPr>
            </w:pPr>
          </w:p>
        </w:tc>
        <w:tc>
          <w:tcPr>
            <w:tcW w:w="280" w:type="dxa"/>
            <w:vAlign w:val="bottom"/>
            <w:tcBorders>
              <w:top w:val="single" w:sz="8" w:color="0000FF"/>
            </w:tcBorders>
          </w:tcPr>
          <w:p>
            <w:pPr>
              <w:spacing w:after="0"/>
              <w:rPr>
                <w:sz w:val="21"/>
                <w:szCs w:val="21"/>
                <w:color w:val="auto"/>
              </w:rPr>
            </w:pPr>
          </w:p>
        </w:tc>
        <w:tc>
          <w:tcPr>
            <w:tcW w:w="60" w:type="dxa"/>
            <w:vAlign w:val="bottom"/>
            <w:tcBorders>
              <w:top w:val="single" w:sz="8" w:color="0000FF"/>
            </w:tcBorders>
          </w:tcPr>
          <w:p>
            <w:pPr>
              <w:spacing w:after="0"/>
              <w:rPr>
                <w:sz w:val="21"/>
                <w:szCs w:val="21"/>
                <w:color w:val="auto"/>
              </w:rPr>
            </w:pP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5580" w:type="dxa"/>
            <w:vAlign w:val="bottom"/>
            <w:gridSpan w:val="11"/>
          </w:tcPr>
          <w:p>
            <w:pPr>
              <w:jc w:val="center"/>
              <w:ind w:right="4940"/>
              <w:spacing w:after="0"/>
              <w:rPr>
                <w:rFonts w:ascii="Arial" w:cs="Arial" w:eastAsia="Arial" w:hAnsi="Arial"/>
                <w:sz w:val="18"/>
                <w:szCs w:val="18"/>
                <w:b w:val="1"/>
                <w:bCs w:val="1"/>
                <w:color w:val="0000FF"/>
                <w:w w:val="99"/>
              </w:rPr>
            </w:pPr>
            <w:hyperlink w:anchor="page32">
              <w:r>
                <w:rPr>
                  <w:rFonts w:ascii="Arial" w:cs="Arial" w:eastAsia="Arial" w:hAnsi="Arial"/>
                  <w:sz w:val="18"/>
                  <w:szCs w:val="18"/>
                  <w:b w:val="1"/>
                  <w:bCs w:val="1"/>
                  <w:color w:val="0000FF"/>
                  <w:w w:val="99"/>
                </w:rPr>
                <w:t>PART II</w:t>
              </w:r>
            </w:hyperlink>
          </w:p>
        </w:tc>
        <w:tc>
          <w:tcPr>
            <w:tcW w:w="6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40" w:type="dxa"/>
            <w:vAlign w:val="bottom"/>
            <w:tcBorders>
              <w:top w:val="single" w:sz="8" w:color="0000FF"/>
            </w:tcBorders>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1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20" w:type="dxa"/>
            <w:vAlign w:val="bottom"/>
            <w:gridSpan w:val="4"/>
          </w:tcPr>
          <w:p>
            <w:pPr>
              <w:spacing w:after="0" w:line="20" w:lineRule="exact"/>
              <w:rPr>
                <w:sz w:val="1"/>
                <w:szCs w:val="1"/>
                <w:color w:val="auto"/>
              </w:rPr>
            </w:pPr>
          </w:p>
        </w:tc>
        <w:tc>
          <w:tcPr>
            <w:tcW w:w="40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106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40" w:type="dxa"/>
            <w:vAlign w:val="bottom"/>
            <w:gridSpan w:val="3"/>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30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100" w:type="dxa"/>
            <w:vAlign w:val="bottom"/>
          </w:tcPr>
          <w:p>
            <w:pPr>
              <w:spacing w:after="0"/>
              <w:rPr>
                <w:rFonts w:ascii="Arial" w:cs="Arial" w:eastAsia="Arial" w:hAnsi="Arial"/>
                <w:sz w:val="18"/>
                <w:szCs w:val="18"/>
                <w:color w:val="0000FF"/>
                <w:w w:val="79"/>
              </w:rPr>
            </w:pPr>
            <w:hyperlink w:anchor="page33">
              <w:r>
                <w:rPr>
                  <w:rFonts w:ascii="Arial" w:cs="Arial" w:eastAsia="Arial" w:hAnsi="Arial"/>
                  <w:sz w:val="18"/>
                  <w:szCs w:val="18"/>
                  <w:color w:val="0000FF"/>
                  <w:w w:val="79"/>
                </w:rPr>
                <w:t>5</w:t>
              </w:r>
            </w:hyperlink>
          </w:p>
        </w:tc>
        <w:tc>
          <w:tcPr>
            <w:tcW w:w="10380" w:type="dxa"/>
            <w:vAlign w:val="bottom"/>
            <w:gridSpan w:val="30"/>
          </w:tcPr>
          <w:p>
            <w:pPr>
              <w:ind w:left="40"/>
              <w:spacing w:after="0"/>
              <w:rPr>
                <w:rFonts w:ascii="Arial" w:cs="Arial" w:eastAsia="Arial" w:hAnsi="Arial"/>
                <w:sz w:val="18"/>
                <w:szCs w:val="18"/>
                <w:color w:val="0000FF"/>
              </w:rPr>
            </w:pPr>
            <w:hyperlink w:anchor="page33">
              <w:r>
                <w:rPr>
                  <w:rFonts w:ascii="Arial" w:cs="Arial" w:eastAsia="Arial" w:hAnsi="Arial"/>
                  <w:sz w:val="18"/>
                  <w:szCs w:val="18"/>
                  <w:color w:val="0000FF"/>
                </w:rPr>
                <w:t>Market for Registrant’s Common Equity, Related Stockholder Matters and Issuer Purchases of Equity Securities</w:t>
              </w:r>
            </w:hyperlink>
          </w:p>
        </w:tc>
        <w:tc>
          <w:tcPr>
            <w:tcW w:w="900" w:type="dxa"/>
            <w:vAlign w:val="bottom"/>
            <w:gridSpan w:val="4"/>
          </w:tcPr>
          <w:p>
            <w:pPr>
              <w:jc w:val="right"/>
              <w:ind w:right="20"/>
              <w:spacing w:after="0"/>
              <w:rPr>
                <w:rFonts w:ascii="Arial" w:cs="Arial" w:eastAsia="Arial" w:hAnsi="Arial"/>
                <w:sz w:val="18"/>
                <w:szCs w:val="18"/>
                <w:color w:val="0000FF"/>
              </w:rPr>
            </w:pPr>
            <w:hyperlink w:anchor="page33">
              <w:r>
                <w:rPr>
                  <w:rFonts w:ascii="Arial" w:cs="Arial" w:eastAsia="Arial" w:hAnsi="Arial"/>
                  <w:sz w:val="18"/>
                  <w:szCs w:val="18"/>
                  <w:color w:val="0000FF"/>
                </w:rPr>
                <w:t>32</w:t>
              </w:r>
            </w:hyperlink>
          </w:p>
        </w:tc>
        <w:tc>
          <w:tcPr>
            <w:tcW w:w="0" w:type="dxa"/>
            <w:vAlign w:val="bottom"/>
          </w:tcPr>
          <w:p>
            <w:pPr>
              <w:spacing w:after="0"/>
              <w:rPr>
                <w:sz w:val="1"/>
                <w:szCs w:val="1"/>
                <w:color w:val="auto"/>
              </w:rPr>
            </w:pPr>
          </w:p>
        </w:tc>
      </w:tr>
      <w:tr>
        <w:trPr>
          <w:trHeight w:val="20"/>
        </w:trPr>
        <w:tc>
          <w:tcPr>
            <w:tcW w:w="10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820" w:type="dxa"/>
            <w:vAlign w:val="bottom"/>
            <w:tcBorders>
              <w:right w:val="single" w:sz="8" w:color="0000FF"/>
            </w:tcBorders>
            <w:gridSpan w:val="4"/>
            <w:shd w:val="clear" w:color="auto" w:fill="0000FF"/>
          </w:tcPr>
          <w:p>
            <w:pPr>
              <w:spacing w:after="0" w:line="20" w:lineRule="exact"/>
              <w:rPr>
                <w:sz w:val="1"/>
                <w:szCs w:val="1"/>
                <w:color w:val="auto"/>
              </w:rPr>
            </w:pPr>
          </w:p>
        </w:tc>
        <w:tc>
          <w:tcPr>
            <w:tcW w:w="400" w:type="dxa"/>
            <w:vAlign w:val="bottom"/>
            <w:gridSpan w:val="2"/>
            <w:shd w:val="clear" w:color="auto" w:fill="0000FF"/>
          </w:tcPr>
          <w:p>
            <w:pPr>
              <w:spacing w:after="0" w:line="20" w:lineRule="exact"/>
              <w:rPr>
                <w:sz w:val="1"/>
                <w:szCs w:val="1"/>
                <w:color w:val="auto"/>
              </w:rPr>
            </w:pPr>
          </w:p>
        </w:tc>
        <w:tc>
          <w:tcPr>
            <w:tcW w:w="280" w:type="dxa"/>
            <w:vAlign w:val="bottom"/>
            <w:shd w:val="clear" w:color="auto" w:fill="0000FF"/>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1060" w:type="dxa"/>
            <w:vAlign w:val="bottom"/>
            <w:gridSpan w:val="2"/>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340" w:type="dxa"/>
            <w:vAlign w:val="bottom"/>
            <w:shd w:val="clear" w:color="auto" w:fill="0000FF"/>
          </w:tcPr>
          <w:p>
            <w:pPr>
              <w:spacing w:after="0" w:line="20" w:lineRule="exact"/>
              <w:rPr>
                <w:sz w:val="1"/>
                <w:szCs w:val="1"/>
                <w:color w:val="auto"/>
              </w:rPr>
            </w:pPr>
          </w:p>
        </w:tc>
        <w:tc>
          <w:tcPr>
            <w:tcW w:w="86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700" w:type="dxa"/>
            <w:vAlign w:val="bottom"/>
            <w:gridSpan w:val="5"/>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90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880" w:type="dxa"/>
            <w:vAlign w:val="bottom"/>
            <w:shd w:val="clear" w:color="auto" w:fill="0000FF"/>
          </w:tcPr>
          <w:p>
            <w:pPr>
              <w:spacing w:after="0" w:line="20" w:lineRule="exact"/>
              <w:rPr>
                <w:sz w:val="1"/>
                <w:szCs w:val="1"/>
                <w:color w:val="auto"/>
              </w:rPr>
            </w:pPr>
          </w:p>
        </w:tc>
        <w:tc>
          <w:tcPr>
            <w:tcW w:w="680" w:type="dxa"/>
            <w:vAlign w:val="bottom"/>
            <w:shd w:val="clear" w:color="auto" w:fill="0000FF"/>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40" w:type="dxa"/>
            <w:vAlign w:val="bottom"/>
            <w:tcBorders>
              <w:right w:val="single" w:sz="8" w:color="0000FF"/>
            </w:tcBorders>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72"/>
        </w:trPr>
        <w:tc>
          <w:tcPr>
            <w:tcW w:w="100" w:type="dxa"/>
            <w:vAlign w:val="bottom"/>
          </w:tcPr>
          <w:p>
            <w:pPr>
              <w:spacing w:after="0"/>
              <w:rPr>
                <w:rFonts w:ascii="Arial" w:cs="Arial" w:eastAsia="Arial" w:hAnsi="Arial"/>
                <w:sz w:val="18"/>
                <w:szCs w:val="18"/>
                <w:color w:val="0000FF"/>
                <w:w w:val="79"/>
              </w:rPr>
            </w:pPr>
            <w:hyperlink w:anchor="page34">
              <w:r>
                <w:rPr>
                  <w:rFonts w:ascii="Arial" w:cs="Arial" w:eastAsia="Arial" w:hAnsi="Arial"/>
                  <w:sz w:val="18"/>
                  <w:szCs w:val="18"/>
                  <w:color w:val="0000FF"/>
                  <w:w w:val="79"/>
                </w:rPr>
                <w:t>6</w:t>
              </w:r>
            </w:hyperlink>
          </w:p>
        </w:tc>
        <w:tc>
          <w:tcPr>
            <w:tcW w:w="1740" w:type="dxa"/>
            <w:vAlign w:val="bottom"/>
            <w:gridSpan w:val="8"/>
          </w:tcPr>
          <w:p>
            <w:pPr>
              <w:ind w:left="40"/>
              <w:spacing w:after="0"/>
              <w:rPr>
                <w:rFonts w:ascii="Arial" w:cs="Arial" w:eastAsia="Arial" w:hAnsi="Arial"/>
                <w:sz w:val="18"/>
                <w:szCs w:val="18"/>
                <w:color w:val="0000FF"/>
                <w:w w:val="88"/>
              </w:rPr>
            </w:pPr>
            <w:hyperlink w:anchor="page34">
              <w:r>
                <w:rPr>
                  <w:rFonts w:ascii="Arial" w:cs="Arial" w:eastAsia="Arial" w:hAnsi="Arial"/>
                  <w:sz w:val="18"/>
                  <w:szCs w:val="18"/>
                  <w:color w:val="0000FF"/>
                  <w:w w:val="88"/>
                </w:rPr>
                <w:t>Selected Financial Data</w:t>
              </w:r>
            </w:hyperlink>
          </w:p>
        </w:tc>
        <w:tc>
          <w:tcPr>
            <w:tcW w:w="6360" w:type="dxa"/>
            <w:vAlign w:val="bottom"/>
            <w:gridSpan w:val="21"/>
          </w:tcPr>
          <w:p>
            <w:pPr>
              <w:spacing w:after="0"/>
              <w:rPr>
                <w:sz w:val="24"/>
                <w:szCs w:val="24"/>
                <w:color w:val="auto"/>
              </w:rPr>
            </w:pPr>
          </w:p>
        </w:tc>
        <w:tc>
          <w:tcPr>
            <w:tcW w:w="2280" w:type="dxa"/>
            <w:vAlign w:val="bottom"/>
          </w:tcPr>
          <w:p>
            <w:pPr>
              <w:spacing w:after="0"/>
              <w:rPr>
                <w:sz w:val="24"/>
                <w:szCs w:val="24"/>
                <w:color w:val="auto"/>
              </w:rPr>
            </w:pPr>
          </w:p>
        </w:tc>
        <w:tc>
          <w:tcPr>
            <w:tcW w:w="900" w:type="dxa"/>
            <w:vAlign w:val="bottom"/>
            <w:gridSpan w:val="4"/>
          </w:tcPr>
          <w:p>
            <w:pPr>
              <w:jc w:val="right"/>
              <w:ind w:right="20"/>
              <w:spacing w:after="0"/>
              <w:rPr>
                <w:rFonts w:ascii="Arial" w:cs="Arial" w:eastAsia="Arial" w:hAnsi="Arial"/>
                <w:sz w:val="18"/>
                <w:szCs w:val="18"/>
                <w:color w:val="0000FF"/>
              </w:rPr>
            </w:pPr>
            <w:hyperlink w:anchor="page34">
              <w:r>
                <w:rPr>
                  <w:rFonts w:ascii="Arial" w:cs="Arial" w:eastAsia="Arial" w:hAnsi="Arial"/>
                  <w:sz w:val="18"/>
                  <w:szCs w:val="18"/>
                  <w:color w:val="0000FF"/>
                </w:rPr>
                <w:t>34</w:t>
              </w:r>
            </w:hyperlink>
          </w:p>
        </w:tc>
        <w:tc>
          <w:tcPr>
            <w:tcW w:w="0" w:type="dxa"/>
            <w:vAlign w:val="bottom"/>
          </w:tcPr>
          <w:p>
            <w:pPr>
              <w:spacing w:after="0"/>
              <w:rPr>
                <w:sz w:val="1"/>
                <w:szCs w:val="1"/>
                <w:color w:val="auto"/>
              </w:rPr>
            </w:pPr>
          </w:p>
        </w:tc>
      </w:tr>
      <w:tr>
        <w:trPr>
          <w:trHeight w:val="20"/>
        </w:trPr>
        <w:tc>
          <w:tcPr>
            <w:tcW w:w="10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820" w:type="dxa"/>
            <w:vAlign w:val="bottom"/>
            <w:tcBorders>
              <w:right w:val="single" w:sz="8" w:color="0000FF"/>
            </w:tcBorders>
            <w:gridSpan w:val="4"/>
            <w:shd w:val="clear" w:color="auto" w:fill="0000FF"/>
          </w:tcPr>
          <w:p>
            <w:pPr>
              <w:spacing w:after="0" w:line="20" w:lineRule="exact"/>
              <w:rPr>
                <w:sz w:val="1"/>
                <w:szCs w:val="1"/>
                <w:color w:val="auto"/>
              </w:rPr>
            </w:pPr>
          </w:p>
        </w:tc>
        <w:tc>
          <w:tcPr>
            <w:tcW w:w="400" w:type="dxa"/>
            <w:vAlign w:val="bottom"/>
            <w:gridSpan w:val="2"/>
            <w:shd w:val="clear" w:color="auto" w:fill="0000FF"/>
          </w:tcPr>
          <w:p>
            <w:pPr>
              <w:spacing w:after="0" w:line="20" w:lineRule="exact"/>
              <w:rPr>
                <w:sz w:val="1"/>
                <w:szCs w:val="1"/>
                <w:color w:val="auto"/>
              </w:rPr>
            </w:pPr>
          </w:p>
        </w:tc>
        <w:tc>
          <w:tcPr>
            <w:tcW w:w="280" w:type="dxa"/>
            <w:vAlign w:val="bottom"/>
            <w:shd w:val="clear" w:color="auto" w:fill="0000FF"/>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106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00" w:type="dxa"/>
            <w:vAlign w:val="bottom"/>
            <w:gridSpan w:val="5"/>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2960" w:type="dxa"/>
            <w:vAlign w:val="bottom"/>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40" w:type="dxa"/>
            <w:vAlign w:val="bottom"/>
            <w:tcBorders>
              <w:right w:val="single" w:sz="8" w:color="0000FF"/>
            </w:tcBorders>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72"/>
        </w:trPr>
        <w:tc>
          <w:tcPr>
            <w:tcW w:w="100" w:type="dxa"/>
            <w:vAlign w:val="bottom"/>
          </w:tcPr>
          <w:p>
            <w:pPr>
              <w:spacing w:after="0"/>
              <w:rPr>
                <w:rFonts w:ascii="Arial" w:cs="Arial" w:eastAsia="Arial" w:hAnsi="Arial"/>
                <w:sz w:val="18"/>
                <w:szCs w:val="18"/>
                <w:color w:val="0000FF"/>
                <w:w w:val="79"/>
              </w:rPr>
            </w:pPr>
            <w:hyperlink w:anchor="page35">
              <w:r>
                <w:rPr>
                  <w:rFonts w:ascii="Arial" w:cs="Arial" w:eastAsia="Arial" w:hAnsi="Arial"/>
                  <w:sz w:val="18"/>
                  <w:szCs w:val="18"/>
                  <w:color w:val="0000FF"/>
                  <w:w w:val="79"/>
                </w:rPr>
                <w:t>7</w:t>
              </w:r>
            </w:hyperlink>
          </w:p>
        </w:tc>
        <w:tc>
          <w:tcPr>
            <w:tcW w:w="10380" w:type="dxa"/>
            <w:vAlign w:val="bottom"/>
            <w:gridSpan w:val="30"/>
          </w:tcPr>
          <w:p>
            <w:pPr>
              <w:ind w:left="40"/>
              <w:spacing w:after="0"/>
              <w:rPr>
                <w:rFonts w:ascii="Arial" w:cs="Arial" w:eastAsia="Arial" w:hAnsi="Arial"/>
                <w:sz w:val="18"/>
                <w:szCs w:val="18"/>
                <w:color w:val="0000FF"/>
              </w:rPr>
            </w:pPr>
            <w:hyperlink w:anchor="page35">
              <w:r>
                <w:rPr>
                  <w:rFonts w:ascii="Arial" w:cs="Arial" w:eastAsia="Arial" w:hAnsi="Arial"/>
                  <w:sz w:val="18"/>
                  <w:szCs w:val="18"/>
                  <w:color w:val="0000FF"/>
                </w:rPr>
                <w:t>Management’s Discussion and Analysis of Financial Condition and Results of Operations</w:t>
              </w:r>
            </w:hyperlink>
          </w:p>
        </w:tc>
        <w:tc>
          <w:tcPr>
            <w:tcW w:w="900" w:type="dxa"/>
            <w:vAlign w:val="bottom"/>
            <w:gridSpan w:val="4"/>
          </w:tcPr>
          <w:p>
            <w:pPr>
              <w:jc w:val="right"/>
              <w:ind w:right="20"/>
              <w:spacing w:after="0"/>
              <w:rPr>
                <w:rFonts w:ascii="Arial" w:cs="Arial" w:eastAsia="Arial" w:hAnsi="Arial"/>
                <w:sz w:val="18"/>
                <w:szCs w:val="18"/>
                <w:color w:val="0000FF"/>
              </w:rPr>
            </w:pPr>
            <w:hyperlink w:anchor="page35">
              <w:r>
                <w:rPr>
                  <w:rFonts w:ascii="Arial" w:cs="Arial" w:eastAsia="Arial" w:hAnsi="Arial"/>
                  <w:sz w:val="18"/>
                  <w:szCs w:val="18"/>
                  <w:color w:val="0000FF"/>
                </w:rPr>
                <w:t>35</w:t>
              </w:r>
            </w:hyperlink>
          </w:p>
        </w:tc>
        <w:tc>
          <w:tcPr>
            <w:tcW w:w="0" w:type="dxa"/>
            <w:vAlign w:val="bottom"/>
          </w:tcPr>
          <w:p>
            <w:pPr>
              <w:spacing w:after="0"/>
              <w:rPr>
                <w:sz w:val="1"/>
                <w:szCs w:val="1"/>
                <w:color w:val="auto"/>
              </w:rPr>
            </w:pPr>
          </w:p>
        </w:tc>
      </w:tr>
      <w:tr>
        <w:trPr>
          <w:trHeight w:val="20"/>
        </w:trPr>
        <w:tc>
          <w:tcPr>
            <w:tcW w:w="340" w:type="dxa"/>
            <w:vAlign w:val="bottom"/>
            <w:gridSpan w:val="2"/>
            <w:shd w:val="clear" w:color="auto" w:fill="0000FF"/>
          </w:tcPr>
          <w:p>
            <w:pPr>
              <w:spacing w:after="0" w:line="20" w:lineRule="exact"/>
              <w:rPr>
                <w:sz w:val="1"/>
                <w:szCs w:val="1"/>
                <w:color w:val="auto"/>
              </w:rPr>
            </w:pPr>
          </w:p>
        </w:tc>
        <w:tc>
          <w:tcPr>
            <w:tcW w:w="820" w:type="dxa"/>
            <w:vAlign w:val="bottom"/>
            <w:tcBorders>
              <w:right w:val="single" w:sz="8" w:color="0000FF"/>
            </w:tcBorders>
            <w:gridSpan w:val="4"/>
            <w:shd w:val="clear" w:color="auto" w:fill="0000FF"/>
          </w:tcPr>
          <w:p>
            <w:pPr>
              <w:spacing w:after="0" w:line="20" w:lineRule="exact"/>
              <w:rPr>
                <w:sz w:val="1"/>
                <w:szCs w:val="1"/>
                <w:color w:val="auto"/>
              </w:rPr>
            </w:pPr>
          </w:p>
        </w:tc>
        <w:tc>
          <w:tcPr>
            <w:tcW w:w="400" w:type="dxa"/>
            <w:vAlign w:val="bottom"/>
            <w:gridSpan w:val="2"/>
            <w:shd w:val="clear" w:color="auto" w:fill="0000FF"/>
          </w:tcPr>
          <w:p>
            <w:pPr>
              <w:spacing w:after="0" w:line="20" w:lineRule="exact"/>
              <w:rPr>
                <w:sz w:val="1"/>
                <w:szCs w:val="1"/>
                <w:color w:val="auto"/>
              </w:rPr>
            </w:pPr>
          </w:p>
        </w:tc>
        <w:tc>
          <w:tcPr>
            <w:tcW w:w="460" w:type="dxa"/>
            <w:vAlign w:val="bottom"/>
            <w:gridSpan w:val="3"/>
            <w:shd w:val="clear" w:color="auto" w:fill="0000FF"/>
          </w:tcPr>
          <w:p>
            <w:pPr>
              <w:spacing w:after="0" w:line="20" w:lineRule="exact"/>
              <w:rPr>
                <w:sz w:val="1"/>
                <w:szCs w:val="1"/>
                <w:color w:val="auto"/>
              </w:rPr>
            </w:pPr>
          </w:p>
        </w:tc>
        <w:tc>
          <w:tcPr>
            <w:tcW w:w="1060" w:type="dxa"/>
            <w:vAlign w:val="bottom"/>
            <w:gridSpan w:val="2"/>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340" w:type="dxa"/>
            <w:vAlign w:val="bottom"/>
            <w:shd w:val="clear" w:color="auto" w:fill="0000FF"/>
          </w:tcPr>
          <w:p>
            <w:pPr>
              <w:spacing w:after="0" w:line="20" w:lineRule="exact"/>
              <w:rPr>
                <w:sz w:val="1"/>
                <w:szCs w:val="1"/>
                <w:color w:val="auto"/>
              </w:rPr>
            </w:pPr>
          </w:p>
        </w:tc>
        <w:tc>
          <w:tcPr>
            <w:tcW w:w="86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700" w:type="dxa"/>
            <w:vAlign w:val="bottom"/>
            <w:gridSpan w:val="5"/>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900" w:type="dxa"/>
            <w:vAlign w:val="bottom"/>
            <w:shd w:val="clear" w:color="auto" w:fill="0000FF"/>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2960" w:type="dxa"/>
            <w:vAlign w:val="bottom"/>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40" w:type="dxa"/>
            <w:vAlign w:val="bottom"/>
            <w:tcBorders>
              <w:right w:val="single" w:sz="8" w:color="0000FF"/>
            </w:tcBorders>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72"/>
        </w:trPr>
        <w:tc>
          <w:tcPr>
            <w:tcW w:w="4620" w:type="dxa"/>
            <w:vAlign w:val="bottom"/>
            <w:gridSpan w:val="17"/>
          </w:tcPr>
          <w:p>
            <w:pPr>
              <w:spacing w:after="0"/>
              <w:rPr>
                <w:rFonts w:ascii="Arial" w:cs="Arial" w:eastAsia="Arial" w:hAnsi="Arial"/>
                <w:sz w:val="18"/>
                <w:szCs w:val="18"/>
                <w:color w:val="0000FF"/>
                <w:w w:val="92"/>
              </w:rPr>
            </w:pPr>
            <w:hyperlink w:anchor="page61">
              <w:r>
                <w:rPr>
                  <w:rFonts w:ascii="Arial" w:cs="Arial" w:eastAsia="Arial" w:hAnsi="Arial"/>
                  <w:sz w:val="18"/>
                  <w:szCs w:val="18"/>
                  <w:color w:val="0000FF"/>
                  <w:w w:val="92"/>
                </w:rPr>
                <w:t>7A Quantitative and Qualitative Disclosures About Market Risk</w:t>
              </w:r>
            </w:hyperlink>
          </w:p>
        </w:tc>
        <w:tc>
          <w:tcPr>
            <w:tcW w:w="1960" w:type="dxa"/>
            <w:vAlign w:val="bottom"/>
            <w:gridSpan w:val="10"/>
          </w:tcPr>
          <w:p>
            <w:pPr>
              <w:spacing w:after="0"/>
              <w:rPr>
                <w:sz w:val="24"/>
                <w:szCs w:val="24"/>
                <w:color w:val="auto"/>
              </w:rPr>
            </w:pPr>
          </w:p>
        </w:tc>
        <w:tc>
          <w:tcPr>
            <w:tcW w:w="3900" w:type="dxa"/>
            <w:vAlign w:val="bottom"/>
            <w:gridSpan w:val="4"/>
          </w:tcPr>
          <w:p>
            <w:pPr>
              <w:spacing w:after="0"/>
              <w:rPr>
                <w:sz w:val="24"/>
                <w:szCs w:val="24"/>
                <w:color w:val="auto"/>
              </w:rPr>
            </w:pPr>
          </w:p>
        </w:tc>
        <w:tc>
          <w:tcPr>
            <w:tcW w:w="900" w:type="dxa"/>
            <w:vAlign w:val="bottom"/>
            <w:gridSpan w:val="4"/>
          </w:tcPr>
          <w:p>
            <w:pPr>
              <w:jc w:val="right"/>
              <w:ind w:right="20"/>
              <w:spacing w:after="0"/>
              <w:rPr>
                <w:rFonts w:ascii="Arial" w:cs="Arial" w:eastAsia="Arial" w:hAnsi="Arial"/>
                <w:sz w:val="18"/>
                <w:szCs w:val="18"/>
                <w:color w:val="0000FF"/>
              </w:rPr>
            </w:pPr>
            <w:hyperlink w:anchor="page61">
              <w:r>
                <w:rPr>
                  <w:rFonts w:ascii="Arial" w:cs="Arial" w:eastAsia="Arial" w:hAnsi="Arial"/>
                  <w:sz w:val="18"/>
                  <w:szCs w:val="18"/>
                  <w:color w:val="0000FF"/>
                </w:rPr>
                <w:t>60</w:t>
              </w:r>
            </w:hyperlink>
          </w:p>
        </w:tc>
        <w:tc>
          <w:tcPr>
            <w:tcW w:w="0" w:type="dxa"/>
            <w:vAlign w:val="bottom"/>
          </w:tcPr>
          <w:p>
            <w:pPr>
              <w:spacing w:after="0"/>
              <w:rPr>
                <w:sz w:val="1"/>
                <w:szCs w:val="1"/>
                <w:color w:val="auto"/>
              </w:rPr>
            </w:pPr>
          </w:p>
        </w:tc>
      </w:tr>
      <w:tr>
        <w:trPr>
          <w:trHeight w:val="20"/>
        </w:trPr>
        <w:tc>
          <w:tcPr>
            <w:tcW w:w="10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820" w:type="dxa"/>
            <w:vAlign w:val="bottom"/>
            <w:tcBorders>
              <w:right w:val="single" w:sz="8" w:color="0000FF"/>
            </w:tcBorders>
            <w:gridSpan w:val="4"/>
            <w:shd w:val="clear" w:color="auto" w:fill="0000FF"/>
          </w:tcPr>
          <w:p>
            <w:pPr>
              <w:spacing w:after="0" w:line="20" w:lineRule="exact"/>
              <w:rPr>
                <w:sz w:val="1"/>
                <w:szCs w:val="1"/>
                <w:color w:val="auto"/>
              </w:rPr>
            </w:pPr>
          </w:p>
        </w:tc>
        <w:tc>
          <w:tcPr>
            <w:tcW w:w="400" w:type="dxa"/>
            <w:vAlign w:val="bottom"/>
            <w:gridSpan w:val="2"/>
            <w:shd w:val="clear" w:color="auto" w:fill="0000FF"/>
          </w:tcPr>
          <w:p>
            <w:pPr>
              <w:spacing w:after="0" w:line="20" w:lineRule="exact"/>
              <w:rPr>
                <w:sz w:val="1"/>
                <w:szCs w:val="1"/>
                <w:color w:val="auto"/>
              </w:rPr>
            </w:pPr>
          </w:p>
        </w:tc>
        <w:tc>
          <w:tcPr>
            <w:tcW w:w="460" w:type="dxa"/>
            <w:vAlign w:val="bottom"/>
            <w:gridSpan w:val="3"/>
            <w:shd w:val="clear" w:color="auto" w:fill="0000FF"/>
          </w:tcPr>
          <w:p>
            <w:pPr>
              <w:spacing w:after="0" w:line="20" w:lineRule="exact"/>
              <w:rPr>
                <w:sz w:val="1"/>
                <w:szCs w:val="1"/>
                <w:color w:val="auto"/>
              </w:rPr>
            </w:pPr>
          </w:p>
        </w:tc>
        <w:tc>
          <w:tcPr>
            <w:tcW w:w="1060" w:type="dxa"/>
            <w:vAlign w:val="bottom"/>
            <w:gridSpan w:val="2"/>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340" w:type="dxa"/>
            <w:vAlign w:val="bottom"/>
            <w:shd w:val="clear" w:color="auto" w:fill="0000FF"/>
          </w:tcPr>
          <w:p>
            <w:pPr>
              <w:spacing w:after="0" w:line="20" w:lineRule="exact"/>
              <w:rPr>
                <w:sz w:val="1"/>
                <w:szCs w:val="1"/>
                <w:color w:val="auto"/>
              </w:rPr>
            </w:pPr>
          </w:p>
        </w:tc>
        <w:tc>
          <w:tcPr>
            <w:tcW w:w="86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00" w:type="dxa"/>
            <w:vAlign w:val="bottom"/>
            <w:gridSpan w:val="5"/>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60" w:type="dxa"/>
            <w:vAlign w:val="bottom"/>
            <w:gridSpan w:val="2"/>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2960" w:type="dxa"/>
            <w:vAlign w:val="bottom"/>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40" w:type="dxa"/>
            <w:vAlign w:val="bottom"/>
            <w:tcBorders>
              <w:right w:val="single" w:sz="8" w:color="0000FF"/>
            </w:tcBorders>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72"/>
        </w:trPr>
        <w:tc>
          <w:tcPr>
            <w:tcW w:w="100" w:type="dxa"/>
            <w:vAlign w:val="bottom"/>
          </w:tcPr>
          <w:p>
            <w:pPr>
              <w:spacing w:after="0"/>
              <w:rPr>
                <w:rFonts w:ascii="Arial" w:cs="Arial" w:eastAsia="Arial" w:hAnsi="Arial"/>
                <w:sz w:val="18"/>
                <w:szCs w:val="18"/>
                <w:color w:val="0000FF"/>
                <w:w w:val="79"/>
              </w:rPr>
            </w:pPr>
            <w:hyperlink w:anchor="page62">
              <w:r>
                <w:rPr>
                  <w:rFonts w:ascii="Arial" w:cs="Arial" w:eastAsia="Arial" w:hAnsi="Arial"/>
                  <w:sz w:val="18"/>
                  <w:szCs w:val="18"/>
                  <w:color w:val="0000FF"/>
                  <w:w w:val="79"/>
                </w:rPr>
                <w:t>8</w:t>
              </w:r>
            </w:hyperlink>
          </w:p>
        </w:tc>
        <w:tc>
          <w:tcPr>
            <w:tcW w:w="3360" w:type="dxa"/>
            <w:vAlign w:val="bottom"/>
            <w:gridSpan w:val="14"/>
          </w:tcPr>
          <w:p>
            <w:pPr>
              <w:ind w:left="40"/>
              <w:spacing w:after="0"/>
              <w:rPr>
                <w:rFonts w:ascii="Arial" w:cs="Arial" w:eastAsia="Arial" w:hAnsi="Arial"/>
                <w:sz w:val="18"/>
                <w:szCs w:val="18"/>
                <w:color w:val="0000FF"/>
                <w:w w:val="88"/>
              </w:rPr>
            </w:pPr>
            <w:hyperlink w:anchor="page62">
              <w:r>
                <w:rPr>
                  <w:rFonts w:ascii="Arial" w:cs="Arial" w:eastAsia="Arial" w:hAnsi="Arial"/>
                  <w:sz w:val="18"/>
                  <w:szCs w:val="18"/>
                  <w:color w:val="0000FF"/>
                  <w:w w:val="88"/>
                </w:rPr>
                <w:t>Financial Statements and Supplementary Data</w:t>
              </w:r>
            </w:hyperlink>
          </w:p>
        </w:tc>
        <w:tc>
          <w:tcPr>
            <w:tcW w:w="1160" w:type="dxa"/>
            <w:vAlign w:val="bottom"/>
            <w:gridSpan w:val="2"/>
          </w:tcPr>
          <w:p>
            <w:pPr>
              <w:spacing w:after="0"/>
              <w:rPr>
                <w:sz w:val="24"/>
                <w:szCs w:val="24"/>
                <w:color w:val="auto"/>
              </w:rPr>
            </w:pPr>
          </w:p>
        </w:tc>
        <w:tc>
          <w:tcPr>
            <w:tcW w:w="5860" w:type="dxa"/>
            <w:vAlign w:val="bottom"/>
            <w:gridSpan w:val="14"/>
          </w:tcPr>
          <w:p>
            <w:pPr>
              <w:spacing w:after="0"/>
              <w:rPr>
                <w:sz w:val="24"/>
                <w:szCs w:val="24"/>
                <w:color w:val="auto"/>
              </w:rPr>
            </w:pPr>
          </w:p>
        </w:tc>
        <w:tc>
          <w:tcPr>
            <w:tcW w:w="900" w:type="dxa"/>
            <w:vAlign w:val="bottom"/>
            <w:gridSpan w:val="4"/>
          </w:tcPr>
          <w:p>
            <w:pPr>
              <w:jc w:val="right"/>
              <w:ind w:right="20"/>
              <w:spacing w:after="0"/>
              <w:rPr>
                <w:rFonts w:ascii="Arial" w:cs="Arial" w:eastAsia="Arial" w:hAnsi="Arial"/>
                <w:sz w:val="18"/>
                <w:szCs w:val="18"/>
                <w:color w:val="0000FF"/>
              </w:rPr>
            </w:pPr>
            <w:hyperlink w:anchor="page62">
              <w:r>
                <w:rPr>
                  <w:rFonts w:ascii="Arial" w:cs="Arial" w:eastAsia="Arial" w:hAnsi="Arial"/>
                  <w:sz w:val="18"/>
                  <w:szCs w:val="18"/>
                  <w:color w:val="0000FF"/>
                </w:rPr>
                <w:t>62</w:t>
              </w:r>
            </w:hyperlink>
          </w:p>
        </w:tc>
        <w:tc>
          <w:tcPr>
            <w:tcW w:w="0" w:type="dxa"/>
            <w:vAlign w:val="bottom"/>
          </w:tcPr>
          <w:p>
            <w:pPr>
              <w:spacing w:after="0"/>
              <w:rPr>
                <w:sz w:val="1"/>
                <w:szCs w:val="1"/>
                <w:color w:val="auto"/>
              </w:rPr>
            </w:pPr>
          </w:p>
        </w:tc>
      </w:tr>
      <w:tr>
        <w:trPr>
          <w:trHeight w:val="20"/>
        </w:trPr>
        <w:tc>
          <w:tcPr>
            <w:tcW w:w="10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300" w:type="dxa"/>
            <w:vAlign w:val="bottom"/>
            <w:tcBorders>
              <w:right w:val="single" w:sz="8" w:color="0000FF"/>
            </w:tcBorders>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8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280" w:type="dxa"/>
            <w:vAlign w:val="bottom"/>
            <w:shd w:val="clear" w:color="auto" w:fill="0000FF"/>
          </w:tcPr>
          <w:p>
            <w:pPr>
              <w:spacing w:after="0" w:line="20" w:lineRule="exact"/>
              <w:rPr>
                <w:sz w:val="1"/>
                <w:szCs w:val="1"/>
                <w:color w:val="auto"/>
              </w:rPr>
            </w:pPr>
          </w:p>
        </w:tc>
        <w:tc>
          <w:tcPr>
            <w:tcW w:w="78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340" w:type="dxa"/>
            <w:vAlign w:val="bottom"/>
            <w:shd w:val="clear" w:color="auto" w:fill="0000FF"/>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40" w:type="dxa"/>
            <w:vAlign w:val="bottom"/>
            <w:tcBorders>
              <w:right w:val="single" w:sz="8" w:color="0000FF"/>
            </w:tcBorders>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72"/>
        </w:trPr>
        <w:tc>
          <w:tcPr>
            <w:tcW w:w="100" w:type="dxa"/>
            <w:vAlign w:val="bottom"/>
          </w:tcPr>
          <w:p>
            <w:pPr>
              <w:spacing w:after="0"/>
              <w:rPr>
                <w:rFonts w:ascii="Arial" w:cs="Arial" w:eastAsia="Arial" w:hAnsi="Arial"/>
                <w:sz w:val="18"/>
                <w:szCs w:val="18"/>
                <w:color w:val="0000FF"/>
                <w:w w:val="79"/>
              </w:rPr>
            </w:pPr>
            <w:hyperlink w:anchor="page112">
              <w:r>
                <w:rPr>
                  <w:rFonts w:ascii="Arial" w:cs="Arial" w:eastAsia="Arial" w:hAnsi="Arial"/>
                  <w:sz w:val="18"/>
                  <w:szCs w:val="18"/>
                  <w:color w:val="0000FF"/>
                  <w:w w:val="79"/>
                </w:rPr>
                <w:t>9</w:t>
              </w:r>
            </w:hyperlink>
          </w:p>
        </w:tc>
        <w:tc>
          <w:tcPr>
            <w:tcW w:w="10380" w:type="dxa"/>
            <w:vAlign w:val="bottom"/>
            <w:gridSpan w:val="30"/>
          </w:tcPr>
          <w:p>
            <w:pPr>
              <w:ind w:left="40"/>
              <w:spacing w:after="0"/>
              <w:rPr>
                <w:rFonts w:ascii="Arial" w:cs="Arial" w:eastAsia="Arial" w:hAnsi="Arial"/>
                <w:sz w:val="18"/>
                <w:szCs w:val="18"/>
                <w:color w:val="0000FF"/>
              </w:rPr>
            </w:pPr>
            <w:hyperlink w:anchor="page112">
              <w:r>
                <w:rPr>
                  <w:rFonts w:ascii="Arial" w:cs="Arial" w:eastAsia="Arial" w:hAnsi="Arial"/>
                  <w:sz w:val="18"/>
                  <w:szCs w:val="18"/>
                  <w:color w:val="0000FF"/>
                </w:rPr>
                <w:t>Changes in and Disagreements With Accountants on Accounting and Financial Disclosure</w:t>
              </w:r>
            </w:hyperlink>
          </w:p>
        </w:tc>
        <w:tc>
          <w:tcPr>
            <w:tcW w:w="900" w:type="dxa"/>
            <w:vAlign w:val="bottom"/>
            <w:gridSpan w:val="4"/>
          </w:tcPr>
          <w:p>
            <w:pPr>
              <w:jc w:val="right"/>
              <w:ind w:right="20"/>
              <w:spacing w:after="0"/>
              <w:rPr>
                <w:rFonts w:ascii="Arial" w:cs="Arial" w:eastAsia="Arial" w:hAnsi="Arial"/>
                <w:sz w:val="18"/>
                <w:szCs w:val="18"/>
                <w:color w:val="0000FF"/>
              </w:rPr>
            </w:pPr>
            <w:hyperlink w:anchor="page112">
              <w:r>
                <w:rPr>
                  <w:rFonts w:ascii="Arial" w:cs="Arial" w:eastAsia="Arial" w:hAnsi="Arial"/>
                  <w:sz w:val="18"/>
                  <w:szCs w:val="18"/>
                  <w:color w:val="0000FF"/>
                </w:rPr>
                <w:t>112</w:t>
              </w:r>
            </w:hyperlink>
          </w:p>
        </w:tc>
        <w:tc>
          <w:tcPr>
            <w:tcW w:w="0" w:type="dxa"/>
            <w:vAlign w:val="bottom"/>
          </w:tcPr>
          <w:p>
            <w:pPr>
              <w:spacing w:after="0"/>
              <w:rPr>
                <w:sz w:val="1"/>
                <w:szCs w:val="1"/>
                <w:color w:val="auto"/>
              </w:rPr>
            </w:pPr>
          </w:p>
        </w:tc>
      </w:tr>
      <w:tr>
        <w:trPr>
          <w:trHeight w:val="372"/>
        </w:trPr>
        <w:tc>
          <w:tcPr>
            <w:tcW w:w="6640" w:type="dxa"/>
            <w:vAlign w:val="bottom"/>
            <w:tcBorders>
              <w:top w:val="single" w:sz="8" w:color="0000FF"/>
            </w:tcBorders>
            <w:gridSpan w:val="28"/>
          </w:tcPr>
          <w:p>
            <w:pPr>
              <w:spacing w:after="0"/>
              <w:rPr>
                <w:rFonts w:ascii="Arial" w:cs="Arial" w:eastAsia="Arial" w:hAnsi="Arial"/>
                <w:sz w:val="18"/>
                <w:szCs w:val="18"/>
                <w:color w:val="0000FF"/>
              </w:rPr>
            </w:pPr>
            <w:hyperlink w:anchor="page113">
              <w:r>
                <w:rPr>
                  <w:rFonts w:ascii="Arial" w:cs="Arial" w:eastAsia="Arial" w:hAnsi="Arial"/>
                  <w:sz w:val="18"/>
                  <w:szCs w:val="18"/>
                  <w:color w:val="0000FF"/>
                </w:rPr>
                <w:t>9A Controls and Procedures</w:t>
              </w:r>
            </w:hyperlink>
          </w:p>
        </w:tc>
        <w:tc>
          <w:tcPr>
            <w:tcW w:w="3840" w:type="dxa"/>
            <w:vAlign w:val="bottom"/>
            <w:gridSpan w:val="3"/>
          </w:tcPr>
          <w:p>
            <w:pPr>
              <w:spacing w:after="0"/>
              <w:rPr>
                <w:sz w:val="24"/>
                <w:szCs w:val="24"/>
                <w:color w:val="auto"/>
              </w:rPr>
            </w:pPr>
          </w:p>
        </w:tc>
        <w:tc>
          <w:tcPr>
            <w:tcW w:w="600" w:type="dxa"/>
            <w:vAlign w:val="bottom"/>
          </w:tcPr>
          <w:p>
            <w:pPr>
              <w:spacing w:after="0"/>
              <w:rPr>
                <w:sz w:val="24"/>
                <w:szCs w:val="24"/>
                <w:color w:val="auto"/>
              </w:rPr>
            </w:pPr>
          </w:p>
        </w:tc>
        <w:tc>
          <w:tcPr>
            <w:tcW w:w="280" w:type="dxa"/>
            <w:vAlign w:val="bottom"/>
            <w:tcBorders>
              <w:top w:val="single" w:sz="8" w:color="0000FF"/>
            </w:tcBorders>
            <w:gridSpan w:val="2"/>
          </w:tcPr>
          <w:p>
            <w:pPr>
              <w:jc w:val="right"/>
              <w:spacing w:after="0"/>
              <w:rPr>
                <w:rFonts w:ascii="Arial" w:cs="Arial" w:eastAsia="Arial" w:hAnsi="Arial"/>
                <w:sz w:val="18"/>
                <w:szCs w:val="18"/>
                <w:color w:val="0000FF"/>
                <w:w w:val="86"/>
              </w:rPr>
            </w:pPr>
            <w:hyperlink w:anchor="page113">
              <w:r>
                <w:rPr>
                  <w:rFonts w:ascii="Arial" w:cs="Arial" w:eastAsia="Arial" w:hAnsi="Arial"/>
                  <w:sz w:val="18"/>
                  <w:szCs w:val="18"/>
                  <w:color w:val="0000FF"/>
                  <w:w w:val="86"/>
                </w:rPr>
                <w:t>112</w:t>
              </w:r>
            </w:hyperlink>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2"/>
        </w:trPr>
        <w:tc>
          <w:tcPr>
            <w:tcW w:w="2020" w:type="dxa"/>
            <w:vAlign w:val="bottom"/>
            <w:tcBorders>
              <w:top w:val="single" w:sz="8" w:color="0000FF"/>
            </w:tcBorders>
            <w:gridSpan w:val="11"/>
          </w:tcPr>
          <w:p>
            <w:pPr>
              <w:spacing w:after="0"/>
              <w:rPr>
                <w:rFonts w:ascii="Arial" w:cs="Arial" w:eastAsia="Arial" w:hAnsi="Arial"/>
                <w:sz w:val="18"/>
                <w:szCs w:val="18"/>
                <w:color w:val="0000FF"/>
              </w:rPr>
            </w:pPr>
            <w:hyperlink w:anchor="page113">
              <w:r>
                <w:rPr>
                  <w:rFonts w:ascii="Arial" w:cs="Arial" w:eastAsia="Arial" w:hAnsi="Arial"/>
                  <w:sz w:val="18"/>
                  <w:szCs w:val="18"/>
                  <w:color w:val="0000FF"/>
                </w:rPr>
                <w:t>9B Other Information</w:t>
              </w:r>
            </w:hyperlink>
          </w:p>
        </w:tc>
        <w:tc>
          <w:tcPr>
            <w:tcW w:w="8460" w:type="dxa"/>
            <w:vAlign w:val="bottom"/>
            <w:gridSpan w:val="20"/>
          </w:tcPr>
          <w:p>
            <w:pPr>
              <w:spacing w:after="0"/>
              <w:rPr>
                <w:sz w:val="24"/>
                <w:szCs w:val="24"/>
                <w:color w:val="auto"/>
              </w:rPr>
            </w:pPr>
          </w:p>
        </w:tc>
        <w:tc>
          <w:tcPr>
            <w:tcW w:w="600" w:type="dxa"/>
            <w:vAlign w:val="bottom"/>
          </w:tcPr>
          <w:p>
            <w:pPr>
              <w:spacing w:after="0"/>
              <w:rPr>
                <w:sz w:val="24"/>
                <w:szCs w:val="24"/>
                <w:color w:val="auto"/>
              </w:rPr>
            </w:pPr>
          </w:p>
        </w:tc>
        <w:tc>
          <w:tcPr>
            <w:tcW w:w="280" w:type="dxa"/>
            <w:vAlign w:val="bottom"/>
            <w:tcBorders>
              <w:top w:val="single" w:sz="8" w:color="0000FF"/>
            </w:tcBorders>
            <w:gridSpan w:val="2"/>
          </w:tcPr>
          <w:p>
            <w:pPr>
              <w:jc w:val="right"/>
              <w:spacing w:after="0"/>
              <w:rPr>
                <w:rFonts w:ascii="Arial" w:cs="Arial" w:eastAsia="Arial" w:hAnsi="Arial"/>
                <w:sz w:val="18"/>
                <w:szCs w:val="18"/>
                <w:color w:val="0000FF"/>
                <w:w w:val="86"/>
              </w:rPr>
            </w:pPr>
            <w:hyperlink w:anchor="page113">
              <w:r>
                <w:rPr>
                  <w:rFonts w:ascii="Arial" w:cs="Arial" w:eastAsia="Arial" w:hAnsi="Arial"/>
                  <w:sz w:val="18"/>
                  <w:szCs w:val="18"/>
                  <w:color w:val="0000FF"/>
                  <w:w w:val="86"/>
                </w:rPr>
                <w:t>112</w:t>
              </w:r>
            </w:hyperlink>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2"/>
        </w:trPr>
        <w:tc>
          <w:tcPr>
            <w:tcW w:w="100" w:type="dxa"/>
            <w:vAlign w:val="bottom"/>
            <w:tcBorders>
              <w:top w:val="single" w:sz="8" w:color="0000FF"/>
            </w:tcBorders>
          </w:tcPr>
          <w:p>
            <w:pPr>
              <w:spacing w:after="0"/>
              <w:rPr>
                <w:sz w:val="24"/>
                <w:szCs w:val="24"/>
                <w:color w:val="auto"/>
              </w:rPr>
            </w:pPr>
          </w:p>
        </w:tc>
        <w:tc>
          <w:tcPr>
            <w:tcW w:w="240" w:type="dxa"/>
            <w:vAlign w:val="bottom"/>
            <w:tcBorders>
              <w:top w:val="single" w:sz="8" w:color="0000FF"/>
            </w:tcBorders>
          </w:tcPr>
          <w:p>
            <w:pPr>
              <w:spacing w:after="0"/>
              <w:rPr>
                <w:sz w:val="24"/>
                <w:szCs w:val="24"/>
                <w:color w:val="auto"/>
              </w:rPr>
            </w:pPr>
          </w:p>
        </w:tc>
        <w:tc>
          <w:tcPr>
            <w:tcW w:w="300" w:type="dxa"/>
            <w:vAlign w:val="bottom"/>
            <w:tcBorders>
              <w:top w:val="single" w:sz="8" w:color="0000FF"/>
            </w:tcBorders>
          </w:tcPr>
          <w:p>
            <w:pPr>
              <w:spacing w:after="0"/>
              <w:rPr>
                <w:sz w:val="24"/>
                <w:szCs w:val="24"/>
                <w:color w:val="auto"/>
              </w:rPr>
            </w:pPr>
          </w:p>
        </w:tc>
        <w:tc>
          <w:tcPr>
            <w:tcW w:w="140" w:type="dxa"/>
            <w:vAlign w:val="bottom"/>
            <w:tcBorders>
              <w:top w:val="single" w:sz="8" w:color="0000FF"/>
            </w:tcBorders>
          </w:tcPr>
          <w:p>
            <w:pPr>
              <w:spacing w:after="0"/>
              <w:rPr>
                <w:sz w:val="24"/>
                <w:szCs w:val="24"/>
                <w:color w:val="auto"/>
              </w:rPr>
            </w:pPr>
          </w:p>
        </w:tc>
        <w:tc>
          <w:tcPr>
            <w:tcW w:w="80" w:type="dxa"/>
            <w:vAlign w:val="bottom"/>
            <w:tcBorders>
              <w:top w:val="single" w:sz="8" w:color="0000FF"/>
            </w:tcBorders>
          </w:tcPr>
          <w:p>
            <w:pPr>
              <w:spacing w:after="0"/>
              <w:rPr>
                <w:sz w:val="24"/>
                <w:szCs w:val="24"/>
                <w:color w:val="auto"/>
              </w:rPr>
            </w:pPr>
          </w:p>
        </w:tc>
        <w:tc>
          <w:tcPr>
            <w:tcW w:w="300" w:type="dxa"/>
            <w:vAlign w:val="bottom"/>
            <w:tcBorders>
              <w:top w:val="single" w:sz="8" w:color="0000FF"/>
            </w:tcBorders>
          </w:tcPr>
          <w:p>
            <w:pPr>
              <w:spacing w:after="0"/>
              <w:rPr>
                <w:sz w:val="24"/>
                <w:szCs w:val="24"/>
                <w:color w:val="auto"/>
              </w:rPr>
            </w:pPr>
          </w:p>
        </w:tc>
        <w:tc>
          <w:tcPr>
            <w:tcW w:w="300" w:type="dxa"/>
            <w:vAlign w:val="bottom"/>
            <w:tcBorders>
              <w:top w:val="single" w:sz="8" w:color="0000FF"/>
            </w:tcBorders>
          </w:tcPr>
          <w:p>
            <w:pPr>
              <w:spacing w:after="0"/>
              <w:rPr>
                <w:sz w:val="24"/>
                <w:szCs w:val="24"/>
                <w:color w:val="auto"/>
              </w:rPr>
            </w:pPr>
          </w:p>
        </w:tc>
        <w:tc>
          <w:tcPr>
            <w:tcW w:w="100" w:type="dxa"/>
            <w:vAlign w:val="bottom"/>
            <w:tcBorders>
              <w:top w:val="single" w:sz="8" w:color="0000FF"/>
            </w:tcBorders>
          </w:tcPr>
          <w:p>
            <w:pPr>
              <w:spacing w:after="0"/>
              <w:rPr>
                <w:sz w:val="24"/>
                <w:szCs w:val="24"/>
                <w:color w:val="auto"/>
              </w:rPr>
            </w:pPr>
          </w:p>
        </w:tc>
        <w:tc>
          <w:tcPr>
            <w:tcW w:w="2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860" w:type="dxa"/>
            <w:vAlign w:val="bottom"/>
            <w:gridSpan w:val="14"/>
          </w:tcPr>
          <w:p>
            <w:pPr>
              <w:jc w:val="center"/>
              <w:ind w:right="4660"/>
              <w:spacing w:after="0"/>
              <w:rPr>
                <w:rFonts w:ascii="Arial" w:cs="Arial" w:eastAsia="Arial" w:hAnsi="Arial"/>
                <w:sz w:val="18"/>
                <w:szCs w:val="18"/>
                <w:b w:val="1"/>
                <w:bCs w:val="1"/>
                <w:color w:val="0000FF"/>
              </w:rPr>
            </w:pPr>
            <w:hyperlink w:anchor="page113">
              <w:r>
                <w:rPr>
                  <w:rFonts w:ascii="Arial" w:cs="Arial" w:eastAsia="Arial" w:hAnsi="Arial"/>
                  <w:sz w:val="18"/>
                  <w:szCs w:val="18"/>
                  <w:b w:val="1"/>
                  <w:bCs w:val="1"/>
                  <w:color w:val="0000FF"/>
                </w:rPr>
                <w:t>PART III</w:t>
              </w:r>
            </w:hyperlink>
          </w:p>
        </w:tc>
        <w:tc>
          <w:tcPr>
            <w:tcW w:w="600" w:type="dxa"/>
            <w:vAlign w:val="bottom"/>
          </w:tcPr>
          <w:p>
            <w:pPr>
              <w:spacing w:after="0"/>
              <w:rPr>
                <w:sz w:val="24"/>
                <w:szCs w:val="24"/>
                <w:color w:val="auto"/>
              </w:rPr>
            </w:pPr>
          </w:p>
        </w:tc>
        <w:tc>
          <w:tcPr>
            <w:tcW w:w="140" w:type="dxa"/>
            <w:vAlign w:val="bottom"/>
            <w:tcBorders>
              <w:top w:val="single" w:sz="8" w:color="0000FF"/>
            </w:tcBorders>
          </w:tcPr>
          <w:p>
            <w:pPr>
              <w:spacing w:after="0"/>
              <w:rPr>
                <w:sz w:val="24"/>
                <w:szCs w:val="24"/>
                <w:color w:val="auto"/>
              </w:rPr>
            </w:pPr>
          </w:p>
        </w:tc>
        <w:tc>
          <w:tcPr>
            <w:tcW w:w="140" w:type="dxa"/>
            <w:vAlign w:val="bottom"/>
            <w:tcBorders>
              <w:top w:val="single" w:sz="8" w:color="0000FF"/>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2"/>
        </w:trPr>
        <w:tc>
          <w:tcPr>
            <w:tcW w:w="4320" w:type="dxa"/>
            <w:vAlign w:val="bottom"/>
            <w:tcBorders>
              <w:bottom w:val="single" w:sz="8" w:color="0000FF"/>
            </w:tcBorders>
            <w:gridSpan w:val="16"/>
          </w:tcPr>
          <w:p>
            <w:pPr>
              <w:spacing w:after="0"/>
              <w:rPr>
                <w:rFonts w:ascii="Arial" w:cs="Arial" w:eastAsia="Arial" w:hAnsi="Arial"/>
                <w:sz w:val="18"/>
                <w:szCs w:val="18"/>
                <w:color w:val="0000FF"/>
                <w:w w:val="90"/>
              </w:rPr>
            </w:pPr>
            <w:hyperlink w:anchor="page113">
              <w:r>
                <w:rPr>
                  <w:rFonts w:ascii="Arial" w:cs="Arial" w:eastAsia="Arial" w:hAnsi="Arial"/>
                  <w:sz w:val="18"/>
                  <w:szCs w:val="18"/>
                  <w:color w:val="0000FF"/>
                  <w:w w:val="90"/>
                </w:rPr>
                <w:t>10 Directors, Executive Officers and Corporate Governance</w:t>
              </w:r>
            </w:hyperlink>
          </w:p>
        </w:tc>
        <w:tc>
          <w:tcPr>
            <w:tcW w:w="540" w:type="dxa"/>
            <w:vAlign w:val="bottom"/>
            <w:gridSpan w:val="2"/>
          </w:tcPr>
          <w:p>
            <w:pPr>
              <w:spacing w:after="0"/>
              <w:rPr>
                <w:sz w:val="24"/>
                <w:szCs w:val="24"/>
                <w:color w:val="auto"/>
              </w:rPr>
            </w:pPr>
          </w:p>
        </w:tc>
        <w:tc>
          <w:tcPr>
            <w:tcW w:w="740" w:type="dxa"/>
            <w:vAlign w:val="bottom"/>
            <w:tcBorders>
              <w:top w:val="single" w:sz="8" w:color="0000FF"/>
            </w:tcBorders>
            <w:gridSpan w:val="7"/>
          </w:tcPr>
          <w:p>
            <w:pPr>
              <w:spacing w:after="0"/>
              <w:rPr>
                <w:sz w:val="24"/>
                <w:szCs w:val="24"/>
                <w:color w:val="auto"/>
              </w:rPr>
            </w:pPr>
          </w:p>
        </w:tc>
        <w:tc>
          <w:tcPr>
            <w:tcW w:w="4880" w:type="dxa"/>
            <w:vAlign w:val="bottom"/>
            <w:gridSpan w:val="6"/>
          </w:tcPr>
          <w:p>
            <w:pPr>
              <w:spacing w:after="0"/>
              <w:rPr>
                <w:sz w:val="24"/>
                <w:szCs w:val="24"/>
                <w:color w:val="auto"/>
              </w:rPr>
            </w:pPr>
          </w:p>
        </w:tc>
        <w:tc>
          <w:tcPr>
            <w:tcW w:w="600" w:type="dxa"/>
            <w:vAlign w:val="bottom"/>
          </w:tcPr>
          <w:p>
            <w:pPr>
              <w:spacing w:after="0"/>
              <w:rPr>
                <w:sz w:val="24"/>
                <w:szCs w:val="24"/>
                <w:color w:val="auto"/>
              </w:rPr>
            </w:pPr>
          </w:p>
        </w:tc>
        <w:tc>
          <w:tcPr>
            <w:tcW w:w="280" w:type="dxa"/>
            <w:vAlign w:val="bottom"/>
            <w:tcBorders>
              <w:bottom w:val="single" w:sz="8" w:color="0000EE"/>
            </w:tcBorders>
            <w:gridSpan w:val="2"/>
          </w:tcPr>
          <w:p>
            <w:pPr>
              <w:jc w:val="right"/>
              <w:spacing w:after="0"/>
              <w:rPr>
                <w:rFonts w:ascii="Arial" w:cs="Arial" w:eastAsia="Arial" w:hAnsi="Arial"/>
                <w:sz w:val="18"/>
                <w:szCs w:val="18"/>
                <w:color w:val="0000EE"/>
                <w:w w:val="86"/>
              </w:rPr>
            </w:pPr>
            <w:hyperlink w:anchor="page113">
              <w:r>
                <w:rPr>
                  <w:rFonts w:ascii="Arial" w:cs="Arial" w:eastAsia="Arial" w:hAnsi="Arial"/>
                  <w:sz w:val="18"/>
                  <w:szCs w:val="18"/>
                  <w:color w:val="0000EE"/>
                  <w:w w:val="86"/>
                </w:rPr>
                <w:t>112</w:t>
              </w:r>
            </w:hyperlink>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2"/>
        </w:trPr>
        <w:tc>
          <w:tcPr>
            <w:tcW w:w="2020" w:type="dxa"/>
            <w:vAlign w:val="bottom"/>
            <w:tcBorders>
              <w:bottom w:val="single" w:sz="8" w:color="0000FF"/>
            </w:tcBorders>
            <w:gridSpan w:val="11"/>
          </w:tcPr>
          <w:p>
            <w:pPr>
              <w:spacing w:after="0"/>
              <w:rPr>
                <w:rFonts w:ascii="Arial" w:cs="Arial" w:eastAsia="Arial" w:hAnsi="Arial"/>
                <w:sz w:val="18"/>
                <w:szCs w:val="18"/>
                <w:color w:val="0000FF"/>
                <w:w w:val="89"/>
              </w:rPr>
            </w:pPr>
            <w:hyperlink w:anchor="page114">
              <w:r>
                <w:rPr>
                  <w:rFonts w:ascii="Arial" w:cs="Arial" w:eastAsia="Arial" w:hAnsi="Arial"/>
                  <w:sz w:val="18"/>
                  <w:szCs w:val="18"/>
                  <w:color w:val="0000FF"/>
                  <w:w w:val="89"/>
                </w:rPr>
                <w:t>11 Executive Compensation</w:t>
              </w:r>
            </w:hyperlink>
          </w:p>
        </w:tc>
        <w:tc>
          <w:tcPr>
            <w:tcW w:w="8460" w:type="dxa"/>
            <w:vAlign w:val="bottom"/>
            <w:gridSpan w:val="20"/>
          </w:tcPr>
          <w:p>
            <w:pPr>
              <w:spacing w:after="0"/>
              <w:rPr>
                <w:sz w:val="24"/>
                <w:szCs w:val="24"/>
                <w:color w:val="auto"/>
              </w:rPr>
            </w:pPr>
          </w:p>
        </w:tc>
        <w:tc>
          <w:tcPr>
            <w:tcW w:w="600" w:type="dxa"/>
            <w:vAlign w:val="bottom"/>
          </w:tcPr>
          <w:p>
            <w:pPr>
              <w:spacing w:after="0"/>
              <w:rPr>
                <w:sz w:val="24"/>
                <w:szCs w:val="24"/>
                <w:color w:val="auto"/>
              </w:rPr>
            </w:pPr>
          </w:p>
        </w:tc>
        <w:tc>
          <w:tcPr>
            <w:tcW w:w="280" w:type="dxa"/>
            <w:vAlign w:val="bottom"/>
            <w:tcBorders>
              <w:bottom w:val="single" w:sz="8" w:color="0000EE"/>
            </w:tcBorders>
            <w:gridSpan w:val="2"/>
          </w:tcPr>
          <w:p>
            <w:pPr>
              <w:jc w:val="right"/>
              <w:spacing w:after="0"/>
              <w:rPr>
                <w:rFonts w:ascii="Arial" w:cs="Arial" w:eastAsia="Arial" w:hAnsi="Arial"/>
                <w:sz w:val="18"/>
                <w:szCs w:val="18"/>
                <w:color w:val="0000EE"/>
                <w:w w:val="86"/>
              </w:rPr>
            </w:pPr>
            <w:hyperlink w:anchor="page114">
              <w:r>
                <w:rPr>
                  <w:rFonts w:ascii="Arial" w:cs="Arial" w:eastAsia="Arial" w:hAnsi="Arial"/>
                  <w:sz w:val="18"/>
                  <w:szCs w:val="18"/>
                  <w:color w:val="0000EE"/>
                  <w:w w:val="86"/>
                </w:rPr>
                <w:t>113</w:t>
              </w:r>
            </w:hyperlink>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2"/>
        </w:trPr>
        <w:tc>
          <w:tcPr>
            <w:tcW w:w="7520" w:type="dxa"/>
            <w:vAlign w:val="bottom"/>
            <w:tcBorders>
              <w:bottom w:val="single" w:sz="8" w:color="0000FF"/>
            </w:tcBorders>
            <w:gridSpan w:val="29"/>
          </w:tcPr>
          <w:p>
            <w:pPr>
              <w:spacing w:after="0"/>
              <w:rPr>
                <w:rFonts w:ascii="Arial" w:cs="Arial" w:eastAsia="Arial" w:hAnsi="Arial"/>
                <w:sz w:val="18"/>
                <w:szCs w:val="18"/>
                <w:color w:val="0000FF"/>
                <w:w w:val="90"/>
              </w:rPr>
            </w:pPr>
            <w:hyperlink w:anchor="page114">
              <w:r>
                <w:rPr>
                  <w:rFonts w:ascii="Arial" w:cs="Arial" w:eastAsia="Arial" w:hAnsi="Arial"/>
                  <w:sz w:val="18"/>
                  <w:szCs w:val="18"/>
                  <w:color w:val="0000FF"/>
                  <w:w w:val="90"/>
                </w:rPr>
                <w:t>12 Security Ownership of Certain Beneficial Owners and Management and Related Stockholder Matters</w:t>
              </w:r>
            </w:hyperlink>
          </w:p>
        </w:tc>
        <w:tc>
          <w:tcPr>
            <w:tcW w:w="2960" w:type="dxa"/>
            <w:vAlign w:val="bottom"/>
            <w:gridSpan w:val="2"/>
          </w:tcPr>
          <w:p>
            <w:pPr>
              <w:spacing w:after="0"/>
              <w:rPr>
                <w:sz w:val="24"/>
                <w:szCs w:val="24"/>
                <w:color w:val="auto"/>
              </w:rPr>
            </w:pPr>
          </w:p>
        </w:tc>
        <w:tc>
          <w:tcPr>
            <w:tcW w:w="600" w:type="dxa"/>
            <w:vAlign w:val="bottom"/>
          </w:tcPr>
          <w:p>
            <w:pPr>
              <w:spacing w:after="0"/>
              <w:rPr>
                <w:sz w:val="24"/>
                <w:szCs w:val="24"/>
                <w:color w:val="auto"/>
              </w:rPr>
            </w:pPr>
          </w:p>
        </w:tc>
        <w:tc>
          <w:tcPr>
            <w:tcW w:w="280" w:type="dxa"/>
            <w:vAlign w:val="bottom"/>
            <w:tcBorders>
              <w:bottom w:val="single" w:sz="8" w:color="0000EE"/>
            </w:tcBorders>
            <w:gridSpan w:val="2"/>
          </w:tcPr>
          <w:p>
            <w:pPr>
              <w:jc w:val="right"/>
              <w:spacing w:after="0"/>
              <w:rPr>
                <w:rFonts w:ascii="Arial" w:cs="Arial" w:eastAsia="Arial" w:hAnsi="Arial"/>
                <w:sz w:val="18"/>
                <w:szCs w:val="18"/>
                <w:color w:val="0000EE"/>
                <w:w w:val="86"/>
              </w:rPr>
            </w:pPr>
            <w:hyperlink w:anchor="page114">
              <w:r>
                <w:rPr>
                  <w:rFonts w:ascii="Arial" w:cs="Arial" w:eastAsia="Arial" w:hAnsi="Arial"/>
                  <w:sz w:val="18"/>
                  <w:szCs w:val="18"/>
                  <w:color w:val="0000EE"/>
                  <w:w w:val="86"/>
                </w:rPr>
                <w:t>113</w:t>
              </w:r>
            </w:hyperlink>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2"/>
        </w:trPr>
        <w:tc>
          <w:tcPr>
            <w:tcW w:w="5680" w:type="dxa"/>
            <w:vAlign w:val="bottom"/>
            <w:tcBorders>
              <w:bottom w:val="single" w:sz="8" w:color="0000FF"/>
            </w:tcBorders>
            <w:gridSpan w:val="26"/>
          </w:tcPr>
          <w:p>
            <w:pPr>
              <w:spacing w:after="0"/>
              <w:rPr>
                <w:rFonts w:ascii="Arial" w:cs="Arial" w:eastAsia="Arial" w:hAnsi="Arial"/>
                <w:sz w:val="18"/>
                <w:szCs w:val="18"/>
                <w:color w:val="0000FF"/>
                <w:w w:val="89"/>
              </w:rPr>
            </w:pPr>
            <w:hyperlink w:anchor="page114">
              <w:r>
                <w:rPr>
                  <w:rFonts w:ascii="Arial" w:cs="Arial" w:eastAsia="Arial" w:hAnsi="Arial"/>
                  <w:sz w:val="18"/>
                  <w:szCs w:val="18"/>
                  <w:color w:val="0000FF"/>
                  <w:w w:val="89"/>
                </w:rPr>
                <w:t>13 Certain Relationships and Related Transactions, and Director Independence</w:t>
              </w:r>
            </w:hyperlink>
          </w:p>
        </w:tc>
        <w:tc>
          <w:tcPr>
            <w:tcW w:w="4800" w:type="dxa"/>
            <w:vAlign w:val="bottom"/>
            <w:gridSpan w:val="5"/>
          </w:tcPr>
          <w:p>
            <w:pPr>
              <w:spacing w:after="0"/>
              <w:rPr>
                <w:sz w:val="24"/>
                <w:szCs w:val="24"/>
                <w:color w:val="auto"/>
              </w:rPr>
            </w:pPr>
          </w:p>
        </w:tc>
        <w:tc>
          <w:tcPr>
            <w:tcW w:w="600" w:type="dxa"/>
            <w:vAlign w:val="bottom"/>
          </w:tcPr>
          <w:p>
            <w:pPr>
              <w:spacing w:after="0"/>
              <w:rPr>
                <w:sz w:val="24"/>
                <w:szCs w:val="24"/>
                <w:color w:val="auto"/>
              </w:rPr>
            </w:pPr>
          </w:p>
        </w:tc>
        <w:tc>
          <w:tcPr>
            <w:tcW w:w="280" w:type="dxa"/>
            <w:vAlign w:val="bottom"/>
            <w:tcBorders>
              <w:bottom w:val="single" w:sz="8" w:color="0000EE"/>
            </w:tcBorders>
            <w:gridSpan w:val="2"/>
          </w:tcPr>
          <w:p>
            <w:pPr>
              <w:jc w:val="right"/>
              <w:spacing w:after="0"/>
              <w:rPr>
                <w:rFonts w:ascii="Arial" w:cs="Arial" w:eastAsia="Arial" w:hAnsi="Arial"/>
                <w:sz w:val="18"/>
                <w:szCs w:val="18"/>
                <w:color w:val="0000EE"/>
                <w:w w:val="86"/>
              </w:rPr>
            </w:pPr>
            <w:hyperlink w:anchor="page114">
              <w:r>
                <w:rPr>
                  <w:rFonts w:ascii="Arial" w:cs="Arial" w:eastAsia="Arial" w:hAnsi="Arial"/>
                  <w:sz w:val="18"/>
                  <w:szCs w:val="18"/>
                  <w:color w:val="0000EE"/>
                  <w:w w:val="86"/>
                </w:rPr>
                <w:t>113</w:t>
              </w:r>
            </w:hyperlink>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2"/>
        </w:trPr>
        <w:tc>
          <w:tcPr>
            <w:tcW w:w="10480" w:type="dxa"/>
            <w:vAlign w:val="bottom"/>
            <w:gridSpan w:val="31"/>
          </w:tcPr>
          <w:p>
            <w:pPr>
              <w:spacing w:after="0"/>
              <w:rPr>
                <w:rFonts w:ascii="Arial" w:cs="Arial" w:eastAsia="Arial" w:hAnsi="Arial"/>
                <w:sz w:val="18"/>
                <w:szCs w:val="18"/>
                <w:color w:val="0000EE"/>
              </w:rPr>
            </w:pPr>
            <w:hyperlink w:anchor="page114">
              <w:r>
                <w:rPr>
                  <w:rFonts w:ascii="Arial" w:cs="Arial" w:eastAsia="Arial" w:hAnsi="Arial"/>
                  <w:sz w:val="18"/>
                  <w:szCs w:val="18"/>
                  <w:color w:val="0000EE"/>
                </w:rPr>
                <w:t>14 Principal Accounting Fees and Services</w:t>
              </w:r>
            </w:hyperlink>
          </w:p>
        </w:tc>
        <w:tc>
          <w:tcPr>
            <w:tcW w:w="900" w:type="dxa"/>
            <w:vAlign w:val="bottom"/>
            <w:gridSpan w:val="4"/>
          </w:tcPr>
          <w:p>
            <w:pPr>
              <w:jc w:val="right"/>
              <w:ind w:right="20"/>
              <w:spacing w:after="0"/>
              <w:rPr>
                <w:rFonts w:ascii="Arial" w:cs="Arial" w:eastAsia="Arial" w:hAnsi="Arial"/>
                <w:sz w:val="18"/>
                <w:szCs w:val="18"/>
                <w:color w:val="0000EE"/>
              </w:rPr>
            </w:pPr>
            <w:hyperlink w:anchor="page114">
              <w:r>
                <w:rPr>
                  <w:rFonts w:ascii="Arial" w:cs="Arial" w:eastAsia="Arial" w:hAnsi="Arial"/>
                  <w:sz w:val="18"/>
                  <w:szCs w:val="18"/>
                  <w:color w:val="0000EE"/>
                </w:rPr>
                <w:t>113</w:t>
              </w:r>
            </w:hyperlink>
          </w:p>
        </w:tc>
        <w:tc>
          <w:tcPr>
            <w:tcW w:w="0" w:type="dxa"/>
            <w:vAlign w:val="bottom"/>
          </w:tcPr>
          <w:p>
            <w:pPr>
              <w:spacing w:after="0"/>
              <w:rPr>
                <w:sz w:val="1"/>
                <w:szCs w:val="1"/>
                <w:color w:val="auto"/>
              </w:rPr>
            </w:pPr>
          </w:p>
        </w:tc>
      </w:tr>
      <w:tr>
        <w:trPr>
          <w:trHeight w:val="372"/>
        </w:trPr>
        <w:tc>
          <w:tcPr>
            <w:tcW w:w="100" w:type="dxa"/>
            <w:vAlign w:val="bottom"/>
            <w:tcBorders>
              <w:top w:val="single" w:sz="8" w:color="0000EE"/>
            </w:tcBorders>
          </w:tcPr>
          <w:p>
            <w:pPr>
              <w:spacing w:after="0"/>
              <w:rPr>
                <w:sz w:val="24"/>
                <w:szCs w:val="24"/>
                <w:color w:val="auto"/>
              </w:rPr>
            </w:pPr>
          </w:p>
        </w:tc>
        <w:tc>
          <w:tcPr>
            <w:tcW w:w="240" w:type="dxa"/>
            <w:vAlign w:val="bottom"/>
            <w:tcBorders>
              <w:top w:val="single" w:sz="8" w:color="0000EE"/>
            </w:tcBorders>
          </w:tcPr>
          <w:p>
            <w:pPr>
              <w:spacing w:after="0"/>
              <w:rPr>
                <w:sz w:val="24"/>
                <w:szCs w:val="24"/>
                <w:color w:val="auto"/>
              </w:rPr>
            </w:pPr>
          </w:p>
        </w:tc>
        <w:tc>
          <w:tcPr>
            <w:tcW w:w="300" w:type="dxa"/>
            <w:vAlign w:val="bottom"/>
            <w:tcBorders>
              <w:top w:val="single" w:sz="8" w:color="0000EE"/>
            </w:tcBorders>
          </w:tcPr>
          <w:p>
            <w:pPr>
              <w:spacing w:after="0"/>
              <w:rPr>
                <w:sz w:val="24"/>
                <w:szCs w:val="24"/>
                <w:color w:val="auto"/>
              </w:rPr>
            </w:pPr>
          </w:p>
        </w:tc>
        <w:tc>
          <w:tcPr>
            <w:tcW w:w="14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300" w:type="dxa"/>
            <w:vAlign w:val="bottom"/>
            <w:tcBorders>
              <w:top w:val="single" w:sz="8" w:color="0000EE"/>
            </w:tcBorders>
          </w:tcPr>
          <w:p>
            <w:pPr>
              <w:spacing w:after="0"/>
              <w:rPr>
                <w:sz w:val="24"/>
                <w:szCs w:val="24"/>
                <w:color w:val="auto"/>
              </w:rPr>
            </w:pPr>
          </w:p>
        </w:tc>
        <w:tc>
          <w:tcPr>
            <w:tcW w:w="30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28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120" w:type="dxa"/>
            <w:vAlign w:val="bottom"/>
            <w:tcBorders>
              <w:top w:val="single" w:sz="8" w:color="0000EE"/>
            </w:tcBorders>
          </w:tcPr>
          <w:p>
            <w:pPr>
              <w:spacing w:after="0"/>
              <w:rPr>
                <w:sz w:val="24"/>
                <w:szCs w:val="24"/>
                <w:color w:val="auto"/>
              </w:rPr>
            </w:pPr>
          </w:p>
        </w:tc>
        <w:tc>
          <w:tcPr>
            <w:tcW w:w="280" w:type="dxa"/>
            <w:vAlign w:val="bottom"/>
            <w:tcBorders>
              <w:top w:val="single" w:sz="8" w:color="0000EE"/>
            </w:tcBorders>
          </w:tcPr>
          <w:p>
            <w:pPr>
              <w:spacing w:after="0"/>
              <w:rPr>
                <w:sz w:val="24"/>
                <w:szCs w:val="24"/>
                <w:color w:val="auto"/>
              </w:rPr>
            </w:pPr>
          </w:p>
        </w:tc>
        <w:tc>
          <w:tcPr>
            <w:tcW w:w="780" w:type="dxa"/>
            <w:vAlign w:val="bottom"/>
            <w:tcBorders>
              <w:top w:val="single" w:sz="8" w:color="0000EE"/>
            </w:tcBorders>
          </w:tcPr>
          <w:p>
            <w:pPr>
              <w:spacing w:after="0"/>
              <w:rPr>
                <w:sz w:val="24"/>
                <w:szCs w:val="24"/>
                <w:color w:val="auto"/>
              </w:rPr>
            </w:pPr>
          </w:p>
        </w:tc>
        <w:tc>
          <w:tcPr>
            <w:tcW w:w="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620" w:type="dxa"/>
            <w:vAlign w:val="bottom"/>
            <w:gridSpan w:val="13"/>
          </w:tcPr>
          <w:p>
            <w:pPr>
              <w:jc w:val="center"/>
              <w:ind w:right="4900"/>
              <w:spacing w:after="0"/>
              <w:rPr>
                <w:rFonts w:ascii="Arial" w:cs="Arial" w:eastAsia="Arial" w:hAnsi="Arial"/>
                <w:sz w:val="18"/>
                <w:szCs w:val="18"/>
                <w:b w:val="1"/>
                <w:bCs w:val="1"/>
                <w:color w:val="0000FF"/>
              </w:rPr>
            </w:pPr>
            <w:hyperlink w:anchor="page114">
              <w:r>
                <w:rPr>
                  <w:rFonts w:ascii="Arial" w:cs="Arial" w:eastAsia="Arial" w:hAnsi="Arial"/>
                  <w:sz w:val="18"/>
                  <w:szCs w:val="18"/>
                  <w:b w:val="1"/>
                  <w:bCs w:val="1"/>
                  <w:color w:val="0000FF"/>
                </w:rPr>
                <w:t>PART IV</w:t>
              </w:r>
            </w:hyperlink>
          </w:p>
        </w:tc>
        <w:tc>
          <w:tcPr>
            <w:tcW w:w="600" w:type="dxa"/>
            <w:vAlign w:val="bottom"/>
          </w:tcPr>
          <w:p>
            <w:pPr>
              <w:spacing w:after="0"/>
              <w:rPr>
                <w:sz w:val="24"/>
                <w:szCs w:val="24"/>
                <w:color w:val="auto"/>
              </w:rPr>
            </w:pPr>
          </w:p>
        </w:tc>
        <w:tc>
          <w:tcPr>
            <w:tcW w:w="140" w:type="dxa"/>
            <w:vAlign w:val="bottom"/>
            <w:tcBorders>
              <w:top w:val="single" w:sz="8" w:color="0000EE"/>
            </w:tcBorders>
          </w:tcPr>
          <w:p>
            <w:pPr>
              <w:spacing w:after="0"/>
              <w:rPr>
                <w:sz w:val="24"/>
                <w:szCs w:val="24"/>
                <w:color w:val="auto"/>
              </w:rPr>
            </w:pPr>
          </w:p>
        </w:tc>
        <w:tc>
          <w:tcPr>
            <w:tcW w:w="140" w:type="dxa"/>
            <w:vAlign w:val="bottom"/>
            <w:tcBorders>
              <w:top w:val="single" w:sz="8" w:color="0000EE"/>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2"/>
        </w:trPr>
        <w:tc>
          <w:tcPr>
            <w:tcW w:w="3120" w:type="dxa"/>
            <w:vAlign w:val="bottom"/>
            <w:tcBorders>
              <w:bottom w:val="single" w:sz="8" w:color="0000EE"/>
            </w:tcBorders>
            <w:gridSpan w:val="14"/>
          </w:tcPr>
          <w:p>
            <w:pPr>
              <w:spacing w:after="0"/>
              <w:rPr>
                <w:rFonts w:ascii="Arial" w:cs="Arial" w:eastAsia="Arial" w:hAnsi="Arial"/>
                <w:sz w:val="18"/>
                <w:szCs w:val="18"/>
                <w:color w:val="0000EE"/>
                <w:w w:val="89"/>
              </w:rPr>
            </w:pPr>
            <w:hyperlink w:anchor="page115">
              <w:r>
                <w:rPr>
                  <w:rFonts w:ascii="Arial" w:cs="Arial" w:eastAsia="Arial" w:hAnsi="Arial"/>
                  <w:sz w:val="18"/>
                  <w:szCs w:val="18"/>
                  <w:color w:val="0000EE"/>
                  <w:w w:val="89"/>
                </w:rPr>
                <w:t>15 Exhibits, Financial Statement Schedules</w:t>
              </w:r>
            </w:hyperlink>
          </w:p>
        </w:tc>
        <w:tc>
          <w:tcPr>
            <w:tcW w:w="1760" w:type="dxa"/>
            <w:vAlign w:val="bottom"/>
            <w:gridSpan w:val="5"/>
          </w:tcPr>
          <w:p>
            <w:pPr>
              <w:spacing w:after="0"/>
              <w:rPr>
                <w:sz w:val="24"/>
                <w:szCs w:val="24"/>
                <w:color w:val="auto"/>
              </w:rPr>
            </w:pPr>
          </w:p>
        </w:tc>
        <w:tc>
          <w:tcPr>
            <w:tcW w:w="700" w:type="dxa"/>
            <w:vAlign w:val="bottom"/>
            <w:tcBorders>
              <w:top w:val="single" w:sz="8" w:color="0000FF"/>
            </w:tcBorders>
            <w:gridSpan w:val="5"/>
          </w:tcPr>
          <w:p>
            <w:pPr>
              <w:spacing w:after="0"/>
              <w:rPr>
                <w:sz w:val="24"/>
                <w:szCs w:val="24"/>
                <w:color w:val="auto"/>
              </w:rPr>
            </w:pPr>
          </w:p>
        </w:tc>
        <w:tc>
          <w:tcPr>
            <w:tcW w:w="4900" w:type="dxa"/>
            <w:vAlign w:val="bottom"/>
            <w:gridSpan w:val="7"/>
          </w:tcPr>
          <w:p>
            <w:pPr>
              <w:spacing w:after="0"/>
              <w:rPr>
                <w:sz w:val="24"/>
                <w:szCs w:val="24"/>
                <w:color w:val="auto"/>
              </w:rPr>
            </w:pPr>
          </w:p>
        </w:tc>
        <w:tc>
          <w:tcPr>
            <w:tcW w:w="600" w:type="dxa"/>
            <w:vAlign w:val="bottom"/>
          </w:tcPr>
          <w:p>
            <w:pPr>
              <w:spacing w:after="0"/>
              <w:rPr>
                <w:sz w:val="24"/>
                <w:szCs w:val="24"/>
                <w:color w:val="auto"/>
              </w:rPr>
            </w:pPr>
          </w:p>
        </w:tc>
        <w:tc>
          <w:tcPr>
            <w:tcW w:w="280" w:type="dxa"/>
            <w:vAlign w:val="bottom"/>
            <w:tcBorders>
              <w:bottom w:val="single" w:sz="8" w:color="0000FF"/>
            </w:tcBorders>
            <w:gridSpan w:val="2"/>
          </w:tcPr>
          <w:p>
            <w:pPr>
              <w:jc w:val="right"/>
              <w:spacing w:after="0"/>
              <w:rPr>
                <w:rFonts w:ascii="Arial" w:cs="Arial" w:eastAsia="Arial" w:hAnsi="Arial"/>
                <w:sz w:val="18"/>
                <w:szCs w:val="18"/>
                <w:color w:val="0000FF"/>
                <w:w w:val="86"/>
              </w:rPr>
            </w:pPr>
            <w:hyperlink w:anchor="page115">
              <w:r>
                <w:rPr>
                  <w:rFonts w:ascii="Arial" w:cs="Arial" w:eastAsia="Arial" w:hAnsi="Arial"/>
                  <w:sz w:val="18"/>
                  <w:szCs w:val="18"/>
                  <w:color w:val="0000FF"/>
                  <w:w w:val="86"/>
                </w:rPr>
                <w:t>114</w:t>
              </w:r>
            </w:hyperlink>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2"/>
        </w:trPr>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140" w:type="dxa"/>
            <w:vAlign w:val="bottom"/>
            <w:gridSpan w:val="29"/>
          </w:tcPr>
          <w:p>
            <w:pPr>
              <w:spacing w:after="0"/>
              <w:rPr>
                <w:rFonts w:ascii="Arial" w:cs="Arial" w:eastAsia="Arial" w:hAnsi="Arial"/>
                <w:sz w:val="18"/>
                <w:szCs w:val="18"/>
                <w:color w:val="0000FF"/>
              </w:rPr>
            </w:pPr>
            <w:hyperlink w:anchor="page115">
              <w:r>
                <w:rPr>
                  <w:rFonts w:ascii="Arial" w:cs="Arial" w:eastAsia="Arial" w:hAnsi="Arial"/>
                  <w:sz w:val="18"/>
                  <w:szCs w:val="18"/>
                  <w:color w:val="0000FF"/>
                </w:rPr>
                <w:t>Signatures</w:t>
              </w:r>
            </w:hyperlink>
          </w:p>
        </w:tc>
        <w:tc>
          <w:tcPr>
            <w:tcW w:w="900" w:type="dxa"/>
            <w:vAlign w:val="bottom"/>
            <w:gridSpan w:val="4"/>
          </w:tcPr>
          <w:p>
            <w:pPr>
              <w:jc w:val="right"/>
              <w:ind w:right="20"/>
              <w:spacing w:after="0"/>
              <w:rPr>
                <w:rFonts w:ascii="Arial" w:cs="Arial" w:eastAsia="Arial" w:hAnsi="Arial"/>
                <w:sz w:val="18"/>
                <w:szCs w:val="18"/>
                <w:color w:val="0000FF"/>
              </w:rPr>
            </w:pPr>
            <w:hyperlink w:anchor="page115">
              <w:r>
                <w:rPr>
                  <w:rFonts w:ascii="Arial" w:cs="Arial" w:eastAsia="Arial" w:hAnsi="Arial"/>
                  <w:sz w:val="18"/>
                  <w:szCs w:val="18"/>
                  <w:color w:val="0000FF"/>
                </w:rPr>
                <w:t>115</w:t>
              </w:r>
            </w:hyperlink>
          </w:p>
        </w:tc>
        <w:tc>
          <w:tcPr>
            <w:tcW w:w="0" w:type="dxa"/>
            <w:vAlign w:val="bottom"/>
          </w:tcPr>
          <w:p>
            <w:pPr>
              <w:spacing w:after="0"/>
              <w:rPr>
                <w:sz w:val="1"/>
                <w:szCs w:val="1"/>
                <w:color w:val="auto"/>
              </w:rPr>
            </w:pPr>
          </w:p>
        </w:tc>
      </w:tr>
      <w:tr>
        <w:trPr>
          <w:trHeight w:val="507"/>
        </w:trPr>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20" w:type="dxa"/>
            <w:vAlign w:val="bottom"/>
            <w:tcBorders>
              <w:top w:val="single" w:sz="8" w:color="0000FF"/>
            </w:tcBorders>
            <w:gridSpan w:val="4"/>
          </w:tcPr>
          <w:p>
            <w:pPr>
              <w:spacing w:after="0"/>
              <w:rPr>
                <w:sz w:val="24"/>
                <w:szCs w:val="24"/>
                <w:color w:val="auto"/>
              </w:rPr>
            </w:pPr>
          </w:p>
        </w:tc>
        <w:tc>
          <w:tcPr>
            <w:tcW w:w="5420" w:type="dxa"/>
            <w:vAlign w:val="bottom"/>
            <w:gridSpan w:val="21"/>
          </w:tcPr>
          <w:p>
            <w:pPr>
              <w:jc w:val="right"/>
              <w:ind w:right="760"/>
              <w:spacing w:after="0"/>
              <w:rPr>
                <w:sz w:val="20"/>
                <w:szCs w:val="20"/>
                <w:color w:val="auto"/>
              </w:rPr>
            </w:pPr>
            <w:r>
              <w:rPr>
                <w:rFonts w:ascii="Arial" w:cs="Arial" w:eastAsia="Arial" w:hAnsi="Arial"/>
                <w:sz w:val="18"/>
                <w:szCs w:val="18"/>
                <w:color w:val="auto"/>
              </w:rPr>
              <w:t>- 2 -</w:t>
            </w:r>
          </w:p>
        </w:tc>
        <w:tc>
          <w:tcPr>
            <w:tcW w:w="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40" w:type="dxa"/>
            <w:vAlign w:val="bottom"/>
            <w:tcBorders>
              <w:top w:val="single" w:sz="8" w:color="0000FF"/>
            </w:tcBorders>
          </w:tcPr>
          <w:p>
            <w:pPr>
              <w:spacing w:after="0"/>
              <w:rPr>
                <w:sz w:val="24"/>
                <w:szCs w:val="24"/>
                <w:color w:val="auto"/>
              </w:rPr>
            </w:pPr>
          </w:p>
        </w:tc>
        <w:tc>
          <w:tcPr>
            <w:tcW w:w="140" w:type="dxa"/>
            <w:vAlign w:val="bottom"/>
            <w:tcBorders>
              <w:top w:val="single" w:sz="8" w:color="0000FF"/>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380"/>
          </w:cols>
          <w:pgMar w:left="280" w:top="796" w:right="239" w:bottom="1440" w:gutter="0" w:footer="0" w:header="0"/>
        </w:sectPr>
      </w:pPr>
    </w:p>
    <w:bookmarkStart w:id="3" w:name="page4"/>
    <w:bookmarkEnd w:id="3"/>
    <w:p>
      <w:pPr>
        <w:jc w:val="center"/>
        <w:ind w:right="-19"/>
        <w:spacing w:after="0"/>
        <w:rPr>
          <w:sz w:val="20"/>
          <w:szCs w:val="20"/>
          <w:color w:val="auto"/>
        </w:rPr>
      </w:pPr>
      <w:r>
        <w:rPr>
          <w:rFonts w:ascii="Arial" w:cs="Arial" w:eastAsia="Arial" w:hAnsi="Arial"/>
          <w:sz w:val="18"/>
          <w:szCs w:val="18"/>
          <w:b w:val="1"/>
          <w:bCs w:val="1"/>
          <w:color w:val="auto"/>
        </w:rPr>
        <w:t>PART I</w:t>
      </w:r>
    </w:p>
    <w:p>
      <w:pPr>
        <w:spacing w:after="0" w:line="200" w:lineRule="exact"/>
        <w:rPr>
          <w:sz w:val="20"/>
          <w:szCs w:val="20"/>
          <w:color w:val="auto"/>
        </w:rPr>
      </w:pPr>
    </w:p>
    <w:p>
      <w:pPr>
        <w:spacing w:after="0" w:line="268" w:lineRule="exact"/>
        <w:rPr>
          <w:sz w:val="20"/>
          <w:szCs w:val="20"/>
          <w:color w:val="auto"/>
        </w:rPr>
      </w:pPr>
    </w:p>
    <w:p>
      <w:pPr>
        <w:ind w:left="40"/>
        <w:spacing w:after="0"/>
        <w:tabs>
          <w:tab w:leader="none" w:pos="114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7"/>
          <w:szCs w:val="17"/>
          <w:b w:val="1"/>
          <w:bCs w:val="1"/>
          <w:color w:val="auto"/>
        </w:rPr>
        <w:t>BUSINESS</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29" w:lineRule="exact"/>
        <w:rPr>
          <w:sz w:val="20"/>
          <w:szCs w:val="20"/>
          <w:color w:val="auto"/>
        </w:rPr>
      </w:pPr>
    </w:p>
    <w:p>
      <w:pPr>
        <w:ind w:right="40"/>
        <w:spacing w:after="0" w:line="270" w:lineRule="auto"/>
        <w:rPr>
          <w:sz w:val="20"/>
          <w:szCs w:val="20"/>
          <w:color w:val="auto"/>
        </w:rPr>
      </w:pPr>
      <w:r>
        <w:rPr>
          <w:rFonts w:ascii="Arial" w:cs="Arial" w:eastAsia="Arial" w:hAnsi="Arial"/>
          <w:sz w:val="17"/>
          <w:szCs w:val="17"/>
          <w:color w:val="auto"/>
        </w:rPr>
        <w:t>Greatbatch, Inc. manufactures and develops high-quality medical devices and components primarily for large original equipment manufacturers (“OEMs”), which depend on us to design, develop and produce reliable, long-lasting, intellectual property protected medical device technologies. During the fourth quarter of 2015, Greatbatch, Inc. acquired all of the outstanding common stock of Lake Region Medical Holdings, Inc. (“Lake Region Medical”) creating one of the largest medical device outsource (“MDO”) manufacturers in the world serving the cardiac, neuromodulation, orthopaedics, cardio and vascular, advanced surgical, portable medical, energy, environmental and military markets. Simultaneous with the close of the Lake Region Medical acquisition, Greatbatch, Inc. also announced its intention to rename the combined entity Integer Holdings Corporation. Integer is defined as complete, whole, and comprehensive, and represents the joining of Greatbatch, Inc. and Lake Region Medical as well as the combined company's product and service offerings provided to customers. The new name is subject to Greatbatch shareholder approval at the May 2016 annual meeting. When used in this report, the terms “Greatbatch,” “we,” “us,” “our” and the “Company” mean Greatbatch, Inc. and its subsidiaries.</w:t>
      </w:r>
    </w:p>
    <w:p>
      <w:pPr>
        <w:spacing w:after="0" w:line="182" w:lineRule="exact"/>
        <w:rPr>
          <w:sz w:val="20"/>
          <w:szCs w:val="20"/>
          <w:color w:val="auto"/>
        </w:rPr>
      </w:pPr>
    </w:p>
    <w:p>
      <w:pPr>
        <w:ind w:right="20"/>
        <w:spacing w:after="0" w:line="271" w:lineRule="auto"/>
        <w:rPr>
          <w:sz w:val="20"/>
          <w:szCs w:val="20"/>
          <w:color w:val="auto"/>
        </w:rPr>
      </w:pPr>
      <w:r>
        <w:rPr>
          <w:rFonts w:ascii="Arial" w:cs="Arial" w:eastAsia="Arial" w:hAnsi="Arial"/>
          <w:sz w:val="17"/>
          <w:szCs w:val="17"/>
          <w:color w:val="auto"/>
        </w:rPr>
        <w:t>During 2015, we also announced a spin-off of a portion of our QiG reporting segment through a tax-free distribution of our QiG Group LLC subsidiary (“QiG Group”) to the stockholders of Greatbatch on a pro rata basis (the “Spin-off”). Immediately prior to completion of the Spin-off, QiG Group will be converted into a corporation organized under the laws of Delaware and change its name to Nuvectra Corporation (“Nuvectra”). In February 2016, the Board of Directors of Greatbatch approved the Spin-off with a distribution ratio whereby Greatbatch stockholders will receive one share of Nuvectra common stock for every three shares of Greatbatch common stock held. The Spin-off is expected to be completed in March 2016. As a result of the Lake Region Medical acquisition and pending Spin-off, the Company is reevaluating its operating and reporting segments, which is expected to be finalized in 2016 once the corporate and management reporting structure realignment is completed. As of the end of our 2015 fiscal year, we operate our business in three segments – Greatbatch Medical, QiG and Lake Region Medical.</w:t>
      </w:r>
    </w:p>
    <w:p>
      <w:pPr>
        <w:spacing w:after="0" w:line="179" w:lineRule="exact"/>
        <w:rPr>
          <w:sz w:val="20"/>
          <w:szCs w:val="20"/>
          <w:color w:val="auto"/>
        </w:rPr>
      </w:pPr>
    </w:p>
    <w:p>
      <w:pPr>
        <w:ind w:right="400"/>
        <w:spacing w:after="0" w:line="259" w:lineRule="auto"/>
        <w:rPr>
          <w:sz w:val="20"/>
          <w:szCs w:val="20"/>
          <w:color w:val="auto"/>
        </w:rPr>
      </w:pPr>
      <w:r>
        <w:rPr>
          <w:rFonts w:ascii="Arial" w:cs="Arial" w:eastAsia="Arial" w:hAnsi="Arial"/>
          <w:sz w:val="18"/>
          <w:szCs w:val="18"/>
          <w:color w:val="auto"/>
        </w:rPr>
        <w:t>The Greatbatch Medical segment designs and manufactures products where Greatbatch either owns or licenses the intellectual property or has unique manufacturing and assembly expertise, primarily for the cardiac, neuromodulation, orthopaedic, portable medical, vascular, energy, environmental and military markets. The Greatbatch Medical segment also offers value-added assembly and design engineering services for medical devices using, in many cases, our proprietary technologies.</w:t>
      </w:r>
    </w:p>
    <w:p>
      <w:pPr>
        <w:spacing w:after="0" w:line="187" w:lineRule="exact"/>
        <w:rPr>
          <w:sz w:val="20"/>
          <w:szCs w:val="20"/>
          <w:color w:val="auto"/>
        </w:rPr>
      </w:pPr>
    </w:p>
    <w:p>
      <w:pPr>
        <w:spacing w:after="0" w:line="258" w:lineRule="auto"/>
        <w:rPr>
          <w:sz w:val="20"/>
          <w:szCs w:val="20"/>
          <w:color w:val="auto"/>
        </w:rPr>
      </w:pPr>
      <w:r>
        <w:rPr>
          <w:rFonts w:ascii="Arial" w:cs="Arial" w:eastAsia="Arial" w:hAnsi="Arial"/>
          <w:sz w:val="17"/>
          <w:szCs w:val="17"/>
          <w:color w:val="auto"/>
        </w:rPr>
        <w:t>The QiG segment focuses on the design and development of medical device systems and components through a network of research and development professionals who drive a diverse portfolio of new and innovative medical product opportunities. QiG seeks to assist customers in accelerating the velocity of innovation while delivering an optimized supply chain and critical cost efficiencies. QiG’s neurostimulation technology platform, which will be owned by Nuvectra after the completion of the Spin-off, has the capability to provide treatment to patients in several established neurostimulation markets such as spinal cord stimulation (“SCS”), sacral nerve stimulation (“SNS”), deep brain stimulation (“DBS”), and other emerging neurostimulation markets. The QiG segment is comprised of QiG Group, NeuroNexus Technologies, Inc. (“NeuroNexus”), and Centro de Construcción de Cardioestimuladores del Uruguay (“CCC”). The entities included in the pending Spin-off consist of QiG Group and its subsidiaries Algostim LLC (“Algostim”) and PelviStim, LLC (“PelviStim”) and NeuroNexus. As an independent publicly traded company after the completion of the Spin-off, Nuvectra will be focused on the development and commercialization of its neurostimulation technology platform and, in particular, its Algovita</w:t>
      </w:r>
      <w:r>
        <w:rPr>
          <w:rFonts w:ascii="Arial" w:cs="Arial" w:eastAsia="Arial" w:hAnsi="Arial"/>
          <w:sz w:val="24"/>
          <w:szCs w:val="24"/>
          <w:color w:val="auto"/>
          <w:vertAlign w:val="superscript"/>
        </w:rPr>
        <w:t>®</w:t>
      </w:r>
      <w:r>
        <w:rPr>
          <w:rFonts w:ascii="Arial" w:cs="Arial" w:eastAsia="Arial" w:hAnsi="Arial"/>
          <w:sz w:val="17"/>
          <w:szCs w:val="17"/>
          <w:color w:val="auto"/>
        </w:rPr>
        <w:t xml:space="preserve"> SCS system for the treatment of chronic pain of the trunk and limbs (“Algovita”). The operations of CCC and certain other existing QiG research and development capabilities will be retained by Greatbatch and are not included as part of the Spin-off.</w:t>
      </w:r>
    </w:p>
    <w:p>
      <w:pPr>
        <w:spacing w:after="0" w:line="195" w:lineRule="exact"/>
        <w:rPr>
          <w:sz w:val="20"/>
          <w:szCs w:val="20"/>
          <w:color w:val="auto"/>
        </w:rPr>
      </w:pPr>
    </w:p>
    <w:p>
      <w:pPr>
        <w:ind w:right="60"/>
        <w:spacing w:after="0" w:line="297" w:lineRule="auto"/>
        <w:rPr>
          <w:sz w:val="20"/>
          <w:szCs w:val="20"/>
          <w:color w:val="auto"/>
        </w:rPr>
      </w:pPr>
      <w:r>
        <w:rPr>
          <w:rFonts w:ascii="Arial" w:cs="Arial" w:eastAsia="Arial" w:hAnsi="Arial"/>
          <w:sz w:val="16"/>
          <w:szCs w:val="16"/>
          <w:color w:val="auto"/>
        </w:rPr>
        <w:t>Lake Region Medical has operated as a segment for Greatbatch since it was acquired during the fourth quarter of 2015. This segment specializes in the design, development, and manufacturing of products across the medical component and device spectrum, primarily serving the cardio, vascular and advanced surgical markets. Lake Region Medical offers fully integrated outsourced manufacturing, regulatory and engineering services, contract manufacturing, finished device assembly services, original device development, and supply chain management to its customers, who are located worldwide. This segment is dedicated to providing our customers with reliable, high-quality, cost-efficient, integrated outsourced solutions in the medical device space.</w:t>
      </w: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- 3 -</w:t>
      </w:r>
    </w:p>
    <w:p>
      <w:pPr>
        <w:sectPr>
          <w:pgSz w:w="11900" w:h="16838" w:orient="portrait"/>
          <w:cols w:equalWidth="0" w:num="1">
            <w:col w:w="11420"/>
          </w:cols>
          <w:pgMar w:left="240" w:top="796" w:right="239" w:bottom="1440" w:gutter="0" w:footer="0" w:header="0"/>
        </w:sectPr>
      </w:pPr>
    </w:p>
    <w:bookmarkStart w:id="4" w:name="page5"/>
    <w:bookmarkEnd w:id="4"/>
    <w:p>
      <w:pPr>
        <w:spacing w:after="0"/>
        <w:rPr>
          <w:sz w:val="20"/>
          <w:szCs w:val="20"/>
          <w:color w:val="auto"/>
        </w:rPr>
      </w:pPr>
      <w:r>
        <w:rPr>
          <w:rFonts w:ascii="Arial" w:cs="Arial" w:eastAsia="Arial" w:hAnsi="Arial"/>
          <w:sz w:val="18"/>
          <w:szCs w:val="18"/>
          <w:color w:val="auto"/>
        </w:rPr>
        <w:t>Since formation, Greatbatch has completed the following acquisitions either directly or indirectly through one of its subsidiaries:</w:t>
      </w:r>
    </w:p>
    <w:p>
      <w:pPr>
        <w:spacing w:after="0" w:line="335" w:lineRule="exact"/>
        <w:rPr>
          <w:sz w:val="20"/>
          <w:szCs w:val="20"/>
          <w:color w:val="auto"/>
        </w:rPr>
      </w:pPr>
    </w:p>
    <w:tbl>
      <w:tblPr>
        <w:tblLayout w:type="fixed"/>
        <w:tblInd w:w="40" w:type="dxa"/>
        <w:tblCellMar>
          <w:top w:w="0" w:type="dxa"/>
          <w:left w:w="0" w:type="dxa"/>
          <w:bottom w:w="0" w:type="dxa"/>
          <w:right w:w="0" w:type="dxa"/>
        </w:tblCellMar>
      </w:tblPr>
      <w:tr>
        <w:trPr>
          <w:trHeight w:val="161"/>
        </w:trPr>
        <w:tc>
          <w:tcPr>
            <w:tcW w:w="2040" w:type="dxa"/>
            <w:vAlign w:val="bottom"/>
            <w:gridSpan w:val="2"/>
          </w:tcPr>
          <w:p>
            <w:pPr>
              <w:spacing w:after="0"/>
              <w:rPr>
                <w:sz w:val="20"/>
                <w:szCs w:val="20"/>
                <w:color w:val="auto"/>
              </w:rPr>
            </w:pPr>
            <w:r>
              <w:rPr>
                <w:rFonts w:ascii="Arial" w:cs="Arial" w:eastAsia="Arial" w:hAnsi="Arial"/>
                <w:sz w:val="14"/>
                <w:szCs w:val="14"/>
                <w:b w:val="1"/>
                <w:bCs w:val="1"/>
                <w:color w:val="auto"/>
              </w:rPr>
              <w:t>Acquisition Date</w:t>
            </w:r>
          </w:p>
        </w:tc>
        <w:tc>
          <w:tcPr>
            <w:tcW w:w="4660" w:type="dxa"/>
            <w:vAlign w:val="bottom"/>
            <w:gridSpan w:val="2"/>
          </w:tcPr>
          <w:p>
            <w:pPr>
              <w:ind w:left="1660"/>
              <w:spacing w:after="0"/>
              <w:rPr>
                <w:sz w:val="20"/>
                <w:szCs w:val="20"/>
                <w:color w:val="auto"/>
              </w:rPr>
            </w:pPr>
            <w:r>
              <w:rPr>
                <w:rFonts w:ascii="Arial" w:cs="Arial" w:eastAsia="Arial" w:hAnsi="Arial"/>
                <w:sz w:val="14"/>
                <w:szCs w:val="14"/>
                <w:b w:val="1"/>
                <w:bCs w:val="1"/>
                <w:color w:val="auto"/>
              </w:rPr>
              <w:t>Acquired Company</w:t>
            </w:r>
          </w:p>
        </w:tc>
        <w:tc>
          <w:tcPr>
            <w:tcW w:w="4680" w:type="dxa"/>
            <w:vAlign w:val="bottom"/>
          </w:tcPr>
          <w:p>
            <w:pPr>
              <w:ind w:left="1380"/>
              <w:spacing w:after="0"/>
              <w:rPr>
                <w:sz w:val="20"/>
                <w:szCs w:val="20"/>
                <w:color w:val="auto"/>
              </w:rPr>
            </w:pPr>
            <w:r>
              <w:rPr>
                <w:rFonts w:ascii="Arial" w:cs="Arial" w:eastAsia="Arial" w:hAnsi="Arial"/>
                <w:sz w:val="14"/>
                <w:szCs w:val="14"/>
                <w:b w:val="1"/>
                <w:bCs w:val="1"/>
                <w:color w:val="auto"/>
              </w:rPr>
              <w:t>Business at Time of Acquisition</w:t>
            </w:r>
          </w:p>
        </w:tc>
        <w:tc>
          <w:tcPr>
            <w:tcW w:w="0" w:type="dxa"/>
            <w:vAlign w:val="bottom"/>
          </w:tcPr>
          <w:p>
            <w:pPr>
              <w:spacing w:after="0"/>
              <w:rPr>
                <w:sz w:val="1"/>
                <w:szCs w:val="1"/>
                <w:color w:val="auto"/>
              </w:rPr>
            </w:pPr>
          </w:p>
        </w:tc>
      </w:tr>
      <w:tr>
        <w:trPr>
          <w:trHeight w:val="21"/>
        </w:trPr>
        <w:tc>
          <w:tcPr>
            <w:tcW w:w="1020" w:type="dxa"/>
            <w:vAlign w:val="bottom"/>
            <w:tcBorders>
              <w:top w:val="single" w:sz="8" w:color="auto"/>
              <w:bottom w:val="single" w:sz="8" w:color="auto"/>
            </w:tcBorders>
            <w:vMerge w:val="restart"/>
          </w:tcPr>
          <w:p>
            <w:pPr>
              <w:spacing w:after="0"/>
              <w:rPr>
                <w:sz w:val="20"/>
                <w:szCs w:val="20"/>
                <w:color w:val="auto"/>
              </w:rPr>
            </w:pPr>
            <w:r>
              <w:rPr>
                <w:rFonts w:ascii="Arial" w:cs="Arial" w:eastAsia="Arial" w:hAnsi="Arial"/>
                <w:sz w:val="18"/>
                <w:szCs w:val="18"/>
                <w:color w:val="auto"/>
              </w:rPr>
              <w:t>July 1997</w:t>
            </w:r>
          </w:p>
        </w:tc>
        <w:tc>
          <w:tcPr>
            <w:tcW w:w="1020" w:type="dxa"/>
            <w:vAlign w:val="bottom"/>
            <w:vMerge w:val="restart"/>
          </w:tcPr>
          <w:p>
            <w:pPr>
              <w:spacing w:after="0" w:line="20" w:lineRule="exact"/>
              <w:rPr>
                <w:sz w:val="1"/>
                <w:szCs w:val="1"/>
                <w:color w:val="auto"/>
              </w:rPr>
            </w:pPr>
          </w:p>
        </w:tc>
        <w:tc>
          <w:tcPr>
            <w:tcW w:w="45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22"/>
        </w:trPr>
        <w:tc>
          <w:tcPr>
            <w:tcW w:w="1020" w:type="dxa"/>
            <w:vAlign w:val="bottom"/>
            <w:vMerge w:val="continue"/>
          </w:tcPr>
          <w:p>
            <w:pPr>
              <w:spacing w:after="0"/>
              <w:rPr>
                <w:sz w:val="19"/>
                <w:szCs w:val="19"/>
                <w:color w:val="auto"/>
              </w:rPr>
            </w:pPr>
          </w:p>
        </w:tc>
        <w:tc>
          <w:tcPr>
            <w:tcW w:w="1020" w:type="dxa"/>
            <w:vAlign w:val="bottom"/>
            <w:vMerge w:val="continue"/>
          </w:tcPr>
          <w:p>
            <w:pPr>
              <w:spacing w:after="0"/>
              <w:rPr>
                <w:sz w:val="19"/>
                <w:szCs w:val="19"/>
                <w:color w:val="auto"/>
              </w:rPr>
            </w:pPr>
          </w:p>
        </w:tc>
        <w:tc>
          <w:tcPr>
            <w:tcW w:w="4660" w:type="dxa"/>
            <w:vAlign w:val="bottom"/>
            <w:gridSpan w:val="2"/>
          </w:tcPr>
          <w:p>
            <w:pPr>
              <w:ind w:left="20"/>
              <w:spacing w:after="0"/>
              <w:rPr>
                <w:sz w:val="20"/>
                <w:szCs w:val="20"/>
                <w:color w:val="auto"/>
              </w:rPr>
            </w:pPr>
            <w:r>
              <w:rPr>
                <w:rFonts w:ascii="Arial" w:cs="Arial" w:eastAsia="Arial" w:hAnsi="Arial"/>
                <w:sz w:val="18"/>
                <w:szCs w:val="18"/>
                <w:color w:val="auto"/>
              </w:rPr>
              <w:t>Wilson Greatbatch Ltd.</w:t>
            </w:r>
          </w:p>
        </w:tc>
        <w:tc>
          <w:tcPr>
            <w:tcW w:w="4680" w:type="dxa"/>
            <w:vAlign w:val="bottom"/>
          </w:tcPr>
          <w:p>
            <w:pPr>
              <w:ind w:left="20"/>
              <w:spacing w:after="0"/>
              <w:rPr>
                <w:sz w:val="20"/>
                <w:szCs w:val="20"/>
                <w:color w:val="auto"/>
              </w:rPr>
            </w:pPr>
            <w:r>
              <w:rPr>
                <w:rFonts w:ascii="Arial" w:cs="Arial" w:eastAsia="Arial" w:hAnsi="Arial"/>
                <w:sz w:val="18"/>
                <w:szCs w:val="18"/>
                <w:color w:val="auto"/>
                <w:w w:val="99"/>
              </w:rPr>
              <w:t>Founded in 1970, designed and manufactured batteries for</w:t>
            </w:r>
          </w:p>
        </w:tc>
        <w:tc>
          <w:tcPr>
            <w:tcW w:w="0" w:type="dxa"/>
            <w:vAlign w:val="bottom"/>
          </w:tcPr>
          <w:p>
            <w:pPr>
              <w:spacing w:after="0"/>
              <w:rPr>
                <w:sz w:val="1"/>
                <w:szCs w:val="1"/>
                <w:color w:val="auto"/>
              </w:rPr>
            </w:pPr>
          </w:p>
        </w:tc>
      </w:tr>
      <w:tr>
        <w:trPr>
          <w:trHeight w:val="230"/>
        </w:trPr>
        <w:tc>
          <w:tcPr>
            <w:tcW w:w="10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45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680" w:type="dxa"/>
            <w:vAlign w:val="bottom"/>
          </w:tcPr>
          <w:p>
            <w:pPr>
              <w:ind w:left="20"/>
              <w:spacing w:after="0"/>
              <w:rPr>
                <w:sz w:val="20"/>
                <w:szCs w:val="20"/>
                <w:color w:val="auto"/>
              </w:rPr>
            </w:pPr>
            <w:r>
              <w:rPr>
                <w:rFonts w:ascii="Arial" w:cs="Arial" w:eastAsia="Arial" w:hAnsi="Arial"/>
                <w:sz w:val="18"/>
                <w:szCs w:val="18"/>
                <w:color w:val="auto"/>
              </w:rPr>
              <w:t>implantable medical and commercial applications.</w:t>
            </w:r>
          </w:p>
        </w:tc>
        <w:tc>
          <w:tcPr>
            <w:tcW w:w="0" w:type="dxa"/>
            <w:vAlign w:val="bottom"/>
          </w:tcPr>
          <w:p>
            <w:pPr>
              <w:spacing w:after="0"/>
              <w:rPr>
                <w:sz w:val="1"/>
                <w:szCs w:val="1"/>
                <w:color w:val="auto"/>
              </w:rPr>
            </w:pPr>
          </w:p>
        </w:tc>
      </w:tr>
      <w:tr>
        <w:trPr>
          <w:trHeight w:val="377"/>
        </w:trPr>
        <w:tc>
          <w:tcPr>
            <w:tcW w:w="2040" w:type="dxa"/>
            <w:vAlign w:val="bottom"/>
            <w:gridSpan w:val="2"/>
          </w:tcPr>
          <w:p>
            <w:pPr>
              <w:spacing w:after="0"/>
              <w:rPr>
                <w:sz w:val="20"/>
                <w:szCs w:val="20"/>
                <w:color w:val="auto"/>
              </w:rPr>
            </w:pPr>
            <w:r>
              <w:rPr>
                <w:rFonts w:ascii="Arial" w:cs="Arial" w:eastAsia="Arial" w:hAnsi="Arial"/>
                <w:sz w:val="18"/>
                <w:szCs w:val="18"/>
                <w:color w:val="auto"/>
              </w:rPr>
              <w:t>August 1998</w:t>
            </w:r>
          </w:p>
        </w:tc>
        <w:tc>
          <w:tcPr>
            <w:tcW w:w="4660" w:type="dxa"/>
            <w:vAlign w:val="bottom"/>
            <w:gridSpan w:val="2"/>
          </w:tcPr>
          <w:p>
            <w:pPr>
              <w:ind w:left="20"/>
              <w:spacing w:after="0"/>
              <w:rPr>
                <w:sz w:val="20"/>
                <w:szCs w:val="20"/>
                <w:color w:val="auto"/>
              </w:rPr>
            </w:pPr>
            <w:r>
              <w:rPr>
                <w:rFonts w:ascii="Arial" w:cs="Arial" w:eastAsia="Arial" w:hAnsi="Arial"/>
                <w:sz w:val="18"/>
                <w:szCs w:val="18"/>
                <w:color w:val="auto"/>
              </w:rPr>
              <w:t>Hittman Materials and Medical Components, Inc.</w:t>
            </w:r>
          </w:p>
        </w:tc>
        <w:tc>
          <w:tcPr>
            <w:tcW w:w="4680" w:type="dxa"/>
            <w:vAlign w:val="bottom"/>
          </w:tcPr>
          <w:p>
            <w:pPr>
              <w:ind w:left="20"/>
              <w:spacing w:after="0"/>
              <w:rPr>
                <w:sz w:val="20"/>
                <w:szCs w:val="20"/>
                <w:color w:val="auto"/>
              </w:rPr>
            </w:pPr>
            <w:r>
              <w:rPr>
                <w:rFonts w:ascii="Arial" w:cs="Arial" w:eastAsia="Arial" w:hAnsi="Arial"/>
                <w:sz w:val="18"/>
                <w:szCs w:val="18"/>
                <w:color w:val="auto"/>
                <w:w w:val="89"/>
              </w:rPr>
              <w:t>Founded in 1962, designed and manufactured ceramic and glass</w:t>
            </w:r>
          </w:p>
        </w:tc>
        <w:tc>
          <w:tcPr>
            <w:tcW w:w="0" w:type="dxa"/>
            <w:vAlign w:val="bottom"/>
          </w:tcPr>
          <w:p>
            <w:pPr>
              <w:spacing w:after="0"/>
              <w:rPr>
                <w:sz w:val="1"/>
                <w:szCs w:val="1"/>
                <w:color w:val="auto"/>
              </w:rPr>
            </w:pPr>
          </w:p>
        </w:tc>
      </w:tr>
      <w:tr>
        <w:trPr>
          <w:trHeight w:val="216"/>
        </w:trPr>
        <w:tc>
          <w:tcPr>
            <w:tcW w:w="10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4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680" w:type="dxa"/>
            <w:vAlign w:val="bottom"/>
          </w:tcPr>
          <w:p>
            <w:pPr>
              <w:ind w:left="20"/>
              <w:spacing w:after="0"/>
              <w:rPr>
                <w:sz w:val="20"/>
                <w:szCs w:val="20"/>
                <w:color w:val="auto"/>
              </w:rPr>
            </w:pPr>
            <w:r>
              <w:rPr>
                <w:rFonts w:ascii="Arial" w:cs="Arial" w:eastAsia="Arial" w:hAnsi="Arial"/>
                <w:sz w:val="18"/>
                <w:szCs w:val="18"/>
                <w:color w:val="auto"/>
                <w:w w:val="96"/>
              </w:rPr>
              <w:t>feedthroughs and specialized porous coatings for electrodes</w:t>
            </w:r>
          </w:p>
        </w:tc>
        <w:tc>
          <w:tcPr>
            <w:tcW w:w="0" w:type="dxa"/>
            <w:vAlign w:val="bottom"/>
          </w:tcPr>
          <w:p>
            <w:pPr>
              <w:spacing w:after="0"/>
              <w:rPr>
                <w:sz w:val="1"/>
                <w:szCs w:val="1"/>
                <w:color w:val="auto"/>
              </w:rPr>
            </w:pPr>
          </w:p>
        </w:tc>
      </w:tr>
      <w:tr>
        <w:trPr>
          <w:trHeight w:val="230"/>
        </w:trPr>
        <w:tc>
          <w:tcPr>
            <w:tcW w:w="10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45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680" w:type="dxa"/>
            <w:vAlign w:val="bottom"/>
          </w:tcPr>
          <w:p>
            <w:pPr>
              <w:ind w:left="20"/>
              <w:spacing w:after="0"/>
              <w:rPr>
                <w:sz w:val="20"/>
                <w:szCs w:val="20"/>
                <w:color w:val="auto"/>
              </w:rPr>
            </w:pPr>
            <w:r>
              <w:rPr>
                <w:rFonts w:ascii="Arial" w:cs="Arial" w:eastAsia="Arial" w:hAnsi="Arial"/>
                <w:sz w:val="18"/>
                <w:szCs w:val="18"/>
                <w:color w:val="auto"/>
              </w:rPr>
              <w:t>used in implantable medical devices (“IMDs”).</w:t>
            </w:r>
          </w:p>
        </w:tc>
        <w:tc>
          <w:tcPr>
            <w:tcW w:w="0" w:type="dxa"/>
            <w:vAlign w:val="bottom"/>
          </w:tcPr>
          <w:p>
            <w:pPr>
              <w:spacing w:after="0"/>
              <w:rPr>
                <w:sz w:val="1"/>
                <w:szCs w:val="1"/>
                <w:color w:val="auto"/>
              </w:rPr>
            </w:pPr>
          </w:p>
        </w:tc>
      </w:tr>
      <w:tr>
        <w:trPr>
          <w:trHeight w:val="377"/>
        </w:trPr>
        <w:tc>
          <w:tcPr>
            <w:tcW w:w="2040" w:type="dxa"/>
            <w:vAlign w:val="bottom"/>
            <w:gridSpan w:val="2"/>
          </w:tcPr>
          <w:p>
            <w:pPr>
              <w:spacing w:after="0"/>
              <w:rPr>
                <w:sz w:val="20"/>
                <w:szCs w:val="20"/>
                <w:color w:val="auto"/>
              </w:rPr>
            </w:pPr>
            <w:r>
              <w:rPr>
                <w:rFonts w:ascii="Arial" w:cs="Arial" w:eastAsia="Arial" w:hAnsi="Arial"/>
                <w:sz w:val="18"/>
                <w:szCs w:val="18"/>
                <w:color w:val="auto"/>
              </w:rPr>
              <w:t>August 2000</w:t>
            </w:r>
          </w:p>
        </w:tc>
        <w:tc>
          <w:tcPr>
            <w:tcW w:w="4660" w:type="dxa"/>
            <w:vAlign w:val="bottom"/>
            <w:gridSpan w:val="2"/>
          </w:tcPr>
          <w:p>
            <w:pPr>
              <w:ind w:left="20"/>
              <w:spacing w:after="0"/>
              <w:rPr>
                <w:sz w:val="20"/>
                <w:szCs w:val="20"/>
                <w:color w:val="auto"/>
              </w:rPr>
            </w:pPr>
            <w:r>
              <w:rPr>
                <w:rFonts w:ascii="Arial" w:cs="Arial" w:eastAsia="Arial" w:hAnsi="Arial"/>
                <w:sz w:val="18"/>
                <w:szCs w:val="18"/>
                <w:color w:val="auto"/>
              </w:rPr>
              <w:t>Battery Engineering, Inc.</w:t>
            </w:r>
          </w:p>
        </w:tc>
        <w:tc>
          <w:tcPr>
            <w:tcW w:w="4680" w:type="dxa"/>
            <w:vAlign w:val="bottom"/>
          </w:tcPr>
          <w:p>
            <w:pPr>
              <w:ind w:left="20"/>
              <w:spacing w:after="0"/>
              <w:rPr>
                <w:sz w:val="20"/>
                <w:szCs w:val="20"/>
                <w:color w:val="auto"/>
              </w:rPr>
            </w:pPr>
            <w:r>
              <w:rPr>
                <w:rFonts w:ascii="Arial" w:cs="Arial" w:eastAsia="Arial" w:hAnsi="Arial"/>
                <w:sz w:val="18"/>
                <w:szCs w:val="18"/>
                <w:color w:val="auto"/>
                <w:w w:val="99"/>
              </w:rPr>
              <w:t>Founded in 1983, designed and manufactured high-energy</w:t>
            </w:r>
          </w:p>
        </w:tc>
        <w:tc>
          <w:tcPr>
            <w:tcW w:w="0" w:type="dxa"/>
            <w:vAlign w:val="bottom"/>
          </w:tcPr>
          <w:p>
            <w:pPr>
              <w:spacing w:after="0"/>
              <w:rPr>
                <w:sz w:val="1"/>
                <w:szCs w:val="1"/>
                <w:color w:val="auto"/>
              </w:rPr>
            </w:pPr>
          </w:p>
        </w:tc>
      </w:tr>
      <w:tr>
        <w:trPr>
          <w:trHeight w:val="216"/>
        </w:trPr>
        <w:tc>
          <w:tcPr>
            <w:tcW w:w="10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4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680" w:type="dxa"/>
            <w:vAlign w:val="bottom"/>
          </w:tcPr>
          <w:p>
            <w:pPr>
              <w:ind w:left="20"/>
              <w:spacing w:after="0"/>
              <w:rPr>
                <w:sz w:val="20"/>
                <w:szCs w:val="20"/>
                <w:color w:val="auto"/>
              </w:rPr>
            </w:pPr>
            <w:r>
              <w:rPr>
                <w:rFonts w:ascii="Arial" w:cs="Arial" w:eastAsia="Arial" w:hAnsi="Arial"/>
                <w:sz w:val="18"/>
                <w:szCs w:val="18"/>
                <w:color w:val="auto"/>
              </w:rPr>
              <w:t>density batteries for industrial, commercial, military and</w:t>
            </w:r>
          </w:p>
        </w:tc>
        <w:tc>
          <w:tcPr>
            <w:tcW w:w="0" w:type="dxa"/>
            <w:vAlign w:val="bottom"/>
          </w:tcPr>
          <w:p>
            <w:pPr>
              <w:spacing w:after="0"/>
              <w:rPr>
                <w:sz w:val="1"/>
                <w:szCs w:val="1"/>
                <w:color w:val="auto"/>
              </w:rPr>
            </w:pPr>
          </w:p>
        </w:tc>
      </w:tr>
      <w:tr>
        <w:trPr>
          <w:trHeight w:val="230"/>
        </w:trPr>
        <w:tc>
          <w:tcPr>
            <w:tcW w:w="10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45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680" w:type="dxa"/>
            <w:vAlign w:val="bottom"/>
          </w:tcPr>
          <w:p>
            <w:pPr>
              <w:ind w:left="20"/>
              <w:spacing w:after="0"/>
              <w:rPr>
                <w:sz w:val="20"/>
                <w:szCs w:val="20"/>
                <w:color w:val="auto"/>
              </w:rPr>
            </w:pPr>
            <w:r>
              <w:rPr>
                <w:rFonts w:ascii="Arial" w:cs="Arial" w:eastAsia="Arial" w:hAnsi="Arial"/>
                <w:sz w:val="18"/>
                <w:szCs w:val="18"/>
                <w:color w:val="auto"/>
              </w:rPr>
              <w:t>medical applications.</w:t>
            </w:r>
          </w:p>
        </w:tc>
        <w:tc>
          <w:tcPr>
            <w:tcW w:w="0" w:type="dxa"/>
            <w:vAlign w:val="bottom"/>
          </w:tcPr>
          <w:p>
            <w:pPr>
              <w:spacing w:after="0"/>
              <w:rPr>
                <w:sz w:val="1"/>
                <w:szCs w:val="1"/>
                <w:color w:val="auto"/>
              </w:rPr>
            </w:pPr>
          </w:p>
        </w:tc>
      </w:tr>
    </w:tbl>
    <w:p>
      <w:pPr>
        <w:spacing w:after="0" w:line="161" w:lineRule="exact"/>
        <w:rPr>
          <w:sz w:val="20"/>
          <w:szCs w:val="20"/>
          <w:color w:val="auto"/>
        </w:rPr>
      </w:pPr>
    </w:p>
    <w:p>
      <w:pPr>
        <w:sectPr>
          <w:pgSz w:w="11900" w:h="16838" w:orient="portrait"/>
          <w:cols w:equalWidth="0" w:num="1">
            <w:col w:w="11420"/>
          </w:cols>
          <w:pgMar w:left="240" w:top="908" w:right="239" w:bottom="1440" w:gutter="0" w:footer="0" w:header="0"/>
        </w:sectPr>
      </w:pPr>
    </w:p>
    <w:p>
      <w:pPr>
        <w:ind w:left="40"/>
        <w:spacing w:after="0"/>
        <w:tabs>
          <w:tab w:leader="none" w:pos="2080" w:val="left"/>
        </w:tabs>
        <w:rPr>
          <w:sz w:val="20"/>
          <w:szCs w:val="20"/>
          <w:color w:val="auto"/>
        </w:rPr>
      </w:pPr>
      <w:r>
        <w:rPr>
          <w:rFonts w:ascii="Arial" w:cs="Arial" w:eastAsia="Arial" w:hAnsi="Arial"/>
          <w:sz w:val="18"/>
          <w:szCs w:val="18"/>
          <w:color w:val="auto"/>
        </w:rPr>
        <w:t>June 2001</w:t>
      </w:r>
      <w:r>
        <w:rPr>
          <w:sz w:val="20"/>
          <w:szCs w:val="20"/>
          <w:color w:val="auto"/>
        </w:rPr>
        <w:tab/>
      </w:r>
      <w:r>
        <w:rPr>
          <w:rFonts w:ascii="Arial" w:cs="Arial" w:eastAsia="Arial" w:hAnsi="Arial"/>
          <w:sz w:val="16"/>
          <w:szCs w:val="16"/>
          <w:color w:val="auto"/>
        </w:rPr>
        <w:t>Sierra-KD Components division of Maxwell Technologies,</w:t>
      </w:r>
    </w:p>
    <w:p>
      <w:pPr>
        <w:spacing w:after="0" w:line="23" w:lineRule="exact"/>
        <w:rPr>
          <w:sz w:val="20"/>
          <w:szCs w:val="20"/>
          <w:color w:val="auto"/>
        </w:rPr>
      </w:pPr>
    </w:p>
    <w:p>
      <w:pPr>
        <w:ind w:left="2100"/>
        <w:spacing w:after="0"/>
        <w:rPr>
          <w:sz w:val="20"/>
          <w:szCs w:val="20"/>
          <w:color w:val="auto"/>
        </w:rPr>
      </w:pPr>
      <w:r>
        <w:rPr>
          <w:rFonts w:ascii="Arial" w:cs="Arial" w:eastAsia="Arial" w:hAnsi="Arial"/>
          <w:sz w:val="18"/>
          <w:szCs w:val="18"/>
          <w:color w:val="auto"/>
        </w:rPr>
        <w:t>Inc.</w:t>
      </w:r>
    </w:p>
    <w:p>
      <w:pPr>
        <w:spacing w:after="0" w:line="20" w:lineRule="exact"/>
        <w:rPr>
          <w:sz w:val="20"/>
          <w:szCs w:val="20"/>
          <w:color w:val="auto"/>
        </w:rPr>
      </w:pPr>
      <w:r>
        <w:rPr>
          <w:sz w:val="20"/>
          <w:szCs w:val="20"/>
          <w:color w:val="auto"/>
        </w:rPr>
        <w:br w:type="column"/>
      </w:r>
    </w:p>
    <w:p>
      <w:pPr>
        <w:ind w:right="260"/>
        <w:spacing w:after="0" w:line="259" w:lineRule="auto"/>
        <w:rPr>
          <w:sz w:val="20"/>
          <w:szCs w:val="20"/>
          <w:color w:val="auto"/>
        </w:rPr>
      </w:pPr>
      <w:r>
        <w:rPr>
          <w:rFonts w:ascii="Arial" w:cs="Arial" w:eastAsia="Arial" w:hAnsi="Arial"/>
          <w:sz w:val="18"/>
          <w:szCs w:val="18"/>
          <w:color w:val="auto"/>
        </w:rPr>
        <w:t>Founded in 1986, designed and manufactured ceramic electromagnetic filtering capacitors and integrated them with wire feedthroughs for use in IMDs as well as military, aerospace and commercial applications.</w:t>
      </w:r>
    </w:p>
    <w:p>
      <w:pPr>
        <w:spacing w:after="0" w:line="146" w:lineRule="exact"/>
        <w:rPr>
          <w:sz w:val="20"/>
          <w:szCs w:val="20"/>
          <w:color w:val="auto"/>
        </w:rPr>
      </w:pPr>
    </w:p>
    <w:p>
      <w:pPr>
        <w:sectPr>
          <w:pgSz w:w="11900" w:h="16838" w:orient="portrait"/>
          <w:cols w:equalWidth="0" w:num="2">
            <w:col w:w="6360" w:space="400"/>
            <w:col w:w="4660"/>
          </w:cols>
          <w:pgMar w:left="240" w:top="908" w:right="239" w:bottom="1440" w:gutter="0" w:footer="0" w:header="0"/>
          <w:type w:val="continuous"/>
        </w:sectPr>
      </w:pPr>
    </w:p>
    <w:tbl>
      <w:tblPr>
        <w:tblLayout w:type="fixed"/>
        <w:tblInd w:w="40" w:type="dxa"/>
        <w:tblCellMar>
          <w:top w:w="0" w:type="dxa"/>
          <w:left w:w="0" w:type="dxa"/>
          <w:bottom w:w="0" w:type="dxa"/>
          <w:right w:w="0" w:type="dxa"/>
        </w:tblCellMar>
      </w:tblPr>
      <w:tr>
        <w:trPr>
          <w:trHeight w:val="216"/>
        </w:trPr>
        <w:tc>
          <w:tcPr>
            <w:tcW w:w="1620" w:type="dxa"/>
            <w:vAlign w:val="bottom"/>
          </w:tcPr>
          <w:p>
            <w:pPr>
              <w:spacing w:after="0"/>
              <w:rPr>
                <w:sz w:val="20"/>
                <w:szCs w:val="20"/>
                <w:color w:val="auto"/>
              </w:rPr>
            </w:pPr>
            <w:r>
              <w:rPr>
                <w:rFonts w:ascii="Arial" w:cs="Arial" w:eastAsia="Arial" w:hAnsi="Arial"/>
                <w:sz w:val="18"/>
                <w:szCs w:val="18"/>
                <w:color w:val="auto"/>
              </w:rPr>
              <w:t>July 2002</w:t>
            </w:r>
          </w:p>
        </w:tc>
        <w:tc>
          <w:tcPr>
            <w:tcW w:w="4780" w:type="dxa"/>
            <w:vAlign w:val="bottom"/>
          </w:tcPr>
          <w:p>
            <w:pPr>
              <w:ind w:left="440"/>
              <w:spacing w:after="0"/>
              <w:rPr>
                <w:sz w:val="20"/>
                <w:szCs w:val="20"/>
                <w:color w:val="auto"/>
              </w:rPr>
            </w:pPr>
            <w:r>
              <w:rPr>
                <w:rFonts w:ascii="Arial" w:cs="Arial" w:eastAsia="Arial" w:hAnsi="Arial"/>
                <w:sz w:val="18"/>
                <w:szCs w:val="18"/>
                <w:color w:val="auto"/>
              </w:rPr>
              <w:t>Globe Tool and Manufacturing Company, Inc.</w:t>
            </w:r>
          </w:p>
        </w:tc>
        <w:tc>
          <w:tcPr>
            <w:tcW w:w="4940" w:type="dxa"/>
            <w:vAlign w:val="bottom"/>
          </w:tcPr>
          <w:p>
            <w:pPr>
              <w:ind w:left="320"/>
              <w:spacing w:after="0"/>
              <w:rPr>
                <w:sz w:val="20"/>
                <w:szCs w:val="20"/>
                <w:color w:val="auto"/>
              </w:rPr>
            </w:pPr>
            <w:r>
              <w:rPr>
                <w:rFonts w:ascii="Arial" w:cs="Arial" w:eastAsia="Arial" w:hAnsi="Arial"/>
                <w:sz w:val="18"/>
                <w:szCs w:val="18"/>
                <w:color w:val="auto"/>
              </w:rPr>
              <w:t>Founded in 1954, designed and manufactured precision</w:t>
            </w:r>
          </w:p>
        </w:tc>
      </w:tr>
      <w:tr>
        <w:trPr>
          <w:trHeight w:val="216"/>
        </w:trPr>
        <w:tc>
          <w:tcPr>
            <w:tcW w:w="1620" w:type="dxa"/>
            <w:vAlign w:val="bottom"/>
          </w:tcPr>
          <w:p>
            <w:pPr>
              <w:spacing w:after="0"/>
              <w:rPr>
                <w:sz w:val="18"/>
                <w:szCs w:val="18"/>
                <w:color w:val="auto"/>
              </w:rPr>
            </w:pPr>
          </w:p>
        </w:tc>
        <w:tc>
          <w:tcPr>
            <w:tcW w:w="4780" w:type="dxa"/>
            <w:vAlign w:val="bottom"/>
          </w:tcPr>
          <w:p>
            <w:pPr>
              <w:spacing w:after="0"/>
              <w:rPr>
                <w:sz w:val="18"/>
                <w:szCs w:val="18"/>
                <w:color w:val="auto"/>
              </w:rPr>
            </w:pPr>
          </w:p>
        </w:tc>
        <w:tc>
          <w:tcPr>
            <w:tcW w:w="4940" w:type="dxa"/>
            <w:vAlign w:val="bottom"/>
          </w:tcPr>
          <w:p>
            <w:pPr>
              <w:ind w:left="320"/>
              <w:spacing w:after="0"/>
              <w:rPr>
                <w:sz w:val="20"/>
                <w:szCs w:val="20"/>
                <w:color w:val="auto"/>
              </w:rPr>
            </w:pPr>
            <w:r>
              <w:rPr>
                <w:rFonts w:ascii="Arial" w:cs="Arial" w:eastAsia="Arial" w:hAnsi="Arial"/>
                <w:sz w:val="18"/>
                <w:szCs w:val="18"/>
                <w:color w:val="auto"/>
                <w:w w:val="92"/>
              </w:rPr>
              <w:t>enclosures used in IMDs and commercial products used in the</w:t>
            </w:r>
          </w:p>
        </w:tc>
      </w:tr>
      <w:tr>
        <w:trPr>
          <w:trHeight w:val="230"/>
        </w:trPr>
        <w:tc>
          <w:tcPr>
            <w:tcW w:w="1620" w:type="dxa"/>
            <w:vAlign w:val="bottom"/>
          </w:tcPr>
          <w:p>
            <w:pPr>
              <w:spacing w:after="0"/>
              <w:rPr>
                <w:sz w:val="20"/>
                <w:szCs w:val="20"/>
                <w:color w:val="auto"/>
              </w:rPr>
            </w:pPr>
          </w:p>
        </w:tc>
        <w:tc>
          <w:tcPr>
            <w:tcW w:w="4780" w:type="dxa"/>
            <w:vAlign w:val="bottom"/>
          </w:tcPr>
          <w:p>
            <w:pPr>
              <w:spacing w:after="0"/>
              <w:rPr>
                <w:sz w:val="20"/>
                <w:szCs w:val="20"/>
                <w:color w:val="auto"/>
              </w:rPr>
            </w:pPr>
          </w:p>
        </w:tc>
        <w:tc>
          <w:tcPr>
            <w:tcW w:w="4940" w:type="dxa"/>
            <w:vAlign w:val="bottom"/>
          </w:tcPr>
          <w:p>
            <w:pPr>
              <w:ind w:left="320"/>
              <w:spacing w:after="0"/>
              <w:rPr>
                <w:sz w:val="20"/>
                <w:szCs w:val="20"/>
                <w:color w:val="auto"/>
              </w:rPr>
            </w:pPr>
            <w:r>
              <w:rPr>
                <w:rFonts w:ascii="Arial" w:cs="Arial" w:eastAsia="Arial" w:hAnsi="Arial"/>
                <w:sz w:val="18"/>
                <w:szCs w:val="18"/>
                <w:color w:val="auto"/>
              </w:rPr>
              <w:t>aerospace, electronics and automotive sectors.</w:t>
            </w:r>
          </w:p>
        </w:tc>
      </w:tr>
      <w:tr>
        <w:trPr>
          <w:trHeight w:val="377"/>
        </w:trPr>
        <w:tc>
          <w:tcPr>
            <w:tcW w:w="1620" w:type="dxa"/>
            <w:vAlign w:val="bottom"/>
          </w:tcPr>
          <w:p>
            <w:pPr>
              <w:spacing w:after="0"/>
              <w:rPr>
                <w:sz w:val="20"/>
                <w:szCs w:val="20"/>
                <w:color w:val="auto"/>
              </w:rPr>
            </w:pPr>
            <w:r>
              <w:rPr>
                <w:rFonts w:ascii="Arial" w:cs="Arial" w:eastAsia="Arial" w:hAnsi="Arial"/>
                <w:sz w:val="18"/>
                <w:szCs w:val="18"/>
                <w:color w:val="auto"/>
              </w:rPr>
              <w:t>March 2004</w:t>
            </w:r>
          </w:p>
        </w:tc>
        <w:tc>
          <w:tcPr>
            <w:tcW w:w="4780" w:type="dxa"/>
            <w:vAlign w:val="bottom"/>
          </w:tcPr>
          <w:p>
            <w:pPr>
              <w:ind w:left="440"/>
              <w:spacing w:after="0"/>
              <w:rPr>
                <w:sz w:val="20"/>
                <w:szCs w:val="20"/>
                <w:color w:val="auto"/>
              </w:rPr>
            </w:pPr>
            <w:r>
              <w:rPr>
                <w:rFonts w:ascii="Arial" w:cs="Arial" w:eastAsia="Arial" w:hAnsi="Arial"/>
                <w:sz w:val="18"/>
                <w:szCs w:val="18"/>
                <w:color w:val="auto"/>
              </w:rPr>
              <w:t>NanoGram Devices Corporation</w:t>
            </w:r>
          </w:p>
        </w:tc>
        <w:tc>
          <w:tcPr>
            <w:tcW w:w="4940" w:type="dxa"/>
            <w:vAlign w:val="bottom"/>
          </w:tcPr>
          <w:p>
            <w:pPr>
              <w:ind w:left="320"/>
              <w:spacing w:after="0"/>
              <w:rPr>
                <w:sz w:val="20"/>
                <w:szCs w:val="20"/>
                <w:color w:val="auto"/>
              </w:rPr>
            </w:pPr>
            <w:r>
              <w:rPr>
                <w:rFonts w:ascii="Arial" w:cs="Arial" w:eastAsia="Arial" w:hAnsi="Arial"/>
                <w:sz w:val="18"/>
                <w:szCs w:val="18"/>
                <w:color w:val="auto"/>
                <w:w w:val="89"/>
              </w:rPr>
              <w:t>Founded in 1996, developed nanoscale materials for battery and</w:t>
            </w:r>
          </w:p>
        </w:tc>
      </w:tr>
      <w:tr>
        <w:trPr>
          <w:trHeight w:val="230"/>
        </w:trPr>
        <w:tc>
          <w:tcPr>
            <w:tcW w:w="1620" w:type="dxa"/>
            <w:vAlign w:val="bottom"/>
          </w:tcPr>
          <w:p>
            <w:pPr>
              <w:spacing w:after="0"/>
              <w:rPr>
                <w:sz w:val="20"/>
                <w:szCs w:val="20"/>
                <w:color w:val="auto"/>
              </w:rPr>
            </w:pPr>
          </w:p>
        </w:tc>
        <w:tc>
          <w:tcPr>
            <w:tcW w:w="4780" w:type="dxa"/>
            <w:vAlign w:val="bottom"/>
          </w:tcPr>
          <w:p>
            <w:pPr>
              <w:spacing w:after="0"/>
              <w:rPr>
                <w:sz w:val="20"/>
                <w:szCs w:val="20"/>
                <w:color w:val="auto"/>
              </w:rPr>
            </w:pPr>
          </w:p>
        </w:tc>
        <w:tc>
          <w:tcPr>
            <w:tcW w:w="4940" w:type="dxa"/>
            <w:vAlign w:val="bottom"/>
          </w:tcPr>
          <w:p>
            <w:pPr>
              <w:ind w:left="320"/>
              <w:spacing w:after="0"/>
              <w:rPr>
                <w:sz w:val="20"/>
                <w:szCs w:val="20"/>
                <w:color w:val="auto"/>
              </w:rPr>
            </w:pPr>
            <w:r>
              <w:rPr>
                <w:rFonts w:ascii="Arial" w:cs="Arial" w:eastAsia="Arial" w:hAnsi="Arial"/>
                <w:sz w:val="18"/>
                <w:szCs w:val="18"/>
                <w:color w:val="auto"/>
              </w:rPr>
              <w:t>medical device applications.</w:t>
            </w:r>
          </w:p>
        </w:tc>
      </w:tr>
      <w:tr>
        <w:trPr>
          <w:trHeight w:val="377"/>
        </w:trPr>
        <w:tc>
          <w:tcPr>
            <w:tcW w:w="1620" w:type="dxa"/>
            <w:vAlign w:val="bottom"/>
          </w:tcPr>
          <w:p>
            <w:pPr>
              <w:spacing w:after="0"/>
              <w:rPr>
                <w:sz w:val="20"/>
                <w:szCs w:val="20"/>
                <w:color w:val="auto"/>
              </w:rPr>
            </w:pPr>
            <w:r>
              <w:rPr>
                <w:rFonts w:ascii="Arial" w:cs="Arial" w:eastAsia="Arial" w:hAnsi="Arial"/>
                <w:sz w:val="18"/>
                <w:szCs w:val="18"/>
                <w:color w:val="auto"/>
              </w:rPr>
              <w:t>April 2007</w:t>
            </w:r>
          </w:p>
        </w:tc>
        <w:tc>
          <w:tcPr>
            <w:tcW w:w="4780" w:type="dxa"/>
            <w:vAlign w:val="bottom"/>
          </w:tcPr>
          <w:p>
            <w:pPr>
              <w:ind w:left="440"/>
              <w:spacing w:after="0"/>
              <w:rPr>
                <w:sz w:val="20"/>
                <w:szCs w:val="20"/>
                <w:color w:val="auto"/>
              </w:rPr>
            </w:pPr>
            <w:r>
              <w:rPr>
                <w:rFonts w:ascii="Arial" w:cs="Arial" w:eastAsia="Arial" w:hAnsi="Arial"/>
                <w:sz w:val="18"/>
                <w:szCs w:val="18"/>
                <w:color w:val="auto"/>
              </w:rPr>
              <w:t>BIOMEC, Inc.</w:t>
            </w:r>
          </w:p>
        </w:tc>
        <w:tc>
          <w:tcPr>
            <w:tcW w:w="4940" w:type="dxa"/>
            <w:vAlign w:val="bottom"/>
          </w:tcPr>
          <w:p>
            <w:pPr>
              <w:ind w:left="320"/>
              <w:spacing w:after="0"/>
              <w:rPr>
                <w:sz w:val="20"/>
                <w:szCs w:val="20"/>
                <w:color w:val="auto"/>
              </w:rPr>
            </w:pPr>
            <w:r>
              <w:rPr>
                <w:rFonts w:ascii="Arial" w:cs="Arial" w:eastAsia="Arial" w:hAnsi="Arial"/>
                <w:sz w:val="18"/>
                <w:szCs w:val="18"/>
                <w:color w:val="auto"/>
              </w:rPr>
              <w:t>Established in 1998, provided medical device design and</w:t>
            </w:r>
          </w:p>
        </w:tc>
      </w:tr>
      <w:tr>
        <w:trPr>
          <w:trHeight w:val="230"/>
        </w:trPr>
        <w:tc>
          <w:tcPr>
            <w:tcW w:w="1620" w:type="dxa"/>
            <w:vAlign w:val="bottom"/>
          </w:tcPr>
          <w:p>
            <w:pPr>
              <w:spacing w:after="0"/>
              <w:rPr>
                <w:sz w:val="20"/>
                <w:szCs w:val="20"/>
                <w:color w:val="auto"/>
              </w:rPr>
            </w:pPr>
          </w:p>
        </w:tc>
        <w:tc>
          <w:tcPr>
            <w:tcW w:w="4780" w:type="dxa"/>
            <w:vAlign w:val="bottom"/>
          </w:tcPr>
          <w:p>
            <w:pPr>
              <w:spacing w:after="0"/>
              <w:rPr>
                <w:sz w:val="20"/>
                <w:szCs w:val="20"/>
                <w:color w:val="auto"/>
              </w:rPr>
            </w:pPr>
          </w:p>
        </w:tc>
        <w:tc>
          <w:tcPr>
            <w:tcW w:w="4940" w:type="dxa"/>
            <w:vAlign w:val="bottom"/>
          </w:tcPr>
          <w:p>
            <w:pPr>
              <w:ind w:left="320"/>
              <w:spacing w:after="0"/>
              <w:rPr>
                <w:sz w:val="20"/>
                <w:szCs w:val="20"/>
                <w:color w:val="auto"/>
              </w:rPr>
            </w:pPr>
            <w:r>
              <w:rPr>
                <w:rFonts w:ascii="Arial" w:cs="Arial" w:eastAsia="Arial" w:hAnsi="Arial"/>
                <w:sz w:val="18"/>
                <w:szCs w:val="18"/>
                <w:color w:val="auto"/>
                <w:w w:val="89"/>
              </w:rPr>
              <w:t>component integration to early-stage and established customers.</w:t>
            </w:r>
          </w:p>
        </w:tc>
      </w:tr>
      <w:tr>
        <w:trPr>
          <w:trHeight w:val="377"/>
        </w:trPr>
        <w:tc>
          <w:tcPr>
            <w:tcW w:w="1620" w:type="dxa"/>
            <w:vAlign w:val="bottom"/>
          </w:tcPr>
          <w:p>
            <w:pPr>
              <w:spacing w:after="0"/>
              <w:rPr>
                <w:sz w:val="20"/>
                <w:szCs w:val="20"/>
                <w:color w:val="auto"/>
              </w:rPr>
            </w:pPr>
            <w:r>
              <w:rPr>
                <w:rFonts w:ascii="Arial" w:cs="Arial" w:eastAsia="Arial" w:hAnsi="Arial"/>
                <w:sz w:val="18"/>
                <w:szCs w:val="18"/>
                <w:color w:val="auto"/>
              </w:rPr>
              <w:t>June 2007</w:t>
            </w:r>
          </w:p>
        </w:tc>
        <w:tc>
          <w:tcPr>
            <w:tcW w:w="4780" w:type="dxa"/>
            <w:vAlign w:val="bottom"/>
          </w:tcPr>
          <w:p>
            <w:pPr>
              <w:ind w:left="440"/>
              <w:spacing w:after="0"/>
              <w:rPr>
                <w:sz w:val="20"/>
                <w:szCs w:val="20"/>
                <w:color w:val="auto"/>
              </w:rPr>
            </w:pPr>
            <w:r>
              <w:rPr>
                <w:rFonts w:ascii="Arial" w:cs="Arial" w:eastAsia="Arial" w:hAnsi="Arial"/>
                <w:sz w:val="18"/>
                <w:szCs w:val="18"/>
                <w:color w:val="auto"/>
              </w:rPr>
              <w:t>Enpath Medical, Inc.</w:t>
            </w:r>
          </w:p>
        </w:tc>
        <w:tc>
          <w:tcPr>
            <w:tcW w:w="4940" w:type="dxa"/>
            <w:vAlign w:val="bottom"/>
          </w:tcPr>
          <w:p>
            <w:pPr>
              <w:ind w:left="320"/>
              <w:spacing w:after="0"/>
              <w:rPr>
                <w:sz w:val="20"/>
                <w:szCs w:val="20"/>
                <w:color w:val="auto"/>
              </w:rPr>
            </w:pPr>
            <w:r>
              <w:rPr>
                <w:rFonts w:ascii="Arial" w:cs="Arial" w:eastAsia="Arial" w:hAnsi="Arial"/>
                <w:sz w:val="18"/>
                <w:szCs w:val="18"/>
                <w:color w:val="auto"/>
                <w:w w:val="98"/>
              </w:rPr>
              <w:t>Founded in 1981, designed, developed, and manufactured</w:t>
            </w:r>
          </w:p>
        </w:tc>
      </w:tr>
      <w:tr>
        <w:trPr>
          <w:trHeight w:val="216"/>
        </w:trPr>
        <w:tc>
          <w:tcPr>
            <w:tcW w:w="1620" w:type="dxa"/>
            <w:vAlign w:val="bottom"/>
          </w:tcPr>
          <w:p>
            <w:pPr>
              <w:spacing w:after="0"/>
              <w:rPr>
                <w:sz w:val="18"/>
                <w:szCs w:val="18"/>
                <w:color w:val="auto"/>
              </w:rPr>
            </w:pPr>
          </w:p>
        </w:tc>
        <w:tc>
          <w:tcPr>
            <w:tcW w:w="4780" w:type="dxa"/>
            <w:vAlign w:val="bottom"/>
          </w:tcPr>
          <w:p>
            <w:pPr>
              <w:spacing w:after="0"/>
              <w:rPr>
                <w:sz w:val="18"/>
                <w:szCs w:val="18"/>
                <w:color w:val="auto"/>
              </w:rPr>
            </w:pPr>
          </w:p>
        </w:tc>
        <w:tc>
          <w:tcPr>
            <w:tcW w:w="4940" w:type="dxa"/>
            <w:vAlign w:val="bottom"/>
          </w:tcPr>
          <w:p>
            <w:pPr>
              <w:ind w:left="320"/>
              <w:spacing w:after="0"/>
              <w:rPr>
                <w:sz w:val="20"/>
                <w:szCs w:val="20"/>
                <w:color w:val="auto"/>
              </w:rPr>
            </w:pPr>
            <w:r>
              <w:rPr>
                <w:rFonts w:ascii="Arial" w:cs="Arial" w:eastAsia="Arial" w:hAnsi="Arial"/>
                <w:sz w:val="18"/>
                <w:szCs w:val="18"/>
                <w:color w:val="auto"/>
              </w:rPr>
              <w:t>venous introducers and dilators, implantable leadwires,</w:t>
            </w:r>
          </w:p>
        </w:tc>
      </w:tr>
      <w:tr>
        <w:trPr>
          <w:trHeight w:val="230"/>
        </w:trPr>
        <w:tc>
          <w:tcPr>
            <w:tcW w:w="1620" w:type="dxa"/>
            <w:vAlign w:val="bottom"/>
          </w:tcPr>
          <w:p>
            <w:pPr>
              <w:spacing w:after="0"/>
              <w:rPr>
                <w:sz w:val="20"/>
                <w:szCs w:val="20"/>
                <w:color w:val="auto"/>
              </w:rPr>
            </w:pPr>
          </w:p>
        </w:tc>
        <w:tc>
          <w:tcPr>
            <w:tcW w:w="4780" w:type="dxa"/>
            <w:vAlign w:val="bottom"/>
          </w:tcPr>
          <w:p>
            <w:pPr>
              <w:spacing w:after="0"/>
              <w:rPr>
                <w:sz w:val="20"/>
                <w:szCs w:val="20"/>
                <w:color w:val="auto"/>
              </w:rPr>
            </w:pPr>
          </w:p>
        </w:tc>
        <w:tc>
          <w:tcPr>
            <w:tcW w:w="4940" w:type="dxa"/>
            <w:vAlign w:val="bottom"/>
          </w:tcPr>
          <w:p>
            <w:pPr>
              <w:ind w:left="320"/>
              <w:spacing w:after="0"/>
              <w:rPr>
                <w:sz w:val="20"/>
                <w:szCs w:val="20"/>
                <w:color w:val="auto"/>
              </w:rPr>
            </w:pPr>
            <w:r>
              <w:rPr>
                <w:rFonts w:ascii="Arial" w:cs="Arial" w:eastAsia="Arial" w:hAnsi="Arial"/>
                <w:sz w:val="18"/>
                <w:szCs w:val="18"/>
                <w:color w:val="auto"/>
              </w:rPr>
              <w:t>steerable sheaths and steerable catheters.</w:t>
            </w:r>
          </w:p>
        </w:tc>
      </w:tr>
      <w:tr>
        <w:trPr>
          <w:trHeight w:val="377"/>
        </w:trPr>
        <w:tc>
          <w:tcPr>
            <w:tcW w:w="1620" w:type="dxa"/>
            <w:vAlign w:val="bottom"/>
          </w:tcPr>
          <w:p>
            <w:pPr>
              <w:spacing w:after="0"/>
              <w:rPr>
                <w:sz w:val="20"/>
                <w:szCs w:val="20"/>
                <w:color w:val="auto"/>
              </w:rPr>
            </w:pPr>
            <w:r>
              <w:rPr>
                <w:rFonts w:ascii="Arial" w:cs="Arial" w:eastAsia="Arial" w:hAnsi="Arial"/>
                <w:sz w:val="18"/>
                <w:szCs w:val="18"/>
                <w:color w:val="auto"/>
              </w:rPr>
              <w:t>October 2007</w:t>
            </w:r>
          </w:p>
        </w:tc>
        <w:tc>
          <w:tcPr>
            <w:tcW w:w="4780" w:type="dxa"/>
            <w:vAlign w:val="bottom"/>
          </w:tcPr>
          <w:p>
            <w:pPr>
              <w:ind w:left="440"/>
              <w:spacing w:after="0"/>
              <w:rPr>
                <w:sz w:val="20"/>
                <w:szCs w:val="20"/>
                <w:color w:val="auto"/>
              </w:rPr>
            </w:pPr>
            <w:r>
              <w:rPr>
                <w:rFonts w:ascii="Arial" w:cs="Arial" w:eastAsia="Arial" w:hAnsi="Arial"/>
                <w:sz w:val="18"/>
                <w:szCs w:val="18"/>
                <w:color w:val="auto"/>
              </w:rPr>
              <w:t>IntelliSensing LLC</w:t>
            </w:r>
          </w:p>
        </w:tc>
        <w:tc>
          <w:tcPr>
            <w:tcW w:w="4940" w:type="dxa"/>
            <w:vAlign w:val="bottom"/>
          </w:tcPr>
          <w:p>
            <w:pPr>
              <w:ind w:left="320"/>
              <w:spacing w:after="0"/>
              <w:rPr>
                <w:sz w:val="20"/>
                <w:szCs w:val="20"/>
                <w:color w:val="auto"/>
              </w:rPr>
            </w:pPr>
            <w:r>
              <w:rPr>
                <w:rFonts w:ascii="Arial" w:cs="Arial" w:eastAsia="Arial" w:hAnsi="Arial"/>
                <w:sz w:val="18"/>
                <w:szCs w:val="18"/>
                <w:color w:val="auto"/>
                <w:w w:val="91"/>
              </w:rPr>
              <w:t>Founded in 2005, designed and manufactured battery-powered</w:t>
            </w:r>
          </w:p>
        </w:tc>
      </w:tr>
      <w:tr>
        <w:trPr>
          <w:trHeight w:val="230"/>
        </w:trPr>
        <w:tc>
          <w:tcPr>
            <w:tcW w:w="1620" w:type="dxa"/>
            <w:vAlign w:val="bottom"/>
          </w:tcPr>
          <w:p>
            <w:pPr>
              <w:spacing w:after="0"/>
              <w:rPr>
                <w:sz w:val="20"/>
                <w:szCs w:val="20"/>
                <w:color w:val="auto"/>
              </w:rPr>
            </w:pPr>
          </w:p>
        </w:tc>
        <w:tc>
          <w:tcPr>
            <w:tcW w:w="4780" w:type="dxa"/>
            <w:vAlign w:val="bottom"/>
          </w:tcPr>
          <w:p>
            <w:pPr>
              <w:spacing w:after="0"/>
              <w:rPr>
                <w:sz w:val="20"/>
                <w:szCs w:val="20"/>
                <w:color w:val="auto"/>
              </w:rPr>
            </w:pPr>
          </w:p>
        </w:tc>
        <w:tc>
          <w:tcPr>
            <w:tcW w:w="4940" w:type="dxa"/>
            <w:vAlign w:val="bottom"/>
          </w:tcPr>
          <w:p>
            <w:pPr>
              <w:ind w:left="320"/>
              <w:spacing w:after="0"/>
              <w:rPr>
                <w:sz w:val="20"/>
                <w:szCs w:val="20"/>
                <w:color w:val="auto"/>
              </w:rPr>
            </w:pPr>
            <w:r>
              <w:rPr>
                <w:rFonts w:ascii="Arial" w:cs="Arial" w:eastAsia="Arial" w:hAnsi="Arial"/>
                <w:sz w:val="18"/>
                <w:szCs w:val="18"/>
                <w:color w:val="auto"/>
              </w:rPr>
              <w:t>wireless sensing solutions for commercial applications.</w:t>
            </w:r>
          </w:p>
        </w:tc>
      </w:tr>
      <w:tr>
        <w:trPr>
          <w:trHeight w:val="377"/>
        </w:trPr>
        <w:tc>
          <w:tcPr>
            <w:tcW w:w="1620" w:type="dxa"/>
            <w:vAlign w:val="bottom"/>
          </w:tcPr>
          <w:p>
            <w:pPr>
              <w:spacing w:after="0"/>
              <w:rPr>
                <w:sz w:val="20"/>
                <w:szCs w:val="20"/>
                <w:color w:val="auto"/>
              </w:rPr>
            </w:pPr>
            <w:r>
              <w:rPr>
                <w:rFonts w:ascii="Arial" w:cs="Arial" w:eastAsia="Arial" w:hAnsi="Arial"/>
                <w:sz w:val="18"/>
                <w:szCs w:val="18"/>
                <w:color w:val="auto"/>
              </w:rPr>
              <w:t>November 2007</w:t>
            </w:r>
          </w:p>
        </w:tc>
        <w:tc>
          <w:tcPr>
            <w:tcW w:w="4780" w:type="dxa"/>
            <w:vAlign w:val="bottom"/>
          </w:tcPr>
          <w:p>
            <w:pPr>
              <w:ind w:left="440"/>
              <w:spacing w:after="0"/>
              <w:rPr>
                <w:sz w:val="20"/>
                <w:szCs w:val="20"/>
                <w:color w:val="auto"/>
              </w:rPr>
            </w:pPr>
            <w:r>
              <w:rPr>
                <w:rFonts w:ascii="Arial" w:cs="Arial" w:eastAsia="Arial" w:hAnsi="Arial"/>
                <w:sz w:val="18"/>
                <w:szCs w:val="18"/>
                <w:color w:val="auto"/>
              </w:rPr>
              <w:t>Quan Emerteq LLC</w:t>
            </w:r>
          </w:p>
        </w:tc>
        <w:tc>
          <w:tcPr>
            <w:tcW w:w="4940" w:type="dxa"/>
            <w:vAlign w:val="bottom"/>
          </w:tcPr>
          <w:p>
            <w:pPr>
              <w:ind w:left="320"/>
              <w:spacing w:after="0"/>
              <w:rPr>
                <w:sz w:val="20"/>
                <w:szCs w:val="20"/>
                <w:color w:val="auto"/>
              </w:rPr>
            </w:pPr>
            <w:r>
              <w:rPr>
                <w:rFonts w:ascii="Arial" w:cs="Arial" w:eastAsia="Arial" w:hAnsi="Arial"/>
                <w:sz w:val="18"/>
                <w:szCs w:val="18"/>
                <w:color w:val="auto"/>
                <w:w w:val="98"/>
              </w:rPr>
              <w:t>Founded in 1998, designed, developed, and manufactured</w:t>
            </w:r>
          </w:p>
        </w:tc>
      </w:tr>
      <w:tr>
        <w:trPr>
          <w:trHeight w:val="216"/>
        </w:trPr>
        <w:tc>
          <w:tcPr>
            <w:tcW w:w="1620" w:type="dxa"/>
            <w:vAlign w:val="bottom"/>
          </w:tcPr>
          <w:p>
            <w:pPr>
              <w:spacing w:after="0"/>
              <w:rPr>
                <w:sz w:val="18"/>
                <w:szCs w:val="18"/>
                <w:color w:val="auto"/>
              </w:rPr>
            </w:pPr>
          </w:p>
        </w:tc>
        <w:tc>
          <w:tcPr>
            <w:tcW w:w="4780" w:type="dxa"/>
            <w:vAlign w:val="bottom"/>
          </w:tcPr>
          <w:p>
            <w:pPr>
              <w:spacing w:after="0"/>
              <w:rPr>
                <w:sz w:val="18"/>
                <w:szCs w:val="18"/>
                <w:color w:val="auto"/>
              </w:rPr>
            </w:pPr>
          </w:p>
        </w:tc>
        <w:tc>
          <w:tcPr>
            <w:tcW w:w="4940" w:type="dxa"/>
            <w:vAlign w:val="bottom"/>
          </w:tcPr>
          <w:p>
            <w:pPr>
              <w:ind w:left="320"/>
              <w:spacing w:after="0"/>
              <w:rPr>
                <w:sz w:val="20"/>
                <w:szCs w:val="20"/>
                <w:color w:val="auto"/>
              </w:rPr>
            </w:pPr>
            <w:r>
              <w:rPr>
                <w:rFonts w:ascii="Arial" w:cs="Arial" w:eastAsia="Arial" w:hAnsi="Arial"/>
                <w:sz w:val="18"/>
                <w:szCs w:val="18"/>
                <w:color w:val="auto"/>
              </w:rPr>
              <w:t>catheters, stimulation leadwires, microcomponents and</w:t>
            </w:r>
          </w:p>
        </w:tc>
      </w:tr>
      <w:tr>
        <w:trPr>
          <w:trHeight w:val="230"/>
        </w:trPr>
        <w:tc>
          <w:tcPr>
            <w:tcW w:w="1620" w:type="dxa"/>
            <w:vAlign w:val="bottom"/>
          </w:tcPr>
          <w:p>
            <w:pPr>
              <w:spacing w:after="0"/>
              <w:rPr>
                <w:sz w:val="20"/>
                <w:szCs w:val="20"/>
                <w:color w:val="auto"/>
              </w:rPr>
            </w:pPr>
          </w:p>
        </w:tc>
        <w:tc>
          <w:tcPr>
            <w:tcW w:w="4780" w:type="dxa"/>
            <w:vAlign w:val="bottom"/>
          </w:tcPr>
          <w:p>
            <w:pPr>
              <w:spacing w:after="0"/>
              <w:rPr>
                <w:sz w:val="20"/>
                <w:szCs w:val="20"/>
                <w:color w:val="auto"/>
              </w:rPr>
            </w:pPr>
          </w:p>
        </w:tc>
        <w:tc>
          <w:tcPr>
            <w:tcW w:w="4940" w:type="dxa"/>
            <w:vAlign w:val="bottom"/>
          </w:tcPr>
          <w:p>
            <w:pPr>
              <w:ind w:left="320"/>
              <w:spacing w:after="0"/>
              <w:rPr>
                <w:sz w:val="20"/>
                <w:szCs w:val="20"/>
                <w:color w:val="auto"/>
              </w:rPr>
            </w:pPr>
            <w:r>
              <w:rPr>
                <w:rFonts w:ascii="Arial" w:cs="Arial" w:eastAsia="Arial" w:hAnsi="Arial"/>
                <w:sz w:val="18"/>
                <w:szCs w:val="18"/>
                <w:color w:val="auto"/>
              </w:rPr>
              <w:t>assemblies.</w:t>
            </w:r>
          </w:p>
        </w:tc>
      </w:tr>
      <w:tr>
        <w:trPr>
          <w:trHeight w:val="377"/>
        </w:trPr>
        <w:tc>
          <w:tcPr>
            <w:tcW w:w="1620" w:type="dxa"/>
            <w:vAlign w:val="bottom"/>
          </w:tcPr>
          <w:p>
            <w:pPr>
              <w:spacing w:after="0"/>
              <w:rPr>
                <w:sz w:val="20"/>
                <w:szCs w:val="20"/>
                <w:color w:val="auto"/>
              </w:rPr>
            </w:pPr>
            <w:r>
              <w:rPr>
                <w:rFonts w:ascii="Arial" w:cs="Arial" w:eastAsia="Arial" w:hAnsi="Arial"/>
                <w:sz w:val="18"/>
                <w:szCs w:val="18"/>
                <w:color w:val="auto"/>
              </w:rPr>
              <w:t>November 2007</w:t>
            </w:r>
          </w:p>
        </w:tc>
        <w:tc>
          <w:tcPr>
            <w:tcW w:w="4780" w:type="dxa"/>
            <w:vAlign w:val="bottom"/>
          </w:tcPr>
          <w:p>
            <w:pPr>
              <w:ind w:left="440"/>
              <w:spacing w:after="0"/>
              <w:rPr>
                <w:sz w:val="20"/>
                <w:szCs w:val="20"/>
                <w:color w:val="auto"/>
              </w:rPr>
            </w:pPr>
            <w:r>
              <w:rPr>
                <w:rFonts w:ascii="Arial" w:cs="Arial" w:eastAsia="Arial" w:hAnsi="Arial"/>
                <w:sz w:val="18"/>
                <w:szCs w:val="18"/>
                <w:color w:val="auto"/>
              </w:rPr>
              <w:t>Engineered Assemblies Corporation</w:t>
            </w:r>
          </w:p>
        </w:tc>
        <w:tc>
          <w:tcPr>
            <w:tcW w:w="4940" w:type="dxa"/>
            <w:vAlign w:val="bottom"/>
          </w:tcPr>
          <w:p>
            <w:pPr>
              <w:ind w:left="320"/>
              <w:spacing w:after="0"/>
              <w:rPr>
                <w:sz w:val="20"/>
                <w:szCs w:val="20"/>
                <w:color w:val="auto"/>
              </w:rPr>
            </w:pPr>
            <w:r>
              <w:rPr>
                <w:rFonts w:ascii="Arial" w:cs="Arial" w:eastAsia="Arial" w:hAnsi="Arial"/>
                <w:sz w:val="18"/>
                <w:szCs w:val="18"/>
                <w:color w:val="auto"/>
                <w:w w:val="99"/>
              </w:rPr>
              <w:t>Founded in 1984, designed and integrated custom battery</w:t>
            </w:r>
          </w:p>
        </w:tc>
      </w:tr>
      <w:tr>
        <w:trPr>
          <w:trHeight w:val="216"/>
        </w:trPr>
        <w:tc>
          <w:tcPr>
            <w:tcW w:w="1620" w:type="dxa"/>
            <w:vAlign w:val="bottom"/>
          </w:tcPr>
          <w:p>
            <w:pPr>
              <w:spacing w:after="0"/>
              <w:rPr>
                <w:sz w:val="18"/>
                <w:szCs w:val="18"/>
                <w:color w:val="auto"/>
              </w:rPr>
            </w:pPr>
          </w:p>
        </w:tc>
        <w:tc>
          <w:tcPr>
            <w:tcW w:w="4780" w:type="dxa"/>
            <w:vAlign w:val="bottom"/>
          </w:tcPr>
          <w:p>
            <w:pPr>
              <w:spacing w:after="0"/>
              <w:rPr>
                <w:sz w:val="18"/>
                <w:szCs w:val="18"/>
                <w:color w:val="auto"/>
              </w:rPr>
            </w:pPr>
          </w:p>
        </w:tc>
        <w:tc>
          <w:tcPr>
            <w:tcW w:w="4940" w:type="dxa"/>
            <w:vAlign w:val="bottom"/>
          </w:tcPr>
          <w:p>
            <w:pPr>
              <w:ind w:left="320"/>
              <w:spacing w:after="0"/>
              <w:rPr>
                <w:sz w:val="20"/>
                <w:szCs w:val="20"/>
                <w:color w:val="auto"/>
              </w:rPr>
            </w:pPr>
            <w:r>
              <w:rPr>
                <w:rFonts w:ascii="Arial" w:cs="Arial" w:eastAsia="Arial" w:hAnsi="Arial"/>
                <w:sz w:val="18"/>
                <w:szCs w:val="18"/>
                <w:color w:val="auto"/>
                <w:w w:val="92"/>
              </w:rPr>
              <w:t>solutions and electronics focused on rechargeable systems for</w:t>
            </w:r>
          </w:p>
        </w:tc>
      </w:tr>
      <w:tr>
        <w:trPr>
          <w:trHeight w:val="216"/>
        </w:trPr>
        <w:tc>
          <w:tcPr>
            <w:tcW w:w="1620" w:type="dxa"/>
            <w:vAlign w:val="bottom"/>
          </w:tcPr>
          <w:p>
            <w:pPr>
              <w:spacing w:after="0"/>
              <w:rPr>
                <w:sz w:val="18"/>
                <w:szCs w:val="18"/>
                <w:color w:val="auto"/>
              </w:rPr>
            </w:pPr>
          </w:p>
        </w:tc>
        <w:tc>
          <w:tcPr>
            <w:tcW w:w="4780" w:type="dxa"/>
            <w:vAlign w:val="bottom"/>
          </w:tcPr>
          <w:p>
            <w:pPr>
              <w:spacing w:after="0"/>
              <w:rPr>
                <w:sz w:val="18"/>
                <w:szCs w:val="18"/>
                <w:color w:val="auto"/>
              </w:rPr>
            </w:pPr>
          </w:p>
        </w:tc>
        <w:tc>
          <w:tcPr>
            <w:tcW w:w="4940" w:type="dxa"/>
            <w:vAlign w:val="bottom"/>
          </w:tcPr>
          <w:p>
            <w:pPr>
              <w:ind w:left="320"/>
              <w:spacing w:after="0"/>
              <w:rPr>
                <w:sz w:val="20"/>
                <w:szCs w:val="20"/>
                <w:color w:val="auto"/>
              </w:rPr>
            </w:pPr>
            <w:r>
              <w:rPr>
                <w:rFonts w:ascii="Arial" w:cs="Arial" w:eastAsia="Arial" w:hAnsi="Arial"/>
                <w:sz w:val="18"/>
                <w:szCs w:val="18"/>
                <w:color w:val="auto"/>
              </w:rPr>
              <w:t>industrial, commercial, military and portable medical</w:t>
            </w:r>
          </w:p>
        </w:tc>
      </w:tr>
      <w:tr>
        <w:trPr>
          <w:trHeight w:val="230"/>
        </w:trPr>
        <w:tc>
          <w:tcPr>
            <w:tcW w:w="1620" w:type="dxa"/>
            <w:vAlign w:val="bottom"/>
          </w:tcPr>
          <w:p>
            <w:pPr>
              <w:spacing w:after="0"/>
              <w:rPr>
                <w:sz w:val="20"/>
                <w:szCs w:val="20"/>
                <w:color w:val="auto"/>
              </w:rPr>
            </w:pPr>
          </w:p>
        </w:tc>
        <w:tc>
          <w:tcPr>
            <w:tcW w:w="4780" w:type="dxa"/>
            <w:vAlign w:val="bottom"/>
          </w:tcPr>
          <w:p>
            <w:pPr>
              <w:spacing w:after="0"/>
              <w:rPr>
                <w:sz w:val="20"/>
                <w:szCs w:val="20"/>
                <w:color w:val="auto"/>
              </w:rPr>
            </w:pPr>
          </w:p>
        </w:tc>
        <w:tc>
          <w:tcPr>
            <w:tcW w:w="4940" w:type="dxa"/>
            <w:vAlign w:val="bottom"/>
          </w:tcPr>
          <w:p>
            <w:pPr>
              <w:ind w:left="320"/>
              <w:spacing w:after="0"/>
              <w:rPr>
                <w:sz w:val="20"/>
                <w:szCs w:val="20"/>
                <w:color w:val="auto"/>
              </w:rPr>
            </w:pPr>
            <w:r>
              <w:rPr>
                <w:rFonts w:ascii="Arial" w:cs="Arial" w:eastAsia="Arial" w:hAnsi="Arial"/>
                <w:sz w:val="18"/>
                <w:szCs w:val="18"/>
                <w:color w:val="auto"/>
              </w:rPr>
              <w:t>applications.</w:t>
            </w:r>
          </w:p>
        </w:tc>
      </w:tr>
      <w:tr>
        <w:trPr>
          <w:trHeight w:val="377"/>
        </w:trPr>
        <w:tc>
          <w:tcPr>
            <w:tcW w:w="1620" w:type="dxa"/>
            <w:vAlign w:val="bottom"/>
          </w:tcPr>
          <w:p>
            <w:pPr>
              <w:spacing w:after="0"/>
              <w:rPr>
                <w:sz w:val="20"/>
                <w:szCs w:val="20"/>
                <w:color w:val="auto"/>
              </w:rPr>
            </w:pPr>
            <w:r>
              <w:rPr>
                <w:rFonts w:ascii="Arial" w:cs="Arial" w:eastAsia="Arial" w:hAnsi="Arial"/>
                <w:sz w:val="18"/>
                <w:szCs w:val="18"/>
                <w:color w:val="auto"/>
              </w:rPr>
              <w:t>January 2008</w:t>
            </w:r>
          </w:p>
        </w:tc>
        <w:tc>
          <w:tcPr>
            <w:tcW w:w="4780" w:type="dxa"/>
            <w:vAlign w:val="bottom"/>
          </w:tcPr>
          <w:p>
            <w:pPr>
              <w:ind w:left="440"/>
              <w:spacing w:after="0"/>
              <w:rPr>
                <w:sz w:val="20"/>
                <w:szCs w:val="20"/>
                <w:color w:val="auto"/>
              </w:rPr>
            </w:pPr>
            <w:r>
              <w:rPr>
                <w:rFonts w:ascii="Arial" w:cs="Arial" w:eastAsia="Arial" w:hAnsi="Arial"/>
                <w:sz w:val="18"/>
                <w:szCs w:val="18"/>
                <w:color w:val="auto"/>
              </w:rPr>
              <w:t>P Medical Holding SA</w:t>
            </w:r>
          </w:p>
        </w:tc>
        <w:tc>
          <w:tcPr>
            <w:tcW w:w="4940" w:type="dxa"/>
            <w:vAlign w:val="bottom"/>
          </w:tcPr>
          <w:p>
            <w:pPr>
              <w:ind w:left="320"/>
              <w:spacing w:after="0"/>
              <w:rPr>
                <w:sz w:val="20"/>
                <w:szCs w:val="20"/>
                <w:color w:val="auto"/>
              </w:rPr>
            </w:pPr>
            <w:r>
              <w:rPr>
                <w:rFonts w:ascii="Arial" w:cs="Arial" w:eastAsia="Arial" w:hAnsi="Arial"/>
                <w:sz w:val="18"/>
                <w:szCs w:val="18"/>
                <w:color w:val="auto"/>
              </w:rPr>
              <w:t>Founded in 1994, designed, manufactured and supplied</w:t>
            </w:r>
          </w:p>
        </w:tc>
      </w:tr>
      <w:tr>
        <w:trPr>
          <w:trHeight w:val="216"/>
        </w:trPr>
        <w:tc>
          <w:tcPr>
            <w:tcW w:w="1620" w:type="dxa"/>
            <w:vAlign w:val="bottom"/>
          </w:tcPr>
          <w:p>
            <w:pPr>
              <w:spacing w:after="0"/>
              <w:rPr>
                <w:sz w:val="18"/>
                <w:szCs w:val="18"/>
                <w:color w:val="auto"/>
              </w:rPr>
            </w:pPr>
          </w:p>
        </w:tc>
        <w:tc>
          <w:tcPr>
            <w:tcW w:w="4780" w:type="dxa"/>
            <w:vAlign w:val="bottom"/>
          </w:tcPr>
          <w:p>
            <w:pPr>
              <w:spacing w:after="0"/>
              <w:rPr>
                <w:sz w:val="18"/>
                <w:szCs w:val="18"/>
                <w:color w:val="auto"/>
              </w:rPr>
            </w:pPr>
          </w:p>
        </w:tc>
        <w:tc>
          <w:tcPr>
            <w:tcW w:w="4940" w:type="dxa"/>
            <w:vAlign w:val="bottom"/>
          </w:tcPr>
          <w:p>
            <w:pPr>
              <w:ind w:left="320"/>
              <w:spacing w:after="0"/>
              <w:rPr>
                <w:sz w:val="20"/>
                <w:szCs w:val="20"/>
                <w:color w:val="auto"/>
              </w:rPr>
            </w:pPr>
            <w:r>
              <w:rPr>
                <w:rFonts w:ascii="Arial" w:cs="Arial" w:eastAsia="Arial" w:hAnsi="Arial"/>
                <w:sz w:val="18"/>
                <w:szCs w:val="18"/>
                <w:color w:val="auto"/>
                <w:w w:val="90"/>
              </w:rPr>
              <w:t>delivery systems, instruments and implants for the orthopaedics</w:t>
            </w:r>
          </w:p>
        </w:tc>
      </w:tr>
      <w:tr>
        <w:trPr>
          <w:trHeight w:val="230"/>
        </w:trPr>
        <w:tc>
          <w:tcPr>
            <w:tcW w:w="1620" w:type="dxa"/>
            <w:vAlign w:val="bottom"/>
          </w:tcPr>
          <w:p>
            <w:pPr>
              <w:spacing w:after="0"/>
              <w:rPr>
                <w:sz w:val="20"/>
                <w:szCs w:val="20"/>
                <w:color w:val="auto"/>
              </w:rPr>
            </w:pPr>
          </w:p>
        </w:tc>
        <w:tc>
          <w:tcPr>
            <w:tcW w:w="4780" w:type="dxa"/>
            <w:vAlign w:val="bottom"/>
          </w:tcPr>
          <w:p>
            <w:pPr>
              <w:spacing w:after="0"/>
              <w:rPr>
                <w:sz w:val="20"/>
                <w:szCs w:val="20"/>
                <w:color w:val="auto"/>
              </w:rPr>
            </w:pPr>
          </w:p>
        </w:tc>
        <w:tc>
          <w:tcPr>
            <w:tcW w:w="4940" w:type="dxa"/>
            <w:vAlign w:val="bottom"/>
          </w:tcPr>
          <w:p>
            <w:pPr>
              <w:ind w:left="320"/>
              <w:spacing w:after="0"/>
              <w:rPr>
                <w:sz w:val="20"/>
                <w:szCs w:val="20"/>
                <w:color w:val="auto"/>
              </w:rPr>
            </w:pPr>
            <w:r>
              <w:rPr>
                <w:rFonts w:ascii="Arial" w:cs="Arial" w:eastAsia="Arial" w:hAnsi="Arial"/>
                <w:sz w:val="18"/>
                <w:szCs w:val="18"/>
                <w:color w:val="auto"/>
              </w:rPr>
              <w:t>industry.</w:t>
            </w:r>
          </w:p>
        </w:tc>
      </w:tr>
      <w:tr>
        <w:trPr>
          <w:trHeight w:val="377"/>
        </w:trPr>
        <w:tc>
          <w:tcPr>
            <w:tcW w:w="1620" w:type="dxa"/>
            <w:vAlign w:val="bottom"/>
          </w:tcPr>
          <w:p>
            <w:pPr>
              <w:spacing w:after="0"/>
              <w:rPr>
                <w:sz w:val="20"/>
                <w:szCs w:val="20"/>
                <w:color w:val="auto"/>
              </w:rPr>
            </w:pPr>
            <w:r>
              <w:rPr>
                <w:rFonts w:ascii="Arial" w:cs="Arial" w:eastAsia="Arial" w:hAnsi="Arial"/>
                <w:sz w:val="18"/>
                <w:szCs w:val="18"/>
                <w:color w:val="auto"/>
              </w:rPr>
              <w:t>February 2008</w:t>
            </w:r>
          </w:p>
        </w:tc>
        <w:tc>
          <w:tcPr>
            <w:tcW w:w="4780" w:type="dxa"/>
            <w:vAlign w:val="bottom"/>
          </w:tcPr>
          <w:p>
            <w:pPr>
              <w:ind w:left="440"/>
              <w:spacing w:after="0"/>
              <w:rPr>
                <w:sz w:val="20"/>
                <w:szCs w:val="20"/>
                <w:color w:val="auto"/>
              </w:rPr>
            </w:pPr>
            <w:r>
              <w:rPr>
                <w:rFonts w:ascii="Arial" w:cs="Arial" w:eastAsia="Arial" w:hAnsi="Arial"/>
                <w:sz w:val="18"/>
                <w:szCs w:val="18"/>
                <w:color w:val="auto"/>
                <w:w w:val="97"/>
              </w:rPr>
              <w:t>DePuy Orthopaedics’ Chaumont, France manufacturing</w:t>
            </w:r>
          </w:p>
        </w:tc>
        <w:tc>
          <w:tcPr>
            <w:tcW w:w="4940" w:type="dxa"/>
            <w:vAlign w:val="bottom"/>
          </w:tcPr>
          <w:p>
            <w:pPr>
              <w:ind w:left="320"/>
              <w:spacing w:after="0"/>
              <w:rPr>
                <w:sz w:val="20"/>
                <w:szCs w:val="20"/>
                <w:color w:val="auto"/>
              </w:rPr>
            </w:pPr>
            <w:r>
              <w:rPr>
                <w:rFonts w:ascii="Arial" w:cs="Arial" w:eastAsia="Arial" w:hAnsi="Arial"/>
                <w:sz w:val="18"/>
                <w:szCs w:val="18"/>
                <w:color w:val="auto"/>
              </w:rPr>
              <w:t>Manufactured hip and shoulder implants for DePuy</w:t>
            </w:r>
          </w:p>
        </w:tc>
      </w:tr>
      <w:tr>
        <w:trPr>
          <w:trHeight w:val="230"/>
        </w:trPr>
        <w:tc>
          <w:tcPr>
            <w:tcW w:w="1620" w:type="dxa"/>
            <w:vAlign w:val="bottom"/>
          </w:tcPr>
          <w:p>
            <w:pPr>
              <w:spacing w:after="0"/>
              <w:rPr>
                <w:sz w:val="20"/>
                <w:szCs w:val="20"/>
                <w:color w:val="auto"/>
              </w:rPr>
            </w:pPr>
          </w:p>
        </w:tc>
        <w:tc>
          <w:tcPr>
            <w:tcW w:w="4780" w:type="dxa"/>
            <w:vAlign w:val="bottom"/>
          </w:tcPr>
          <w:p>
            <w:pPr>
              <w:ind w:left="440"/>
              <w:spacing w:after="0"/>
              <w:rPr>
                <w:sz w:val="20"/>
                <w:szCs w:val="20"/>
                <w:color w:val="auto"/>
              </w:rPr>
            </w:pPr>
            <w:r>
              <w:rPr>
                <w:rFonts w:ascii="Arial" w:cs="Arial" w:eastAsia="Arial" w:hAnsi="Arial"/>
                <w:sz w:val="18"/>
                <w:szCs w:val="18"/>
                <w:color w:val="auto"/>
              </w:rPr>
              <w:t>facility</w:t>
            </w:r>
          </w:p>
        </w:tc>
        <w:tc>
          <w:tcPr>
            <w:tcW w:w="4940" w:type="dxa"/>
            <w:vAlign w:val="bottom"/>
          </w:tcPr>
          <w:p>
            <w:pPr>
              <w:ind w:left="320"/>
              <w:spacing w:after="0"/>
              <w:rPr>
                <w:sz w:val="20"/>
                <w:szCs w:val="20"/>
                <w:color w:val="auto"/>
              </w:rPr>
            </w:pPr>
            <w:r>
              <w:rPr>
                <w:rFonts w:ascii="Arial" w:cs="Arial" w:eastAsia="Arial" w:hAnsi="Arial"/>
                <w:sz w:val="18"/>
                <w:szCs w:val="18"/>
                <w:color w:val="auto"/>
              </w:rPr>
              <w:t>Orthopaedics.</w:t>
            </w:r>
          </w:p>
        </w:tc>
      </w:tr>
      <w:tr>
        <w:trPr>
          <w:trHeight w:val="377"/>
        </w:trPr>
        <w:tc>
          <w:tcPr>
            <w:tcW w:w="1620" w:type="dxa"/>
            <w:vAlign w:val="bottom"/>
          </w:tcPr>
          <w:p>
            <w:pPr>
              <w:spacing w:after="0"/>
              <w:rPr>
                <w:sz w:val="20"/>
                <w:szCs w:val="20"/>
                <w:color w:val="auto"/>
              </w:rPr>
            </w:pPr>
            <w:r>
              <w:rPr>
                <w:rFonts w:ascii="Arial" w:cs="Arial" w:eastAsia="Arial" w:hAnsi="Arial"/>
                <w:sz w:val="18"/>
                <w:szCs w:val="18"/>
                <w:color w:val="auto"/>
              </w:rPr>
              <w:t>December 2011</w:t>
            </w:r>
          </w:p>
        </w:tc>
        <w:tc>
          <w:tcPr>
            <w:tcW w:w="4780" w:type="dxa"/>
            <w:vAlign w:val="bottom"/>
          </w:tcPr>
          <w:p>
            <w:pPr>
              <w:ind w:left="440"/>
              <w:spacing w:after="0"/>
              <w:rPr>
                <w:sz w:val="20"/>
                <w:szCs w:val="20"/>
                <w:color w:val="auto"/>
              </w:rPr>
            </w:pPr>
            <w:r>
              <w:rPr>
                <w:rFonts w:ascii="Arial" w:cs="Arial" w:eastAsia="Arial" w:hAnsi="Arial"/>
                <w:sz w:val="18"/>
                <w:szCs w:val="18"/>
                <w:color w:val="auto"/>
              </w:rPr>
              <w:t>Micro Power Electronics, Inc. (“Micro Power”)</w:t>
            </w:r>
          </w:p>
        </w:tc>
        <w:tc>
          <w:tcPr>
            <w:tcW w:w="4940" w:type="dxa"/>
            <w:vAlign w:val="bottom"/>
          </w:tcPr>
          <w:p>
            <w:pPr>
              <w:ind w:left="320"/>
              <w:spacing w:after="0"/>
              <w:rPr>
                <w:sz w:val="20"/>
                <w:szCs w:val="20"/>
                <w:color w:val="auto"/>
              </w:rPr>
            </w:pPr>
            <w:r>
              <w:rPr>
                <w:rFonts w:ascii="Arial" w:cs="Arial" w:eastAsia="Arial" w:hAnsi="Arial"/>
                <w:sz w:val="18"/>
                <w:szCs w:val="18"/>
                <w:color w:val="auto"/>
              </w:rPr>
              <w:t>Founded in 1990, designed custom battery packs, smart</w:t>
            </w:r>
          </w:p>
        </w:tc>
      </w:tr>
      <w:tr>
        <w:trPr>
          <w:trHeight w:val="216"/>
        </w:trPr>
        <w:tc>
          <w:tcPr>
            <w:tcW w:w="1620" w:type="dxa"/>
            <w:vAlign w:val="bottom"/>
          </w:tcPr>
          <w:p>
            <w:pPr>
              <w:spacing w:after="0"/>
              <w:rPr>
                <w:sz w:val="18"/>
                <w:szCs w:val="18"/>
                <w:color w:val="auto"/>
              </w:rPr>
            </w:pPr>
          </w:p>
        </w:tc>
        <w:tc>
          <w:tcPr>
            <w:tcW w:w="4780" w:type="dxa"/>
            <w:vAlign w:val="bottom"/>
          </w:tcPr>
          <w:p>
            <w:pPr>
              <w:spacing w:after="0"/>
              <w:rPr>
                <w:sz w:val="18"/>
                <w:szCs w:val="18"/>
                <w:color w:val="auto"/>
              </w:rPr>
            </w:pPr>
          </w:p>
        </w:tc>
        <w:tc>
          <w:tcPr>
            <w:tcW w:w="4940" w:type="dxa"/>
            <w:vAlign w:val="bottom"/>
          </w:tcPr>
          <w:p>
            <w:pPr>
              <w:ind w:left="320"/>
              <w:spacing w:after="0"/>
              <w:rPr>
                <w:sz w:val="20"/>
                <w:szCs w:val="20"/>
                <w:color w:val="auto"/>
              </w:rPr>
            </w:pPr>
            <w:r>
              <w:rPr>
                <w:rFonts w:ascii="Arial" w:cs="Arial" w:eastAsia="Arial" w:hAnsi="Arial"/>
                <w:sz w:val="18"/>
                <w:szCs w:val="18"/>
                <w:color w:val="auto"/>
              </w:rPr>
              <w:t>chargers and power supplies for industrial, military and</w:t>
            </w:r>
          </w:p>
        </w:tc>
      </w:tr>
      <w:tr>
        <w:trPr>
          <w:trHeight w:val="230"/>
        </w:trPr>
        <w:tc>
          <w:tcPr>
            <w:tcW w:w="1620" w:type="dxa"/>
            <w:vAlign w:val="bottom"/>
          </w:tcPr>
          <w:p>
            <w:pPr>
              <w:spacing w:after="0"/>
              <w:rPr>
                <w:sz w:val="20"/>
                <w:szCs w:val="20"/>
                <w:color w:val="auto"/>
              </w:rPr>
            </w:pPr>
          </w:p>
        </w:tc>
        <w:tc>
          <w:tcPr>
            <w:tcW w:w="4780" w:type="dxa"/>
            <w:vAlign w:val="bottom"/>
          </w:tcPr>
          <w:p>
            <w:pPr>
              <w:spacing w:after="0"/>
              <w:rPr>
                <w:sz w:val="20"/>
                <w:szCs w:val="20"/>
                <w:color w:val="auto"/>
              </w:rPr>
            </w:pPr>
          </w:p>
        </w:tc>
        <w:tc>
          <w:tcPr>
            <w:tcW w:w="4940" w:type="dxa"/>
            <w:vAlign w:val="bottom"/>
          </w:tcPr>
          <w:p>
            <w:pPr>
              <w:ind w:left="320"/>
              <w:spacing w:after="0"/>
              <w:rPr>
                <w:sz w:val="20"/>
                <w:szCs w:val="20"/>
                <w:color w:val="auto"/>
              </w:rPr>
            </w:pPr>
            <w:r>
              <w:rPr>
                <w:rFonts w:ascii="Arial" w:cs="Arial" w:eastAsia="Arial" w:hAnsi="Arial"/>
                <w:sz w:val="18"/>
                <w:szCs w:val="18"/>
                <w:color w:val="auto"/>
              </w:rPr>
              <w:t>portable medical applications.</w:t>
            </w:r>
          </w:p>
        </w:tc>
      </w:tr>
      <w:tr>
        <w:trPr>
          <w:trHeight w:val="377"/>
        </w:trPr>
        <w:tc>
          <w:tcPr>
            <w:tcW w:w="1620" w:type="dxa"/>
            <w:vAlign w:val="bottom"/>
          </w:tcPr>
          <w:p>
            <w:pPr>
              <w:spacing w:after="0"/>
              <w:rPr>
                <w:sz w:val="20"/>
                <w:szCs w:val="20"/>
                <w:color w:val="auto"/>
              </w:rPr>
            </w:pPr>
            <w:r>
              <w:rPr>
                <w:rFonts w:ascii="Arial" w:cs="Arial" w:eastAsia="Arial" w:hAnsi="Arial"/>
                <w:sz w:val="18"/>
                <w:szCs w:val="18"/>
                <w:color w:val="auto"/>
              </w:rPr>
              <w:t>February 2012</w:t>
            </w:r>
          </w:p>
        </w:tc>
        <w:tc>
          <w:tcPr>
            <w:tcW w:w="4780" w:type="dxa"/>
            <w:vAlign w:val="bottom"/>
          </w:tcPr>
          <w:p>
            <w:pPr>
              <w:ind w:left="440"/>
              <w:spacing w:after="0"/>
              <w:rPr>
                <w:sz w:val="20"/>
                <w:szCs w:val="20"/>
                <w:color w:val="auto"/>
              </w:rPr>
            </w:pPr>
            <w:r>
              <w:rPr>
                <w:rFonts w:ascii="Arial" w:cs="Arial" w:eastAsia="Arial" w:hAnsi="Arial"/>
                <w:sz w:val="18"/>
                <w:szCs w:val="18"/>
                <w:color w:val="auto"/>
              </w:rPr>
              <w:t>NeuroNexus</w:t>
            </w:r>
          </w:p>
        </w:tc>
        <w:tc>
          <w:tcPr>
            <w:tcW w:w="4940" w:type="dxa"/>
            <w:vAlign w:val="bottom"/>
          </w:tcPr>
          <w:p>
            <w:pPr>
              <w:ind w:left="320"/>
              <w:spacing w:after="0"/>
              <w:rPr>
                <w:sz w:val="20"/>
                <w:szCs w:val="20"/>
                <w:color w:val="auto"/>
              </w:rPr>
            </w:pPr>
            <w:r>
              <w:rPr>
                <w:rFonts w:ascii="Arial" w:cs="Arial" w:eastAsia="Arial" w:hAnsi="Arial"/>
                <w:sz w:val="18"/>
                <w:szCs w:val="18"/>
                <w:color w:val="auto"/>
                <w:w w:val="96"/>
              </w:rPr>
              <w:t>Founded in 2004, medical device design firm specializing in</w:t>
            </w:r>
          </w:p>
        </w:tc>
      </w:tr>
      <w:tr>
        <w:trPr>
          <w:trHeight w:val="216"/>
        </w:trPr>
        <w:tc>
          <w:tcPr>
            <w:tcW w:w="1620" w:type="dxa"/>
            <w:vAlign w:val="bottom"/>
          </w:tcPr>
          <w:p>
            <w:pPr>
              <w:spacing w:after="0"/>
              <w:rPr>
                <w:sz w:val="18"/>
                <w:szCs w:val="18"/>
                <w:color w:val="auto"/>
              </w:rPr>
            </w:pPr>
          </w:p>
        </w:tc>
        <w:tc>
          <w:tcPr>
            <w:tcW w:w="4780" w:type="dxa"/>
            <w:vAlign w:val="bottom"/>
          </w:tcPr>
          <w:p>
            <w:pPr>
              <w:spacing w:after="0"/>
              <w:rPr>
                <w:sz w:val="18"/>
                <w:szCs w:val="18"/>
                <w:color w:val="auto"/>
              </w:rPr>
            </w:pPr>
          </w:p>
        </w:tc>
        <w:tc>
          <w:tcPr>
            <w:tcW w:w="4940" w:type="dxa"/>
            <w:vAlign w:val="bottom"/>
          </w:tcPr>
          <w:p>
            <w:pPr>
              <w:ind w:left="320"/>
              <w:spacing w:after="0"/>
              <w:rPr>
                <w:sz w:val="20"/>
                <w:szCs w:val="20"/>
                <w:color w:val="auto"/>
              </w:rPr>
            </w:pPr>
            <w:r>
              <w:rPr>
                <w:rFonts w:ascii="Arial" w:cs="Arial" w:eastAsia="Arial" w:hAnsi="Arial"/>
                <w:sz w:val="18"/>
                <w:szCs w:val="18"/>
                <w:color w:val="auto"/>
              </w:rPr>
              <w:t>developing neural interface technology, components and</w:t>
            </w:r>
          </w:p>
        </w:tc>
      </w:tr>
      <w:tr>
        <w:trPr>
          <w:trHeight w:val="230"/>
        </w:trPr>
        <w:tc>
          <w:tcPr>
            <w:tcW w:w="1620" w:type="dxa"/>
            <w:vAlign w:val="bottom"/>
          </w:tcPr>
          <w:p>
            <w:pPr>
              <w:spacing w:after="0"/>
              <w:rPr>
                <w:sz w:val="20"/>
                <w:szCs w:val="20"/>
                <w:color w:val="auto"/>
              </w:rPr>
            </w:pPr>
          </w:p>
        </w:tc>
        <w:tc>
          <w:tcPr>
            <w:tcW w:w="4780" w:type="dxa"/>
            <w:vAlign w:val="bottom"/>
          </w:tcPr>
          <w:p>
            <w:pPr>
              <w:spacing w:after="0"/>
              <w:rPr>
                <w:sz w:val="20"/>
                <w:szCs w:val="20"/>
                <w:color w:val="auto"/>
              </w:rPr>
            </w:pPr>
          </w:p>
        </w:tc>
        <w:tc>
          <w:tcPr>
            <w:tcW w:w="4940" w:type="dxa"/>
            <w:vAlign w:val="bottom"/>
          </w:tcPr>
          <w:p>
            <w:pPr>
              <w:ind w:left="320"/>
              <w:spacing w:after="0"/>
              <w:rPr>
                <w:sz w:val="20"/>
                <w:szCs w:val="20"/>
                <w:color w:val="auto"/>
              </w:rPr>
            </w:pPr>
            <w:r>
              <w:rPr>
                <w:rFonts w:ascii="Arial" w:cs="Arial" w:eastAsia="Arial" w:hAnsi="Arial"/>
                <w:sz w:val="18"/>
                <w:szCs w:val="18"/>
                <w:color w:val="auto"/>
              </w:rPr>
              <w:t>systems.</w:t>
            </w:r>
          </w:p>
        </w:tc>
      </w:tr>
    </w:tbl>
    <w:p>
      <w:pPr>
        <w:spacing w:after="0" w:line="200" w:lineRule="exact"/>
        <w:rPr>
          <w:sz w:val="20"/>
          <w:szCs w:val="20"/>
          <w:color w:val="auto"/>
        </w:rPr>
      </w:pPr>
    </w:p>
    <w:p>
      <w:pPr>
        <w:sectPr>
          <w:pgSz w:w="11900" w:h="16838" w:orient="portrait"/>
          <w:cols w:equalWidth="0" w:num="1">
            <w:col w:w="11420"/>
          </w:cols>
          <w:pgMar w:left="240" w:top="908" w:right="239" w:bottom="1440" w:gutter="0" w:footer="0" w:header="0"/>
          <w:type w:val="continuous"/>
        </w:sectPr>
      </w:pPr>
    </w:p>
    <w:p>
      <w:pPr>
        <w:spacing w:after="0" w:line="28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- 4 -</w:t>
      </w:r>
    </w:p>
    <w:p>
      <w:pPr>
        <w:sectPr>
          <w:pgSz w:w="11900" w:h="16838" w:orient="portrait"/>
          <w:cols w:equalWidth="0" w:num="1">
            <w:col w:w="11420"/>
          </w:cols>
          <w:pgMar w:left="240" w:top="908" w:right="239" w:bottom="1440" w:gutter="0" w:footer="0" w:header="0"/>
          <w:type w:val="continuous"/>
        </w:sectPr>
      </w:pPr>
    </w:p>
    <w:bookmarkStart w:id="5" w:name="page6"/>
    <w:bookmarkEnd w:id="5"/>
    <w:tbl>
      <w:tblPr>
        <w:tblLayout w:type="fixed"/>
        <w:tblInd w:w="40" w:type="dxa"/>
        <w:tblCellMar>
          <w:top w:w="0" w:type="dxa"/>
          <w:left w:w="0" w:type="dxa"/>
          <w:bottom w:w="0" w:type="dxa"/>
          <w:right w:w="0" w:type="dxa"/>
        </w:tblCellMar>
      </w:tblPr>
      <w:tr>
        <w:trPr>
          <w:trHeight w:val="161"/>
        </w:trPr>
        <w:tc>
          <w:tcPr>
            <w:tcW w:w="2040" w:type="dxa"/>
            <w:vAlign w:val="bottom"/>
            <w:gridSpan w:val="2"/>
          </w:tcPr>
          <w:p>
            <w:pPr>
              <w:spacing w:after="0"/>
              <w:rPr>
                <w:sz w:val="20"/>
                <w:szCs w:val="20"/>
                <w:color w:val="auto"/>
              </w:rPr>
            </w:pPr>
            <w:r>
              <w:rPr>
                <w:rFonts w:ascii="Arial" w:cs="Arial" w:eastAsia="Arial" w:hAnsi="Arial"/>
                <w:sz w:val="14"/>
                <w:szCs w:val="14"/>
                <w:b w:val="1"/>
                <w:bCs w:val="1"/>
                <w:color w:val="auto"/>
              </w:rPr>
              <w:t>Acquisition Date</w:t>
            </w:r>
          </w:p>
        </w:tc>
        <w:tc>
          <w:tcPr>
            <w:tcW w:w="4660" w:type="dxa"/>
            <w:vAlign w:val="bottom"/>
            <w:gridSpan w:val="2"/>
          </w:tcPr>
          <w:p>
            <w:pPr>
              <w:ind w:left="1660"/>
              <w:spacing w:after="0"/>
              <w:rPr>
                <w:sz w:val="20"/>
                <w:szCs w:val="20"/>
                <w:color w:val="auto"/>
              </w:rPr>
            </w:pPr>
            <w:r>
              <w:rPr>
                <w:rFonts w:ascii="Arial" w:cs="Arial" w:eastAsia="Arial" w:hAnsi="Arial"/>
                <w:sz w:val="14"/>
                <w:szCs w:val="14"/>
                <w:b w:val="1"/>
                <w:bCs w:val="1"/>
                <w:color w:val="auto"/>
              </w:rPr>
              <w:t>Acquired Company</w:t>
            </w:r>
          </w:p>
        </w:tc>
        <w:tc>
          <w:tcPr>
            <w:tcW w:w="4680" w:type="dxa"/>
            <w:vAlign w:val="bottom"/>
          </w:tcPr>
          <w:p>
            <w:pPr>
              <w:ind w:left="1380"/>
              <w:spacing w:after="0"/>
              <w:rPr>
                <w:sz w:val="20"/>
                <w:szCs w:val="20"/>
                <w:color w:val="auto"/>
              </w:rPr>
            </w:pPr>
            <w:r>
              <w:rPr>
                <w:rFonts w:ascii="Arial" w:cs="Arial" w:eastAsia="Arial" w:hAnsi="Arial"/>
                <w:sz w:val="14"/>
                <w:szCs w:val="14"/>
                <w:b w:val="1"/>
                <w:bCs w:val="1"/>
                <w:color w:val="auto"/>
              </w:rPr>
              <w:t>Business at Time of Acquisition</w:t>
            </w:r>
          </w:p>
        </w:tc>
        <w:tc>
          <w:tcPr>
            <w:tcW w:w="0" w:type="dxa"/>
            <w:vAlign w:val="bottom"/>
          </w:tcPr>
          <w:p>
            <w:pPr>
              <w:spacing w:after="0"/>
              <w:rPr>
                <w:sz w:val="1"/>
                <w:szCs w:val="1"/>
                <w:color w:val="auto"/>
              </w:rPr>
            </w:pPr>
          </w:p>
        </w:tc>
      </w:tr>
      <w:tr>
        <w:trPr>
          <w:trHeight w:val="21"/>
        </w:trPr>
        <w:tc>
          <w:tcPr>
            <w:tcW w:w="1020" w:type="dxa"/>
            <w:vAlign w:val="bottom"/>
            <w:tcBorders>
              <w:top w:val="single" w:sz="8" w:color="auto"/>
              <w:bottom w:val="single" w:sz="8" w:color="auto"/>
            </w:tcBorders>
            <w:vMerge w:val="restart"/>
          </w:tcPr>
          <w:p>
            <w:pPr>
              <w:spacing w:after="0"/>
              <w:rPr>
                <w:sz w:val="20"/>
                <w:szCs w:val="20"/>
                <w:color w:val="auto"/>
              </w:rPr>
            </w:pPr>
            <w:r>
              <w:rPr>
                <w:rFonts w:ascii="Arial" w:cs="Arial" w:eastAsia="Arial" w:hAnsi="Arial"/>
                <w:sz w:val="18"/>
                <w:szCs w:val="18"/>
                <w:color w:val="auto"/>
                <w:w w:val="98"/>
              </w:rPr>
              <w:t>August 2014</w:t>
            </w:r>
          </w:p>
        </w:tc>
        <w:tc>
          <w:tcPr>
            <w:tcW w:w="1020" w:type="dxa"/>
            <w:vAlign w:val="bottom"/>
            <w:vMerge w:val="restart"/>
          </w:tcPr>
          <w:p>
            <w:pPr>
              <w:spacing w:after="0" w:line="20" w:lineRule="exact"/>
              <w:rPr>
                <w:sz w:val="1"/>
                <w:szCs w:val="1"/>
                <w:color w:val="auto"/>
              </w:rPr>
            </w:pPr>
          </w:p>
        </w:tc>
        <w:tc>
          <w:tcPr>
            <w:tcW w:w="45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22"/>
        </w:trPr>
        <w:tc>
          <w:tcPr>
            <w:tcW w:w="1020" w:type="dxa"/>
            <w:vAlign w:val="bottom"/>
            <w:vMerge w:val="continue"/>
          </w:tcPr>
          <w:p>
            <w:pPr>
              <w:spacing w:after="0"/>
              <w:rPr>
                <w:sz w:val="19"/>
                <w:szCs w:val="19"/>
                <w:color w:val="auto"/>
              </w:rPr>
            </w:pPr>
          </w:p>
        </w:tc>
        <w:tc>
          <w:tcPr>
            <w:tcW w:w="1020" w:type="dxa"/>
            <w:vAlign w:val="bottom"/>
            <w:vMerge w:val="continue"/>
          </w:tcPr>
          <w:p>
            <w:pPr>
              <w:spacing w:after="0"/>
              <w:rPr>
                <w:sz w:val="19"/>
                <w:szCs w:val="19"/>
                <w:color w:val="auto"/>
              </w:rPr>
            </w:pPr>
          </w:p>
        </w:tc>
        <w:tc>
          <w:tcPr>
            <w:tcW w:w="4660" w:type="dxa"/>
            <w:vAlign w:val="bottom"/>
            <w:gridSpan w:val="2"/>
          </w:tcPr>
          <w:p>
            <w:pPr>
              <w:ind w:left="20"/>
              <w:spacing w:after="0"/>
              <w:rPr>
                <w:sz w:val="20"/>
                <w:szCs w:val="20"/>
                <w:color w:val="auto"/>
              </w:rPr>
            </w:pPr>
            <w:r>
              <w:rPr>
                <w:rFonts w:ascii="Arial" w:cs="Arial" w:eastAsia="Arial" w:hAnsi="Arial"/>
                <w:sz w:val="18"/>
                <w:szCs w:val="18"/>
                <w:color w:val="auto"/>
              </w:rPr>
              <w:t>CCC</w:t>
            </w:r>
          </w:p>
        </w:tc>
        <w:tc>
          <w:tcPr>
            <w:tcW w:w="4680" w:type="dxa"/>
            <w:vAlign w:val="bottom"/>
          </w:tcPr>
          <w:p>
            <w:pPr>
              <w:ind w:left="20"/>
              <w:spacing w:after="0"/>
              <w:rPr>
                <w:sz w:val="20"/>
                <w:szCs w:val="20"/>
                <w:color w:val="auto"/>
              </w:rPr>
            </w:pPr>
            <w:r>
              <w:rPr>
                <w:rFonts w:ascii="Arial" w:cs="Arial" w:eastAsia="Arial" w:hAnsi="Arial"/>
                <w:sz w:val="18"/>
                <w:szCs w:val="18"/>
                <w:color w:val="auto"/>
              </w:rPr>
              <w:t>Founded in 1969, an active implantable neuromodulation</w:t>
            </w:r>
          </w:p>
        </w:tc>
        <w:tc>
          <w:tcPr>
            <w:tcW w:w="0" w:type="dxa"/>
            <w:vAlign w:val="bottom"/>
          </w:tcPr>
          <w:p>
            <w:pPr>
              <w:spacing w:after="0"/>
              <w:rPr>
                <w:sz w:val="1"/>
                <w:szCs w:val="1"/>
                <w:color w:val="auto"/>
              </w:rPr>
            </w:pPr>
          </w:p>
        </w:tc>
      </w:tr>
      <w:tr>
        <w:trPr>
          <w:trHeight w:val="216"/>
        </w:trPr>
        <w:tc>
          <w:tcPr>
            <w:tcW w:w="10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4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680" w:type="dxa"/>
            <w:vAlign w:val="bottom"/>
          </w:tcPr>
          <w:p>
            <w:pPr>
              <w:ind w:left="20"/>
              <w:spacing w:after="0"/>
              <w:rPr>
                <w:sz w:val="20"/>
                <w:szCs w:val="20"/>
                <w:color w:val="auto"/>
              </w:rPr>
            </w:pPr>
            <w:r>
              <w:rPr>
                <w:rFonts w:ascii="Arial" w:cs="Arial" w:eastAsia="Arial" w:hAnsi="Arial"/>
                <w:sz w:val="18"/>
                <w:szCs w:val="18"/>
                <w:color w:val="auto"/>
              </w:rPr>
              <w:t>medical device systems developer and manufacturer that</w:t>
            </w:r>
          </w:p>
        </w:tc>
        <w:tc>
          <w:tcPr>
            <w:tcW w:w="0" w:type="dxa"/>
            <w:vAlign w:val="bottom"/>
          </w:tcPr>
          <w:p>
            <w:pPr>
              <w:spacing w:after="0"/>
              <w:rPr>
                <w:sz w:val="1"/>
                <w:szCs w:val="1"/>
                <w:color w:val="auto"/>
              </w:rPr>
            </w:pPr>
          </w:p>
        </w:tc>
      </w:tr>
      <w:tr>
        <w:trPr>
          <w:trHeight w:val="216"/>
        </w:trPr>
        <w:tc>
          <w:tcPr>
            <w:tcW w:w="10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4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680" w:type="dxa"/>
            <w:vAlign w:val="bottom"/>
          </w:tcPr>
          <w:p>
            <w:pPr>
              <w:ind w:left="20"/>
              <w:spacing w:after="0"/>
              <w:rPr>
                <w:sz w:val="20"/>
                <w:szCs w:val="20"/>
                <w:color w:val="auto"/>
              </w:rPr>
            </w:pPr>
            <w:r>
              <w:rPr>
                <w:rFonts w:ascii="Arial" w:cs="Arial" w:eastAsia="Arial" w:hAnsi="Arial"/>
                <w:sz w:val="18"/>
                <w:szCs w:val="18"/>
                <w:color w:val="auto"/>
                <w:w w:val="99"/>
              </w:rPr>
              <w:t>produces a range of medical devices including implantable</w:t>
            </w:r>
          </w:p>
        </w:tc>
        <w:tc>
          <w:tcPr>
            <w:tcW w:w="0" w:type="dxa"/>
            <w:vAlign w:val="bottom"/>
          </w:tcPr>
          <w:p>
            <w:pPr>
              <w:spacing w:after="0"/>
              <w:rPr>
                <w:sz w:val="1"/>
                <w:szCs w:val="1"/>
                <w:color w:val="auto"/>
              </w:rPr>
            </w:pPr>
          </w:p>
        </w:tc>
      </w:tr>
      <w:tr>
        <w:trPr>
          <w:trHeight w:val="216"/>
        </w:trPr>
        <w:tc>
          <w:tcPr>
            <w:tcW w:w="10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4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680" w:type="dxa"/>
            <w:vAlign w:val="bottom"/>
          </w:tcPr>
          <w:p>
            <w:pPr>
              <w:ind w:left="20"/>
              <w:spacing w:after="0"/>
              <w:rPr>
                <w:sz w:val="20"/>
                <w:szCs w:val="20"/>
                <w:color w:val="auto"/>
              </w:rPr>
            </w:pPr>
            <w:r>
              <w:rPr>
                <w:rFonts w:ascii="Arial" w:cs="Arial" w:eastAsia="Arial" w:hAnsi="Arial"/>
                <w:sz w:val="18"/>
                <w:szCs w:val="18"/>
                <w:color w:val="auto"/>
                <w:w w:val="89"/>
              </w:rPr>
              <w:t>pulse generators, programmer systems, battery chargers, patient</w:t>
            </w:r>
          </w:p>
        </w:tc>
        <w:tc>
          <w:tcPr>
            <w:tcW w:w="0" w:type="dxa"/>
            <w:vAlign w:val="bottom"/>
          </w:tcPr>
          <w:p>
            <w:pPr>
              <w:spacing w:after="0"/>
              <w:rPr>
                <w:sz w:val="1"/>
                <w:szCs w:val="1"/>
                <w:color w:val="auto"/>
              </w:rPr>
            </w:pPr>
          </w:p>
        </w:tc>
      </w:tr>
      <w:tr>
        <w:trPr>
          <w:trHeight w:val="230"/>
        </w:trPr>
        <w:tc>
          <w:tcPr>
            <w:tcW w:w="10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45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680" w:type="dxa"/>
            <w:vAlign w:val="bottom"/>
          </w:tcPr>
          <w:p>
            <w:pPr>
              <w:ind w:left="20"/>
              <w:spacing w:after="0"/>
              <w:rPr>
                <w:sz w:val="20"/>
                <w:szCs w:val="20"/>
                <w:color w:val="auto"/>
              </w:rPr>
            </w:pPr>
            <w:r>
              <w:rPr>
                <w:rFonts w:ascii="Arial" w:cs="Arial" w:eastAsia="Arial" w:hAnsi="Arial"/>
                <w:sz w:val="18"/>
                <w:szCs w:val="18"/>
                <w:color w:val="auto"/>
              </w:rPr>
              <w:t>wands and leads.</w:t>
            </w:r>
          </w:p>
        </w:tc>
        <w:tc>
          <w:tcPr>
            <w:tcW w:w="0" w:type="dxa"/>
            <w:vAlign w:val="bottom"/>
          </w:tcPr>
          <w:p>
            <w:pPr>
              <w:spacing w:after="0"/>
              <w:rPr>
                <w:sz w:val="1"/>
                <w:szCs w:val="1"/>
                <w:color w:val="auto"/>
              </w:rPr>
            </w:pPr>
          </w:p>
        </w:tc>
      </w:tr>
      <w:tr>
        <w:trPr>
          <w:trHeight w:val="377"/>
        </w:trPr>
        <w:tc>
          <w:tcPr>
            <w:tcW w:w="2040" w:type="dxa"/>
            <w:vAlign w:val="bottom"/>
            <w:gridSpan w:val="2"/>
          </w:tcPr>
          <w:p>
            <w:pPr>
              <w:spacing w:after="0"/>
              <w:rPr>
                <w:sz w:val="20"/>
                <w:szCs w:val="20"/>
                <w:color w:val="auto"/>
              </w:rPr>
            </w:pPr>
            <w:r>
              <w:rPr>
                <w:rFonts w:ascii="Arial" w:cs="Arial" w:eastAsia="Arial" w:hAnsi="Arial"/>
                <w:sz w:val="18"/>
                <w:szCs w:val="18"/>
                <w:color w:val="auto"/>
              </w:rPr>
              <w:t>October 2015</w:t>
            </w:r>
          </w:p>
        </w:tc>
        <w:tc>
          <w:tcPr>
            <w:tcW w:w="4660" w:type="dxa"/>
            <w:vAlign w:val="bottom"/>
            <w:gridSpan w:val="2"/>
          </w:tcPr>
          <w:p>
            <w:pPr>
              <w:ind w:left="20"/>
              <w:spacing w:after="0"/>
              <w:rPr>
                <w:sz w:val="20"/>
                <w:szCs w:val="20"/>
                <w:color w:val="auto"/>
              </w:rPr>
            </w:pPr>
            <w:r>
              <w:rPr>
                <w:rFonts w:ascii="Arial" w:cs="Arial" w:eastAsia="Arial" w:hAnsi="Arial"/>
                <w:sz w:val="18"/>
                <w:szCs w:val="18"/>
                <w:color w:val="auto"/>
              </w:rPr>
              <w:t>Lake Region Medical</w:t>
            </w:r>
          </w:p>
        </w:tc>
        <w:tc>
          <w:tcPr>
            <w:tcW w:w="4680" w:type="dxa"/>
            <w:vAlign w:val="bottom"/>
          </w:tcPr>
          <w:p>
            <w:pPr>
              <w:ind w:left="20"/>
              <w:spacing w:after="0"/>
              <w:rPr>
                <w:sz w:val="20"/>
                <w:szCs w:val="20"/>
                <w:color w:val="auto"/>
              </w:rPr>
            </w:pPr>
            <w:r>
              <w:rPr>
                <w:rFonts w:ascii="Arial" w:cs="Arial" w:eastAsia="Arial" w:hAnsi="Arial"/>
                <w:sz w:val="18"/>
                <w:szCs w:val="18"/>
                <w:color w:val="auto"/>
              </w:rPr>
              <w:t>Founded in the 1940s, offers fully integrated outsourced</w:t>
            </w:r>
          </w:p>
        </w:tc>
        <w:tc>
          <w:tcPr>
            <w:tcW w:w="0" w:type="dxa"/>
            <w:vAlign w:val="bottom"/>
          </w:tcPr>
          <w:p>
            <w:pPr>
              <w:spacing w:after="0"/>
              <w:rPr>
                <w:sz w:val="1"/>
                <w:szCs w:val="1"/>
                <w:color w:val="auto"/>
              </w:rPr>
            </w:pPr>
          </w:p>
        </w:tc>
      </w:tr>
      <w:tr>
        <w:trPr>
          <w:trHeight w:val="216"/>
        </w:trPr>
        <w:tc>
          <w:tcPr>
            <w:tcW w:w="10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4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680" w:type="dxa"/>
            <w:vAlign w:val="bottom"/>
          </w:tcPr>
          <w:p>
            <w:pPr>
              <w:ind w:left="20"/>
              <w:spacing w:after="0"/>
              <w:rPr>
                <w:sz w:val="20"/>
                <w:szCs w:val="20"/>
                <w:color w:val="auto"/>
              </w:rPr>
            </w:pPr>
            <w:r>
              <w:rPr>
                <w:rFonts w:ascii="Arial" w:cs="Arial" w:eastAsia="Arial" w:hAnsi="Arial"/>
                <w:sz w:val="18"/>
                <w:szCs w:val="18"/>
                <w:color w:val="auto"/>
                <w:w w:val="96"/>
              </w:rPr>
              <w:t>manufacturing, regulatory and engineering services, contract</w:t>
            </w:r>
          </w:p>
        </w:tc>
        <w:tc>
          <w:tcPr>
            <w:tcW w:w="0" w:type="dxa"/>
            <w:vAlign w:val="bottom"/>
          </w:tcPr>
          <w:p>
            <w:pPr>
              <w:spacing w:after="0"/>
              <w:rPr>
                <w:sz w:val="1"/>
                <w:szCs w:val="1"/>
                <w:color w:val="auto"/>
              </w:rPr>
            </w:pPr>
          </w:p>
        </w:tc>
      </w:tr>
      <w:tr>
        <w:trPr>
          <w:trHeight w:val="216"/>
        </w:trPr>
        <w:tc>
          <w:tcPr>
            <w:tcW w:w="10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4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680" w:type="dxa"/>
            <w:vAlign w:val="bottom"/>
          </w:tcPr>
          <w:p>
            <w:pPr>
              <w:ind w:left="20"/>
              <w:spacing w:after="0"/>
              <w:rPr>
                <w:sz w:val="20"/>
                <w:szCs w:val="20"/>
                <w:color w:val="auto"/>
              </w:rPr>
            </w:pPr>
            <w:r>
              <w:rPr>
                <w:rFonts w:ascii="Arial" w:cs="Arial" w:eastAsia="Arial" w:hAnsi="Arial"/>
                <w:sz w:val="18"/>
                <w:szCs w:val="18"/>
                <w:color w:val="auto"/>
              </w:rPr>
              <w:t>manufacturing, finished device assembly services, original</w:t>
            </w:r>
          </w:p>
        </w:tc>
        <w:tc>
          <w:tcPr>
            <w:tcW w:w="0" w:type="dxa"/>
            <w:vAlign w:val="bottom"/>
          </w:tcPr>
          <w:p>
            <w:pPr>
              <w:spacing w:after="0"/>
              <w:rPr>
                <w:sz w:val="1"/>
                <w:szCs w:val="1"/>
                <w:color w:val="auto"/>
              </w:rPr>
            </w:pPr>
          </w:p>
        </w:tc>
      </w:tr>
      <w:tr>
        <w:trPr>
          <w:trHeight w:val="216"/>
        </w:trPr>
        <w:tc>
          <w:tcPr>
            <w:tcW w:w="10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4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680" w:type="dxa"/>
            <w:vAlign w:val="bottom"/>
          </w:tcPr>
          <w:p>
            <w:pPr>
              <w:ind w:left="20"/>
              <w:spacing w:after="0"/>
              <w:rPr>
                <w:sz w:val="20"/>
                <w:szCs w:val="20"/>
                <w:color w:val="auto"/>
              </w:rPr>
            </w:pPr>
            <w:r>
              <w:rPr>
                <w:rFonts w:ascii="Arial" w:cs="Arial" w:eastAsia="Arial" w:hAnsi="Arial"/>
                <w:sz w:val="18"/>
                <w:szCs w:val="18"/>
                <w:color w:val="auto"/>
                <w:w w:val="93"/>
              </w:rPr>
              <w:t>device development, and supply chain management within the</w:t>
            </w:r>
          </w:p>
        </w:tc>
        <w:tc>
          <w:tcPr>
            <w:tcW w:w="0" w:type="dxa"/>
            <w:vAlign w:val="bottom"/>
          </w:tcPr>
          <w:p>
            <w:pPr>
              <w:spacing w:after="0"/>
              <w:rPr>
                <w:sz w:val="1"/>
                <w:szCs w:val="1"/>
                <w:color w:val="auto"/>
              </w:rPr>
            </w:pPr>
          </w:p>
        </w:tc>
      </w:tr>
      <w:tr>
        <w:trPr>
          <w:trHeight w:val="230"/>
        </w:trPr>
        <w:tc>
          <w:tcPr>
            <w:tcW w:w="10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45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680" w:type="dxa"/>
            <w:vAlign w:val="bottom"/>
          </w:tcPr>
          <w:p>
            <w:pPr>
              <w:ind w:left="20"/>
              <w:spacing w:after="0"/>
              <w:rPr>
                <w:sz w:val="20"/>
                <w:szCs w:val="20"/>
                <w:color w:val="auto"/>
              </w:rPr>
            </w:pPr>
            <w:r>
              <w:rPr>
                <w:rFonts w:ascii="Arial" w:cs="Arial" w:eastAsia="Arial" w:hAnsi="Arial"/>
                <w:sz w:val="18"/>
                <w:szCs w:val="18"/>
                <w:color w:val="auto"/>
              </w:rPr>
              <w:t>cardio, vascular and advanced surgical markets.</w:t>
            </w:r>
          </w:p>
        </w:tc>
        <w:tc>
          <w:tcPr>
            <w:tcW w:w="0" w:type="dxa"/>
            <w:vAlign w:val="bottom"/>
          </w:tcPr>
          <w:p>
            <w:pPr>
              <w:spacing w:after="0"/>
              <w:rPr>
                <w:sz w:val="1"/>
                <w:szCs w:val="1"/>
                <w:color w:val="auto"/>
              </w:rPr>
            </w:pPr>
          </w:p>
        </w:tc>
      </w:tr>
    </w:tbl>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FINANCIAL STATEMENT YEAR END</w:t>
      </w:r>
    </w:p>
    <w:p>
      <w:pPr>
        <w:spacing w:after="0" w:line="229" w:lineRule="exact"/>
        <w:rPr>
          <w:sz w:val="20"/>
          <w:szCs w:val="20"/>
          <w:color w:val="auto"/>
        </w:rPr>
      </w:pPr>
    </w:p>
    <w:p>
      <w:pPr>
        <w:jc w:val="both"/>
        <w:ind w:right="280"/>
        <w:spacing w:after="0" w:line="342" w:lineRule="auto"/>
        <w:rPr>
          <w:sz w:val="20"/>
          <w:szCs w:val="20"/>
          <w:color w:val="auto"/>
        </w:rPr>
      </w:pPr>
      <w:r>
        <w:rPr>
          <w:rFonts w:ascii="Arial" w:cs="Arial" w:eastAsia="Arial" w:hAnsi="Arial"/>
          <w:sz w:val="16"/>
          <w:szCs w:val="16"/>
          <w:color w:val="auto"/>
        </w:rPr>
        <w:t>We utilize a fifty-two, fifty-three week fiscal year ending on the Friday nearest December 31. Fiscal years 2015, 2014 and 2013 ended on January 1, 2016, January 2, 2015, and January 3, 2014, respectively. Fiscal year 2015 and 2014 contained fifty-two weeks and fiscal year 2013 contained fifty-three weeks.</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SEGMENT INFORMATION</w:t>
      </w:r>
    </w:p>
    <w:p>
      <w:pPr>
        <w:spacing w:after="0" w:line="229" w:lineRule="exact"/>
        <w:rPr>
          <w:sz w:val="20"/>
          <w:szCs w:val="20"/>
          <w:color w:val="auto"/>
        </w:rPr>
      </w:pPr>
    </w:p>
    <w:p>
      <w:pPr>
        <w:ind w:right="140"/>
        <w:spacing w:after="0" w:line="276" w:lineRule="auto"/>
        <w:rPr>
          <w:sz w:val="20"/>
          <w:szCs w:val="20"/>
          <w:color w:val="auto"/>
        </w:rPr>
      </w:pPr>
      <w:r>
        <w:rPr>
          <w:rFonts w:ascii="Arial" w:cs="Arial" w:eastAsia="Arial" w:hAnsi="Arial"/>
          <w:sz w:val="17"/>
          <w:szCs w:val="17"/>
          <w:color w:val="auto"/>
        </w:rPr>
        <w:t>We operate our Company in three reportable segments: Greatbatch Medical, QiG, and Lake Region Medical. Segment information including sales from external customers, profit or loss, and assets by segment as well as sales from external customers and long-lived assets by geographic area are set forth in Note 19 “Business Segment, Geographic and Concentration Risk Information” of the Notes to Consolidated Financial Statements contained in Item 8 of this report. As a result of the Lake Region Medical acquisition and the pending Spin-off, we are reevaluating our operating and reporting segments, which is expected to be finalized in 2016 once our corporate and management reporting structure realignment is completed.</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Greatbatch Medical</w:t>
      </w:r>
    </w:p>
    <w:p>
      <w:pPr>
        <w:spacing w:after="0" w:line="229" w:lineRule="exact"/>
        <w:rPr>
          <w:sz w:val="20"/>
          <w:szCs w:val="20"/>
          <w:color w:val="auto"/>
        </w:rPr>
      </w:pPr>
    </w:p>
    <w:p>
      <w:pPr>
        <w:ind w:right="460"/>
        <w:spacing w:after="0" w:line="277" w:lineRule="auto"/>
        <w:rPr>
          <w:sz w:val="20"/>
          <w:szCs w:val="20"/>
          <w:color w:val="auto"/>
        </w:rPr>
      </w:pPr>
      <w:r>
        <w:rPr>
          <w:rFonts w:ascii="Arial" w:cs="Arial" w:eastAsia="Arial" w:hAnsi="Arial"/>
          <w:sz w:val="18"/>
          <w:szCs w:val="18"/>
          <w:color w:val="auto"/>
        </w:rPr>
        <w:t>Greatbatch Medical’s products include medical devices and components for the cardiac, neuromodulation, orthopaedics, vascular, portable medical, and energy markets among others. A brief description of these products and markets follows.</w:t>
      </w:r>
    </w:p>
    <w:p>
      <w:pPr>
        <w:spacing w:after="0" w:line="170" w:lineRule="exact"/>
        <w:rPr>
          <w:sz w:val="20"/>
          <w:szCs w:val="20"/>
          <w:color w:val="auto"/>
        </w:rPr>
      </w:pPr>
    </w:p>
    <w:p>
      <w:pPr>
        <w:ind w:right="60"/>
        <w:spacing w:after="0" w:line="254" w:lineRule="auto"/>
        <w:rPr>
          <w:sz w:val="20"/>
          <w:szCs w:val="20"/>
          <w:color w:val="auto"/>
        </w:rPr>
      </w:pPr>
      <w:r>
        <w:rPr>
          <w:rFonts w:ascii="Arial" w:cs="Arial" w:eastAsia="Arial" w:hAnsi="Arial"/>
          <w:sz w:val="18"/>
          <w:szCs w:val="18"/>
          <w:u w:val="single" w:color="auto"/>
          <w:color w:val="auto"/>
        </w:rPr>
        <w:t>Cardiac and Neuromodulation</w:t>
      </w:r>
      <w:r>
        <w:rPr>
          <w:rFonts w:ascii="Arial" w:cs="Arial" w:eastAsia="Arial" w:hAnsi="Arial"/>
          <w:sz w:val="18"/>
          <w:szCs w:val="18"/>
          <w:color w:val="auto"/>
        </w:rPr>
        <w:t xml:space="preserve"> – Products include batteries, capacitors, filtered and unfiltered feedthroughs, engineered components, implantable stimulation leads and enclosures used in IMDs. Additionally, we offer value-added assembly for these IMDs. An IMD is an instrument that is surgically inserted into the body to provide diagnosis and/or therapy. One sector of the IMD market is cardiac, which is comprised of devices such as implantable pacemakers, implantable cardioverter defibrillators (“ICD”), cardiac resynchronization therapy (“CRT”) devices, and cardiac resynchronization therapy with backup defibrillation devices (“CRT-D”). Another sector of the IMD market is neuromodulation, which is comprised of pacemaker-type devices that stimulate nerves for the treatment of various conditions. Beyond established therapies for pain control, incontinence, movement disorders (Parkinson’s disease, essential tremor and dystonia) and epilepsy, nerve stimulation for the treatment of other disabilities such as sleep apnea, migraines, obesity and depression has shown promising results.</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sets forth the main categories of battery-powered IMDs and the principal illness or symptoms treated by each device:</w:t>
      </w:r>
    </w:p>
    <w:p>
      <w:pPr>
        <w:spacing w:after="0" w:line="335" w:lineRule="exact"/>
        <w:rPr>
          <w:sz w:val="20"/>
          <w:szCs w:val="20"/>
          <w:color w:val="auto"/>
        </w:rPr>
      </w:pPr>
    </w:p>
    <w:tbl>
      <w:tblPr>
        <w:tblLayout w:type="fixed"/>
        <w:tblInd w:w="40" w:type="dxa"/>
        <w:tblCellMar>
          <w:top w:w="0" w:type="dxa"/>
          <w:left w:w="0" w:type="dxa"/>
          <w:bottom w:w="0" w:type="dxa"/>
          <w:right w:w="0" w:type="dxa"/>
        </w:tblCellMar>
      </w:tblPr>
      <w:tr>
        <w:trPr>
          <w:trHeight w:val="161"/>
        </w:trPr>
        <w:tc>
          <w:tcPr>
            <w:tcW w:w="2540" w:type="dxa"/>
            <w:vAlign w:val="bottom"/>
            <w:gridSpan w:val="2"/>
          </w:tcPr>
          <w:p>
            <w:pPr>
              <w:spacing w:after="0"/>
              <w:rPr>
                <w:sz w:val="20"/>
                <w:szCs w:val="20"/>
                <w:color w:val="auto"/>
              </w:rPr>
            </w:pPr>
            <w:r>
              <w:rPr>
                <w:rFonts w:ascii="Arial" w:cs="Arial" w:eastAsia="Arial" w:hAnsi="Arial"/>
                <w:sz w:val="14"/>
                <w:szCs w:val="14"/>
                <w:b w:val="1"/>
                <w:bCs w:val="1"/>
                <w:color w:val="auto"/>
              </w:rPr>
              <w:t>Device</w:t>
            </w:r>
          </w:p>
        </w:tc>
        <w:tc>
          <w:tcPr>
            <w:tcW w:w="5740" w:type="dxa"/>
            <w:vAlign w:val="bottom"/>
          </w:tcPr>
          <w:p>
            <w:pPr>
              <w:ind w:left="1980"/>
              <w:spacing w:after="0"/>
              <w:rPr>
                <w:sz w:val="20"/>
                <w:szCs w:val="20"/>
                <w:color w:val="auto"/>
              </w:rPr>
            </w:pPr>
            <w:r>
              <w:rPr>
                <w:rFonts w:ascii="Arial" w:cs="Arial" w:eastAsia="Arial" w:hAnsi="Arial"/>
                <w:sz w:val="14"/>
                <w:szCs w:val="14"/>
                <w:b w:val="1"/>
                <w:bCs w:val="1"/>
                <w:color w:val="auto"/>
              </w:rPr>
              <w:t>Principal Illness or Symptom</w:t>
            </w:r>
          </w:p>
        </w:tc>
        <w:tc>
          <w:tcPr>
            <w:tcW w:w="0" w:type="dxa"/>
            <w:vAlign w:val="bottom"/>
          </w:tcPr>
          <w:p>
            <w:pPr>
              <w:spacing w:after="0"/>
              <w:rPr>
                <w:sz w:val="1"/>
                <w:szCs w:val="1"/>
                <w:color w:val="auto"/>
              </w:rPr>
            </w:pPr>
          </w:p>
        </w:tc>
      </w:tr>
      <w:tr>
        <w:trPr>
          <w:trHeight w:val="20"/>
        </w:trPr>
        <w:tc>
          <w:tcPr>
            <w:tcW w:w="400" w:type="dxa"/>
            <w:vAlign w:val="bottom"/>
            <w:shd w:val="clear" w:color="auto" w:fill="000000"/>
          </w:tcPr>
          <w:p>
            <w:pPr>
              <w:spacing w:after="0" w:line="20" w:lineRule="exact"/>
              <w:rPr>
                <w:sz w:val="1"/>
                <w:szCs w:val="1"/>
                <w:color w:val="auto"/>
              </w:rPr>
            </w:pPr>
          </w:p>
        </w:tc>
        <w:tc>
          <w:tcPr>
            <w:tcW w:w="2140" w:type="dxa"/>
            <w:vAlign w:val="bottom"/>
          </w:tcPr>
          <w:p>
            <w:pPr>
              <w:spacing w:after="0" w:line="20" w:lineRule="exact"/>
              <w:rPr>
                <w:sz w:val="1"/>
                <w:szCs w:val="1"/>
                <w:color w:val="auto"/>
              </w:rPr>
            </w:pPr>
          </w:p>
        </w:tc>
        <w:tc>
          <w:tcPr>
            <w:tcW w:w="57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
        </w:trPr>
        <w:tc>
          <w:tcPr>
            <w:tcW w:w="2540" w:type="dxa"/>
            <w:vAlign w:val="bottom"/>
            <w:gridSpan w:val="2"/>
            <w:vMerge w:val="restart"/>
          </w:tcPr>
          <w:p>
            <w:pPr>
              <w:spacing w:after="0"/>
              <w:rPr>
                <w:sz w:val="20"/>
                <w:szCs w:val="20"/>
                <w:color w:val="auto"/>
              </w:rPr>
            </w:pPr>
            <w:r>
              <w:rPr>
                <w:rFonts w:ascii="Arial" w:cs="Arial" w:eastAsia="Arial" w:hAnsi="Arial"/>
                <w:sz w:val="18"/>
                <w:szCs w:val="18"/>
                <w:color w:val="auto"/>
              </w:rPr>
              <w:t>Pacemakers</w:t>
            </w:r>
          </w:p>
        </w:tc>
        <w:tc>
          <w:tcPr>
            <w:tcW w:w="57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37"/>
        </w:trPr>
        <w:tc>
          <w:tcPr>
            <w:tcW w:w="2540" w:type="dxa"/>
            <w:vAlign w:val="bottom"/>
            <w:gridSpan w:val="2"/>
            <w:vMerge w:val="continue"/>
          </w:tcPr>
          <w:p>
            <w:pPr>
              <w:spacing w:after="0"/>
              <w:rPr>
                <w:sz w:val="20"/>
                <w:szCs w:val="20"/>
                <w:color w:val="auto"/>
              </w:rPr>
            </w:pPr>
          </w:p>
        </w:tc>
        <w:tc>
          <w:tcPr>
            <w:tcW w:w="5740" w:type="dxa"/>
            <w:vAlign w:val="bottom"/>
          </w:tcPr>
          <w:p>
            <w:pPr>
              <w:ind w:left="40"/>
              <w:spacing w:after="0"/>
              <w:rPr>
                <w:sz w:val="20"/>
                <w:szCs w:val="20"/>
                <w:color w:val="auto"/>
              </w:rPr>
            </w:pPr>
            <w:r>
              <w:rPr>
                <w:rFonts w:ascii="Arial" w:cs="Arial" w:eastAsia="Arial" w:hAnsi="Arial"/>
                <w:sz w:val="18"/>
                <w:szCs w:val="18"/>
                <w:color w:val="auto"/>
              </w:rPr>
              <w:t>Abnormally slow heartbeat (Bradycardia)</w:t>
            </w:r>
          </w:p>
        </w:tc>
        <w:tc>
          <w:tcPr>
            <w:tcW w:w="0" w:type="dxa"/>
            <w:vAlign w:val="bottom"/>
          </w:tcPr>
          <w:p>
            <w:pPr>
              <w:spacing w:after="0"/>
              <w:rPr>
                <w:sz w:val="1"/>
                <w:szCs w:val="1"/>
                <w:color w:val="auto"/>
              </w:rPr>
            </w:pPr>
          </w:p>
        </w:tc>
      </w:tr>
      <w:tr>
        <w:trPr>
          <w:trHeight w:val="270"/>
        </w:trPr>
        <w:tc>
          <w:tcPr>
            <w:tcW w:w="2540" w:type="dxa"/>
            <w:vAlign w:val="bottom"/>
            <w:gridSpan w:val="2"/>
          </w:tcPr>
          <w:p>
            <w:pPr>
              <w:spacing w:after="0"/>
              <w:rPr>
                <w:sz w:val="20"/>
                <w:szCs w:val="20"/>
                <w:color w:val="auto"/>
              </w:rPr>
            </w:pPr>
            <w:r>
              <w:rPr>
                <w:rFonts w:ascii="Arial" w:cs="Arial" w:eastAsia="Arial" w:hAnsi="Arial"/>
                <w:sz w:val="18"/>
                <w:szCs w:val="18"/>
                <w:color w:val="auto"/>
              </w:rPr>
              <w:t>ICDs</w:t>
            </w:r>
          </w:p>
        </w:tc>
        <w:tc>
          <w:tcPr>
            <w:tcW w:w="5740" w:type="dxa"/>
            <w:vAlign w:val="bottom"/>
          </w:tcPr>
          <w:p>
            <w:pPr>
              <w:ind w:left="40"/>
              <w:spacing w:after="0"/>
              <w:rPr>
                <w:sz w:val="20"/>
                <w:szCs w:val="20"/>
                <w:color w:val="auto"/>
              </w:rPr>
            </w:pPr>
            <w:r>
              <w:rPr>
                <w:rFonts w:ascii="Arial" w:cs="Arial" w:eastAsia="Arial" w:hAnsi="Arial"/>
                <w:sz w:val="18"/>
                <w:szCs w:val="18"/>
                <w:color w:val="auto"/>
              </w:rPr>
              <w:t>Rapid and irregular heartbeat (Tachycardia)</w:t>
            </w:r>
          </w:p>
        </w:tc>
        <w:tc>
          <w:tcPr>
            <w:tcW w:w="0" w:type="dxa"/>
            <w:vAlign w:val="bottom"/>
          </w:tcPr>
          <w:p>
            <w:pPr>
              <w:spacing w:after="0"/>
              <w:rPr>
                <w:sz w:val="1"/>
                <w:szCs w:val="1"/>
                <w:color w:val="auto"/>
              </w:rPr>
            </w:pPr>
          </w:p>
        </w:tc>
      </w:tr>
      <w:tr>
        <w:trPr>
          <w:trHeight w:val="270"/>
        </w:trPr>
        <w:tc>
          <w:tcPr>
            <w:tcW w:w="2540" w:type="dxa"/>
            <w:vAlign w:val="bottom"/>
            <w:gridSpan w:val="2"/>
          </w:tcPr>
          <w:p>
            <w:pPr>
              <w:spacing w:after="0"/>
              <w:rPr>
                <w:sz w:val="20"/>
                <w:szCs w:val="20"/>
                <w:color w:val="auto"/>
              </w:rPr>
            </w:pPr>
            <w:r>
              <w:rPr>
                <w:rFonts w:ascii="Arial" w:cs="Arial" w:eastAsia="Arial" w:hAnsi="Arial"/>
                <w:sz w:val="18"/>
                <w:szCs w:val="18"/>
                <w:color w:val="auto"/>
              </w:rPr>
              <w:t>CRT/CRT-Ds</w:t>
            </w:r>
          </w:p>
        </w:tc>
        <w:tc>
          <w:tcPr>
            <w:tcW w:w="5740" w:type="dxa"/>
            <w:vAlign w:val="bottom"/>
          </w:tcPr>
          <w:p>
            <w:pPr>
              <w:ind w:left="40"/>
              <w:spacing w:after="0"/>
              <w:rPr>
                <w:sz w:val="20"/>
                <w:szCs w:val="20"/>
                <w:color w:val="auto"/>
              </w:rPr>
            </w:pPr>
            <w:r>
              <w:rPr>
                <w:rFonts w:ascii="Arial" w:cs="Arial" w:eastAsia="Arial" w:hAnsi="Arial"/>
                <w:sz w:val="18"/>
                <w:szCs w:val="18"/>
                <w:color w:val="auto"/>
              </w:rPr>
              <w:t>Congestive heart failure</w:t>
            </w:r>
          </w:p>
        </w:tc>
        <w:tc>
          <w:tcPr>
            <w:tcW w:w="0" w:type="dxa"/>
            <w:vAlign w:val="bottom"/>
          </w:tcPr>
          <w:p>
            <w:pPr>
              <w:spacing w:after="0"/>
              <w:rPr>
                <w:sz w:val="1"/>
                <w:szCs w:val="1"/>
                <w:color w:val="auto"/>
              </w:rPr>
            </w:pPr>
          </w:p>
        </w:tc>
      </w:tr>
      <w:tr>
        <w:trPr>
          <w:trHeight w:val="256"/>
        </w:trPr>
        <w:tc>
          <w:tcPr>
            <w:tcW w:w="2540" w:type="dxa"/>
            <w:vAlign w:val="bottom"/>
            <w:gridSpan w:val="2"/>
          </w:tcPr>
          <w:p>
            <w:pPr>
              <w:spacing w:after="0"/>
              <w:rPr>
                <w:sz w:val="20"/>
                <w:szCs w:val="20"/>
                <w:color w:val="auto"/>
              </w:rPr>
            </w:pPr>
            <w:r>
              <w:rPr>
                <w:rFonts w:ascii="Arial" w:cs="Arial" w:eastAsia="Arial" w:hAnsi="Arial"/>
                <w:sz w:val="18"/>
                <w:szCs w:val="18"/>
                <w:color w:val="auto"/>
              </w:rPr>
              <w:t>Neurostimulators</w:t>
            </w:r>
          </w:p>
        </w:tc>
        <w:tc>
          <w:tcPr>
            <w:tcW w:w="5740" w:type="dxa"/>
            <w:vAlign w:val="bottom"/>
          </w:tcPr>
          <w:p>
            <w:pPr>
              <w:ind w:left="40"/>
              <w:spacing w:after="0"/>
              <w:rPr>
                <w:sz w:val="20"/>
                <w:szCs w:val="20"/>
                <w:color w:val="auto"/>
              </w:rPr>
            </w:pPr>
            <w:r>
              <w:rPr>
                <w:rFonts w:ascii="Arial" w:cs="Arial" w:eastAsia="Arial" w:hAnsi="Arial"/>
                <w:sz w:val="18"/>
                <w:szCs w:val="18"/>
                <w:color w:val="auto"/>
              </w:rPr>
              <w:t>Chronic pain, incontinence, movement disorders, epilepsy, obesity or</w:t>
            </w:r>
          </w:p>
        </w:tc>
        <w:tc>
          <w:tcPr>
            <w:tcW w:w="0" w:type="dxa"/>
            <w:vAlign w:val="bottom"/>
          </w:tcPr>
          <w:p>
            <w:pPr>
              <w:spacing w:after="0"/>
              <w:rPr>
                <w:sz w:val="1"/>
                <w:szCs w:val="1"/>
                <w:color w:val="auto"/>
              </w:rPr>
            </w:pPr>
          </w:p>
        </w:tc>
      </w:tr>
      <w:tr>
        <w:trPr>
          <w:trHeight w:val="230"/>
        </w:trPr>
        <w:tc>
          <w:tcPr>
            <w:tcW w:w="400" w:type="dxa"/>
            <w:vAlign w:val="bottom"/>
          </w:tcPr>
          <w:p>
            <w:pPr>
              <w:spacing w:after="0"/>
              <w:rPr>
                <w:sz w:val="20"/>
                <w:szCs w:val="20"/>
                <w:color w:val="auto"/>
              </w:rPr>
            </w:pPr>
          </w:p>
        </w:tc>
        <w:tc>
          <w:tcPr>
            <w:tcW w:w="2140" w:type="dxa"/>
            <w:vAlign w:val="bottom"/>
          </w:tcPr>
          <w:p>
            <w:pPr>
              <w:spacing w:after="0"/>
              <w:rPr>
                <w:sz w:val="20"/>
                <w:szCs w:val="20"/>
                <w:color w:val="auto"/>
              </w:rPr>
            </w:pPr>
          </w:p>
        </w:tc>
        <w:tc>
          <w:tcPr>
            <w:tcW w:w="5740" w:type="dxa"/>
            <w:vAlign w:val="bottom"/>
          </w:tcPr>
          <w:p>
            <w:pPr>
              <w:ind w:left="40"/>
              <w:spacing w:after="0"/>
              <w:rPr>
                <w:sz w:val="20"/>
                <w:szCs w:val="20"/>
                <w:color w:val="auto"/>
              </w:rPr>
            </w:pPr>
            <w:r>
              <w:rPr>
                <w:rFonts w:ascii="Arial" w:cs="Arial" w:eastAsia="Arial" w:hAnsi="Arial"/>
                <w:sz w:val="18"/>
                <w:szCs w:val="18"/>
                <w:color w:val="auto"/>
              </w:rPr>
              <w:t>depression</w:t>
            </w:r>
          </w:p>
        </w:tc>
        <w:tc>
          <w:tcPr>
            <w:tcW w:w="0" w:type="dxa"/>
            <w:vAlign w:val="bottom"/>
          </w:tcPr>
          <w:p>
            <w:pPr>
              <w:spacing w:after="0"/>
              <w:rPr>
                <w:sz w:val="1"/>
                <w:szCs w:val="1"/>
                <w:color w:val="auto"/>
              </w:rPr>
            </w:pPr>
          </w:p>
        </w:tc>
      </w:tr>
      <w:tr>
        <w:trPr>
          <w:trHeight w:val="270"/>
        </w:trPr>
        <w:tc>
          <w:tcPr>
            <w:tcW w:w="2540" w:type="dxa"/>
            <w:vAlign w:val="bottom"/>
            <w:gridSpan w:val="2"/>
          </w:tcPr>
          <w:p>
            <w:pPr>
              <w:spacing w:after="0"/>
              <w:rPr>
                <w:sz w:val="20"/>
                <w:szCs w:val="20"/>
                <w:color w:val="auto"/>
              </w:rPr>
            </w:pPr>
            <w:r>
              <w:rPr>
                <w:rFonts w:ascii="Arial" w:cs="Arial" w:eastAsia="Arial" w:hAnsi="Arial"/>
                <w:sz w:val="18"/>
                <w:szCs w:val="18"/>
                <w:color w:val="auto"/>
              </w:rPr>
              <w:t>Cochlear hearing devices</w:t>
            </w:r>
          </w:p>
        </w:tc>
        <w:tc>
          <w:tcPr>
            <w:tcW w:w="5740" w:type="dxa"/>
            <w:vAlign w:val="bottom"/>
          </w:tcPr>
          <w:p>
            <w:pPr>
              <w:ind w:left="40"/>
              <w:spacing w:after="0"/>
              <w:rPr>
                <w:sz w:val="20"/>
                <w:szCs w:val="20"/>
                <w:color w:val="auto"/>
              </w:rPr>
            </w:pPr>
            <w:r>
              <w:rPr>
                <w:rFonts w:ascii="Arial" w:cs="Arial" w:eastAsia="Arial" w:hAnsi="Arial"/>
                <w:sz w:val="18"/>
                <w:szCs w:val="18"/>
                <w:color w:val="auto"/>
              </w:rPr>
              <w:t>Hearing loss</w:t>
            </w:r>
          </w:p>
        </w:tc>
        <w:tc>
          <w:tcPr>
            <w:tcW w:w="0" w:type="dxa"/>
            <w:vAlign w:val="bottom"/>
          </w:tcPr>
          <w:p>
            <w:pPr>
              <w:spacing w:after="0"/>
              <w:rPr>
                <w:sz w:val="1"/>
                <w:szCs w:val="1"/>
                <w:color w:val="auto"/>
              </w:rPr>
            </w:pPr>
          </w:p>
        </w:tc>
      </w:tr>
    </w:tbl>
    <w:p>
      <w:pPr>
        <w:spacing w:after="0" w:line="121" w:lineRule="exact"/>
        <w:rPr>
          <w:sz w:val="20"/>
          <w:szCs w:val="20"/>
          <w:color w:val="auto"/>
        </w:rPr>
      </w:pPr>
    </w:p>
    <w:p>
      <w:pPr>
        <w:ind w:right="100"/>
        <w:spacing w:after="0" w:line="300" w:lineRule="auto"/>
        <w:rPr>
          <w:sz w:val="20"/>
          <w:szCs w:val="20"/>
          <w:color w:val="auto"/>
        </w:rPr>
      </w:pPr>
      <w:r>
        <w:rPr>
          <w:rFonts w:ascii="Arial" w:cs="Arial" w:eastAsia="Arial" w:hAnsi="Arial"/>
          <w:sz w:val="16"/>
          <w:szCs w:val="16"/>
          <w:color w:val="auto"/>
        </w:rPr>
        <w:t>IMD systems generally include an implantable pulse generator (“IPG”) and one or more stimulation leads. An IPG is a battery powered device that produces electrical pulses. The lead then carries this electrical pulse from the IPG to the heart, spinal cord or other location in the body. Our portfolio of proprietary technologies, products, and capabilities has been built to provide our cardiac and neuromodulation customers with a single source for the vast majority of the components and subassemblies required to manufacture an IPG or lead, including complete lead systems. Our investments in research and development has generated proprietary products such as the Q</w:t>
      </w:r>
      <w:r>
        <w:rPr>
          <w:rFonts w:ascii="Arial" w:cs="Arial" w:eastAsia="Arial" w:hAnsi="Arial"/>
          <w:sz w:val="13"/>
          <w:szCs w:val="13"/>
          <w:color w:val="auto"/>
        </w:rPr>
        <w:t>HR</w:t>
      </w:r>
      <w:r>
        <w:rPr>
          <w:rFonts w:ascii="Arial" w:cs="Arial" w:eastAsia="Arial" w:hAnsi="Arial"/>
          <w:sz w:val="22"/>
          <w:szCs w:val="22"/>
          <w:color w:val="auto"/>
          <w:vertAlign w:val="superscript"/>
        </w:rPr>
        <w:t>®</w:t>
      </w:r>
      <w:r>
        <w:rPr>
          <w:rFonts w:ascii="Arial" w:cs="Arial" w:eastAsia="Arial" w:hAnsi="Arial"/>
          <w:sz w:val="16"/>
          <w:szCs w:val="16"/>
          <w:color w:val="auto"/>
        </w:rPr>
        <w:t>, Q</w:t>
      </w:r>
      <w:r>
        <w:rPr>
          <w:rFonts w:ascii="Arial" w:cs="Arial" w:eastAsia="Arial" w:hAnsi="Arial"/>
          <w:sz w:val="13"/>
          <w:szCs w:val="13"/>
          <w:color w:val="auto"/>
        </w:rPr>
        <w:t>MR</w:t>
      </w:r>
      <w:r>
        <w:rPr>
          <w:rFonts w:ascii="Arial" w:cs="Arial" w:eastAsia="Arial" w:hAnsi="Arial"/>
          <w:sz w:val="22"/>
          <w:szCs w:val="22"/>
          <w:color w:val="auto"/>
          <w:vertAlign w:val="superscript"/>
        </w:rPr>
        <w:t>®</w:t>
      </w:r>
      <w:r>
        <w:rPr>
          <w:rFonts w:ascii="Arial" w:cs="Arial" w:eastAsia="Arial" w:hAnsi="Arial"/>
          <w:sz w:val="22"/>
          <w:szCs w:val="22"/>
          <w:color w:val="auto"/>
          <w:vertAlign w:val="subscript"/>
        </w:rPr>
        <w:t>,</w:t>
      </w:r>
      <w:r>
        <w:rPr>
          <w:rFonts w:ascii="Arial" w:cs="Arial" w:eastAsia="Arial" w:hAnsi="Arial"/>
          <w:sz w:val="16"/>
          <w:szCs w:val="16"/>
          <w:color w:val="auto"/>
        </w:rPr>
        <w:t xml:space="preserve"> and Q</w:t>
      </w:r>
      <w:r>
        <w:rPr>
          <w:rFonts w:ascii="Arial" w:cs="Arial" w:eastAsia="Arial" w:hAnsi="Arial"/>
          <w:sz w:val="13"/>
          <w:szCs w:val="13"/>
          <w:color w:val="auto"/>
        </w:rPr>
        <w:t>CAPS</w:t>
      </w:r>
      <w:r>
        <w:rPr>
          <w:rFonts w:ascii="Arial" w:cs="Arial" w:eastAsia="Arial" w:hAnsi="Arial"/>
          <w:sz w:val="16"/>
          <w:szCs w:val="16"/>
          <w:color w:val="auto"/>
          <w:vertAlign w:val="superscript"/>
        </w:rPr>
        <w:t>TM</w:t>
      </w:r>
      <w:r>
        <w:rPr>
          <w:rFonts w:ascii="Arial" w:cs="Arial" w:eastAsia="Arial" w:hAnsi="Arial"/>
          <w:sz w:val="16"/>
          <w:szCs w:val="16"/>
          <w:color w:val="auto"/>
        </w:rPr>
        <w:t xml:space="preserve"> primary battery and capacitor lines, which have enabled</w:t>
      </w:r>
    </w:p>
    <w:p>
      <w:pPr>
        <w:spacing w:after="0" w:line="2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- 5 -</w:t>
      </w:r>
    </w:p>
    <w:p>
      <w:pPr>
        <w:sectPr>
          <w:pgSz w:w="11900" w:h="16838" w:orient="portrait"/>
          <w:cols w:equalWidth="0" w:num="1">
            <w:col w:w="11420"/>
          </w:cols>
          <w:pgMar w:left="240" w:top="1126" w:right="239" w:bottom="1440" w:gutter="0" w:footer="0" w:header="0"/>
        </w:sectPr>
      </w:pPr>
    </w:p>
    <w:bookmarkStart w:id="6" w:name="page7"/>
    <w:bookmarkEnd w:id="6"/>
    <w:p>
      <w:pPr>
        <w:ind w:right="180"/>
        <w:spacing w:after="0" w:line="245" w:lineRule="auto"/>
        <w:rPr>
          <w:sz w:val="20"/>
          <w:szCs w:val="20"/>
          <w:color w:val="auto"/>
        </w:rPr>
      </w:pPr>
      <w:r>
        <w:rPr>
          <w:rFonts w:ascii="Arial" w:cs="Arial" w:eastAsia="Arial" w:hAnsi="Arial"/>
          <w:sz w:val="17"/>
          <w:szCs w:val="17"/>
          <w:color w:val="auto"/>
        </w:rPr>
        <w:t>our OEM partners to make improvements in their system offerings in terms of device reliability, size, longevity and power. Our Xcellion</w:t>
      </w:r>
      <w:r>
        <w:rPr>
          <w:rFonts w:ascii="Arial" w:cs="Arial" w:eastAsia="Arial" w:hAnsi="Arial"/>
          <w:sz w:val="24"/>
          <w:szCs w:val="24"/>
          <w:color w:val="auto"/>
          <w:vertAlign w:val="superscript"/>
        </w:rPr>
        <w:t>TM</w:t>
      </w:r>
      <w:r>
        <w:rPr>
          <w:rFonts w:ascii="Arial" w:cs="Arial" w:eastAsia="Arial" w:hAnsi="Arial"/>
          <w:sz w:val="17"/>
          <w:szCs w:val="17"/>
          <w:color w:val="auto"/>
        </w:rPr>
        <w:t xml:space="preserve"> line of Lithium-Ion rechargeable batteries leverages decades of implantable battery research, development and manufacturing expertise. This line of battery cells now includes the optional CoreGuard</w:t>
      </w:r>
      <w:r>
        <w:rPr>
          <w:rFonts w:ascii="Arial" w:cs="Arial" w:eastAsia="Arial" w:hAnsi="Arial"/>
          <w:sz w:val="24"/>
          <w:szCs w:val="24"/>
          <w:color w:val="auto"/>
          <w:vertAlign w:val="superscript"/>
        </w:rPr>
        <w:t>TM</w:t>
      </w:r>
      <w:r>
        <w:rPr>
          <w:rFonts w:ascii="Arial" w:cs="Arial" w:eastAsia="Arial" w:hAnsi="Arial"/>
          <w:sz w:val="17"/>
          <w:szCs w:val="17"/>
          <w:color w:val="auto"/>
        </w:rPr>
        <w:t xml:space="preserve"> feature, which enables batteries to discharge to zero volts without performance degradation.</w:t>
      </w:r>
    </w:p>
    <w:p>
      <w:pPr>
        <w:spacing w:after="0" w:line="101" w:lineRule="exact"/>
        <w:rPr>
          <w:sz w:val="20"/>
          <w:szCs w:val="20"/>
          <w:color w:val="auto"/>
        </w:rPr>
      </w:pPr>
    </w:p>
    <w:p>
      <w:pPr>
        <w:ind w:right="580"/>
        <w:spacing w:after="0" w:line="277" w:lineRule="auto"/>
        <w:rPr>
          <w:sz w:val="20"/>
          <w:szCs w:val="20"/>
          <w:color w:val="auto"/>
        </w:rPr>
      </w:pPr>
      <w:r>
        <w:rPr>
          <w:rFonts w:ascii="Arial" w:cs="Arial" w:eastAsia="Arial" w:hAnsi="Arial"/>
          <w:sz w:val="18"/>
          <w:szCs w:val="18"/>
          <w:color w:val="auto"/>
        </w:rPr>
        <w:t>We believe that the cardiac and neuromodulation markets continue to exhibit fundamentals for growth. Factors that are impacting these markets are as follows:</w:t>
      </w:r>
    </w:p>
    <w:p>
      <w:pPr>
        <w:spacing w:after="0" w:line="170" w:lineRule="exact"/>
        <w:rPr>
          <w:sz w:val="20"/>
          <w:szCs w:val="20"/>
          <w:color w:val="auto"/>
        </w:rPr>
      </w:pPr>
    </w:p>
    <w:p>
      <w:pPr>
        <w:ind w:left="340" w:right="100" w:hanging="332"/>
        <w:spacing w:after="0" w:line="264" w:lineRule="auto"/>
        <w:tabs>
          <w:tab w:leader="none" w:pos="340" w:val="left"/>
        </w:tabs>
        <w:numPr>
          <w:ilvl w:val="0"/>
          <w:numId w:val="1"/>
        </w:numPr>
        <w:rPr>
          <w:rFonts w:ascii="Arial" w:cs="Arial" w:eastAsia="Arial" w:hAnsi="Arial"/>
          <w:sz w:val="18"/>
          <w:szCs w:val="18"/>
          <w:color w:val="auto"/>
        </w:rPr>
      </w:pPr>
      <w:r>
        <w:rPr>
          <w:rFonts w:ascii="Arial" w:cs="Arial" w:eastAsia="Arial" w:hAnsi="Arial"/>
          <w:sz w:val="18"/>
          <w:szCs w:val="18"/>
          <w:u w:val="single" w:color="auto"/>
          <w:color w:val="auto"/>
        </w:rPr>
        <w:t>Growing patient population</w:t>
      </w:r>
      <w:r>
        <w:rPr>
          <w:rFonts w:ascii="Arial" w:cs="Arial" w:eastAsia="Arial" w:hAnsi="Arial"/>
          <w:sz w:val="18"/>
          <w:szCs w:val="18"/>
          <w:color w:val="auto"/>
        </w:rPr>
        <w:t xml:space="preserve"> – Implantable pacemakers and ICDs remain primary therapies for a number of critical clinical conditions, most of which are non-elective in nature. As the prevalence of many of these clinical conditions increase with age, underlying population demographics in developed countries will provide an engine for procedure growth.</w:t>
      </w:r>
    </w:p>
    <w:p>
      <w:pPr>
        <w:spacing w:after="0" w:line="181" w:lineRule="exact"/>
        <w:rPr>
          <w:rFonts w:ascii="Arial" w:cs="Arial" w:eastAsia="Arial" w:hAnsi="Arial"/>
          <w:sz w:val="18"/>
          <w:szCs w:val="18"/>
          <w:color w:val="auto"/>
        </w:rPr>
      </w:pPr>
    </w:p>
    <w:p>
      <w:pPr>
        <w:ind w:left="340" w:right="20" w:hanging="332"/>
        <w:spacing w:after="0" w:line="259" w:lineRule="auto"/>
        <w:tabs>
          <w:tab w:leader="none" w:pos="340" w:val="left"/>
        </w:tabs>
        <w:numPr>
          <w:ilvl w:val="0"/>
          <w:numId w:val="1"/>
        </w:numPr>
        <w:rPr>
          <w:rFonts w:ascii="Arial" w:cs="Arial" w:eastAsia="Arial" w:hAnsi="Arial"/>
          <w:sz w:val="18"/>
          <w:szCs w:val="18"/>
          <w:color w:val="auto"/>
        </w:rPr>
      </w:pPr>
      <w:r>
        <w:rPr>
          <w:rFonts w:ascii="Arial" w:cs="Arial" w:eastAsia="Arial" w:hAnsi="Arial"/>
          <w:sz w:val="18"/>
          <w:szCs w:val="18"/>
          <w:u w:val="single" w:color="auto"/>
          <w:color w:val="auto"/>
        </w:rPr>
        <w:t>Focus on emerging markets</w:t>
      </w:r>
      <w:r>
        <w:rPr>
          <w:rFonts w:ascii="Arial" w:cs="Arial" w:eastAsia="Arial" w:hAnsi="Arial"/>
          <w:sz w:val="18"/>
          <w:szCs w:val="18"/>
          <w:color w:val="auto"/>
        </w:rPr>
        <w:t xml:space="preserve"> – OEMs have increased their focus and investment to expand physicians’ awareness of these life changing therapies, which we believe will result in increased utilization to improve quality of life for more patients globally. These growth initiatives will drive increased utilization of existing cardiac technologies and provide an avenue for new device and technology development as device manufacturers look to develop unique products for these markets.</w:t>
      </w:r>
    </w:p>
    <w:p>
      <w:pPr>
        <w:spacing w:after="0" w:line="186" w:lineRule="exact"/>
        <w:rPr>
          <w:rFonts w:ascii="Arial" w:cs="Arial" w:eastAsia="Arial" w:hAnsi="Arial"/>
          <w:sz w:val="18"/>
          <w:szCs w:val="18"/>
          <w:color w:val="auto"/>
        </w:rPr>
      </w:pPr>
    </w:p>
    <w:p>
      <w:pPr>
        <w:ind w:left="340" w:right="220" w:hanging="332"/>
        <w:spacing w:after="0" w:line="264" w:lineRule="auto"/>
        <w:tabs>
          <w:tab w:leader="none" w:pos="340" w:val="left"/>
        </w:tabs>
        <w:numPr>
          <w:ilvl w:val="0"/>
          <w:numId w:val="1"/>
        </w:numPr>
        <w:rPr>
          <w:rFonts w:ascii="Arial" w:cs="Arial" w:eastAsia="Arial" w:hAnsi="Arial"/>
          <w:sz w:val="18"/>
          <w:szCs w:val="18"/>
          <w:color w:val="auto"/>
        </w:rPr>
      </w:pPr>
      <w:r>
        <w:rPr>
          <w:rFonts w:ascii="Arial" w:cs="Arial" w:eastAsia="Arial" w:hAnsi="Arial"/>
          <w:sz w:val="18"/>
          <w:szCs w:val="18"/>
          <w:u w:val="single" w:color="auto"/>
          <w:color w:val="auto"/>
        </w:rPr>
        <w:t>Trends in device features</w:t>
      </w:r>
      <w:r>
        <w:rPr>
          <w:rFonts w:ascii="Arial" w:cs="Arial" w:eastAsia="Arial" w:hAnsi="Arial"/>
          <w:sz w:val="18"/>
          <w:szCs w:val="18"/>
          <w:color w:val="auto"/>
        </w:rPr>
        <w:t xml:space="preserve"> – IMD evolution continues to favor the development of smaller, longer lasting devices with increased functionality and more physiologic shapes. Innovative battery, capacitor, enclosure, and filtering solutions such as those provided by Greatbatch Medical are critical to the realization of these market needs.</w:t>
      </w:r>
    </w:p>
    <w:p>
      <w:pPr>
        <w:spacing w:after="0" w:line="181" w:lineRule="exact"/>
        <w:rPr>
          <w:rFonts w:ascii="Arial" w:cs="Arial" w:eastAsia="Arial" w:hAnsi="Arial"/>
          <w:sz w:val="18"/>
          <w:szCs w:val="18"/>
          <w:color w:val="auto"/>
        </w:rPr>
      </w:pPr>
    </w:p>
    <w:p>
      <w:pPr>
        <w:ind w:left="340" w:hanging="332"/>
        <w:spacing w:after="0" w:line="272" w:lineRule="auto"/>
        <w:tabs>
          <w:tab w:leader="none" w:pos="340" w:val="left"/>
        </w:tabs>
        <w:numPr>
          <w:ilvl w:val="0"/>
          <w:numId w:val="1"/>
        </w:numPr>
        <w:rPr>
          <w:rFonts w:ascii="Arial" w:cs="Arial" w:eastAsia="Arial" w:hAnsi="Arial"/>
          <w:sz w:val="17"/>
          <w:szCs w:val="17"/>
          <w:color w:val="auto"/>
        </w:rPr>
      </w:pPr>
      <w:r>
        <w:rPr>
          <w:rFonts w:ascii="Arial" w:cs="Arial" w:eastAsia="Arial" w:hAnsi="Arial"/>
          <w:sz w:val="17"/>
          <w:szCs w:val="17"/>
          <w:u w:val="single" w:color="auto"/>
          <w:color w:val="auto"/>
        </w:rPr>
        <w:t>Growth within neuromodulation</w:t>
      </w:r>
      <w:r>
        <w:rPr>
          <w:rFonts w:ascii="Arial" w:cs="Arial" w:eastAsia="Arial" w:hAnsi="Arial"/>
          <w:sz w:val="17"/>
          <w:szCs w:val="17"/>
          <w:color w:val="auto"/>
        </w:rPr>
        <w:t xml:space="preserve"> – Neuromodulation applications continue to grow at a faster pace than traditional markets, and are expected to continue to expand as new therapeutic applications are identified. There continues to be growth in clinical data supporting new applications and a growing focus and excitement from clinicians looking for treatment alternatives for challenging patient conditions that have not been traditionally served by implantable stimulation devices. As many cardiac OEM companies also operate as OEMs in the neuromodulation market, we believe Greatbatch is well positioned to capitalize on these drivers of market growth based on the strength of our existing relationships. Additionally, early stage neuromodulation OEMs have begun to receive CE mark and FDA approvals for their novel device systems and therapies, further fueling incremental growth in the market and providing new potential partners for Greatbatch technologies.</w:t>
      </w:r>
    </w:p>
    <w:p>
      <w:pPr>
        <w:spacing w:after="0" w:line="204" w:lineRule="exact"/>
        <w:rPr>
          <w:rFonts w:ascii="Arial" w:cs="Arial" w:eastAsia="Arial" w:hAnsi="Arial"/>
          <w:sz w:val="17"/>
          <w:szCs w:val="17"/>
          <w:color w:val="auto"/>
        </w:rPr>
      </w:pPr>
    </w:p>
    <w:p>
      <w:pPr>
        <w:ind w:left="340" w:right="40" w:hanging="332"/>
        <w:spacing w:after="0" w:line="285" w:lineRule="auto"/>
        <w:tabs>
          <w:tab w:leader="none" w:pos="340" w:val="left"/>
        </w:tabs>
        <w:numPr>
          <w:ilvl w:val="0"/>
          <w:numId w:val="1"/>
        </w:numPr>
        <w:rPr>
          <w:rFonts w:ascii="Arial" w:cs="Arial" w:eastAsia="Arial" w:hAnsi="Arial"/>
          <w:sz w:val="22"/>
          <w:szCs w:val="22"/>
          <w:color w:val="auto"/>
        </w:rPr>
      </w:pPr>
      <w:r>
        <w:rPr>
          <w:rFonts w:ascii="Arial" w:cs="Arial" w:eastAsia="Arial" w:hAnsi="Arial"/>
          <w:sz w:val="18"/>
          <w:szCs w:val="18"/>
          <w:u w:val="single" w:color="auto"/>
          <w:color w:val="auto"/>
        </w:rPr>
        <w:t>Innovative and disruptive technologies</w:t>
      </w:r>
      <w:r>
        <w:rPr>
          <w:rFonts w:ascii="Arial" w:cs="Arial" w:eastAsia="Arial" w:hAnsi="Arial"/>
          <w:sz w:val="18"/>
          <w:szCs w:val="18"/>
          <w:color w:val="auto"/>
        </w:rPr>
        <w:t xml:space="preserve"> – Three innovative and disruptive device technologies (sub-cutaneous ICDs, leadless pacemakers and injectable loop recorders) continued to receive significant attention from OEMs. These new device technologies will play an important role in increasing utilization of critical therapy and diagnostic tools globally. Our portfolio of technologies and next generation development efforts are vital to the advancement of these new therapy and diagnostic platforms.</w:t>
      </w:r>
    </w:p>
    <w:p>
      <w:pPr>
        <w:spacing w:after="0" w:line="178" w:lineRule="exact"/>
        <w:rPr>
          <w:sz w:val="20"/>
          <w:szCs w:val="20"/>
          <w:color w:val="auto"/>
        </w:rPr>
      </w:pPr>
    </w:p>
    <w:p>
      <w:pPr>
        <w:spacing w:after="0" w:line="276" w:lineRule="auto"/>
        <w:rPr>
          <w:sz w:val="20"/>
          <w:szCs w:val="20"/>
          <w:color w:val="auto"/>
        </w:rPr>
      </w:pPr>
      <w:r>
        <w:rPr>
          <w:rFonts w:ascii="Arial" w:cs="Arial" w:eastAsia="Arial" w:hAnsi="Arial"/>
          <w:sz w:val="17"/>
          <w:szCs w:val="17"/>
          <w:u w:val="single" w:color="auto"/>
          <w:color w:val="auto"/>
        </w:rPr>
        <w:t>Orthopaedics</w:t>
      </w:r>
      <w:r>
        <w:rPr>
          <w:rFonts w:ascii="Arial" w:cs="Arial" w:eastAsia="Arial" w:hAnsi="Arial"/>
          <w:sz w:val="17"/>
          <w:szCs w:val="17"/>
          <w:color w:val="auto"/>
        </w:rPr>
        <w:t xml:space="preserve"> – Products include hip and shoulder joint reconstruction implants, plates, screws and spinal devices, as well as instruments and delivery systems used in hip and knee replacement, trauma fixation, extremity and spine surgeries. Orthopaedic implants are used in reconstructive surgeries to replace or repair hips, knees and other joints, such as shoulders, ankles and elbows that have deteriorated as a result of disease or injury. Trauma implant systems are used primarily to reattach or stabilize damaged bone or tissue while the body heals. Spinal implant systems are used by orthopaedic surgeons and neurosurgeons in the treatment of degenerative diseases, deformities and injuries in various regions of the spine.</w:t>
      </w:r>
    </w:p>
    <w:p>
      <w:pPr>
        <w:spacing w:after="0" w:line="173" w:lineRule="exact"/>
        <w:rPr>
          <w:sz w:val="20"/>
          <w:szCs w:val="20"/>
          <w:color w:val="auto"/>
        </w:rPr>
      </w:pPr>
    </w:p>
    <w:p>
      <w:pPr>
        <w:ind w:right="40"/>
        <w:spacing w:after="0" w:line="255" w:lineRule="auto"/>
        <w:rPr>
          <w:sz w:val="20"/>
          <w:szCs w:val="20"/>
          <w:color w:val="auto"/>
        </w:rPr>
      </w:pPr>
      <w:r>
        <w:rPr>
          <w:rFonts w:ascii="Arial" w:cs="Arial" w:eastAsia="Arial" w:hAnsi="Arial"/>
          <w:sz w:val="18"/>
          <w:szCs w:val="18"/>
          <w:color w:val="auto"/>
        </w:rPr>
        <w:t>Each implant system typically has an associated instrument set that is used in the surgical procedure to insert that specific implant system. Instruments included in a set vary by implant system. Usually, instrument sets are sterilized after each use and then reused, however, recent trends are moving towards single use instrumentation. Cases are used to store, transport and arrange implant systems and other medical devices and related surgical instruments. Orthopaedic trays are generally designed to allow for sterilization and re-use after an implant or other surgical procedure is performed. The majority of cases are tailored for specific implant procedures so that the instruments, implants and other devices are arranged to match the order of use in the procedure and are securely held in clearly labeled, custom-formed pockets or brackets.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color w:val="auto"/>
        </w:rPr>
        <w:t>Many of the factors affecting the orthopaedics market are similar to the cardiac and neuromodulation markets and include:</w:t>
      </w:r>
    </w:p>
    <w:p>
      <w:pPr>
        <w:spacing w:after="0" w:line="225" w:lineRule="exact"/>
        <w:rPr>
          <w:sz w:val="20"/>
          <w:szCs w:val="20"/>
          <w:color w:val="auto"/>
        </w:rPr>
      </w:pPr>
    </w:p>
    <w:p>
      <w:pPr>
        <w:ind w:left="340" w:right="260" w:hanging="332"/>
        <w:spacing w:after="0" w:line="264" w:lineRule="auto"/>
        <w:tabs>
          <w:tab w:leader="none" w:pos="340" w:val="left"/>
        </w:tabs>
        <w:numPr>
          <w:ilvl w:val="0"/>
          <w:numId w:val="2"/>
        </w:numPr>
        <w:rPr>
          <w:rFonts w:ascii="Arial" w:cs="Arial" w:eastAsia="Arial" w:hAnsi="Arial"/>
          <w:sz w:val="18"/>
          <w:szCs w:val="18"/>
          <w:color w:val="auto"/>
        </w:rPr>
      </w:pPr>
      <w:r>
        <w:rPr>
          <w:rFonts w:ascii="Arial" w:cs="Arial" w:eastAsia="Arial" w:hAnsi="Arial"/>
          <w:sz w:val="18"/>
          <w:szCs w:val="18"/>
          <w:u w:val="single" w:color="auto"/>
          <w:color w:val="auto"/>
        </w:rPr>
        <w:t>Aging population in developed markets</w:t>
      </w:r>
      <w:r>
        <w:rPr>
          <w:rFonts w:ascii="Arial" w:cs="Arial" w:eastAsia="Arial" w:hAnsi="Arial"/>
          <w:sz w:val="18"/>
          <w:szCs w:val="18"/>
          <w:color w:val="auto"/>
        </w:rPr>
        <w:t xml:space="preserve"> – Conditions like osteoarthritis and spine degeneration are underlying drivers of a diverse spectrum of reconstructive therapies, and increase significantly with age. Continued growth in the 65+ population, along with an increased desire to remain active, will provide a driver for procedural growth.</w:t>
      </w:r>
    </w:p>
    <w:p>
      <w:pPr>
        <w:spacing w:after="0" w:line="181" w:lineRule="exact"/>
        <w:rPr>
          <w:rFonts w:ascii="Arial" w:cs="Arial" w:eastAsia="Arial" w:hAnsi="Arial"/>
          <w:sz w:val="18"/>
          <w:szCs w:val="18"/>
          <w:color w:val="auto"/>
        </w:rPr>
      </w:pPr>
    </w:p>
    <w:p>
      <w:pPr>
        <w:ind w:left="340" w:right="120" w:hanging="332"/>
        <w:spacing w:after="0" w:line="277" w:lineRule="auto"/>
        <w:tabs>
          <w:tab w:leader="none" w:pos="340" w:val="left"/>
        </w:tabs>
        <w:numPr>
          <w:ilvl w:val="0"/>
          <w:numId w:val="2"/>
        </w:numPr>
        <w:rPr>
          <w:rFonts w:ascii="Arial" w:cs="Arial" w:eastAsia="Arial" w:hAnsi="Arial"/>
          <w:sz w:val="18"/>
          <w:szCs w:val="18"/>
          <w:color w:val="auto"/>
        </w:rPr>
      </w:pPr>
      <w:r>
        <w:rPr>
          <w:rFonts w:ascii="Arial" w:cs="Arial" w:eastAsia="Arial" w:hAnsi="Arial"/>
          <w:sz w:val="18"/>
          <w:szCs w:val="18"/>
          <w:u w:val="single" w:color="auto"/>
          <w:color w:val="auto"/>
        </w:rPr>
        <w:t>Rates of obesity</w:t>
      </w:r>
      <w:r>
        <w:rPr>
          <w:rFonts w:ascii="Arial" w:cs="Arial" w:eastAsia="Arial" w:hAnsi="Arial"/>
          <w:sz w:val="18"/>
          <w:szCs w:val="18"/>
          <w:color w:val="auto"/>
        </w:rPr>
        <w:t xml:space="preserve"> – Rates of obesity globally have continued to rise, and are expected to do so for the foreseeable future. Excess weight exacerbates wear on joints and will drive the need for replacement and revision procedures.</w:t>
      </w:r>
    </w:p>
    <w:p>
      <w:pPr>
        <w:spacing w:after="0" w:line="170" w:lineRule="exact"/>
        <w:rPr>
          <w:rFonts w:ascii="Arial" w:cs="Arial" w:eastAsia="Arial" w:hAnsi="Arial"/>
          <w:sz w:val="18"/>
          <w:szCs w:val="18"/>
          <w:color w:val="auto"/>
        </w:rPr>
      </w:pPr>
    </w:p>
    <w:p>
      <w:pPr>
        <w:ind w:left="340" w:right="180" w:hanging="332"/>
        <w:spacing w:after="0" w:line="308" w:lineRule="auto"/>
        <w:tabs>
          <w:tab w:leader="none" w:pos="340" w:val="left"/>
        </w:tabs>
        <w:numPr>
          <w:ilvl w:val="0"/>
          <w:numId w:val="2"/>
        </w:numPr>
        <w:rPr>
          <w:rFonts w:ascii="Arial" w:cs="Arial" w:eastAsia="Arial" w:hAnsi="Arial"/>
          <w:sz w:val="17"/>
          <w:szCs w:val="17"/>
          <w:color w:val="auto"/>
        </w:rPr>
      </w:pPr>
      <w:r>
        <w:rPr>
          <w:rFonts w:ascii="Arial" w:cs="Arial" w:eastAsia="Arial" w:hAnsi="Arial"/>
          <w:sz w:val="17"/>
          <w:szCs w:val="17"/>
          <w:u w:val="single" w:color="auto"/>
          <w:color w:val="auto"/>
        </w:rPr>
        <w:t>New implant and surgical technology</w:t>
      </w:r>
      <w:r>
        <w:rPr>
          <w:rFonts w:ascii="Arial" w:cs="Arial" w:eastAsia="Arial" w:hAnsi="Arial"/>
          <w:sz w:val="17"/>
          <w:szCs w:val="17"/>
          <w:color w:val="auto"/>
        </w:rPr>
        <w:t xml:space="preserve"> – The orthopaedic market continues to see a growing focus on minimally invasive procedures across a number of sectors including joint reconstruction and spinal fusion, potentially expanding the use of these therapeutic approaches.</w:t>
      </w:r>
    </w:p>
    <w:p>
      <w:pPr>
        <w:sectPr>
          <w:pgSz w:w="11900" w:h="16838" w:orient="portrait"/>
          <w:cols w:equalWidth="0" w:num="1">
            <w:col w:w="11400"/>
          </w:cols>
          <w:pgMar w:left="240" w:top="908" w:right="259" w:bottom="1440" w:gutter="0" w:footer="0" w:header="0"/>
        </w:sectPr>
      </w:pPr>
    </w:p>
    <w:p>
      <w:pPr>
        <w:spacing w:after="0" w:line="282"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- 6 -</w:t>
      </w:r>
    </w:p>
    <w:p>
      <w:pPr>
        <w:sectPr>
          <w:pgSz w:w="11900" w:h="16838" w:orient="portrait"/>
          <w:cols w:equalWidth="0" w:num="1">
            <w:col w:w="11400"/>
          </w:cols>
          <w:pgMar w:left="240" w:top="908" w:right="259" w:bottom="1440" w:gutter="0" w:footer="0" w:header="0"/>
          <w:type w:val="continuous"/>
        </w:sectPr>
      </w:pPr>
    </w:p>
    <w:bookmarkStart w:id="7" w:name="page8"/>
    <w:bookmarkEnd w:id="7"/>
    <w:p>
      <w:pPr>
        <w:ind w:left="340" w:right="360" w:hanging="332"/>
        <w:spacing w:after="0" w:line="264" w:lineRule="auto"/>
        <w:tabs>
          <w:tab w:leader="none" w:pos="340" w:val="left"/>
        </w:tabs>
        <w:numPr>
          <w:ilvl w:val="0"/>
          <w:numId w:val="3"/>
        </w:numPr>
        <w:rPr>
          <w:rFonts w:ascii="Arial" w:cs="Arial" w:eastAsia="Arial" w:hAnsi="Arial"/>
          <w:sz w:val="18"/>
          <w:szCs w:val="18"/>
          <w:color w:val="auto"/>
        </w:rPr>
      </w:pPr>
      <w:r>
        <w:rPr>
          <w:rFonts w:ascii="Arial" w:cs="Arial" w:eastAsia="Arial" w:hAnsi="Arial"/>
          <w:sz w:val="18"/>
          <w:szCs w:val="18"/>
          <w:u w:val="single" w:color="auto"/>
          <w:color w:val="auto"/>
        </w:rPr>
        <w:t>Growth in emerging markets</w:t>
      </w:r>
      <w:r>
        <w:rPr>
          <w:rFonts w:ascii="Arial" w:cs="Arial" w:eastAsia="Arial" w:hAnsi="Arial"/>
          <w:sz w:val="18"/>
          <w:szCs w:val="18"/>
          <w:color w:val="auto"/>
        </w:rPr>
        <w:t xml:space="preserve"> – Growing affluence in emerging markets has provided an opportunity for global growth of a number of orthopaedic procedures. Patient populations outside of developed markets continue to be underpenetrated, and investment from large OEMs in these markets will provide for growth in the number of procedures of established therapies that are completed.</w:t>
      </w:r>
    </w:p>
    <w:p>
      <w:pPr>
        <w:spacing w:after="0" w:line="181"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u w:val="single" w:color="auto"/>
          <w:color w:val="auto"/>
        </w:rPr>
        <w:t>Vascular</w:t>
      </w:r>
      <w:r>
        <w:rPr>
          <w:rFonts w:ascii="Arial" w:cs="Arial" w:eastAsia="Arial" w:hAnsi="Arial"/>
          <w:sz w:val="18"/>
          <w:szCs w:val="18"/>
          <w:color w:val="auto"/>
        </w:rPr>
        <w:t xml:space="preserve"> – Products include off-the-shelf introducers, steerable sheaths, and components for high performance specialty catheters that deliver minimally invasive therapies to treat disease states such as coronary, neurovascular and peripheral vascular disease. Our customers include market leading OEMs within the interventional radiology, interventional cardiology, electrophysiology and vascular access market. We believe that over the coming years these markets will experience strong global procedural growth driven by:</w:t>
      </w:r>
    </w:p>
    <w:p>
      <w:pPr>
        <w:spacing w:after="0" w:line="187" w:lineRule="exact"/>
        <w:rPr>
          <w:sz w:val="20"/>
          <w:szCs w:val="20"/>
          <w:color w:val="auto"/>
        </w:rPr>
      </w:pPr>
    </w:p>
    <w:p>
      <w:pPr>
        <w:ind w:left="340" w:right="100" w:hanging="332"/>
        <w:spacing w:after="0" w:line="277" w:lineRule="auto"/>
        <w:tabs>
          <w:tab w:leader="none" w:pos="340" w:val="left"/>
        </w:tabs>
        <w:numPr>
          <w:ilvl w:val="0"/>
          <w:numId w:val="4"/>
        </w:numPr>
        <w:rPr>
          <w:rFonts w:ascii="Arial" w:cs="Arial" w:eastAsia="Arial" w:hAnsi="Arial"/>
          <w:sz w:val="18"/>
          <w:szCs w:val="18"/>
          <w:color w:val="auto"/>
        </w:rPr>
      </w:pPr>
      <w:r>
        <w:rPr>
          <w:rFonts w:ascii="Arial" w:cs="Arial" w:eastAsia="Arial" w:hAnsi="Arial"/>
          <w:sz w:val="18"/>
          <w:szCs w:val="18"/>
          <w:color w:val="auto"/>
        </w:rPr>
        <w:t>Growing global prevalence of vascular disease, reflecting both an aging population in many developed markets and the continuing growth in the number of people with conditions such as diabetes, hypertension and obesity;</w:t>
      </w:r>
    </w:p>
    <w:p>
      <w:pPr>
        <w:spacing w:after="0" w:line="170" w:lineRule="exact"/>
        <w:rPr>
          <w:rFonts w:ascii="Arial" w:cs="Arial" w:eastAsia="Arial" w:hAnsi="Arial"/>
          <w:sz w:val="18"/>
          <w:szCs w:val="18"/>
          <w:color w:val="auto"/>
        </w:rPr>
      </w:pPr>
    </w:p>
    <w:p>
      <w:pPr>
        <w:ind w:left="340" w:hanging="332"/>
        <w:spacing w:after="0"/>
        <w:tabs>
          <w:tab w:leader="none" w:pos="340" w:val="left"/>
        </w:tabs>
        <w:numPr>
          <w:ilvl w:val="0"/>
          <w:numId w:val="4"/>
        </w:numPr>
        <w:rPr>
          <w:rFonts w:ascii="Arial" w:cs="Arial" w:eastAsia="Arial" w:hAnsi="Arial"/>
          <w:sz w:val="18"/>
          <w:szCs w:val="18"/>
          <w:color w:val="auto"/>
        </w:rPr>
      </w:pPr>
      <w:r>
        <w:rPr>
          <w:rFonts w:ascii="Arial" w:cs="Arial" w:eastAsia="Arial" w:hAnsi="Arial"/>
          <w:sz w:val="18"/>
          <w:szCs w:val="18"/>
          <w:color w:val="auto"/>
        </w:rPr>
        <w:t>Continued adoption of minimally invasive therapies in emerging markets; and</w:t>
      </w:r>
    </w:p>
    <w:p>
      <w:pPr>
        <w:spacing w:after="0" w:line="225" w:lineRule="exact"/>
        <w:rPr>
          <w:rFonts w:ascii="Arial" w:cs="Arial" w:eastAsia="Arial" w:hAnsi="Arial"/>
          <w:sz w:val="18"/>
          <w:szCs w:val="18"/>
          <w:color w:val="auto"/>
        </w:rPr>
      </w:pPr>
    </w:p>
    <w:p>
      <w:pPr>
        <w:ind w:left="340" w:right="360" w:hanging="332"/>
        <w:spacing w:after="0" w:line="277" w:lineRule="auto"/>
        <w:tabs>
          <w:tab w:leader="none" w:pos="340" w:val="left"/>
        </w:tabs>
        <w:numPr>
          <w:ilvl w:val="0"/>
          <w:numId w:val="4"/>
        </w:numPr>
        <w:rPr>
          <w:rFonts w:ascii="Arial" w:cs="Arial" w:eastAsia="Arial" w:hAnsi="Arial"/>
          <w:sz w:val="18"/>
          <w:szCs w:val="18"/>
          <w:color w:val="auto"/>
        </w:rPr>
      </w:pPr>
      <w:r>
        <w:rPr>
          <w:rFonts w:ascii="Arial" w:cs="Arial" w:eastAsia="Arial" w:hAnsi="Arial"/>
          <w:sz w:val="18"/>
          <w:szCs w:val="18"/>
          <w:color w:val="auto"/>
        </w:rPr>
        <w:t>Emergence of new minimally invasive therapies expanding patient pools to include patients who previously would have remained either untreated or have undergone surgery.</w:t>
      </w:r>
    </w:p>
    <w:p>
      <w:pPr>
        <w:spacing w:after="0" w:line="170" w:lineRule="exact"/>
        <w:rPr>
          <w:sz w:val="20"/>
          <w:szCs w:val="20"/>
          <w:color w:val="auto"/>
        </w:rPr>
      </w:pPr>
    </w:p>
    <w:p>
      <w:pPr>
        <w:ind w:right="140"/>
        <w:spacing w:after="0" w:line="270" w:lineRule="auto"/>
        <w:rPr>
          <w:sz w:val="20"/>
          <w:szCs w:val="20"/>
          <w:color w:val="auto"/>
        </w:rPr>
      </w:pPr>
      <w:r>
        <w:rPr>
          <w:rFonts w:ascii="Arial" w:cs="Arial" w:eastAsia="Arial" w:hAnsi="Arial"/>
          <w:sz w:val="17"/>
          <w:szCs w:val="17"/>
          <w:color w:val="auto"/>
        </w:rPr>
        <w:t>Our products and capabilities seek to capitalize on the growth of the minimally invasive therapy markets by offering off-the-shelf access devices such as introducers and steerable sheaths as well as design and manufacturing services for specialty catheter components that enable the delivery and administration of predominantly cardiovascular, neurovascular and endovascular therapies. Our broad portfolio of peelable, valved and non-valved introducers have gained strong adoption with OEMs in both the cardiac rhythm management (“CRM”) market, for the placement of leads, as well as the vascular access space where our introducers are used to place dialysis catheters, PICCs, CVCs and ports. We service these markets by providing OEMs with customizable sterile kits or non-sterile product for inclusion in OEMs device kits. Our steerable sheaths have gained significant traction in the electrophysiology market where market-leading OEMs utilize our steerable devices for the delivery of diagnostic and ablation devices. Our specialty catheter shaft components provide OEMs with custom design, prototyping, and manufacturing of the high performance catheter assemblies required to support the most demanding minimally invasive catheter-based surgical procedures.</w:t>
      </w:r>
    </w:p>
    <w:p>
      <w:pPr>
        <w:spacing w:after="0" w:line="182" w:lineRule="exact"/>
        <w:rPr>
          <w:sz w:val="20"/>
          <w:szCs w:val="20"/>
          <w:color w:val="auto"/>
        </w:rPr>
      </w:pPr>
    </w:p>
    <w:p>
      <w:pPr>
        <w:jc w:val="both"/>
        <w:spacing w:after="0" w:line="312" w:lineRule="auto"/>
        <w:rPr>
          <w:sz w:val="20"/>
          <w:szCs w:val="20"/>
          <w:color w:val="auto"/>
        </w:rPr>
      </w:pPr>
      <w:r>
        <w:rPr>
          <w:rFonts w:ascii="Arial" w:cs="Arial" w:eastAsia="Arial" w:hAnsi="Arial"/>
          <w:sz w:val="16"/>
          <w:szCs w:val="16"/>
          <w:u w:val="single" w:color="auto"/>
          <w:color w:val="auto"/>
        </w:rPr>
        <w:t>Portable Medical, Energy, Military and Environmental</w:t>
      </w:r>
      <w:r>
        <w:rPr>
          <w:rFonts w:ascii="Arial" w:cs="Arial" w:eastAsia="Arial" w:hAnsi="Arial"/>
          <w:sz w:val="16"/>
          <w:szCs w:val="16"/>
          <w:color w:val="auto"/>
        </w:rPr>
        <w:t xml:space="preserve"> – Greatbatch Medical also provides customized battery power and management systems, charging and docking stations, and power supplies. We design customized primary (non-rechargeable) and secondary (rechargeable) battery solutions, which are used in the portable medical, energy, military and environmental markets. Our primary and secondary power solutions are used where failure is not an option.</w:t>
      </w:r>
    </w:p>
    <w:p>
      <w:pPr>
        <w:spacing w:after="0" w:line="147" w:lineRule="exact"/>
        <w:rPr>
          <w:sz w:val="20"/>
          <w:szCs w:val="20"/>
          <w:color w:val="auto"/>
        </w:rPr>
      </w:pPr>
    </w:p>
    <w:p>
      <w:pPr>
        <w:ind w:right="40"/>
        <w:spacing w:after="0" w:line="257" w:lineRule="auto"/>
        <w:rPr>
          <w:sz w:val="20"/>
          <w:szCs w:val="20"/>
          <w:color w:val="auto"/>
        </w:rPr>
      </w:pPr>
      <w:r>
        <w:rPr>
          <w:rFonts w:ascii="Arial" w:cs="Arial" w:eastAsia="Arial" w:hAnsi="Arial"/>
          <w:sz w:val="18"/>
          <w:szCs w:val="18"/>
          <w:color w:val="auto"/>
        </w:rPr>
        <w:t>Greatbatch Medical’s primary lithium power solutions, which include high, moderate and low rate non-rechargeable cell solutions, are utilized in extreme conditions and can withstand exceptionally high and low temperatures, sterilization, and high shock and vibration. Our product designs incorporate protective circuitry, glass-to-metal hermetic seals, fuses and diodes to help ensure safe, durable and reliable power as devices are subjected to these harsh conditions. Our primary batteries are often used in remote and demanding environments, including down hole drilling tools, military communication devices and oceanographic buoys.</w:t>
      </w:r>
    </w:p>
    <w:p>
      <w:pPr>
        <w:spacing w:after="0" w:line="188" w:lineRule="exact"/>
        <w:rPr>
          <w:sz w:val="20"/>
          <w:szCs w:val="20"/>
          <w:color w:val="auto"/>
        </w:rPr>
      </w:pPr>
    </w:p>
    <w:p>
      <w:pPr>
        <w:ind w:right="180"/>
        <w:spacing w:after="0" w:line="257" w:lineRule="auto"/>
        <w:rPr>
          <w:sz w:val="20"/>
          <w:szCs w:val="20"/>
          <w:color w:val="auto"/>
        </w:rPr>
      </w:pPr>
      <w:r>
        <w:rPr>
          <w:rFonts w:ascii="Arial" w:cs="Arial" w:eastAsia="Arial" w:hAnsi="Arial"/>
          <w:sz w:val="18"/>
          <w:szCs w:val="18"/>
          <w:color w:val="auto"/>
        </w:rPr>
        <w:t>In addition to primary power solutions, Greatbatch Medical offers customized secondary or rechargeable battery packs, in a diverse range of chemistries for critical applications requiring rechargeable solutions. Rechargeable chemistries include lithium ion, lithium ion polymer, nickel metal hydride, nickel cadmium, lithium iron phosphate and sealed lead acid. Greatbatch Medical’s rechargeable battery packs include advanced electronics, smart charging and battery management systems and are used in critical and life-saving applications, including automated external defibrillators, ventilators, powered surgical instruments and portable oxygen concentrators, among others.</w:t>
      </w:r>
    </w:p>
    <w:p>
      <w:pPr>
        <w:spacing w:after="0" w:line="188" w:lineRule="exact"/>
        <w:rPr>
          <w:sz w:val="20"/>
          <w:szCs w:val="20"/>
          <w:color w:val="auto"/>
        </w:rPr>
      </w:pPr>
    </w:p>
    <w:p>
      <w:pPr>
        <w:ind w:right="220"/>
        <w:spacing w:after="0" w:line="277" w:lineRule="auto"/>
        <w:rPr>
          <w:sz w:val="20"/>
          <w:szCs w:val="20"/>
          <w:color w:val="auto"/>
        </w:rPr>
      </w:pPr>
      <w:r>
        <w:rPr>
          <w:rFonts w:ascii="Arial" w:cs="Arial" w:eastAsia="Arial" w:hAnsi="Arial"/>
          <w:sz w:val="18"/>
          <w:szCs w:val="18"/>
          <w:color w:val="auto"/>
        </w:rPr>
        <w:t>The portable medical market trends continue to be favorable with an aging population and the shift from clinical to home settings for portable equipment to monitor and provide therapy. This market represents a strong opportunity despite cost pressure from healthcare reform.</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summarizes information about our Greatbatch Medical products:</w:t>
      </w:r>
    </w:p>
    <w:p>
      <w:pPr>
        <w:spacing w:after="0" w:line="335" w:lineRule="exact"/>
        <w:rPr>
          <w:sz w:val="20"/>
          <w:szCs w:val="20"/>
          <w:color w:val="auto"/>
        </w:rPr>
      </w:pPr>
    </w:p>
    <w:tbl>
      <w:tblPr>
        <w:tblLayout w:type="fixed"/>
        <w:tblInd w:w="40" w:type="dxa"/>
        <w:tblCellMar>
          <w:top w:w="0" w:type="dxa"/>
          <w:left w:w="0" w:type="dxa"/>
          <w:bottom w:w="0" w:type="dxa"/>
          <w:right w:w="0" w:type="dxa"/>
        </w:tblCellMar>
      </w:tblPr>
      <w:tr>
        <w:trPr>
          <w:trHeight w:val="161"/>
        </w:trPr>
        <w:tc>
          <w:tcPr>
            <w:tcW w:w="50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90"/>
              </w:rPr>
              <w:t>Product</w:t>
            </w:r>
          </w:p>
        </w:tc>
        <w:tc>
          <w:tcPr>
            <w:tcW w:w="1880" w:type="dxa"/>
            <w:vAlign w:val="bottom"/>
          </w:tcPr>
          <w:p>
            <w:pPr>
              <w:spacing w:after="0"/>
              <w:rPr>
                <w:sz w:val="14"/>
                <w:szCs w:val="14"/>
                <w:color w:val="auto"/>
              </w:rPr>
            </w:pPr>
          </w:p>
        </w:tc>
        <w:tc>
          <w:tcPr>
            <w:tcW w:w="3140" w:type="dxa"/>
            <w:vAlign w:val="bottom"/>
          </w:tcPr>
          <w:p>
            <w:pPr>
              <w:ind w:left="2040"/>
              <w:spacing w:after="0"/>
              <w:rPr>
                <w:sz w:val="20"/>
                <w:szCs w:val="20"/>
                <w:color w:val="auto"/>
              </w:rPr>
            </w:pPr>
            <w:r>
              <w:rPr>
                <w:rFonts w:ascii="Arial" w:cs="Arial" w:eastAsia="Arial" w:hAnsi="Arial"/>
                <w:sz w:val="14"/>
                <w:szCs w:val="14"/>
                <w:b w:val="1"/>
                <w:bCs w:val="1"/>
                <w:color w:val="auto"/>
              </w:rPr>
              <w:t>Description</w:t>
            </w:r>
          </w:p>
        </w:tc>
        <w:tc>
          <w:tcPr>
            <w:tcW w:w="16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100" w:type="dxa"/>
            <w:vAlign w:val="bottom"/>
          </w:tcPr>
          <w:p>
            <w:pPr>
              <w:ind w:left="1160"/>
              <w:spacing w:after="0"/>
              <w:rPr>
                <w:sz w:val="20"/>
                <w:szCs w:val="20"/>
                <w:color w:val="auto"/>
              </w:rPr>
            </w:pPr>
            <w:r>
              <w:rPr>
                <w:rFonts w:ascii="Arial" w:cs="Arial" w:eastAsia="Arial" w:hAnsi="Arial"/>
                <w:sz w:val="14"/>
                <w:szCs w:val="14"/>
                <w:b w:val="1"/>
                <w:bCs w:val="1"/>
                <w:color w:val="auto"/>
              </w:rPr>
              <w:t>Principal Product Attributes</w:t>
            </w:r>
          </w:p>
        </w:tc>
        <w:tc>
          <w:tcPr>
            <w:tcW w:w="0" w:type="dxa"/>
            <w:vAlign w:val="bottom"/>
          </w:tcPr>
          <w:p>
            <w:pPr>
              <w:spacing w:after="0"/>
              <w:rPr>
                <w:sz w:val="1"/>
                <w:szCs w:val="1"/>
                <w:color w:val="auto"/>
              </w:rPr>
            </w:pPr>
          </w:p>
        </w:tc>
      </w:tr>
      <w:tr>
        <w:trPr>
          <w:trHeight w:val="21"/>
        </w:trPr>
        <w:tc>
          <w:tcPr>
            <w:tcW w:w="2380" w:type="dxa"/>
            <w:vAlign w:val="bottom"/>
            <w:gridSpan w:val="2"/>
            <w:vMerge w:val="restart"/>
          </w:tcPr>
          <w:p>
            <w:pPr>
              <w:spacing w:after="0"/>
              <w:rPr>
                <w:sz w:val="20"/>
                <w:szCs w:val="20"/>
                <w:color w:val="auto"/>
              </w:rPr>
            </w:pPr>
            <w:r>
              <w:rPr>
                <w:rFonts w:ascii="Arial" w:cs="Arial" w:eastAsia="Arial" w:hAnsi="Arial"/>
                <w:sz w:val="18"/>
                <w:szCs w:val="18"/>
                <w:color w:val="auto"/>
              </w:rPr>
              <w:t>Batteries</w:t>
            </w:r>
          </w:p>
        </w:tc>
        <w:tc>
          <w:tcPr>
            <w:tcW w:w="3140" w:type="dxa"/>
            <w:vAlign w:val="bottom"/>
            <w:tcBorders>
              <w:bottom w:val="single" w:sz="8" w:color="auto"/>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22"/>
        </w:trPr>
        <w:tc>
          <w:tcPr>
            <w:tcW w:w="2380" w:type="dxa"/>
            <w:vAlign w:val="bottom"/>
            <w:gridSpan w:val="2"/>
            <w:vMerge w:val="continue"/>
          </w:tcPr>
          <w:p>
            <w:pPr>
              <w:spacing w:after="0"/>
              <w:rPr>
                <w:sz w:val="19"/>
                <w:szCs w:val="19"/>
                <w:color w:val="auto"/>
              </w:rPr>
            </w:pPr>
          </w:p>
        </w:tc>
        <w:tc>
          <w:tcPr>
            <w:tcW w:w="3140" w:type="dxa"/>
            <w:vAlign w:val="bottom"/>
          </w:tcPr>
          <w:p>
            <w:pPr>
              <w:ind w:left="20"/>
              <w:spacing w:after="0"/>
              <w:rPr>
                <w:sz w:val="20"/>
                <w:szCs w:val="20"/>
                <w:color w:val="auto"/>
              </w:rPr>
            </w:pPr>
            <w:r>
              <w:rPr>
                <w:rFonts w:ascii="Arial" w:cs="Arial" w:eastAsia="Arial" w:hAnsi="Arial"/>
                <w:sz w:val="18"/>
                <w:szCs w:val="18"/>
                <w:color w:val="auto"/>
              </w:rPr>
              <w:t>Lithium iodine (“Li Iodine”)</w:t>
            </w:r>
          </w:p>
        </w:tc>
        <w:tc>
          <w:tcPr>
            <w:tcW w:w="16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100" w:type="dxa"/>
            <w:vAlign w:val="bottom"/>
          </w:tcPr>
          <w:p>
            <w:pPr>
              <w:ind w:left="20"/>
              <w:spacing w:after="0"/>
              <w:rPr>
                <w:sz w:val="20"/>
                <w:szCs w:val="20"/>
                <w:color w:val="auto"/>
              </w:rPr>
            </w:pPr>
            <w:r>
              <w:rPr>
                <w:rFonts w:ascii="Arial" w:cs="Arial" w:eastAsia="Arial" w:hAnsi="Arial"/>
                <w:sz w:val="18"/>
                <w:szCs w:val="18"/>
                <w:color w:val="auto"/>
              </w:rPr>
              <w:t>High reliability and predictability;</w:t>
            </w:r>
          </w:p>
        </w:tc>
        <w:tc>
          <w:tcPr>
            <w:tcW w:w="0" w:type="dxa"/>
            <w:vAlign w:val="bottom"/>
          </w:tcPr>
          <w:p>
            <w:pPr>
              <w:spacing w:after="0"/>
              <w:rPr>
                <w:sz w:val="1"/>
                <w:szCs w:val="1"/>
                <w:color w:val="auto"/>
              </w:rPr>
            </w:pPr>
          </w:p>
        </w:tc>
      </w:tr>
      <w:tr>
        <w:trPr>
          <w:trHeight w:val="216"/>
        </w:trPr>
        <w:tc>
          <w:tcPr>
            <w:tcW w:w="500" w:type="dxa"/>
            <w:vAlign w:val="bottom"/>
          </w:tcPr>
          <w:p>
            <w:pPr>
              <w:spacing w:after="0"/>
              <w:rPr>
                <w:sz w:val="18"/>
                <w:szCs w:val="18"/>
                <w:color w:val="auto"/>
              </w:rPr>
            </w:pPr>
          </w:p>
        </w:tc>
        <w:tc>
          <w:tcPr>
            <w:tcW w:w="1880" w:type="dxa"/>
            <w:vAlign w:val="bottom"/>
          </w:tcPr>
          <w:p>
            <w:pPr>
              <w:spacing w:after="0"/>
              <w:rPr>
                <w:sz w:val="18"/>
                <w:szCs w:val="18"/>
                <w:color w:val="auto"/>
              </w:rPr>
            </w:pPr>
          </w:p>
        </w:tc>
        <w:tc>
          <w:tcPr>
            <w:tcW w:w="3140" w:type="dxa"/>
            <w:vAlign w:val="bottom"/>
          </w:tcPr>
          <w:p>
            <w:pPr>
              <w:ind w:left="20"/>
              <w:spacing w:after="0"/>
              <w:rPr>
                <w:sz w:val="20"/>
                <w:szCs w:val="20"/>
                <w:color w:val="auto"/>
              </w:rPr>
            </w:pPr>
            <w:r>
              <w:rPr>
                <w:rFonts w:ascii="Arial" w:cs="Arial" w:eastAsia="Arial" w:hAnsi="Arial"/>
                <w:sz w:val="18"/>
                <w:szCs w:val="18"/>
                <w:color w:val="auto"/>
                <w:w w:val="96"/>
              </w:rPr>
              <w:t>Lithium silver vanadium oxide (“Li SVO”)</w:t>
            </w:r>
          </w:p>
        </w:tc>
        <w:tc>
          <w:tcPr>
            <w:tcW w:w="1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100" w:type="dxa"/>
            <w:vAlign w:val="bottom"/>
          </w:tcPr>
          <w:p>
            <w:pPr>
              <w:ind w:left="20"/>
              <w:spacing w:after="0"/>
              <w:rPr>
                <w:sz w:val="20"/>
                <w:szCs w:val="20"/>
                <w:color w:val="auto"/>
              </w:rPr>
            </w:pPr>
            <w:r>
              <w:rPr>
                <w:rFonts w:ascii="Arial" w:cs="Arial" w:eastAsia="Arial" w:hAnsi="Arial"/>
                <w:sz w:val="18"/>
                <w:szCs w:val="18"/>
                <w:color w:val="auto"/>
              </w:rPr>
              <w:t>Long service life;</w:t>
            </w:r>
          </w:p>
        </w:tc>
        <w:tc>
          <w:tcPr>
            <w:tcW w:w="0" w:type="dxa"/>
            <w:vAlign w:val="bottom"/>
          </w:tcPr>
          <w:p>
            <w:pPr>
              <w:spacing w:after="0"/>
              <w:rPr>
                <w:sz w:val="1"/>
                <w:szCs w:val="1"/>
                <w:color w:val="auto"/>
              </w:rPr>
            </w:pPr>
          </w:p>
        </w:tc>
      </w:tr>
      <w:tr>
        <w:trPr>
          <w:trHeight w:val="216"/>
        </w:trPr>
        <w:tc>
          <w:tcPr>
            <w:tcW w:w="500" w:type="dxa"/>
            <w:vAlign w:val="bottom"/>
          </w:tcPr>
          <w:p>
            <w:pPr>
              <w:spacing w:after="0"/>
              <w:rPr>
                <w:sz w:val="18"/>
                <w:szCs w:val="18"/>
                <w:color w:val="auto"/>
              </w:rPr>
            </w:pPr>
          </w:p>
        </w:tc>
        <w:tc>
          <w:tcPr>
            <w:tcW w:w="1880" w:type="dxa"/>
            <w:vAlign w:val="bottom"/>
          </w:tcPr>
          <w:p>
            <w:pPr>
              <w:spacing w:after="0"/>
              <w:rPr>
                <w:sz w:val="18"/>
                <w:szCs w:val="18"/>
                <w:color w:val="auto"/>
              </w:rPr>
            </w:pPr>
          </w:p>
        </w:tc>
        <w:tc>
          <w:tcPr>
            <w:tcW w:w="3140" w:type="dxa"/>
            <w:vAlign w:val="bottom"/>
          </w:tcPr>
          <w:p>
            <w:pPr>
              <w:ind w:left="20"/>
              <w:spacing w:after="0"/>
              <w:rPr>
                <w:sz w:val="20"/>
                <w:szCs w:val="20"/>
                <w:color w:val="auto"/>
              </w:rPr>
            </w:pPr>
            <w:r>
              <w:rPr>
                <w:rFonts w:ascii="Arial" w:cs="Arial" w:eastAsia="Arial" w:hAnsi="Arial"/>
                <w:sz w:val="18"/>
                <w:szCs w:val="18"/>
                <w:color w:val="auto"/>
              </w:rPr>
              <w:t>Lithium carbon monoflouride (“Li CFx”)</w:t>
            </w:r>
          </w:p>
        </w:tc>
        <w:tc>
          <w:tcPr>
            <w:tcW w:w="1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100" w:type="dxa"/>
            <w:vAlign w:val="bottom"/>
          </w:tcPr>
          <w:p>
            <w:pPr>
              <w:ind w:left="20"/>
              <w:spacing w:after="0"/>
              <w:rPr>
                <w:sz w:val="20"/>
                <w:szCs w:val="20"/>
                <w:color w:val="auto"/>
              </w:rPr>
            </w:pPr>
            <w:r>
              <w:rPr>
                <w:rFonts w:ascii="Arial" w:cs="Arial" w:eastAsia="Arial" w:hAnsi="Arial"/>
                <w:sz w:val="18"/>
                <w:szCs w:val="18"/>
                <w:color w:val="auto"/>
              </w:rPr>
              <w:t>Customized configuration;</w:t>
            </w:r>
          </w:p>
        </w:tc>
        <w:tc>
          <w:tcPr>
            <w:tcW w:w="0" w:type="dxa"/>
            <w:vAlign w:val="bottom"/>
          </w:tcPr>
          <w:p>
            <w:pPr>
              <w:spacing w:after="0"/>
              <w:rPr>
                <w:sz w:val="1"/>
                <w:szCs w:val="1"/>
                <w:color w:val="auto"/>
              </w:rPr>
            </w:pPr>
          </w:p>
        </w:tc>
      </w:tr>
      <w:tr>
        <w:trPr>
          <w:trHeight w:val="216"/>
        </w:trPr>
        <w:tc>
          <w:tcPr>
            <w:tcW w:w="500" w:type="dxa"/>
            <w:vAlign w:val="bottom"/>
          </w:tcPr>
          <w:p>
            <w:pPr>
              <w:spacing w:after="0"/>
              <w:rPr>
                <w:sz w:val="18"/>
                <w:szCs w:val="18"/>
                <w:color w:val="auto"/>
              </w:rPr>
            </w:pPr>
          </w:p>
        </w:tc>
        <w:tc>
          <w:tcPr>
            <w:tcW w:w="1880" w:type="dxa"/>
            <w:vAlign w:val="bottom"/>
          </w:tcPr>
          <w:p>
            <w:pPr>
              <w:spacing w:after="0"/>
              <w:rPr>
                <w:sz w:val="18"/>
                <w:szCs w:val="18"/>
                <w:color w:val="auto"/>
              </w:rPr>
            </w:pPr>
          </w:p>
        </w:tc>
        <w:tc>
          <w:tcPr>
            <w:tcW w:w="3140" w:type="dxa"/>
            <w:vAlign w:val="bottom"/>
          </w:tcPr>
          <w:p>
            <w:pPr>
              <w:ind w:left="20"/>
              <w:spacing w:after="0"/>
              <w:rPr>
                <w:sz w:val="20"/>
                <w:szCs w:val="20"/>
                <w:color w:val="auto"/>
              </w:rPr>
            </w:pPr>
            <w:r>
              <w:rPr>
                <w:rFonts w:ascii="Arial" w:cs="Arial" w:eastAsia="Arial" w:hAnsi="Arial"/>
                <w:sz w:val="18"/>
                <w:szCs w:val="18"/>
                <w:color w:val="auto"/>
              </w:rPr>
              <w:t>Lithium ion rechargeable (“Li Ion”)</w:t>
            </w:r>
          </w:p>
        </w:tc>
        <w:tc>
          <w:tcPr>
            <w:tcW w:w="1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100" w:type="dxa"/>
            <w:vAlign w:val="bottom"/>
          </w:tcPr>
          <w:p>
            <w:pPr>
              <w:ind w:left="20"/>
              <w:spacing w:after="0"/>
              <w:rPr>
                <w:sz w:val="20"/>
                <w:szCs w:val="20"/>
                <w:color w:val="auto"/>
              </w:rPr>
            </w:pPr>
            <w:r>
              <w:rPr>
                <w:rFonts w:ascii="Arial" w:cs="Arial" w:eastAsia="Arial" w:hAnsi="Arial"/>
                <w:sz w:val="18"/>
                <w:szCs w:val="18"/>
                <w:color w:val="auto"/>
              </w:rPr>
              <w:t>Light weight;</w:t>
            </w:r>
          </w:p>
        </w:tc>
        <w:tc>
          <w:tcPr>
            <w:tcW w:w="0" w:type="dxa"/>
            <w:vAlign w:val="bottom"/>
          </w:tcPr>
          <w:p>
            <w:pPr>
              <w:spacing w:after="0"/>
              <w:rPr>
                <w:sz w:val="1"/>
                <w:szCs w:val="1"/>
                <w:color w:val="auto"/>
              </w:rPr>
            </w:pPr>
          </w:p>
        </w:tc>
      </w:tr>
      <w:tr>
        <w:trPr>
          <w:trHeight w:val="230"/>
        </w:trPr>
        <w:tc>
          <w:tcPr>
            <w:tcW w:w="500" w:type="dxa"/>
            <w:vAlign w:val="bottom"/>
          </w:tcPr>
          <w:p>
            <w:pPr>
              <w:spacing w:after="0"/>
              <w:rPr>
                <w:sz w:val="20"/>
                <w:szCs w:val="20"/>
                <w:color w:val="auto"/>
              </w:rPr>
            </w:pPr>
          </w:p>
        </w:tc>
        <w:tc>
          <w:tcPr>
            <w:tcW w:w="1880" w:type="dxa"/>
            <w:vAlign w:val="bottom"/>
          </w:tcPr>
          <w:p>
            <w:pPr>
              <w:spacing w:after="0"/>
              <w:rPr>
                <w:sz w:val="20"/>
                <w:szCs w:val="20"/>
                <w:color w:val="auto"/>
              </w:rPr>
            </w:pPr>
          </w:p>
        </w:tc>
        <w:tc>
          <w:tcPr>
            <w:tcW w:w="3140" w:type="dxa"/>
            <w:vAlign w:val="bottom"/>
          </w:tcPr>
          <w:p>
            <w:pPr>
              <w:ind w:left="20"/>
              <w:spacing w:after="0"/>
              <w:rPr>
                <w:sz w:val="20"/>
                <w:szCs w:val="20"/>
                <w:color w:val="auto"/>
              </w:rPr>
            </w:pPr>
            <w:r>
              <w:rPr>
                <w:rFonts w:ascii="Arial" w:cs="Arial" w:eastAsia="Arial" w:hAnsi="Arial"/>
                <w:sz w:val="18"/>
                <w:szCs w:val="18"/>
                <w:color w:val="auto"/>
              </w:rPr>
              <w:t>Lithium SVO/CFx (“Q</w:t>
            </w:r>
            <w:r>
              <w:rPr>
                <w:rFonts w:ascii="Arial" w:cs="Arial" w:eastAsia="Arial" w:hAnsi="Arial"/>
                <w:sz w:val="14"/>
                <w:szCs w:val="14"/>
                <w:color w:val="auto"/>
              </w:rPr>
              <w:t>HR</w:t>
            </w:r>
            <w:r>
              <w:rPr>
                <w:rFonts w:ascii="Arial" w:cs="Arial" w:eastAsia="Arial" w:hAnsi="Arial"/>
                <w:sz w:val="18"/>
                <w:szCs w:val="18"/>
                <w:color w:val="auto"/>
              </w:rPr>
              <w:t>” &amp; “Q</w:t>
            </w:r>
            <w:r>
              <w:rPr>
                <w:rFonts w:ascii="Arial" w:cs="Arial" w:eastAsia="Arial" w:hAnsi="Arial"/>
                <w:sz w:val="14"/>
                <w:szCs w:val="14"/>
                <w:color w:val="auto"/>
              </w:rPr>
              <w:t>MR</w:t>
            </w:r>
            <w:r>
              <w:rPr>
                <w:rFonts w:ascii="Arial" w:cs="Arial" w:eastAsia="Arial" w:hAnsi="Arial"/>
                <w:sz w:val="18"/>
                <w:szCs w:val="18"/>
                <w:color w:val="auto"/>
              </w:rPr>
              <w:t>”)</w:t>
            </w:r>
          </w:p>
        </w:tc>
        <w:tc>
          <w:tcPr>
            <w:tcW w:w="16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100" w:type="dxa"/>
            <w:vAlign w:val="bottom"/>
          </w:tcPr>
          <w:p>
            <w:pPr>
              <w:ind w:left="20"/>
              <w:spacing w:after="0"/>
              <w:rPr>
                <w:sz w:val="20"/>
                <w:szCs w:val="20"/>
                <w:color w:val="auto"/>
              </w:rPr>
            </w:pPr>
            <w:r>
              <w:rPr>
                <w:rFonts w:ascii="Arial" w:cs="Arial" w:eastAsia="Arial" w:hAnsi="Arial"/>
                <w:sz w:val="18"/>
                <w:szCs w:val="18"/>
                <w:color w:val="auto"/>
              </w:rPr>
              <w:t>High energy density, small size</w:t>
            </w:r>
          </w:p>
        </w:tc>
        <w:tc>
          <w:tcPr>
            <w:tcW w:w="0" w:type="dxa"/>
            <w:vAlign w:val="bottom"/>
          </w:tcPr>
          <w:p>
            <w:pPr>
              <w:spacing w:after="0"/>
              <w:rPr>
                <w:sz w:val="1"/>
                <w:szCs w:val="1"/>
                <w:color w:val="auto"/>
              </w:rPr>
            </w:pPr>
          </w:p>
        </w:tc>
      </w:tr>
      <w:tr>
        <w:trPr>
          <w:trHeight w:val="608"/>
        </w:trPr>
        <w:tc>
          <w:tcPr>
            <w:tcW w:w="500" w:type="dxa"/>
            <w:vAlign w:val="bottom"/>
          </w:tcPr>
          <w:p>
            <w:pPr>
              <w:spacing w:after="0"/>
              <w:rPr>
                <w:sz w:val="24"/>
                <w:szCs w:val="24"/>
                <w:color w:val="auto"/>
              </w:rPr>
            </w:pPr>
          </w:p>
        </w:tc>
        <w:tc>
          <w:tcPr>
            <w:tcW w:w="1880" w:type="dxa"/>
            <w:vAlign w:val="bottom"/>
          </w:tcPr>
          <w:p>
            <w:pPr>
              <w:spacing w:after="0"/>
              <w:rPr>
                <w:sz w:val="24"/>
                <w:szCs w:val="24"/>
                <w:color w:val="auto"/>
              </w:rPr>
            </w:pPr>
          </w:p>
        </w:tc>
        <w:tc>
          <w:tcPr>
            <w:tcW w:w="3140" w:type="dxa"/>
            <w:vAlign w:val="bottom"/>
          </w:tcPr>
          <w:p>
            <w:pPr>
              <w:spacing w:after="0"/>
              <w:rPr>
                <w:sz w:val="24"/>
                <w:szCs w:val="24"/>
                <w:color w:val="auto"/>
              </w:rPr>
            </w:pPr>
          </w:p>
        </w:tc>
        <w:tc>
          <w:tcPr>
            <w:tcW w:w="1660" w:type="dxa"/>
            <w:vAlign w:val="bottom"/>
          </w:tcPr>
          <w:p>
            <w:pPr>
              <w:jc w:val="right"/>
              <w:ind w:right="1270"/>
              <w:spacing w:after="0"/>
              <w:rPr>
                <w:sz w:val="20"/>
                <w:szCs w:val="20"/>
                <w:color w:val="auto"/>
              </w:rPr>
            </w:pPr>
            <w:r>
              <w:rPr>
                <w:rFonts w:ascii="Arial" w:cs="Arial" w:eastAsia="Arial" w:hAnsi="Arial"/>
                <w:sz w:val="18"/>
                <w:szCs w:val="18"/>
                <w:color w:val="auto"/>
                <w:w w:val="87"/>
              </w:rPr>
              <w:t>- 7 -</w:t>
            </w:r>
          </w:p>
        </w:tc>
        <w:tc>
          <w:tcPr>
            <w:tcW w:w="100" w:type="dxa"/>
            <w:vAlign w:val="bottom"/>
          </w:tcPr>
          <w:p>
            <w:pPr>
              <w:spacing w:after="0"/>
              <w:rPr>
                <w:sz w:val="24"/>
                <w:szCs w:val="24"/>
                <w:color w:val="auto"/>
              </w:rPr>
            </w:pPr>
          </w:p>
        </w:tc>
        <w:tc>
          <w:tcPr>
            <w:tcW w:w="4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908" w:right="239" w:bottom="1440" w:gutter="0" w:footer="0" w:header="0"/>
        </w:sectPr>
      </w:pPr>
    </w:p>
    <w:bookmarkStart w:id="8" w:name="page9"/>
    <w:bookmarkEnd w:id="8"/>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0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90"/>
              </w:rPr>
              <w:t>Product</w:t>
            </w:r>
          </w:p>
        </w:tc>
        <w:tc>
          <w:tcPr>
            <w:tcW w:w="1880" w:type="dxa"/>
            <w:vAlign w:val="bottom"/>
          </w:tcPr>
          <w:p>
            <w:pPr>
              <w:spacing w:after="0"/>
              <w:rPr>
                <w:sz w:val="14"/>
                <w:szCs w:val="14"/>
                <w:color w:val="auto"/>
              </w:rPr>
            </w:pPr>
          </w:p>
        </w:tc>
        <w:tc>
          <w:tcPr>
            <w:tcW w:w="4800" w:type="dxa"/>
            <w:vAlign w:val="bottom"/>
          </w:tcPr>
          <w:p>
            <w:pPr>
              <w:ind w:left="204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21"/>
        </w:trPr>
        <w:tc>
          <w:tcPr>
            <w:tcW w:w="2380" w:type="dxa"/>
            <w:vAlign w:val="bottom"/>
            <w:gridSpan w:val="2"/>
            <w:vMerge w:val="restart"/>
          </w:tcPr>
          <w:p>
            <w:pPr>
              <w:spacing w:after="0"/>
              <w:rPr>
                <w:sz w:val="20"/>
                <w:szCs w:val="20"/>
                <w:color w:val="auto"/>
              </w:rPr>
            </w:pPr>
            <w:r>
              <w:rPr>
                <w:rFonts w:ascii="Arial" w:cs="Arial" w:eastAsia="Arial" w:hAnsi="Arial"/>
                <w:sz w:val="18"/>
                <w:szCs w:val="18"/>
                <w:color w:val="auto"/>
              </w:rPr>
              <w:t>Capacitors</w:t>
            </w:r>
          </w:p>
        </w:tc>
        <w:tc>
          <w:tcPr>
            <w:tcW w:w="4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22"/>
        </w:trPr>
        <w:tc>
          <w:tcPr>
            <w:tcW w:w="2380" w:type="dxa"/>
            <w:vAlign w:val="bottom"/>
            <w:gridSpan w:val="2"/>
            <w:vMerge w:val="continue"/>
          </w:tcPr>
          <w:p>
            <w:pPr>
              <w:spacing w:after="0"/>
              <w:rPr>
                <w:sz w:val="19"/>
                <w:szCs w:val="19"/>
                <w:color w:val="auto"/>
              </w:rPr>
            </w:pPr>
          </w:p>
        </w:tc>
        <w:tc>
          <w:tcPr>
            <w:tcW w:w="4800" w:type="dxa"/>
            <w:vAlign w:val="bottom"/>
          </w:tcPr>
          <w:p>
            <w:pPr>
              <w:ind w:left="20"/>
              <w:spacing w:after="0"/>
              <w:rPr>
                <w:sz w:val="20"/>
                <w:szCs w:val="20"/>
                <w:color w:val="auto"/>
              </w:rPr>
            </w:pPr>
            <w:r>
              <w:rPr>
                <w:rFonts w:ascii="Arial" w:cs="Arial" w:eastAsia="Arial" w:hAnsi="Arial"/>
                <w:sz w:val="18"/>
                <w:szCs w:val="18"/>
                <w:color w:val="auto"/>
                <w:w w:val="93"/>
              </w:rPr>
              <w:t>Storage for energy generated by a battery before delivery to the</w:t>
            </w:r>
          </w:p>
        </w:tc>
        <w:tc>
          <w:tcPr>
            <w:tcW w:w="0" w:type="dxa"/>
            <w:vAlign w:val="bottom"/>
          </w:tcPr>
          <w:p>
            <w:pPr>
              <w:spacing w:after="0"/>
              <w:rPr>
                <w:sz w:val="1"/>
                <w:szCs w:val="1"/>
                <w:color w:val="auto"/>
              </w:rPr>
            </w:pPr>
          </w:p>
        </w:tc>
      </w:tr>
      <w:tr>
        <w:trPr>
          <w:trHeight w:val="230"/>
        </w:trPr>
        <w:tc>
          <w:tcPr>
            <w:tcW w:w="500" w:type="dxa"/>
            <w:vAlign w:val="bottom"/>
          </w:tcPr>
          <w:p>
            <w:pPr>
              <w:spacing w:after="0"/>
              <w:rPr>
                <w:sz w:val="20"/>
                <w:szCs w:val="20"/>
                <w:color w:val="auto"/>
              </w:rPr>
            </w:pPr>
          </w:p>
        </w:tc>
        <w:tc>
          <w:tcPr>
            <w:tcW w:w="1880" w:type="dxa"/>
            <w:vAlign w:val="bottom"/>
          </w:tcPr>
          <w:p>
            <w:pPr>
              <w:spacing w:after="0"/>
              <w:rPr>
                <w:sz w:val="20"/>
                <w:szCs w:val="20"/>
                <w:color w:val="auto"/>
              </w:rPr>
            </w:pPr>
          </w:p>
        </w:tc>
        <w:tc>
          <w:tcPr>
            <w:tcW w:w="4800" w:type="dxa"/>
            <w:vAlign w:val="bottom"/>
          </w:tcPr>
          <w:p>
            <w:pPr>
              <w:ind w:left="20"/>
              <w:spacing w:after="0"/>
              <w:rPr>
                <w:sz w:val="20"/>
                <w:szCs w:val="20"/>
                <w:color w:val="auto"/>
              </w:rPr>
            </w:pPr>
            <w:r>
              <w:rPr>
                <w:rFonts w:ascii="Arial" w:cs="Arial" w:eastAsia="Arial" w:hAnsi="Arial"/>
                <w:sz w:val="18"/>
                <w:szCs w:val="18"/>
                <w:color w:val="auto"/>
              </w:rPr>
              <w:t>heart. Used in ICDs and CRT-Ds.</w:t>
            </w:r>
          </w:p>
        </w:tc>
        <w:tc>
          <w:tcPr>
            <w:tcW w:w="0" w:type="dxa"/>
            <w:vAlign w:val="bottom"/>
          </w:tcPr>
          <w:p>
            <w:pPr>
              <w:spacing w:after="0"/>
              <w:rPr>
                <w:sz w:val="1"/>
                <w:szCs w:val="1"/>
                <w:color w:val="auto"/>
              </w:rPr>
            </w:pPr>
          </w:p>
        </w:tc>
      </w:tr>
      <w:tr>
        <w:trPr>
          <w:trHeight w:val="593"/>
        </w:trPr>
        <w:tc>
          <w:tcPr>
            <w:tcW w:w="2380" w:type="dxa"/>
            <w:vAlign w:val="bottom"/>
            <w:gridSpan w:val="2"/>
          </w:tcPr>
          <w:p>
            <w:pPr>
              <w:spacing w:after="0"/>
              <w:rPr>
                <w:sz w:val="20"/>
                <w:szCs w:val="20"/>
                <w:color w:val="auto"/>
              </w:rPr>
            </w:pPr>
            <w:r>
              <w:rPr>
                <w:rFonts w:ascii="Arial" w:cs="Arial" w:eastAsia="Arial" w:hAnsi="Arial"/>
                <w:sz w:val="18"/>
                <w:szCs w:val="18"/>
                <w:color w:val="auto"/>
              </w:rPr>
              <w:t>EMI filters</w:t>
            </w:r>
          </w:p>
        </w:tc>
        <w:tc>
          <w:tcPr>
            <w:tcW w:w="4800" w:type="dxa"/>
            <w:vAlign w:val="bottom"/>
          </w:tcPr>
          <w:p>
            <w:pPr>
              <w:ind w:left="20"/>
              <w:spacing w:after="0"/>
              <w:rPr>
                <w:sz w:val="20"/>
                <w:szCs w:val="20"/>
                <w:color w:val="auto"/>
              </w:rPr>
            </w:pPr>
            <w:r>
              <w:rPr>
                <w:rFonts w:ascii="Arial" w:cs="Arial" w:eastAsia="Arial" w:hAnsi="Arial"/>
                <w:sz w:val="18"/>
                <w:szCs w:val="18"/>
                <w:color w:val="auto"/>
                <w:w w:val="91"/>
              </w:rPr>
              <w:t>Filters electromagnetic interference to limit undesirable response,</w:t>
            </w:r>
          </w:p>
        </w:tc>
        <w:tc>
          <w:tcPr>
            <w:tcW w:w="0" w:type="dxa"/>
            <w:vAlign w:val="bottom"/>
          </w:tcPr>
          <w:p>
            <w:pPr>
              <w:spacing w:after="0"/>
              <w:rPr>
                <w:sz w:val="1"/>
                <w:szCs w:val="1"/>
                <w:color w:val="auto"/>
              </w:rPr>
            </w:pPr>
          </w:p>
        </w:tc>
      </w:tr>
      <w:tr>
        <w:trPr>
          <w:trHeight w:val="216"/>
        </w:trPr>
        <w:tc>
          <w:tcPr>
            <w:tcW w:w="500" w:type="dxa"/>
            <w:vAlign w:val="bottom"/>
          </w:tcPr>
          <w:p>
            <w:pPr>
              <w:spacing w:after="0"/>
              <w:rPr>
                <w:sz w:val="18"/>
                <w:szCs w:val="18"/>
                <w:color w:val="auto"/>
              </w:rPr>
            </w:pPr>
          </w:p>
        </w:tc>
        <w:tc>
          <w:tcPr>
            <w:tcW w:w="1880" w:type="dxa"/>
            <w:vAlign w:val="bottom"/>
          </w:tcPr>
          <w:p>
            <w:pPr>
              <w:spacing w:after="0"/>
              <w:rPr>
                <w:sz w:val="18"/>
                <w:szCs w:val="18"/>
                <w:color w:val="auto"/>
              </w:rPr>
            </w:pPr>
          </w:p>
        </w:tc>
        <w:tc>
          <w:tcPr>
            <w:tcW w:w="4800" w:type="dxa"/>
            <w:vAlign w:val="bottom"/>
          </w:tcPr>
          <w:p>
            <w:pPr>
              <w:ind w:left="20"/>
              <w:spacing w:after="0"/>
              <w:rPr>
                <w:sz w:val="20"/>
                <w:szCs w:val="20"/>
                <w:color w:val="auto"/>
              </w:rPr>
            </w:pPr>
            <w:r>
              <w:rPr>
                <w:rFonts w:ascii="Arial" w:cs="Arial" w:eastAsia="Arial" w:hAnsi="Arial"/>
                <w:sz w:val="18"/>
                <w:szCs w:val="18"/>
                <w:color w:val="auto"/>
                <w:w w:val="96"/>
              </w:rPr>
              <w:t>malfunctioning or degradation in the performance of electronic</w:t>
            </w:r>
          </w:p>
        </w:tc>
        <w:tc>
          <w:tcPr>
            <w:tcW w:w="0" w:type="dxa"/>
            <w:vAlign w:val="bottom"/>
          </w:tcPr>
          <w:p>
            <w:pPr>
              <w:spacing w:after="0"/>
              <w:rPr>
                <w:sz w:val="1"/>
                <w:szCs w:val="1"/>
                <w:color w:val="auto"/>
              </w:rPr>
            </w:pPr>
          </w:p>
        </w:tc>
      </w:tr>
      <w:tr>
        <w:trPr>
          <w:trHeight w:val="230"/>
        </w:trPr>
        <w:tc>
          <w:tcPr>
            <w:tcW w:w="500" w:type="dxa"/>
            <w:vAlign w:val="bottom"/>
          </w:tcPr>
          <w:p>
            <w:pPr>
              <w:spacing w:after="0"/>
              <w:rPr>
                <w:sz w:val="20"/>
                <w:szCs w:val="20"/>
                <w:color w:val="auto"/>
              </w:rPr>
            </w:pPr>
          </w:p>
        </w:tc>
        <w:tc>
          <w:tcPr>
            <w:tcW w:w="1880" w:type="dxa"/>
            <w:vAlign w:val="bottom"/>
          </w:tcPr>
          <w:p>
            <w:pPr>
              <w:spacing w:after="0"/>
              <w:rPr>
                <w:sz w:val="20"/>
                <w:szCs w:val="20"/>
                <w:color w:val="auto"/>
              </w:rPr>
            </w:pPr>
          </w:p>
        </w:tc>
        <w:tc>
          <w:tcPr>
            <w:tcW w:w="4800" w:type="dxa"/>
            <w:vAlign w:val="bottom"/>
          </w:tcPr>
          <w:p>
            <w:pPr>
              <w:ind w:left="20"/>
              <w:spacing w:after="0"/>
              <w:rPr>
                <w:sz w:val="20"/>
                <w:szCs w:val="20"/>
                <w:color w:val="auto"/>
              </w:rPr>
            </w:pPr>
            <w:r>
              <w:rPr>
                <w:rFonts w:ascii="Arial" w:cs="Arial" w:eastAsia="Arial" w:hAnsi="Arial"/>
                <w:sz w:val="18"/>
                <w:szCs w:val="18"/>
                <w:color w:val="auto"/>
              </w:rPr>
              <w:t>equipment</w:t>
            </w:r>
          </w:p>
        </w:tc>
        <w:tc>
          <w:tcPr>
            <w:tcW w:w="0" w:type="dxa"/>
            <w:vAlign w:val="bottom"/>
          </w:tcPr>
          <w:p>
            <w:pPr>
              <w:spacing w:after="0"/>
              <w:rPr>
                <w:sz w:val="1"/>
                <w:szCs w:val="1"/>
                <w:color w:val="auto"/>
              </w:rPr>
            </w:pPr>
          </w:p>
        </w:tc>
      </w:tr>
      <w:tr>
        <w:trPr>
          <w:trHeight w:val="377"/>
        </w:trPr>
        <w:tc>
          <w:tcPr>
            <w:tcW w:w="2380" w:type="dxa"/>
            <w:vAlign w:val="bottom"/>
            <w:gridSpan w:val="2"/>
          </w:tcPr>
          <w:p>
            <w:pPr>
              <w:spacing w:after="0"/>
              <w:rPr>
                <w:sz w:val="20"/>
                <w:szCs w:val="20"/>
                <w:color w:val="auto"/>
              </w:rPr>
            </w:pPr>
            <w:r>
              <w:rPr>
                <w:rFonts w:ascii="Arial" w:cs="Arial" w:eastAsia="Arial" w:hAnsi="Arial"/>
                <w:sz w:val="18"/>
                <w:szCs w:val="18"/>
                <w:color w:val="auto"/>
              </w:rPr>
              <w:t>Feedthroughs</w:t>
            </w:r>
          </w:p>
        </w:tc>
        <w:tc>
          <w:tcPr>
            <w:tcW w:w="4800" w:type="dxa"/>
            <w:vAlign w:val="bottom"/>
          </w:tcPr>
          <w:p>
            <w:pPr>
              <w:ind w:left="20"/>
              <w:spacing w:after="0"/>
              <w:rPr>
                <w:sz w:val="20"/>
                <w:szCs w:val="20"/>
                <w:color w:val="auto"/>
              </w:rPr>
            </w:pPr>
            <w:r>
              <w:rPr>
                <w:rFonts w:ascii="Arial" w:cs="Arial" w:eastAsia="Arial" w:hAnsi="Arial"/>
                <w:sz w:val="18"/>
                <w:szCs w:val="18"/>
                <w:color w:val="auto"/>
                <w:w w:val="98"/>
              </w:rPr>
              <w:t>Allow electrical signals to be brought from inside hermetically</w:t>
            </w:r>
          </w:p>
        </w:tc>
        <w:tc>
          <w:tcPr>
            <w:tcW w:w="0" w:type="dxa"/>
            <w:vAlign w:val="bottom"/>
          </w:tcPr>
          <w:p>
            <w:pPr>
              <w:spacing w:after="0"/>
              <w:rPr>
                <w:sz w:val="1"/>
                <w:szCs w:val="1"/>
                <w:color w:val="auto"/>
              </w:rPr>
            </w:pPr>
          </w:p>
        </w:tc>
      </w:tr>
      <w:tr>
        <w:trPr>
          <w:trHeight w:val="230"/>
        </w:trPr>
        <w:tc>
          <w:tcPr>
            <w:tcW w:w="500" w:type="dxa"/>
            <w:vAlign w:val="bottom"/>
          </w:tcPr>
          <w:p>
            <w:pPr>
              <w:spacing w:after="0"/>
              <w:rPr>
                <w:sz w:val="20"/>
                <w:szCs w:val="20"/>
                <w:color w:val="auto"/>
              </w:rPr>
            </w:pPr>
          </w:p>
        </w:tc>
        <w:tc>
          <w:tcPr>
            <w:tcW w:w="1880" w:type="dxa"/>
            <w:vAlign w:val="bottom"/>
          </w:tcPr>
          <w:p>
            <w:pPr>
              <w:spacing w:after="0"/>
              <w:rPr>
                <w:sz w:val="20"/>
                <w:szCs w:val="20"/>
                <w:color w:val="auto"/>
              </w:rPr>
            </w:pPr>
          </w:p>
        </w:tc>
        <w:tc>
          <w:tcPr>
            <w:tcW w:w="4800" w:type="dxa"/>
            <w:vAlign w:val="bottom"/>
          </w:tcPr>
          <w:p>
            <w:pPr>
              <w:ind w:left="20"/>
              <w:spacing w:after="0"/>
              <w:rPr>
                <w:sz w:val="20"/>
                <w:szCs w:val="20"/>
                <w:color w:val="auto"/>
              </w:rPr>
            </w:pPr>
            <w:r>
              <w:rPr>
                <w:rFonts w:ascii="Arial" w:cs="Arial" w:eastAsia="Arial" w:hAnsi="Arial"/>
                <w:sz w:val="18"/>
                <w:szCs w:val="18"/>
                <w:color w:val="auto"/>
              </w:rPr>
              <w:t>sealed IMD to an electrode</w:t>
            </w:r>
          </w:p>
        </w:tc>
        <w:tc>
          <w:tcPr>
            <w:tcW w:w="0" w:type="dxa"/>
            <w:vAlign w:val="bottom"/>
          </w:tcPr>
          <w:p>
            <w:pPr>
              <w:spacing w:after="0"/>
              <w:rPr>
                <w:sz w:val="1"/>
                <w:szCs w:val="1"/>
                <w:color w:val="auto"/>
              </w:rPr>
            </w:pPr>
          </w:p>
        </w:tc>
      </w:tr>
      <w:tr>
        <w:trPr>
          <w:trHeight w:val="377"/>
        </w:trPr>
        <w:tc>
          <w:tcPr>
            <w:tcW w:w="2380" w:type="dxa"/>
            <w:vAlign w:val="bottom"/>
            <w:gridSpan w:val="2"/>
          </w:tcPr>
          <w:p>
            <w:pPr>
              <w:spacing w:after="0"/>
              <w:rPr>
                <w:sz w:val="20"/>
                <w:szCs w:val="20"/>
                <w:color w:val="auto"/>
              </w:rPr>
            </w:pPr>
            <w:r>
              <w:rPr>
                <w:rFonts w:ascii="Arial" w:cs="Arial" w:eastAsia="Arial" w:hAnsi="Arial"/>
                <w:sz w:val="18"/>
                <w:szCs w:val="18"/>
                <w:color w:val="auto"/>
              </w:rPr>
              <w:t>Coated electrodes</w:t>
            </w:r>
          </w:p>
        </w:tc>
        <w:tc>
          <w:tcPr>
            <w:tcW w:w="4800" w:type="dxa"/>
            <w:vAlign w:val="bottom"/>
          </w:tcPr>
          <w:p>
            <w:pPr>
              <w:ind w:left="20"/>
              <w:spacing w:after="0"/>
              <w:rPr>
                <w:sz w:val="20"/>
                <w:szCs w:val="20"/>
                <w:color w:val="auto"/>
              </w:rPr>
            </w:pPr>
            <w:r>
              <w:rPr>
                <w:rFonts w:ascii="Arial" w:cs="Arial" w:eastAsia="Arial" w:hAnsi="Arial"/>
                <w:sz w:val="18"/>
                <w:szCs w:val="18"/>
                <w:color w:val="auto"/>
              </w:rPr>
              <w:t>Deliver electric signal from the feedthrough to a body part</w:t>
            </w:r>
          </w:p>
        </w:tc>
        <w:tc>
          <w:tcPr>
            <w:tcW w:w="0" w:type="dxa"/>
            <w:vAlign w:val="bottom"/>
          </w:tcPr>
          <w:p>
            <w:pPr>
              <w:spacing w:after="0"/>
              <w:rPr>
                <w:sz w:val="1"/>
                <w:szCs w:val="1"/>
                <w:color w:val="auto"/>
              </w:rPr>
            </w:pPr>
          </w:p>
        </w:tc>
      </w:tr>
      <w:tr>
        <w:trPr>
          <w:trHeight w:val="230"/>
        </w:trPr>
        <w:tc>
          <w:tcPr>
            <w:tcW w:w="500" w:type="dxa"/>
            <w:vAlign w:val="bottom"/>
          </w:tcPr>
          <w:p>
            <w:pPr>
              <w:spacing w:after="0"/>
              <w:rPr>
                <w:sz w:val="20"/>
                <w:szCs w:val="20"/>
                <w:color w:val="auto"/>
              </w:rPr>
            </w:pPr>
          </w:p>
        </w:tc>
        <w:tc>
          <w:tcPr>
            <w:tcW w:w="1880" w:type="dxa"/>
            <w:vAlign w:val="bottom"/>
          </w:tcPr>
          <w:p>
            <w:pPr>
              <w:spacing w:after="0"/>
              <w:rPr>
                <w:sz w:val="20"/>
                <w:szCs w:val="20"/>
                <w:color w:val="auto"/>
              </w:rPr>
            </w:pPr>
          </w:p>
        </w:tc>
        <w:tc>
          <w:tcPr>
            <w:tcW w:w="4800" w:type="dxa"/>
            <w:vAlign w:val="bottom"/>
          </w:tcPr>
          <w:p>
            <w:pPr>
              <w:ind w:left="20"/>
              <w:spacing w:after="0"/>
              <w:rPr>
                <w:sz w:val="20"/>
                <w:szCs w:val="20"/>
                <w:color w:val="auto"/>
              </w:rPr>
            </w:pPr>
            <w:r>
              <w:rPr>
                <w:rFonts w:ascii="Arial" w:cs="Arial" w:eastAsia="Arial" w:hAnsi="Arial"/>
                <w:sz w:val="18"/>
                <w:szCs w:val="18"/>
                <w:color w:val="auto"/>
              </w:rPr>
              <w:t>undergoing stimulation</w:t>
            </w:r>
          </w:p>
        </w:tc>
        <w:tc>
          <w:tcPr>
            <w:tcW w:w="0" w:type="dxa"/>
            <w:vAlign w:val="bottom"/>
          </w:tcPr>
          <w:p>
            <w:pPr>
              <w:spacing w:after="0"/>
              <w:rPr>
                <w:sz w:val="1"/>
                <w:szCs w:val="1"/>
                <w:color w:val="auto"/>
              </w:rPr>
            </w:pPr>
          </w:p>
        </w:tc>
      </w:tr>
      <w:tr>
        <w:trPr>
          <w:trHeight w:val="593"/>
        </w:trPr>
        <w:tc>
          <w:tcPr>
            <w:tcW w:w="2380" w:type="dxa"/>
            <w:vAlign w:val="bottom"/>
            <w:gridSpan w:val="2"/>
          </w:tcPr>
          <w:p>
            <w:pPr>
              <w:spacing w:after="0"/>
              <w:rPr>
                <w:sz w:val="20"/>
                <w:szCs w:val="20"/>
                <w:color w:val="auto"/>
              </w:rPr>
            </w:pPr>
            <w:r>
              <w:rPr>
                <w:rFonts w:ascii="Arial" w:cs="Arial" w:eastAsia="Arial" w:hAnsi="Arial"/>
                <w:sz w:val="18"/>
                <w:szCs w:val="18"/>
                <w:color w:val="auto"/>
              </w:rPr>
              <w:t>Precision components</w:t>
            </w:r>
          </w:p>
        </w:tc>
        <w:tc>
          <w:tcPr>
            <w:tcW w:w="4800" w:type="dxa"/>
            <w:vAlign w:val="bottom"/>
          </w:tcPr>
          <w:p>
            <w:pPr>
              <w:ind w:left="20"/>
              <w:spacing w:after="0"/>
              <w:rPr>
                <w:sz w:val="20"/>
                <w:szCs w:val="20"/>
                <w:color w:val="auto"/>
              </w:rPr>
            </w:pPr>
            <w:r>
              <w:rPr>
                <w:rFonts w:ascii="Arial" w:cs="Arial" w:eastAsia="Arial" w:hAnsi="Arial"/>
                <w:sz w:val="18"/>
                <w:szCs w:val="18"/>
                <w:color w:val="auto"/>
              </w:rPr>
              <w:t>Machined</w:t>
            </w:r>
          </w:p>
        </w:tc>
        <w:tc>
          <w:tcPr>
            <w:tcW w:w="0" w:type="dxa"/>
            <w:vAlign w:val="bottom"/>
          </w:tcPr>
          <w:p>
            <w:pPr>
              <w:spacing w:after="0"/>
              <w:rPr>
                <w:sz w:val="1"/>
                <w:szCs w:val="1"/>
                <w:color w:val="auto"/>
              </w:rPr>
            </w:pPr>
          </w:p>
        </w:tc>
      </w:tr>
      <w:tr>
        <w:trPr>
          <w:trHeight w:val="230"/>
        </w:trPr>
        <w:tc>
          <w:tcPr>
            <w:tcW w:w="500" w:type="dxa"/>
            <w:vAlign w:val="bottom"/>
          </w:tcPr>
          <w:p>
            <w:pPr>
              <w:spacing w:after="0"/>
              <w:rPr>
                <w:sz w:val="20"/>
                <w:szCs w:val="20"/>
                <w:color w:val="auto"/>
              </w:rPr>
            </w:pPr>
          </w:p>
        </w:tc>
        <w:tc>
          <w:tcPr>
            <w:tcW w:w="1880" w:type="dxa"/>
            <w:vAlign w:val="bottom"/>
          </w:tcPr>
          <w:p>
            <w:pPr>
              <w:spacing w:after="0"/>
              <w:rPr>
                <w:sz w:val="20"/>
                <w:szCs w:val="20"/>
                <w:color w:val="auto"/>
              </w:rPr>
            </w:pPr>
          </w:p>
        </w:tc>
        <w:tc>
          <w:tcPr>
            <w:tcW w:w="4800" w:type="dxa"/>
            <w:vAlign w:val="bottom"/>
          </w:tcPr>
          <w:p>
            <w:pPr>
              <w:ind w:left="20"/>
              <w:spacing w:after="0"/>
              <w:rPr>
                <w:sz w:val="20"/>
                <w:szCs w:val="20"/>
                <w:color w:val="auto"/>
              </w:rPr>
            </w:pPr>
            <w:r>
              <w:rPr>
                <w:rFonts w:ascii="Arial" w:cs="Arial" w:eastAsia="Arial" w:hAnsi="Arial"/>
                <w:sz w:val="18"/>
                <w:szCs w:val="18"/>
                <w:color w:val="auto"/>
              </w:rPr>
              <w:t>Molded and over molded products</w:t>
            </w:r>
          </w:p>
        </w:tc>
        <w:tc>
          <w:tcPr>
            <w:tcW w:w="0" w:type="dxa"/>
            <w:vAlign w:val="bottom"/>
          </w:tcPr>
          <w:p>
            <w:pPr>
              <w:spacing w:after="0"/>
              <w:rPr>
                <w:sz w:val="1"/>
                <w:szCs w:val="1"/>
                <w:color w:val="auto"/>
              </w:rPr>
            </w:pPr>
          </w:p>
        </w:tc>
      </w:tr>
      <w:tr>
        <w:trPr>
          <w:trHeight w:val="377"/>
        </w:trPr>
        <w:tc>
          <w:tcPr>
            <w:tcW w:w="2380" w:type="dxa"/>
            <w:vAlign w:val="bottom"/>
            <w:gridSpan w:val="2"/>
          </w:tcPr>
          <w:p>
            <w:pPr>
              <w:spacing w:after="0"/>
              <w:rPr>
                <w:sz w:val="20"/>
                <w:szCs w:val="20"/>
                <w:color w:val="auto"/>
              </w:rPr>
            </w:pPr>
            <w:r>
              <w:rPr>
                <w:rFonts w:ascii="Arial" w:cs="Arial" w:eastAsia="Arial" w:hAnsi="Arial"/>
                <w:sz w:val="18"/>
                <w:szCs w:val="18"/>
                <w:color w:val="auto"/>
              </w:rPr>
              <w:t>Enclosures and related</w:t>
            </w:r>
          </w:p>
        </w:tc>
        <w:tc>
          <w:tcPr>
            <w:tcW w:w="4800" w:type="dxa"/>
            <w:vAlign w:val="bottom"/>
          </w:tcPr>
          <w:p>
            <w:pPr>
              <w:ind w:left="20"/>
              <w:spacing w:after="0"/>
              <w:rPr>
                <w:sz w:val="20"/>
                <w:szCs w:val="20"/>
                <w:color w:val="auto"/>
              </w:rPr>
            </w:pPr>
            <w:r>
              <w:rPr>
                <w:rFonts w:ascii="Arial" w:cs="Arial" w:eastAsia="Arial" w:hAnsi="Arial"/>
                <w:sz w:val="18"/>
                <w:szCs w:val="18"/>
                <w:color w:val="auto"/>
              </w:rPr>
              <w:t>Titanium</w:t>
            </w:r>
          </w:p>
        </w:tc>
        <w:tc>
          <w:tcPr>
            <w:tcW w:w="0" w:type="dxa"/>
            <w:vAlign w:val="bottom"/>
          </w:tcPr>
          <w:p>
            <w:pPr>
              <w:spacing w:after="0"/>
              <w:rPr>
                <w:sz w:val="1"/>
                <w:szCs w:val="1"/>
                <w:color w:val="auto"/>
              </w:rPr>
            </w:pPr>
          </w:p>
        </w:tc>
      </w:tr>
      <w:tr>
        <w:trPr>
          <w:trHeight w:val="230"/>
        </w:trPr>
        <w:tc>
          <w:tcPr>
            <w:tcW w:w="2380" w:type="dxa"/>
            <w:vAlign w:val="bottom"/>
            <w:gridSpan w:val="2"/>
          </w:tcPr>
          <w:p>
            <w:pPr>
              <w:spacing w:after="0"/>
              <w:rPr>
                <w:sz w:val="20"/>
                <w:szCs w:val="20"/>
                <w:color w:val="auto"/>
              </w:rPr>
            </w:pPr>
            <w:r>
              <w:rPr>
                <w:rFonts w:ascii="Arial" w:cs="Arial" w:eastAsia="Arial" w:hAnsi="Arial"/>
                <w:sz w:val="18"/>
                <w:szCs w:val="18"/>
                <w:color w:val="auto"/>
              </w:rPr>
              <w:t>components</w:t>
            </w:r>
          </w:p>
        </w:tc>
        <w:tc>
          <w:tcPr>
            <w:tcW w:w="4800" w:type="dxa"/>
            <w:vAlign w:val="bottom"/>
          </w:tcPr>
          <w:p>
            <w:pPr>
              <w:ind w:left="20"/>
              <w:spacing w:after="0"/>
              <w:rPr>
                <w:sz w:val="20"/>
                <w:szCs w:val="20"/>
                <w:color w:val="auto"/>
              </w:rPr>
            </w:pPr>
            <w:r>
              <w:rPr>
                <w:rFonts w:ascii="Arial" w:cs="Arial" w:eastAsia="Arial" w:hAnsi="Arial"/>
                <w:sz w:val="18"/>
                <w:szCs w:val="18"/>
                <w:color w:val="auto"/>
              </w:rPr>
              <w:t>Stainless steel</w:t>
            </w:r>
          </w:p>
        </w:tc>
        <w:tc>
          <w:tcPr>
            <w:tcW w:w="0" w:type="dxa"/>
            <w:vAlign w:val="bottom"/>
          </w:tcPr>
          <w:p>
            <w:pPr>
              <w:spacing w:after="0"/>
              <w:rPr>
                <w:sz w:val="1"/>
                <w:szCs w:val="1"/>
                <w:color w:val="auto"/>
              </w:rPr>
            </w:pPr>
          </w:p>
        </w:tc>
      </w:tr>
      <w:tr>
        <w:trPr>
          <w:trHeight w:val="392"/>
        </w:trPr>
        <w:tc>
          <w:tcPr>
            <w:tcW w:w="2380" w:type="dxa"/>
            <w:vAlign w:val="bottom"/>
            <w:gridSpan w:val="2"/>
          </w:tcPr>
          <w:p>
            <w:pPr>
              <w:spacing w:after="0"/>
              <w:rPr>
                <w:sz w:val="20"/>
                <w:szCs w:val="20"/>
                <w:color w:val="auto"/>
              </w:rPr>
            </w:pPr>
            <w:r>
              <w:rPr>
                <w:rFonts w:ascii="Arial" w:cs="Arial" w:eastAsia="Arial" w:hAnsi="Arial"/>
                <w:sz w:val="18"/>
                <w:szCs w:val="18"/>
                <w:color w:val="auto"/>
              </w:rPr>
              <w:t>Value-added assemblies</w:t>
            </w:r>
          </w:p>
        </w:tc>
        <w:tc>
          <w:tcPr>
            <w:tcW w:w="4800" w:type="dxa"/>
            <w:vAlign w:val="bottom"/>
          </w:tcPr>
          <w:p>
            <w:pPr>
              <w:ind w:left="20"/>
              <w:spacing w:after="0"/>
              <w:rPr>
                <w:sz w:val="20"/>
                <w:szCs w:val="20"/>
                <w:color w:val="auto"/>
              </w:rPr>
            </w:pPr>
            <w:r>
              <w:rPr>
                <w:rFonts w:ascii="Arial" w:cs="Arial" w:eastAsia="Arial" w:hAnsi="Arial"/>
                <w:sz w:val="18"/>
                <w:szCs w:val="18"/>
                <w:color w:val="auto"/>
                <w:w w:val="98"/>
              </w:rPr>
              <w:t>Combination of multiple components in a single package/unit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ind w:left="1140"/>
        <w:spacing w:after="0"/>
        <w:rPr>
          <w:sz w:val="20"/>
          <w:szCs w:val="20"/>
          <w:color w:val="auto"/>
        </w:rPr>
      </w:pPr>
      <w:r>
        <w:rPr>
          <w:rFonts w:ascii="Arial" w:cs="Arial" w:eastAsia="Arial" w:hAnsi="Arial"/>
          <w:sz w:val="14"/>
          <w:szCs w:val="14"/>
          <w:b w:val="1"/>
          <w:bCs w:val="1"/>
          <w:color w:val="auto"/>
        </w:rPr>
        <w:t>Principal Product Attributes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23495</wp:posOffset>
            </wp:positionV>
            <wp:extent cx="25984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598420" cy="8890"/>
                    </a:xfrm>
                    <a:prstGeom prst="rect">
                      <a:avLst/>
                    </a:prstGeom>
                    <a:noFill/>
                  </pic:spPr>
                </pic:pic>
              </a:graphicData>
            </a:graphic>
          </wp:anchor>
        </w:drawing>
      </w:r>
    </w:p>
    <w:p>
      <w:pPr>
        <w:spacing w:after="0" w:line="43" w:lineRule="exact"/>
        <w:rPr>
          <w:sz w:val="20"/>
          <w:szCs w:val="20"/>
          <w:color w:val="auto"/>
        </w:rPr>
      </w:pPr>
    </w:p>
    <w:p>
      <w:pPr>
        <w:ind w:right="220"/>
        <w:spacing w:after="0" w:line="264" w:lineRule="auto"/>
        <w:rPr>
          <w:sz w:val="20"/>
          <w:szCs w:val="20"/>
          <w:color w:val="auto"/>
        </w:rPr>
      </w:pPr>
      <w:r>
        <w:rPr>
          <w:rFonts w:ascii="Arial" w:cs="Arial" w:eastAsia="Arial" w:hAnsi="Arial"/>
          <w:sz w:val="18"/>
          <w:szCs w:val="18"/>
          <w:color w:val="auto"/>
        </w:rPr>
        <w:t>Stores more energy per unit volume (energy density) than other existing technologies; Customized configuration</w:t>
      </w:r>
    </w:p>
    <w:p>
      <w:pPr>
        <w:spacing w:after="0" w:line="141" w:lineRule="exact"/>
        <w:rPr>
          <w:sz w:val="20"/>
          <w:szCs w:val="20"/>
          <w:color w:val="auto"/>
        </w:rPr>
      </w:pPr>
    </w:p>
    <w:p>
      <w:pPr>
        <w:ind w:right="460"/>
        <w:spacing w:after="0" w:line="277" w:lineRule="auto"/>
        <w:rPr>
          <w:sz w:val="20"/>
          <w:szCs w:val="20"/>
          <w:color w:val="auto"/>
        </w:rPr>
      </w:pPr>
      <w:r>
        <w:rPr>
          <w:rFonts w:ascii="Arial" w:cs="Arial" w:eastAsia="Arial" w:hAnsi="Arial"/>
          <w:sz w:val="18"/>
          <w:szCs w:val="18"/>
          <w:color w:val="auto"/>
        </w:rPr>
        <w:t>High reliability attenuation of EMI RF over wide frequency ranges; Customized design</w:t>
      </w:r>
    </w:p>
    <w:p>
      <w:pPr>
        <w:spacing w:after="0" w:line="346" w:lineRule="exact"/>
        <w:rPr>
          <w:sz w:val="20"/>
          <w:szCs w:val="20"/>
          <w:color w:val="auto"/>
        </w:rPr>
      </w:pPr>
    </w:p>
    <w:p>
      <w:pPr>
        <w:ind w:right="320"/>
        <w:spacing w:after="0" w:line="277" w:lineRule="auto"/>
        <w:rPr>
          <w:sz w:val="20"/>
          <w:szCs w:val="20"/>
          <w:color w:val="auto"/>
        </w:rPr>
      </w:pPr>
      <w:r>
        <w:rPr>
          <w:rFonts w:ascii="Arial" w:cs="Arial" w:eastAsia="Arial" w:hAnsi="Arial"/>
          <w:sz w:val="18"/>
          <w:szCs w:val="18"/>
          <w:color w:val="auto"/>
        </w:rPr>
        <w:t>Ceramic to metal seal is substantially more durable than traditional seals; Multifunctional</w:t>
      </w:r>
    </w:p>
    <w:p>
      <w:pPr>
        <w:spacing w:after="0" w:line="130" w:lineRule="exact"/>
        <w:rPr>
          <w:sz w:val="20"/>
          <w:szCs w:val="20"/>
          <w:color w:val="auto"/>
        </w:rPr>
      </w:pPr>
    </w:p>
    <w:p>
      <w:pPr>
        <w:ind w:right="200"/>
        <w:spacing w:after="0" w:line="286" w:lineRule="auto"/>
        <w:rPr>
          <w:sz w:val="20"/>
          <w:szCs w:val="20"/>
          <w:color w:val="auto"/>
        </w:rPr>
      </w:pPr>
      <w:r>
        <w:rPr>
          <w:rFonts w:ascii="Arial" w:cs="Arial" w:eastAsia="Arial" w:hAnsi="Arial"/>
          <w:sz w:val="17"/>
          <w:szCs w:val="17"/>
          <w:color w:val="auto"/>
        </w:rPr>
        <w:t>High quality coated surface; Flexible in utilizing any combination of biocompatible coating surfaces; Customized offering of surfaces and tips</w:t>
      </w:r>
    </w:p>
    <w:p>
      <w:pPr>
        <w:spacing w:after="0" w:line="125" w:lineRule="exact"/>
        <w:rPr>
          <w:sz w:val="20"/>
          <w:szCs w:val="20"/>
          <w:color w:val="auto"/>
        </w:rPr>
      </w:pPr>
    </w:p>
    <w:p>
      <w:pPr>
        <w:ind w:right="1220"/>
        <w:spacing w:after="0" w:line="342" w:lineRule="auto"/>
        <w:rPr>
          <w:sz w:val="20"/>
          <w:szCs w:val="20"/>
          <w:color w:val="auto"/>
        </w:rPr>
      </w:pPr>
      <w:r>
        <w:rPr>
          <w:rFonts w:ascii="Arial" w:cs="Arial" w:eastAsia="Arial" w:hAnsi="Arial"/>
          <w:sz w:val="16"/>
          <w:szCs w:val="16"/>
          <w:color w:val="auto"/>
        </w:rPr>
        <w:t>High level of manufacturing precision; Broad manufacturing flexibility</w:t>
      </w:r>
    </w:p>
    <w:p>
      <w:pPr>
        <w:spacing w:after="0" w:line="83"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Precision manufacturing, flexibility in configurations and materials</w:t>
      </w:r>
    </w:p>
    <w:p>
      <w:pPr>
        <w:spacing w:after="0" w:line="130" w:lineRule="exact"/>
        <w:rPr>
          <w:sz w:val="20"/>
          <w:szCs w:val="20"/>
          <w:color w:val="auto"/>
        </w:rPr>
      </w:pPr>
    </w:p>
    <w:p>
      <w:pPr>
        <w:ind w:right="580"/>
        <w:spacing w:after="0" w:line="258" w:lineRule="auto"/>
        <w:rPr>
          <w:sz w:val="20"/>
          <w:szCs w:val="20"/>
          <w:color w:val="auto"/>
        </w:rPr>
      </w:pPr>
      <w:r>
        <w:rPr>
          <w:rFonts w:ascii="Arial" w:cs="Arial" w:eastAsia="Arial" w:hAnsi="Arial"/>
          <w:sz w:val="18"/>
          <w:szCs w:val="18"/>
          <w:color w:val="auto"/>
        </w:rPr>
        <w:t>Leveraging products and capabilities to provide subassemblies and assemblies;</w:t>
      </w:r>
    </w:p>
    <w:p>
      <w:pPr>
        <w:spacing w:after="0" w:line="1" w:lineRule="exact"/>
        <w:rPr>
          <w:sz w:val="20"/>
          <w:szCs w:val="20"/>
          <w:color w:val="auto"/>
        </w:rPr>
      </w:pPr>
    </w:p>
    <w:p>
      <w:pPr>
        <w:ind w:right="480"/>
        <w:spacing w:after="0" w:line="261" w:lineRule="auto"/>
        <w:rPr>
          <w:sz w:val="20"/>
          <w:szCs w:val="20"/>
          <w:color w:val="auto"/>
        </w:rPr>
      </w:pPr>
      <w:r>
        <w:rPr>
          <w:rFonts w:ascii="Arial" w:cs="Arial" w:eastAsia="Arial" w:hAnsi="Arial"/>
          <w:sz w:val="18"/>
          <w:szCs w:val="18"/>
          <w:color w:val="auto"/>
        </w:rPr>
        <w:t>Provides synergies in component technology and procurement systems</w:t>
      </w:r>
    </w:p>
    <w:p>
      <w:pPr>
        <w:spacing w:after="0" w:line="143" w:lineRule="exact"/>
        <w:rPr>
          <w:sz w:val="20"/>
          <w:szCs w:val="20"/>
          <w:color w:val="auto"/>
        </w:rPr>
      </w:pPr>
    </w:p>
    <w:p>
      <w:pPr>
        <w:sectPr>
          <w:pgSz w:w="11900" w:h="16838" w:orient="portrait"/>
          <w:cols w:equalWidth="0" w:num="2">
            <w:col w:w="7180" w:space="120"/>
            <w:col w:w="4020"/>
          </w:cols>
          <w:pgMar w:left="280" w:top="1018" w:right="299" w:bottom="1440" w:gutter="0" w:footer="0" w:header="0"/>
        </w:sectPr>
      </w:pPr>
    </w:p>
    <w:p>
      <w:pPr>
        <w:spacing w:after="0"/>
        <w:tabs>
          <w:tab w:leader="none" w:pos="2380" w:val="left"/>
        </w:tabs>
        <w:rPr>
          <w:sz w:val="20"/>
          <w:szCs w:val="20"/>
          <w:color w:val="auto"/>
        </w:rPr>
      </w:pPr>
      <w:r>
        <w:rPr>
          <w:rFonts w:ascii="Arial" w:cs="Arial" w:eastAsia="Arial" w:hAnsi="Arial"/>
          <w:sz w:val="18"/>
          <w:szCs w:val="18"/>
          <w:color w:val="auto"/>
        </w:rPr>
        <w:t>Stimulation leads</w:t>
      </w:r>
      <w:r>
        <w:rPr>
          <w:sz w:val="20"/>
          <w:szCs w:val="20"/>
          <w:color w:val="auto"/>
        </w:rPr>
        <w:tab/>
      </w:r>
      <w:r>
        <w:rPr>
          <w:rFonts w:ascii="Arial" w:cs="Arial" w:eastAsia="Arial" w:hAnsi="Arial"/>
          <w:sz w:val="16"/>
          <w:szCs w:val="16"/>
          <w:color w:val="auto"/>
        </w:rPr>
        <w:t>Cardiac, neuromodulation and hearing restoration stimulation</w:t>
      </w:r>
    </w:p>
    <w:p>
      <w:pPr>
        <w:spacing w:after="0" w:line="23" w:lineRule="exact"/>
        <w:rPr>
          <w:sz w:val="20"/>
          <w:szCs w:val="20"/>
          <w:color w:val="auto"/>
        </w:rPr>
      </w:pPr>
    </w:p>
    <w:p>
      <w:pPr>
        <w:ind w:left="2400"/>
        <w:spacing w:after="0"/>
        <w:rPr>
          <w:sz w:val="20"/>
          <w:szCs w:val="20"/>
          <w:color w:val="auto"/>
        </w:rPr>
      </w:pPr>
      <w:r>
        <w:rPr>
          <w:rFonts w:ascii="Arial" w:cs="Arial" w:eastAsia="Arial" w:hAnsi="Arial"/>
          <w:sz w:val="18"/>
          <w:szCs w:val="18"/>
          <w:color w:val="auto"/>
        </w:rPr>
        <w:t>leads</w:t>
      </w:r>
    </w:p>
    <w:p>
      <w:pPr>
        <w:spacing w:after="0" w:line="386" w:lineRule="exact"/>
        <w:rPr>
          <w:sz w:val="20"/>
          <w:szCs w:val="20"/>
          <w:color w:val="auto"/>
        </w:rPr>
      </w:pPr>
    </w:p>
    <w:p>
      <w:pPr>
        <w:spacing w:after="0"/>
        <w:tabs>
          <w:tab w:leader="none" w:pos="2380" w:val="left"/>
        </w:tabs>
        <w:rPr>
          <w:sz w:val="20"/>
          <w:szCs w:val="20"/>
          <w:color w:val="auto"/>
        </w:rPr>
      </w:pPr>
      <w:r>
        <w:rPr>
          <w:rFonts w:ascii="Arial" w:cs="Arial" w:eastAsia="Arial" w:hAnsi="Arial"/>
          <w:sz w:val="16"/>
          <w:szCs w:val="16"/>
          <w:color w:val="auto"/>
        </w:rPr>
        <w:t>Introducers</w:t>
      </w:r>
      <w:r>
        <w:rPr>
          <w:sz w:val="20"/>
          <w:szCs w:val="20"/>
          <w:color w:val="auto"/>
        </w:rPr>
        <w:tab/>
      </w:r>
      <w:r>
        <w:rPr>
          <w:rFonts w:ascii="Arial" w:cs="Arial" w:eastAsia="Arial" w:hAnsi="Arial"/>
          <w:sz w:val="16"/>
          <w:szCs w:val="16"/>
          <w:color w:val="auto"/>
        </w:rPr>
        <w:t>Conduit to deliver CRM leads or placement of dialysis catheters,</w:t>
      </w:r>
    </w:p>
    <w:p>
      <w:pPr>
        <w:spacing w:after="0" w:line="46" w:lineRule="exact"/>
        <w:rPr>
          <w:sz w:val="20"/>
          <w:szCs w:val="20"/>
          <w:color w:val="auto"/>
        </w:rPr>
      </w:pPr>
    </w:p>
    <w:p>
      <w:pPr>
        <w:ind w:left="2400"/>
        <w:spacing w:after="0"/>
        <w:rPr>
          <w:sz w:val="20"/>
          <w:szCs w:val="20"/>
          <w:color w:val="auto"/>
        </w:rPr>
      </w:pPr>
      <w:r>
        <w:rPr>
          <w:rFonts w:ascii="Arial" w:cs="Arial" w:eastAsia="Arial" w:hAnsi="Arial"/>
          <w:sz w:val="18"/>
          <w:szCs w:val="18"/>
          <w:color w:val="auto"/>
        </w:rPr>
        <w:t>CVCs, PICCs, and ports</w:t>
      </w:r>
    </w:p>
    <w:p>
      <w:pPr>
        <w:spacing w:after="0" w:line="386" w:lineRule="exact"/>
        <w:rPr>
          <w:sz w:val="20"/>
          <w:szCs w:val="20"/>
          <w:color w:val="auto"/>
        </w:rPr>
      </w:pPr>
    </w:p>
    <w:p>
      <w:pPr>
        <w:spacing w:after="0"/>
        <w:tabs>
          <w:tab w:leader="none" w:pos="2380" w:val="left"/>
        </w:tabs>
        <w:rPr>
          <w:sz w:val="20"/>
          <w:szCs w:val="20"/>
          <w:color w:val="auto"/>
        </w:rPr>
      </w:pPr>
      <w:r>
        <w:rPr>
          <w:rFonts w:ascii="Arial" w:cs="Arial" w:eastAsia="Arial" w:hAnsi="Arial"/>
          <w:sz w:val="18"/>
          <w:szCs w:val="18"/>
          <w:color w:val="auto"/>
        </w:rPr>
        <w:t>Steerable sheaths</w:t>
      </w:r>
      <w:r>
        <w:rPr>
          <w:sz w:val="20"/>
          <w:szCs w:val="20"/>
          <w:color w:val="auto"/>
        </w:rPr>
        <w:tab/>
      </w:r>
      <w:r>
        <w:rPr>
          <w:rFonts w:ascii="Arial" w:cs="Arial" w:eastAsia="Arial" w:hAnsi="Arial"/>
          <w:sz w:val="16"/>
          <w:szCs w:val="16"/>
          <w:color w:val="auto"/>
        </w:rPr>
        <w:t>Steerable guide sheath for the delivery of diagnostic and ablation</w:t>
      </w:r>
    </w:p>
    <w:p>
      <w:pPr>
        <w:spacing w:after="0" w:line="23" w:lineRule="exact"/>
        <w:rPr>
          <w:sz w:val="20"/>
          <w:szCs w:val="20"/>
          <w:color w:val="auto"/>
        </w:rPr>
      </w:pPr>
    </w:p>
    <w:p>
      <w:pPr>
        <w:ind w:left="2400"/>
        <w:spacing w:after="0"/>
        <w:rPr>
          <w:sz w:val="20"/>
          <w:szCs w:val="20"/>
          <w:color w:val="auto"/>
        </w:rPr>
      </w:pPr>
      <w:r>
        <w:rPr>
          <w:rFonts w:ascii="Arial" w:cs="Arial" w:eastAsia="Arial" w:hAnsi="Arial"/>
          <w:sz w:val="18"/>
          <w:szCs w:val="18"/>
          <w:color w:val="auto"/>
        </w:rPr>
        <w:t>catheters</w:t>
      </w:r>
    </w:p>
    <w:p>
      <w:pPr>
        <w:spacing w:after="0" w:line="386" w:lineRule="exact"/>
        <w:rPr>
          <w:sz w:val="20"/>
          <w:szCs w:val="20"/>
          <w:color w:val="auto"/>
        </w:rPr>
      </w:pPr>
    </w:p>
    <w:p>
      <w:pPr>
        <w:spacing w:after="0"/>
        <w:tabs>
          <w:tab w:leader="none" w:pos="2380" w:val="left"/>
        </w:tabs>
        <w:rPr>
          <w:sz w:val="20"/>
          <w:szCs w:val="20"/>
          <w:color w:val="auto"/>
        </w:rPr>
      </w:pPr>
      <w:r>
        <w:rPr>
          <w:rFonts w:ascii="Arial" w:cs="Arial" w:eastAsia="Arial" w:hAnsi="Arial"/>
          <w:sz w:val="18"/>
          <w:szCs w:val="18"/>
          <w:color w:val="auto"/>
        </w:rPr>
        <w:t>Specialty catheter shaft</w:t>
      </w:r>
      <w:r>
        <w:rPr>
          <w:sz w:val="20"/>
          <w:szCs w:val="20"/>
          <w:color w:val="auto"/>
        </w:rPr>
        <w:tab/>
      </w:r>
      <w:r>
        <w:rPr>
          <w:rFonts w:ascii="Arial" w:cs="Arial" w:eastAsia="Arial" w:hAnsi="Arial"/>
          <w:sz w:val="16"/>
          <w:szCs w:val="16"/>
          <w:color w:val="auto"/>
        </w:rPr>
        <w:t>High performance catheter shafts designed to meet intended</w:t>
      </w:r>
    </w:p>
    <w:p>
      <w:pPr>
        <w:spacing w:after="0" w:line="23" w:lineRule="exact"/>
        <w:rPr>
          <w:sz w:val="20"/>
          <w:szCs w:val="20"/>
          <w:color w:val="auto"/>
        </w:rPr>
      </w:pPr>
    </w:p>
    <w:p>
      <w:pPr>
        <w:spacing w:after="0"/>
        <w:tabs>
          <w:tab w:leader="none" w:pos="2380" w:val="left"/>
        </w:tabs>
        <w:rPr>
          <w:sz w:val="20"/>
          <w:szCs w:val="20"/>
          <w:color w:val="auto"/>
        </w:rPr>
      </w:pPr>
      <w:r>
        <w:rPr>
          <w:rFonts w:ascii="Arial" w:cs="Arial" w:eastAsia="Arial" w:hAnsi="Arial"/>
          <w:sz w:val="18"/>
          <w:szCs w:val="18"/>
          <w:color w:val="auto"/>
        </w:rPr>
        <w:t>components</w:t>
      </w:r>
      <w:r>
        <w:rPr>
          <w:sz w:val="20"/>
          <w:szCs w:val="20"/>
          <w:color w:val="auto"/>
        </w:rPr>
        <w:tab/>
      </w:r>
      <w:r>
        <w:rPr>
          <w:rFonts w:ascii="Arial" w:cs="Arial" w:eastAsia="Arial" w:hAnsi="Arial"/>
          <w:sz w:val="18"/>
          <w:szCs w:val="18"/>
          <w:color w:val="auto"/>
        </w:rPr>
        <w:t>clinical performance characteristics</w:t>
      </w:r>
    </w:p>
    <w:p>
      <w:pPr>
        <w:spacing w:after="0" w:line="170" w:lineRule="exact"/>
        <w:rPr>
          <w:sz w:val="20"/>
          <w:szCs w:val="20"/>
          <w:color w:val="auto"/>
        </w:rPr>
      </w:pPr>
    </w:p>
    <w:p>
      <w:pPr>
        <w:spacing w:after="0"/>
        <w:tabs>
          <w:tab w:leader="none" w:pos="2380" w:val="left"/>
        </w:tabs>
        <w:rPr>
          <w:sz w:val="20"/>
          <w:szCs w:val="20"/>
          <w:color w:val="auto"/>
        </w:rPr>
      </w:pPr>
      <w:r>
        <w:rPr>
          <w:rFonts w:ascii="Arial" w:cs="Arial" w:eastAsia="Arial" w:hAnsi="Arial"/>
          <w:sz w:val="18"/>
          <w:szCs w:val="18"/>
          <w:color w:val="auto"/>
        </w:rPr>
        <w:t>Cases and trays</w:t>
      </w:r>
      <w:r>
        <w:rPr>
          <w:sz w:val="20"/>
          <w:szCs w:val="20"/>
          <w:color w:val="auto"/>
        </w:rPr>
        <w:tab/>
      </w:r>
      <w:r>
        <w:rPr>
          <w:rFonts w:ascii="Arial" w:cs="Arial" w:eastAsia="Arial" w:hAnsi="Arial"/>
          <w:sz w:val="16"/>
          <w:szCs w:val="16"/>
          <w:color w:val="auto"/>
        </w:rPr>
        <w:t>Delivery systems for cleaning and sterilizing orthopaedic</w:t>
      </w:r>
    </w:p>
    <w:p>
      <w:pPr>
        <w:spacing w:after="0" w:line="23" w:lineRule="exact"/>
        <w:rPr>
          <w:sz w:val="20"/>
          <w:szCs w:val="20"/>
          <w:color w:val="auto"/>
        </w:rPr>
      </w:pPr>
    </w:p>
    <w:p>
      <w:pPr>
        <w:ind w:left="2400"/>
        <w:spacing w:after="0"/>
        <w:rPr>
          <w:sz w:val="20"/>
          <w:szCs w:val="20"/>
          <w:color w:val="auto"/>
        </w:rPr>
      </w:pPr>
      <w:r>
        <w:rPr>
          <w:rFonts w:ascii="Arial" w:cs="Arial" w:eastAsia="Arial" w:hAnsi="Arial"/>
          <w:sz w:val="18"/>
          <w:szCs w:val="18"/>
          <w:color w:val="auto"/>
        </w:rPr>
        <w:t>instruments and implants</w:t>
      </w:r>
    </w:p>
    <w:p>
      <w:pPr>
        <w:spacing w:after="0" w:line="386" w:lineRule="exact"/>
        <w:rPr>
          <w:sz w:val="20"/>
          <w:szCs w:val="20"/>
          <w:color w:val="auto"/>
        </w:rPr>
      </w:pPr>
    </w:p>
    <w:p>
      <w:pPr>
        <w:spacing w:after="0"/>
        <w:tabs>
          <w:tab w:leader="none" w:pos="2380" w:val="left"/>
        </w:tabs>
        <w:rPr>
          <w:sz w:val="20"/>
          <w:szCs w:val="20"/>
          <w:color w:val="auto"/>
        </w:rPr>
      </w:pPr>
      <w:r>
        <w:rPr>
          <w:rFonts w:ascii="Arial" w:cs="Arial" w:eastAsia="Arial" w:hAnsi="Arial"/>
          <w:sz w:val="16"/>
          <w:szCs w:val="16"/>
          <w:color w:val="auto"/>
        </w:rPr>
        <w:t>Implants</w:t>
      </w:r>
      <w:r>
        <w:rPr>
          <w:sz w:val="20"/>
          <w:szCs w:val="20"/>
          <w:color w:val="auto"/>
        </w:rPr>
        <w:tab/>
      </w:r>
      <w:r>
        <w:rPr>
          <w:rFonts w:ascii="Arial" w:cs="Arial" w:eastAsia="Arial" w:hAnsi="Arial"/>
          <w:sz w:val="16"/>
          <w:szCs w:val="16"/>
          <w:color w:val="auto"/>
        </w:rPr>
        <w:t>Orthopaedic implants for large joint, spine, extremity and trauma</w:t>
      </w:r>
    </w:p>
    <w:p>
      <w:pPr>
        <w:spacing w:after="0" w:line="46" w:lineRule="exact"/>
        <w:rPr>
          <w:sz w:val="20"/>
          <w:szCs w:val="20"/>
          <w:color w:val="auto"/>
        </w:rPr>
      </w:pPr>
    </w:p>
    <w:p>
      <w:pPr>
        <w:ind w:left="2400"/>
        <w:spacing w:after="0"/>
        <w:rPr>
          <w:sz w:val="20"/>
          <w:szCs w:val="20"/>
          <w:color w:val="auto"/>
        </w:rPr>
      </w:pPr>
      <w:r>
        <w:rPr>
          <w:rFonts w:ascii="Arial" w:cs="Arial" w:eastAsia="Arial" w:hAnsi="Arial"/>
          <w:sz w:val="18"/>
          <w:szCs w:val="18"/>
          <w:color w:val="auto"/>
        </w:rPr>
        <w:t>procedures</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- 8 -</w:t>
      </w:r>
    </w:p>
    <w:p>
      <w:pPr>
        <w:spacing w:after="0" w:line="20" w:lineRule="exact"/>
        <w:rPr>
          <w:sz w:val="20"/>
          <w:szCs w:val="20"/>
          <w:color w:val="auto"/>
        </w:rPr>
      </w:pPr>
      <w:r>
        <w:rPr>
          <w:sz w:val="20"/>
          <w:szCs w:val="20"/>
          <w:color w:val="auto"/>
        </w:rPr>
        <w:br w:type="column"/>
      </w:r>
    </w:p>
    <w:p>
      <w:pPr>
        <w:spacing w:after="0" w:line="264" w:lineRule="auto"/>
        <w:rPr>
          <w:sz w:val="20"/>
          <w:szCs w:val="20"/>
          <w:color w:val="auto"/>
        </w:rPr>
      </w:pPr>
      <w:r>
        <w:rPr>
          <w:rFonts w:ascii="Arial" w:cs="Arial" w:eastAsia="Arial" w:hAnsi="Arial"/>
          <w:sz w:val="18"/>
          <w:szCs w:val="18"/>
          <w:color w:val="auto"/>
        </w:rPr>
        <w:t>Custom and unique configurations that increase therapy effectiveness, provide finished device design and manufacturing</w:t>
      </w:r>
    </w:p>
    <w:p>
      <w:pPr>
        <w:spacing w:after="0" w:line="141" w:lineRule="exact"/>
        <w:rPr>
          <w:sz w:val="20"/>
          <w:szCs w:val="20"/>
          <w:color w:val="auto"/>
        </w:rPr>
      </w:pPr>
    </w:p>
    <w:p>
      <w:pPr>
        <w:ind w:right="520"/>
        <w:spacing w:after="0" w:line="264" w:lineRule="auto"/>
        <w:rPr>
          <w:sz w:val="20"/>
          <w:szCs w:val="20"/>
          <w:color w:val="auto"/>
        </w:rPr>
      </w:pPr>
      <w:r>
        <w:rPr>
          <w:rFonts w:ascii="Arial" w:cs="Arial" w:eastAsia="Arial" w:hAnsi="Arial"/>
          <w:sz w:val="18"/>
          <w:szCs w:val="18"/>
          <w:color w:val="auto"/>
        </w:rPr>
        <w:t>Variety of sizes and configurations that facilitate reliable access in vascular access and CRM applications</w:t>
      </w:r>
    </w:p>
    <w:p>
      <w:pPr>
        <w:spacing w:after="0" w:line="141" w:lineRule="exact"/>
        <w:rPr>
          <w:sz w:val="20"/>
          <w:szCs w:val="20"/>
          <w:color w:val="auto"/>
        </w:rPr>
      </w:pPr>
    </w:p>
    <w:p>
      <w:pPr>
        <w:ind w:right="20"/>
        <w:spacing w:after="0" w:line="264" w:lineRule="auto"/>
        <w:rPr>
          <w:sz w:val="20"/>
          <w:szCs w:val="20"/>
          <w:color w:val="auto"/>
        </w:rPr>
      </w:pPr>
      <w:r>
        <w:rPr>
          <w:rFonts w:ascii="Arial" w:cs="Arial" w:eastAsia="Arial" w:hAnsi="Arial"/>
          <w:sz w:val="18"/>
          <w:szCs w:val="18"/>
          <w:color w:val="auto"/>
        </w:rPr>
        <w:t>Configurations to enable effective delivery of diagnostic and therapeutic devices in electrophysiology procedures.</w:t>
      </w:r>
    </w:p>
    <w:p>
      <w:pPr>
        <w:spacing w:after="0" w:line="141" w:lineRule="exact"/>
        <w:rPr>
          <w:sz w:val="20"/>
          <w:szCs w:val="20"/>
          <w:color w:val="auto"/>
        </w:rPr>
      </w:pPr>
    </w:p>
    <w:p>
      <w:pPr>
        <w:ind w:right="380"/>
        <w:spacing w:after="0" w:line="277" w:lineRule="auto"/>
        <w:rPr>
          <w:sz w:val="20"/>
          <w:szCs w:val="20"/>
          <w:color w:val="auto"/>
        </w:rPr>
      </w:pPr>
      <w:r>
        <w:rPr>
          <w:rFonts w:ascii="Arial" w:cs="Arial" w:eastAsia="Arial" w:hAnsi="Arial"/>
          <w:sz w:val="18"/>
          <w:szCs w:val="18"/>
          <w:color w:val="auto"/>
        </w:rPr>
        <w:t>Deep catheter design expertise and state-of-the-art manufacturing services</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color w:val="auto"/>
        </w:rPr>
        <w:t>High degree of customization;</w:t>
      </w:r>
    </w:p>
    <w:p>
      <w:pPr>
        <w:spacing w:after="0" w:line="23" w:lineRule="exact"/>
        <w:rPr>
          <w:sz w:val="20"/>
          <w:szCs w:val="20"/>
          <w:color w:val="auto"/>
        </w:rPr>
      </w:pPr>
    </w:p>
    <w:p>
      <w:pPr>
        <w:ind w:right="620"/>
        <w:spacing w:after="0" w:line="261" w:lineRule="auto"/>
        <w:rPr>
          <w:sz w:val="20"/>
          <w:szCs w:val="20"/>
          <w:color w:val="auto"/>
        </w:rPr>
      </w:pPr>
      <w:r>
        <w:rPr>
          <w:rFonts w:ascii="Arial" w:cs="Arial" w:eastAsia="Arial" w:hAnsi="Arial"/>
          <w:sz w:val="18"/>
          <w:szCs w:val="18"/>
          <w:color w:val="auto"/>
        </w:rPr>
        <w:t>Short, predictable development and production timelines</w:t>
      </w:r>
    </w:p>
    <w:p>
      <w:pPr>
        <w:spacing w:after="0" w:line="143" w:lineRule="exact"/>
        <w:rPr>
          <w:sz w:val="20"/>
          <w:szCs w:val="20"/>
          <w:color w:val="auto"/>
        </w:rPr>
      </w:pPr>
    </w:p>
    <w:p>
      <w:pPr>
        <w:ind w:right="220"/>
        <w:spacing w:after="0" w:line="264" w:lineRule="auto"/>
        <w:rPr>
          <w:sz w:val="20"/>
          <w:szCs w:val="20"/>
          <w:color w:val="auto"/>
        </w:rPr>
      </w:pPr>
      <w:r>
        <w:rPr>
          <w:rFonts w:ascii="Arial" w:cs="Arial" w:eastAsia="Arial" w:hAnsi="Arial"/>
          <w:sz w:val="18"/>
          <w:szCs w:val="18"/>
          <w:color w:val="auto"/>
        </w:rPr>
        <w:t>Precision manufacturing, leveraging capabilities and product processes including sterile packaging and coatings</w:t>
      </w:r>
    </w:p>
    <w:p>
      <w:pPr>
        <w:sectPr>
          <w:pgSz w:w="11900" w:h="16838" w:orient="portrait"/>
          <w:cols w:equalWidth="0" w:num="2">
            <w:col w:w="7100" w:space="200"/>
            <w:col w:w="4020"/>
          </w:cols>
          <w:pgMar w:left="280" w:top="1018" w:right="299" w:bottom="1440" w:gutter="0" w:footer="0" w:header="0"/>
          <w:type w:val="continuous"/>
        </w:sectPr>
      </w:pPr>
    </w:p>
    <w:bookmarkStart w:id="9" w:name="page10"/>
    <w:bookmarkEnd w:id="9"/>
    <w:tbl>
      <w:tblPr>
        <w:tblLayout w:type="fixed"/>
        <w:tblInd w:w="40" w:type="dxa"/>
        <w:tblCellMar>
          <w:top w:w="0" w:type="dxa"/>
          <w:left w:w="0" w:type="dxa"/>
          <w:bottom w:w="0" w:type="dxa"/>
          <w:right w:w="0" w:type="dxa"/>
        </w:tblCellMar>
      </w:tblPr>
      <w:tr>
        <w:trPr>
          <w:trHeight w:val="161"/>
        </w:trPr>
        <w:tc>
          <w:tcPr>
            <w:tcW w:w="50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90"/>
              </w:rPr>
              <w:t>Product</w:t>
            </w:r>
          </w:p>
        </w:tc>
        <w:tc>
          <w:tcPr>
            <w:tcW w:w="1880" w:type="dxa"/>
            <w:vAlign w:val="bottom"/>
          </w:tcPr>
          <w:p>
            <w:pPr>
              <w:spacing w:after="0"/>
              <w:rPr>
                <w:sz w:val="14"/>
                <w:szCs w:val="14"/>
                <w:color w:val="auto"/>
              </w:rPr>
            </w:pPr>
          </w:p>
        </w:tc>
        <w:tc>
          <w:tcPr>
            <w:tcW w:w="4800" w:type="dxa"/>
            <w:vAlign w:val="bottom"/>
          </w:tcPr>
          <w:p>
            <w:pPr>
              <w:ind w:left="204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21"/>
        </w:trPr>
        <w:tc>
          <w:tcPr>
            <w:tcW w:w="2380" w:type="dxa"/>
            <w:vAlign w:val="bottom"/>
            <w:gridSpan w:val="2"/>
            <w:vMerge w:val="restart"/>
          </w:tcPr>
          <w:p>
            <w:pPr>
              <w:spacing w:after="0"/>
              <w:rPr>
                <w:sz w:val="20"/>
                <w:szCs w:val="20"/>
                <w:color w:val="auto"/>
              </w:rPr>
            </w:pPr>
            <w:r>
              <w:rPr>
                <w:rFonts w:ascii="Arial" w:cs="Arial" w:eastAsia="Arial" w:hAnsi="Arial"/>
                <w:sz w:val="18"/>
                <w:szCs w:val="18"/>
                <w:color w:val="auto"/>
              </w:rPr>
              <w:t>Instruments</w:t>
            </w:r>
          </w:p>
        </w:tc>
        <w:tc>
          <w:tcPr>
            <w:tcW w:w="4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22"/>
        </w:trPr>
        <w:tc>
          <w:tcPr>
            <w:tcW w:w="2380" w:type="dxa"/>
            <w:vAlign w:val="bottom"/>
            <w:gridSpan w:val="2"/>
            <w:vMerge w:val="continue"/>
          </w:tcPr>
          <w:p>
            <w:pPr>
              <w:spacing w:after="0"/>
              <w:rPr>
                <w:sz w:val="19"/>
                <w:szCs w:val="19"/>
                <w:color w:val="auto"/>
              </w:rPr>
            </w:pPr>
          </w:p>
        </w:tc>
        <w:tc>
          <w:tcPr>
            <w:tcW w:w="4800" w:type="dxa"/>
            <w:vAlign w:val="bottom"/>
          </w:tcPr>
          <w:p>
            <w:pPr>
              <w:ind w:left="20"/>
              <w:spacing w:after="0"/>
              <w:rPr>
                <w:sz w:val="20"/>
                <w:szCs w:val="20"/>
                <w:color w:val="auto"/>
              </w:rPr>
            </w:pPr>
            <w:r>
              <w:rPr>
                <w:rFonts w:ascii="Arial" w:cs="Arial" w:eastAsia="Arial" w:hAnsi="Arial"/>
                <w:sz w:val="18"/>
                <w:szCs w:val="18"/>
                <w:color w:val="auto"/>
                <w:w w:val="93"/>
              </w:rPr>
              <w:t>Reusable and single use orthopaedic instruments for large joint,</w:t>
            </w:r>
          </w:p>
        </w:tc>
        <w:tc>
          <w:tcPr>
            <w:tcW w:w="0" w:type="dxa"/>
            <w:vAlign w:val="bottom"/>
          </w:tcPr>
          <w:p>
            <w:pPr>
              <w:spacing w:after="0"/>
              <w:rPr>
                <w:sz w:val="1"/>
                <w:szCs w:val="1"/>
                <w:color w:val="auto"/>
              </w:rPr>
            </w:pPr>
          </w:p>
        </w:tc>
      </w:tr>
      <w:tr>
        <w:trPr>
          <w:trHeight w:val="230"/>
        </w:trPr>
        <w:tc>
          <w:tcPr>
            <w:tcW w:w="500" w:type="dxa"/>
            <w:vAlign w:val="bottom"/>
          </w:tcPr>
          <w:p>
            <w:pPr>
              <w:spacing w:after="0"/>
              <w:rPr>
                <w:sz w:val="20"/>
                <w:szCs w:val="20"/>
                <w:color w:val="auto"/>
              </w:rPr>
            </w:pPr>
          </w:p>
        </w:tc>
        <w:tc>
          <w:tcPr>
            <w:tcW w:w="1880" w:type="dxa"/>
            <w:vAlign w:val="bottom"/>
          </w:tcPr>
          <w:p>
            <w:pPr>
              <w:spacing w:after="0"/>
              <w:rPr>
                <w:sz w:val="20"/>
                <w:szCs w:val="20"/>
                <w:color w:val="auto"/>
              </w:rPr>
            </w:pPr>
          </w:p>
        </w:tc>
        <w:tc>
          <w:tcPr>
            <w:tcW w:w="4800" w:type="dxa"/>
            <w:vAlign w:val="bottom"/>
          </w:tcPr>
          <w:p>
            <w:pPr>
              <w:ind w:left="20"/>
              <w:spacing w:after="0"/>
              <w:rPr>
                <w:sz w:val="20"/>
                <w:szCs w:val="20"/>
                <w:color w:val="auto"/>
              </w:rPr>
            </w:pPr>
            <w:r>
              <w:rPr>
                <w:rFonts w:ascii="Arial" w:cs="Arial" w:eastAsia="Arial" w:hAnsi="Arial"/>
                <w:sz w:val="18"/>
                <w:szCs w:val="18"/>
                <w:color w:val="auto"/>
              </w:rPr>
              <w:t>spine, extremity and trauma procedures</w:t>
            </w:r>
          </w:p>
        </w:tc>
        <w:tc>
          <w:tcPr>
            <w:tcW w:w="0" w:type="dxa"/>
            <w:vAlign w:val="bottom"/>
          </w:tcPr>
          <w:p>
            <w:pPr>
              <w:spacing w:after="0"/>
              <w:rPr>
                <w:sz w:val="1"/>
                <w:szCs w:val="1"/>
                <w:color w:val="auto"/>
              </w:rPr>
            </w:pPr>
          </w:p>
        </w:tc>
      </w:tr>
      <w:tr>
        <w:trPr>
          <w:trHeight w:val="377"/>
        </w:trPr>
        <w:tc>
          <w:tcPr>
            <w:tcW w:w="2380" w:type="dxa"/>
            <w:vAlign w:val="bottom"/>
            <w:gridSpan w:val="2"/>
          </w:tcPr>
          <w:p>
            <w:pPr>
              <w:spacing w:after="0"/>
              <w:rPr>
                <w:sz w:val="20"/>
                <w:szCs w:val="20"/>
                <w:color w:val="auto"/>
              </w:rPr>
            </w:pPr>
            <w:r>
              <w:rPr>
                <w:rFonts w:ascii="Arial" w:cs="Arial" w:eastAsia="Arial" w:hAnsi="Arial"/>
                <w:sz w:val="18"/>
                <w:szCs w:val="18"/>
                <w:color w:val="auto"/>
              </w:rPr>
              <w:t>Manufactured primary cells</w:t>
            </w:r>
          </w:p>
        </w:tc>
        <w:tc>
          <w:tcPr>
            <w:tcW w:w="4800" w:type="dxa"/>
            <w:vAlign w:val="bottom"/>
          </w:tcPr>
          <w:p>
            <w:pPr>
              <w:ind w:left="20"/>
              <w:spacing w:after="0"/>
              <w:rPr>
                <w:sz w:val="20"/>
                <w:szCs w:val="20"/>
                <w:color w:val="auto"/>
              </w:rPr>
            </w:pPr>
            <w:r>
              <w:rPr>
                <w:rFonts w:ascii="Arial" w:cs="Arial" w:eastAsia="Arial" w:hAnsi="Arial"/>
                <w:sz w:val="18"/>
                <w:szCs w:val="18"/>
                <w:color w:val="auto"/>
              </w:rPr>
              <w:t>Low-rate</w:t>
            </w:r>
          </w:p>
        </w:tc>
        <w:tc>
          <w:tcPr>
            <w:tcW w:w="0" w:type="dxa"/>
            <w:vAlign w:val="bottom"/>
          </w:tcPr>
          <w:p>
            <w:pPr>
              <w:spacing w:after="0"/>
              <w:rPr>
                <w:sz w:val="1"/>
                <w:szCs w:val="1"/>
                <w:color w:val="auto"/>
              </w:rPr>
            </w:pPr>
          </w:p>
        </w:tc>
      </w:tr>
      <w:tr>
        <w:trPr>
          <w:trHeight w:val="216"/>
        </w:trPr>
        <w:tc>
          <w:tcPr>
            <w:tcW w:w="500" w:type="dxa"/>
            <w:vAlign w:val="bottom"/>
          </w:tcPr>
          <w:p>
            <w:pPr>
              <w:spacing w:after="0"/>
              <w:rPr>
                <w:sz w:val="18"/>
                <w:szCs w:val="18"/>
                <w:color w:val="auto"/>
              </w:rPr>
            </w:pPr>
          </w:p>
        </w:tc>
        <w:tc>
          <w:tcPr>
            <w:tcW w:w="1880" w:type="dxa"/>
            <w:vAlign w:val="bottom"/>
          </w:tcPr>
          <w:p>
            <w:pPr>
              <w:spacing w:after="0"/>
              <w:rPr>
                <w:sz w:val="18"/>
                <w:szCs w:val="18"/>
                <w:color w:val="auto"/>
              </w:rPr>
            </w:pPr>
          </w:p>
        </w:tc>
        <w:tc>
          <w:tcPr>
            <w:tcW w:w="4800" w:type="dxa"/>
            <w:vAlign w:val="bottom"/>
          </w:tcPr>
          <w:p>
            <w:pPr>
              <w:ind w:left="20"/>
              <w:spacing w:after="0"/>
              <w:rPr>
                <w:sz w:val="20"/>
                <w:szCs w:val="20"/>
                <w:color w:val="auto"/>
              </w:rPr>
            </w:pPr>
            <w:r>
              <w:rPr>
                <w:rFonts w:ascii="Arial" w:cs="Arial" w:eastAsia="Arial" w:hAnsi="Arial"/>
                <w:sz w:val="18"/>
                <w:szCs w:val="18"/>
                <w:color w:val="auto"/>
              </w:rPr>
              <w:t>Moderate-rate</w:t>
            </w:r>
          </w:p>
        </w:tc>
        <w:tc>
          <w:tcPr>
            <w:tcW w:w="0" w:type="dxa"/>
            <w:vAlign w:val="bottom"/>
          </w:tcPr>
          <w:p>
            <w:pPr>
              <w:spacing w:after="0"/>
              <w:rPr>
                <w:sz w:val="1"/>
                <w:szCs w:val="1"/>
                <w:color w:val="auto"/>
              </w:rPr>
            </w:pPr>
          </w:p>
        </w:tc>
      </w:tr>
      <w:tr>
        <w:trPr>
          <w:trHeight w:val="230"/>
        </w:trPr>
        <w:tc>
          <w:tcPr>
            <w:tcW w:w="500" w:type="dxa"/>
            <w:vAlign w:val="bottom"/>
          </w:tcPr>
          <w:p>
            <w:pPr>
              <w:spacing w:after="0"/>
              <w:rPr>
                <w:sz w:val="20"/>
                <w:szCs w:val="20"/>
                <w:color w:val="auto"/>
              </w:rPr>
            </w:pPr>
          </w:p>
        </w:tc>
        <w:tc>
          <w:tcPr>
            <w:tcW w:w="1880" w:type="dxa"/>
            <w:vAlign w:val="bottom"/>
          </w:tcPr>
          <w:p>
            <w:pPr>
              <w:spacing w:after="0"/>
              <w:rPr>
                <w:sz w:val="20"/>
                <w:szCs w:val="20"/>
                <w:color w:val="auto"/>
              </w:rPr>
            </w:pPr>
          </w:p>
        </w:tc>
        <w:tc>
          <w:tcPr>
            <w:tcW w:w="4800" w:type="dxa"/>
            <w:vAlign w:val="bottom"/>
          </w:tcPr>
          <w:p>
            <w:pPr>
              <w:ind w:left="20"/>
              <w:spacing w:after="0"/>
              <w:rPr>
                <w:sz w:val="20"/>
                <w:szCs w:val="20"/>
                <w:color w:val="auto"/>
              </w:rPr>
            </w:pPr>
            <w:r>
              <w:rPr>
                <w:rFonts w:ascii="Arial" w:cs="Arial" w:eastAsia="Arial" w:hAnsi="Arial"/>
                <w:sz w:val="18"/>
                <w:szCs w:val="18"/>
                <w:color w:val="auto"/>
              </w:rPr>
              <w:t>High rate (spiral)</w:t>
            </w:r>
          </w:p>
        </w:tc>
        <w:tc>
          <w:tcPr>
            <w:tcW w:w="0" w:type="dxa"/>
            <w:vAlign w:val="bottom"/>
          </w:tcPr>
          <w:p>
            <w:pPr>
              <w:spacing w:after="0"/>
              <w:rPr>
                <w:sz w:val="1"/>
                <w:szCs w:val="1"/>
                <w:color w:val="auto"/>
              </w:rPr>
            </w:pPr>
          </w:p>
        </w:tc>
      </w:tr>
      <w:tr>
        <w:trPr>
          <w:trHeight w:val="377"/>
        </w:trPr>
        <w:tc>
          <w:tcPr>
            <w:tcW w:w="2380" w:type="dxa"/>
            <w:vAlign w:val="bottom"/>
            <w:gridSpan w:val="2"/>
          </w:tcPr>
          <w:p>
            <w:pPr>
              <w:spacing w:after="0"/>
              <w:rPr>
                <w:sz w:val="20"/>
                <w:szCs w:val="20"/>
                <w:color w:val="auto"/>
              </w:rPr>
            </w:pPr>
            <w:r>
              <w:rPr>
                <w:rFonts w:ascii="Arial" w:cs="Arial" w:eastAsia="Arial" w:hAnsi="Arial"/>
                <w:sz w:val="18"/>
                <w:szCs w:val="18"/>
                <w:color w:val="auto"/>
              </w:rPr>
              <w:t>Assembled primary and</w:t>
            </w:r>
          </w:p>
        </w:tc>
        <w:tc>
          <w:tcPr>
            <w:tcW w:w="4800" w:type="dxa"/>
            <w:vAlign w:val="bottom"/>
          </w:tcPr>
          <w:p>
            <w:pPr>
              <w:ind w:left="20"/>
              <w:spacing w:after="0"/>
              <w:rPr>
                <w:sz w:val="20"/>
                <w:szCs w:val="20"/>
                <w:color w:val="auto"/>
              </w:rPr>
            </w:pPr>
            <w:r>
              <w:rPr>
                <w:rFonts w:ascii="Arial" w:cs="Arial" w:eastAsia="Arial" w:hAnsi="Arial"/>
                <w:sz w:val="18"/>
                <w:szCs w:val="18"/>
                <w:color w:val="auto"/>
              </w:rPr>
              <w:t>Highly-customized pack solutions</w:t>
            </w:r>
          </w:p>
        </w:tc>
        <w:tc>
          <w:tcPr>
            <w:tcW w:w="0" w:type="dxa"/>
            <w:vAlign w:val="bottom"/>
          </w:tcPr>
          <w:p>
            <w:pPr>
              <w:spacing w:after="0"/>
              <w:rPr>
                <w:sz w:val="1"/>
                <w:szCs w:val="1"/>
                <w:color w:val="auto"/>
              </w:rPr>
            </w:pPr>
          </w:p>
        </w:tc>
      </w:tr>
      <w:tr>
        <w:trPr>
          <w:trHeight w:val="230"/>
        </w:trPr>
        <w:tc>
          <w:tcPr>
            <w:tcW w:w="2380" w:type="dxa"/>
            <w:vAlign w:val="bottom"/>
            <w:gridSpan w:val="2"/>
          </w:tcPr>
          <w:p>
            <w:pPr>
              <w:spacing w:after="0"/>
              <w:rPr>
                <w:sz w:val="20"/>
                <w:szCs w:val="20"/>
                <w:color w:val="auto"/>
              </w:rPr>
            </w:pPr>
            <w:r>
              <w:rPr>
                <w:rFonts w:ascii="Arial" w:cs="Arial" w:eastAsia="Arial" w:hAnsi="Arial"/>
                <w:sz w:val="18"/>
                <w:szCs w:val="18"/>
                <w:color w:val="auto"/>
              </w:rPr>
              <w:t>secondary battery packs</w:t>
            </w:r>
          </w:p>
        </w:tc>
        <w:tc>
          <w:tcPr>
            <w:tcW w:w="480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jc w:val="center"/>
        <w:ind w:right="40"/>
        <w:spacing w:after="0"/>
        <w:rPr>
          <w:sz w:val="20"/>
          <w:szCs w:val="20"/>
          <w:color w:val="auto"/>
        </w:rPr>
      </w:pPr>
      <w:r>
        <w:rPr>
          <w:rFonts w:ascii="Arial" w:cs="Arial" w:eastAsia="Arial" w:hAnsi="Arial"/>
          <w:sz w:val="14"/>
          <w:szCs w:val="14"/>
          <w:b w:val="1"/>
          <w:bCs w:val="1"/>
          <w:color w:val="auto"/>
        </w:rPr>
        <w:t>Principal Product Attributes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23495</wp:posOffset>
            </wp:positionV>
            <wp:extent cx="25984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2598420" cy="8890"/>
                    </a:xfrm>
                    <a:prstGeom prst="rect">
                      <a:avLst/>
                    </a:prstGeom>
                    <a:noFill/>
                  </pic:spPr>
                </pic:pic>
              </a:graphicData>
            </a:graphic>
          </wp:anchor>
        </w:drawing>
      </w:r>
    </w:p>
    <w:p>
      <w:pPr>
        <w:spacing w:after="0" w:line="43" w:lineRule="exact"/>
        <w:rPr>
          <w:sz w:val="20"/>
          <w:szCs w:val="20"/>
          <w:color w:val="auto"/>
        </w:rPr>
      </w:pPr>
    </w:p>
    <w:p>
      <w:pPr>
        <w:ind w:right="560"/>
        <w:spacing w:after="0" w:line="342" w:lineRule="auto"/>
        <w:rPr>
          <w:sz w:val="20"/>
          <w:szCs w:val="20"/>
          <w:color w:val="auto"/>
        </w:rPr>
      </w:pPr>
      <w:r>
        <w:rPr>
          <w:rFonts w:ascii="Arial" w:cs="Arial" w:eastAsia="Arial" w:hAnsi="Arial"/>
          <w:sz w:val="16"/>
          <w:szCs w:val="16"/>
          <w:color w:val="auto"/>
        </w:rPr>
        <w:t>Designed to improve surgical techniques, reduce surgery time, and increase surgical precision</w:t>
      </w:r>
    </w:p>
    <w:p>
      <w:pPr>
        <w:spacing w:after="0" w:line="83" w:lineRule="exact"/>
        <w:rPr>
          <w:sz w:val="20"/>
          <w:szCs w:val="20"/>
          <w:color w:val="auto"/>
        </w:rPr>
      </w:pPr>
    </w:p>
    <w:p>
      <w:pPr>
        <w:jc w:val="both"/>
        <w:ind w:right="60"/>
        <w:spacing w:after="0" w:line="312" w:lineRule="auto"/>
        <w:rPr>
          <w:sz w:val="20"/>
          <w:szCs w:val="20"/>
          <w:color w:val="auto"/>
        </w:rPr>
      </w:pPr>
      <w:r>
        <w:rPr>
          <w:rFonts w:ascii="Arial" w:cs="Arial" w:eastAsia="Arial" w:hAnsi="Arial"/>
          <w:sz w:val="16"/>
          <w:szCs w:val="16"/>
          <w:color w:val="auto"/>
        </w:rPr>
        <w:t>Optimized rate capability, shock and vibration resistant, high and low temperature tolerant, high energy density; Ability to operate in low and high temp applications</w:t>
      </w:r>
    </w:p>
    <w:p>
      <w:pPr>
        <w:spacing w:after="0" w:line="106" w:lineRule="exact"/>
        <w:rPr>
          <w:sz w:val="20"/>
          <w:szCs w:val="20"/>
          <w:color w:val="auto"/>
        </w:rPr>
      </w:pPr>
    </w:p>
    <w:p>
      <w:pPr>
        <w:ind w:right="140"/>
        <w:spacing w:after="0" w:line="279" w:lineRule="auto"/>
        <w:rPr>
          <w:sz w:val="20"/>
          <w:szCs w:val="20"/>
          <w:color w:val="auto"/>
        </w:rPr>
      </w:pPr>
      <w:r>
        <w:rPr>
          <w:rFonts w:ascii="Arial" w:cs="Arial" w:eastAsia="Arial" w:hAnsi="Arial"/>
          <w:sz w:val="17"/>
          <w:szCs w:val="17"/>
          <w:color w:val="auto"/>
        </w:rPr>
        <w:t>Diverse portfolio of cells in various sizes, temperature ranges and rate capabilities, custom-engineered and designed, value-add charging and battery management systems for secondary packs</w:t>
      </w:r>
    </w:p>
    <w:p>
      <w:pPr>
        <w:spacing w:after="0" w:line="90" w:lineRule="exact"/>
        <w:rPr>
          <w:sz w:val="20"/>
          <w:szCs w:val="20"/>
          <w:color w:val="auto"/>
        </w:rPr>
      </w:pPr>
    </w:p>
    <w:p>
      <w:pPr>
        <w:sectPr>
          <w:pgSz w:w="11900" w:h="16838" w:orient="portrait"/>
          <w:cols w:equalWidth="0" w:num="2">
            <w:col w:w="7220" w:space="120"/>
            <w:col w:w="4080"/>
          </w:cols>
          <w:pgMar w:left="240" w:top="1018" w:right="239" w:bottom="1440" w:gutter="0" w:footer="0" w:header="0"/>
        </w:sectPr>
      </w:pPr>
    </w:p>
    <w:p>
      <w:pPr>
        <w:ind w:right="20"/>
        <w:spacing w:after="0" w:line="264" w:lineRule="auto"/>
        <w:rPr>
          <w:sz w:val="20"/>
          <w:szCs w:val="20"/>
          <w:color w:val="auto"/>
        </w:rPr>
      </w:pPr>
      <w:r>
        <w:rPr>
          <w:rFonts w:ascii="Arial" w:cs="Arial" w:eastAsia="Arial" w:hAnsi="Arial"/>
          <w:sz w:val="18"/>
          <w:szCs w:val="18"/>
          <w:color w:val="auto"/>
        </w:rPr>
        <w:t>A majority of the components and devices Greatbatch Medical sells incorporate proprietary technologies. These proprietary technologies provide an entry barrier for new competitors, and further limit existing competitors from duplicating our products. In addition to these proprietary technologies, our proprietary “know-how” in the manufacture of these products provides further barriers to competition.</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QiG</w:t>
      </w:r>
    </w:p>
    <w:p>
      <w:pPr>
        <w:spacing w:after="0" w:line="229"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The QiG segment was initially created in 2008 to facilitate and focus on the research and development of complete medical devices or components. Through the acquisition of CCC and other strategic equity investments made by our Company, QiG has established relationships with multiple emerging companies. In addition, QiG has established relationships with physicians across the U.S. and Europe that operate in highly specialized fields, who help to support the design of medical device systems with unique benefits to improve clinical outcomes. QiG seeks to assist customers in accelerating the velocity of innovation while delivering an optimized supply chain and critical cost efficiencies. We are utilizing our market research to drive our intellectual property portfolio with a goal of improved return on investment.</w:t>
      </w:r>
    </w:p>
    <w:p>
      <w:pPr>
        <w:spacing w:after="0" w:line="193" w:lineRule="exact"/>
        <w:rPr>
          <w:sz w:val="20"/>
          <w:szCs w:val="20"/>
          <w:color w:val="auto"/>
        </w:rPr>
      </w:pPr>
    </w:p>
    <w:p>
      <w:pPr>
        <w:ind w:right="180"/>
        <w:spacing w:after="0" w:line="271" w:lineRule="auto"/>
        <w:rPr>
          <w:sz w:val="20"/>
          <w:szCs w:val="20"/>
          <w:color w:val="auto"/>
        </w:rPr>
      </w:pPr>
      <w:r>
        <w:rPr>
          <w:rFonts w:ascii="Arial" w:cs="Arial" w:eastAsia="Arial" w:hAnsi="Arial"/>
          <w:sz w:val="17"/>
          <w:szCs w:val="17"/>
          <w:color w:val="auto"/>
        </w:rPr>
        <w:t>During 2015, Greatbatch announced the Spin-off of a portion of its QiG reporting segment through a tax-free distribution of its QiG Group subsidiary to the stockholders of Greatbatch on a pro rata basis. The entities included in the pending Spin-off of Nuvectra consist of QiG Group, Algostim, PelviStim and NeuroNexus. As an independent publicly traded company after the completion of the Spin-off, Nuvectra will initially be focused on the development and commercialization of its neurostimulation technology platform and, in particular, Algovita for the treatment of chronic pain of the trunk and limbs. In February 2016, the Board of Directors of Greatbatch approved the Spin-off with a distribution ratio whereby Greatbatch stockholders will receive one share of Nuvectra common stock for every three shares of Greatbatch common stock held. The Spin-off is expected to be completed in March 2016. After the completion of the Spin-off, CCC and other existing research and development capabilities will remain with this segment until we complete our reevaluation of our operating and reporting segments in 2016.</w:t>
      </w:r>
    </w:p>
    <w:p>
      <w:pPr>
        <w:spacing w:after="0" w:line="179" w:lineRule="exact"/>
        <w:rPr>
          <w:sz w:val="20"/>
          <w:szCs w:val="20"/>
          <w:color w:val="auto"/>
        </w:rPr>
      </w:pPr>
    </w:p>
    <w:p>
      <w:pPr>
        <w:spacing w:after="0" w:line="287" w:lineRule="auto"/>
        <w:rPr>
          <w:sz w:val="20"/>
          <w:szCs w:val="20"/>
          <w:color w:val="auto"/>
        </w:rPr>
      </w:pPr>
      <w:r>
        <w:rPr>
          <w:rFonts w:ascii="Arial" w:cs="Arial" w:eastAsia="Arial" w:hAnsi="Arial"/>
          <w:sz w:val="16"/>
          <w:szCs w:val="16"/>
          <w:color w:val="auto"/>
        </w:rPr>
        <w:t>As a result of our investments in QiG, we can develop or assist our customers to develop complete medical devices, as highlighted by our successful development of Algovita for the treatment of chronic pain of the trunk and limbs, which received approval from the United States Food and Drug Administration (“FDA”) during 2015. Although as previously noted Algovita will be owned by Nuvectra after the completion of the Spin-off, using the retained operations of CCC and certain other existing research and development capabilities of Greatbatch and Lake Region Medical, we will continue to assist customers with design service and regulatory submissions, as well as manufacturing and distribution services. The medical devices that we can design and develop are full product solutions that utilize the medical technology expertise and capabilities residing within Greatbatch Medical. The benefits to our OEM customers of using our design and development services include shortening the time to market for these medical devices, optimizing their supply chain and, ultimately, providing them with cost efficiencies. In connection with the completion of the pending Spin-off, we will enter into a five year supply agreement with Nuvectra pursuant to which Greatbatch Medical will manufacture and supply fully assembled Algovita systems and most of the products, parts and components necessary for the production and assembly of Algovita. Additionally, in connection with the completion of the Spin-off, we will enter into an agreement with Nuvectra that provides us with the exclusive right to supply Nuvectra with products, parts and components necessary for production of future SNS or DBS medical devices that Nuvectra may seek to commercialize for a period of five years after regulatory approval.</w:t>
      </w:r>
    </w:p>
    <w:p>
      <w:pPr>
        <w:spacing w:after="0" w:line="169" w:lineRule="exact"/>
        <w:rPr>
          <w:sz w:val="20"/>
          <w:szCs w:val="20"/>
          <w:color w:val="auto"/>
        </w:rPr>
      </w:pPr>
    </w:p>
    <w:p>
      <w:pPr>
        <w:ind w:right="120"/>
        <w:spacing w:after="0" w:line="264" w:lineRule="auto"/>
        <w:rPr>
          <w:sz w:val="20"/>
          <w:szCs w:val="20"/>
          <w:color w:val="auto"/>
        </w:rPr>
      </w:pPr>
      <w:r>
        <w:rPr>
          <w:rFonts w:ascii="Arial" w:cs="Arial" w:eastAsia="Arial" w:hAnsi="Arial"/>
          <w:sz w:val="18"/>
          <w:szCs w:val="18"/>
          <w:color w:val="auto"/>
        </w:rPr>
        <w:t>Acquired in 2014, CCC has expertise in developing and manufacturing active implantable medical devices. CCC has designed and produced a wide range of devices for some of the world’s leading medical device companies, including implantable pulse generators, programmer systems, battery chargers, patient wands and leads. CCC has the capability to assist customers in the</w:t>
      </w:r>
    </w:p>
    <w:p>
      <w:pPr>
        <w:spacing w:after="0" w:line="31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- 9 -</w:t>
      </w:r>
    </w:p>
    <w:p>
      <w:pPr>
        <w:sectPr>
          <w:pgSz w:w="11900" w:h="16838" w:orient="portrait"/>
          <w:cols w:equalWidth="0" w:num="1">
            <w:col w:w="11420"/>
          </w:cols>
          <w:pgMar w:left="240" w:top="1018" w:right="239" w:bottom="1440" w:gutter="0" w:footer="0" w:header="0"/>
          <w:type w:val="continuous"/>
        </w:sectPr>
      </w:pPr>
    </w:p>
    <w:bookmarkStart w:id="10" w:name="page11"/>
    <w:bookmarkEnd w:id="10"/>
    <w:p>
      <w:pPr>
        <w:ind w:right="20"/>
        <w:spacing w:after="0" w:line="271" w:lineRule="auto"/>
        <w:rPr>
          <w:sz w:val="20"/>
          <w:szCs w:val="20"/>
          <w:color w:val="auto"/>
        </w:rPr>
      </w:pPr>
      <w:r>
        <w:rPr>
          <w:rFonts w:ascii="Arial" w:cs="Arial" w:eastAsia="Arial" w:hAnsi="Arial"/>
          <w:sz w:val="17"/>
          <w:szCs w:val="17"/>
          <w:color w:val="auto"/>
        </w:rPr>
        <w:t>design, development and commercialization of full product medical device solutions, including complete medical device systems. Specifically, CCC has the capability to design the electronics, firmware and mechanics, of implantable and non-implantable devices, to develop application software and custom leads, and to provide services of prototyping, encapsulation and OEM manufacturing. CCC strives to provide on time, safe and effective products and services at competitive pricing, while maintaining a culture of continuous improvement in compliance with the established standards and regulations. After the pending Spin-off is completed, our design and development of complete medical device systems will be completed by our combined teams in Greatbatch Medical, Lake Region Medical, and CCC. As a result, we are now able to more broadly partner with medical device companies, leveraging Greatbatch Medical’s core components discrete technology, the design and manufacturing expertise of Lake Region Medical, and the full device capabilities of CCC which will enhance our medical device innovation efforts.</w:t>
      </w:r>
    </w:p>
    <w:p>
      <w:pPr>
        <w:spacing w:after="0" w:line="179"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QiG utilizes a disciplined and diversified portfolio approach with three investment modes: new medical device systems commercialization, collaborative programs with OEM customers and strategic equity positions in emerging healthcare companies. A scorecard process is utilized to review and select the most strategically valuable ideas to pursue, taking into account a host of variables including the market opportunity, regulatory pathway and reimbursement, market need and market potential, intellectual property and projected financial return.</w:t>
      </w:r>
    </w:p>
    <w:p>
      <w:pPr>
        <w:spacing w:after="0" w:line="187" w:lineRule="exact"/>
        <w:rPr>
          <w:sz w:val="20"/>
          <w:szCs w:val="20"/>
          <w:color w:val="auto"/>
        </w:rPr>
      </w:pPr>
    </w:p>
    <w:p>
      <w:pPr>
        <w:jc w:val="both"/>
        <w:ind w:right="20"/>
        <w:spacing w:after="0" w:line="264" w:lineRule="auto"/>
        <w:rPr>
          <w:sz w:val="20"/>
          <w:szCs w:val="20"/>
          <w:color w:val="auto"/>
        </w:rPr>
      </w:pPr>
      <w:r>
        <w:rPr>
          <w:rFonts w:ascii="Arial" w:cs="Arial" w:eastAsia="Arial" w:hAnsi="Arial"/>
          <w:sz w:val="18"/>
          <w:szCs w:val="18"/>
          <w:color w:val="auto"/>
        </w:rPr>
        <w:t>QiG’s revenue includes a limited release of Algovita in Europe, as well as various medical device products such as implantable pulse generators, programmer systems, battery chargers, patient wands and leads to medical device companies residing primarily in the cardiac and neuromodulation market as well as sales of neural interface technology, components, and systems to the neuroscience and clinical markets.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Lake Region Medical</w:t>
      </w: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color w:val="auto"/>
        </w:rPr>
        <w:t>Lake Region Medical operates within the cardio, vascular and advanced surgical markets. A brief description of these products and markets are as follows:</w:t>
      </w:r>
    </w:p>
    <w:p>
      <w:pPr>
        <w:spacing w:after="0" w:line="248" w:lineRule="exact"/>
        <w:rPr>
          <w:sz w:val="20"/>
          <w:szCs w:val="20"/>
          <w:color w:val="auto"/>
        </w:rPr>
      </w:pPr>
    </w:p>
    <w:p>
      <w:pPr>
        <w:ind w:right="160"/>
        <w:spacing w:after="0" w:line="259" w:lineRule="auto"/>
        <w:rPr>
          <w:sz w:val="20"/>
          <w:szCs w:val="20"/>
          <w:color w:val="auto"/>
        </w:rPr>
      </w:pPr>
      <w:r>
        <w:rPr>
          <w:rFonts w:ascii="Arial" w:cs="Arial" w:eastAsia="Arial" w:hAnsi="Arial"/>
          <w:sz w:val="18"/>
          <w:szCs w:val="18"/>
          <w:u w:val="single" w:color="auto"/>
          <w:color w:val="auto"/>
        </w:rPr>
        <w:t>Cardio and Vascular</w:t>
      </w:r>
      <w:r>
        <w:rPr>
          <w:rFonts w:ascii="Arial" w:cs="Arial" w:eastAsia="Arial" w:hAnsi="Arial"/>
          <w:sz w:val="18"/>
          <w:szCs w:val="18"/>
          <w:color w:val="auto"/>
        </w:rPr>
        <w:t xml:space="preserve"> - Within the cardio and vascular markets, Lake Region Medical concentrates on the design and manufacturing of guidewires, catheters, vascular access products, and CRM and stimulation therapy components, subassemblies and finished devices. Lake Region Medical operates across the product continuum from basic manufacturing of single components to contract device manufacturing services to the design and production of its own products.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The following provides an overview of the main product lines within the cardio and vascular market:</w:t>
      </w:r>
    </w:p>
    <w:p>
      <w:pPr>
        <w:spacing w:after="0" w:line="225" w:lineRule="exact"/>
        <w:rPr>
          <w:sz w:val="20"/>
          <w:szCs w:val="20"/>
          <w:color w:val="auto"/>
        </w:rPr>
      </w:pPr>
    </w:p>
    <w:p>
      <w:pPr>
        <w:ind w:left="340" w:right="140" w:hanging="332"/>
        <w:spacing w:after="0" w:line="273" w:lineRule="auto"/>
        <w:tabs>
          <w:tab w:leader="none" w:pos="340" w:val="left"/>
        </w:tabs>
        <w:numPr>
          <w:ilvl w:val="0"/>
          <w:numId w:val="5"/>
        </w:numPr>
        <w:rPr>
          <w:rFonts w:ascii="Arial" w:cs="Arial" w:eastAsia="Arial" w:hAnsi="Arial"/>
          <w:sz w:val="17"/>
          <w:szCs w:val="17"/>
          <w:color w:val="auto"/>
        </w:rPr>
      </w:pPr>
      <w:r>
        <w:rPr>
          <w:rFonts w:ascii="Arial" w:cs="Arial" w:eastAsia="Arial" w:hAnsi="Arial"/>
          <w:sz w:val="17"/>
          <w:szCs w:val="17"/>
          <w:i w:val="1"/>
          <w:iCs w:val="1"/>
          <w:u w:val="single" w:color="auto"/>
          <w:color w:val="auto"/>
        </w:rPr>
        <w:t>Vascular Access</w:t>
      </w:r>
      <w:r>
        <w:rPr>
          <w:rFonts w:ascii="Arial" w:cs="Arial" w:eastAsia="Arial" w:hAnsi="Arial"/>
          <w:sz w:val="17"/>
          <w:szCs w:val="17"/>
          <w:i w:val="1"/>
          <w:iCs w:val="1"/>
          <w:color w:val="auto"/>
        </w:rPr>
        <w:t xml:space="preserve"> </w:t>
      </w:r>
      <w:r>
        <w:rPr>
          <w:rFonts w:ascii="Arial" w:cs="Arial" w:eastAsia="Arial" w:hAnsi="Arial"/>
          <w:sz w:val="17"/>
          <w:szCs w:val="17"/>
          <w:color w:val="auto"/>
        </w:rPr>
        <w:t>- The vascular access product lines include components and devices used primarily in catheter-based interventional vascular devices.</w:t>
      </w:r>
      <w:r>
        <w:rPr>
          <w:rFonts w:ascii="Arial" w:cs="Arial" w:eastAsia="Arial" w:hAnsi="Arial"/>
          <w:sz w:val="17"/>
          <w:szCs w:val="17"/>
          <w:i w:val="1"/>
          <w:iCs w:val="1"/>
          <w:color w:val="auto"/>
        </w:rPr>
        <w:t xml:space="preserve"> </w:t>
      </w:r>
      <w:r>
        <w:rPr>
          <w:rFonts w:ascii="Arial" w:cs="Arial" w:eastAsia="Arial" w:hAnsi="Arial"/>
          <w:sz w:val="17"/>
          <w:szCs w:val="17"/>
          <w:color w:val="auto"/>
        </w:rPr>
        <w:t>Utilizing proprietary platform technologies and advanced wire processing technologies, Lake Region Medical manufactures high-precision guidewires that meet the fitness of use, criticality, and safety parameters required by the medical device industry. Additionally, Lake Region Medical manufactures vascular closure devices that provide rapid and reliable hemostasis to puncture sites. The full product line for the vascular access sub-segment includes access guidewires, introducer sheaths and dilators, central venous catheters, implantable ports, hemodialysis catheters, electrical and optical mechanical devices, catheter components, subassemblies, and complete devices.</w:t>
      </w:r>
    </w:p>
    <w:p>
      <w:pPr>
        <w:spacing w:after="0" w:line="178" w:lineRule="exact"/>
        <w:rPr>
          <w:rFonts w:ascii="Arial" w:cs="Arial" w:eastAsia="Arial" w:hAnsi="Arial"/>
          <w:sz w:val="17"/>
          <w:szCs w:val="17"/>
          <w:color w:val="auto"/>
        </w:rPr>
      </w:pPr>
    </w:p>
    <w:p>
      <w:pPr>
        <w:ind w:left="340" w:right="140" w:hanging="332"/>
        <w:spacing w:after="0" w:line="271" w:lineRule="auto"/>
        <w:tabs>
          <w:tab w:leader="none" w:pos="340" w:val="left"/>
        </w:tabs>
        <w:numPr>
          <w:ilvl w:val="0"/>
          <w:numId w:val="5"/>
        </w:numPr>
        <w:rPr>
          <w:rFonts w:ascii="Arial" w:cs="Arial" w:eastAsia="Arial" w:hAnsi="Arial"/>
          <w:sz w:val="17"/>
          <w:szCs w:val="17"/>
          <w:color w:val="auto"/>
        </w:rPr>
      </w:pPr>
      <w:r>
        <w:rPr>
          <w:rFonts w:ascii="Arial" w:cs="Arial" w:eastAsia="Arial" w:hAnsi="Arial"/>
          <w:sz w:val="17"/>
          <w:szCs w:val="17"/>
          <w:i w:val="1"/>
          <w:iCs w:val="1"/>
          <w:u w:val="single" w:color="auto"/>
          <w:color w:val="auto"/>
        </w:rPr>
        <w:t>Cardiovascular and Structural Heart</w:t>
      </w:r>
      <w:r>
        <w:rPr>
          <w:rFonts w:ascii="Arial" w:cs="Arial" w:eastAsia="Arial" w:hAnsi="Arial"/>
          <w:sz w:val="17"/>
          <w:szCs w:val="17"/>
          <w:i w:val="1"/>
          <w:iCs w:val="1"/>
          <w:color w:val="auto"/>
        </w:rPr>
        <w:t xml:space="preserve"> </w:t>
      </w:r>
      <w:r>
        <w:rPr>
          <w:rFonts w:ascii="Arial" w:cs="Arial" w:eastAsia="Arial" w:hAnsi="Arial"/>
          <w:sz w:val="17"/>
          <w:szCs w:val="17"/>
          <w:color w:val="auto"/>
        </w:rPr>
        <w:t>- The cardiovascular and structural heart product lines include products used for vascular, cardiac surgery and</w:t>
      </w:r>
      <w:r>
        <w:rPr>
          <w:rFonts w:ascii="Arial" w:cs="Arial" w:eastAsia="Arial" w:hAnsi="Arial"/>
          <w:sz w:val="17"/>
          <w:szCs w:val="17"/>
          <w:i w:val="1"/>
          <w:iCs w:val="1"/>
          <w:color w:val="auto"/>
        </w:rPr>
        <w:t xml:space="preserve"> </w:t>
      </w:r>
      <w:r>
        <w:rPr>
          <w:rFonts w:ascii="Arial" w:cs="Arial" w:eastAsia="Arial" w:hAnsi="Arial"/>
          <w:sz w:val="17"/>
          <w:szCs w:val="17"/>
          <w:color w:val="auto"/>
        </w:rPr>
        <w:t>structural heart disease. Within this product line, Lake Region Medical produces guidewire and catheter components, subassemblies and completed devices for cardiovascular, cardiac surgery and structural heart disease applications. For vascular procedures, product applications include guidewires, guide catheters, microcatheters, ultrasound catheters, and delivery systems, balloon expandable delivery systems, stents, atherectomy devices, embolic protection devices, catheter design and assembly, sterile packaging, catheter shafts, radiopaque marker bands, molded hubs, fabricated hypotube assembly, and wire stent frames. For cardiac surgery and structural heart disease procedures, product applications are comprised of access and delivery systems for patient foramen ovale closure devices, vessel harvesting systems, beating heart surgery systems, transcatheter heart valves, heart valves and leaflets, and anastomosis devices.</w:t>
      </w:r>
    </w:p>
    <w:p>
      <w:pPr>
        <w:spacing w:after="0" w:line="178" w:lineRule="exact"/>
        <w:rPr>
          <w:rFonts w:ascii="Arial" w:cs="Arial" w:eastAsia="Arial" w:hAnsi="Arial"/>
          <w:sz w:val="17"/>
          <w:szCs w:val="17"/>
          <w:color w:val="auto"/>
        </w:rPr>
      </w:pPr>
    </w:p>
    <w:p>
      <w:pPr>
        <w:ind w:left="340" w:right="300" w:hanging="332"/>
        <w:spacing w:after="0" w:line="259" w:lineRule="auto"/>
        <w:tabs>
          <w:tab w:leader="none" w:pos="340" w:val="left"/>
        </w:tabs>
        <w:numPr>
          <w:ilvl w:val="0"/>
          <w:numId w:val="5"/>
        </w:numPr>
        <w:rPr>
          <w:rFonts w:ascii="Arial" w:cs="Arial" w:eastAsia="Arial" w:hAnsi="Arial"/>
          <w:sz w:val="18"/>
          <w:szCs w:val="18"/>
          <w:color w:val="auto"/>
        </w:rPr>
      </w:pPr>
      <w:r>
        <w:rPr>
          <w:rFonts w:ascii="Arial" w:cs="Arial" w:eastAsia="Arial" w:hAnsi="Arial"/>
          <w:sz w:val="18"/>
          <w:szCs w:val="18"/>
          <w:i w:val="1"/>
          <w:iCs w:val="1"/>
          <w:u w:val="single" w:color="auto"/>
          <w:color w:val="auto"/>
        </w:rPr>
        <w:t>Peripheral Vascular, Neurovascular, Urology, and Oncology</w:t>
      </w:r>
      <w:r>
        <w:rPr>
          <w:rFonts w:ascii="Arial" w:cs="Arial" w:eastAsia="Arial" w:hAnsi="Arial"/>
          <w:sz w:val="18"/>
          <w:szCs w:val="18"/>
          <w:i w:val="1"/>
          <w:iCs w:val="1"/>
          <w:color w:val="auto"/>
        </w:rPr>
        <w:t xml:space="preserve"> </w:t>
      </w:r>
      <w:r>
        <w:rPr>
          <w:rFonts w:ascii="Arial" w:cs="Arial" w:eastAsia="Arial" w:hAnsi="Arial"/>
          <w:sz w:val="18"/>
          <w:szCs w:val="18"/>
          <w:color w:val="auto"/>
        </w:rPr>
        <w:t>- This product line is primarily focused on the design and manufacturing of devices used</w:t>
      </w:r>
      <w:r>
        <w:rPr>
          <w:rFonts w:ascii="Arial" w:cs="Arial" w:eastAsia="Arial" w:hAnsi="Arial"/>
          <w:sz w:val="18"/>
          <w:szCs w:val="18"/>
          <w:i w:val="1"/>
          <w:iCs w:val="1"/>
          <w:color w:val="auto"/>
        </w:rPr>
        <w:t xml:space="preserve"> </w:t>
      </w:r>
      <w:r>
        <w:rPr>
          <w:rFonts w:ascii="Arial" w:cs="Arial" w:eastAsia="Arial" w:hAnsi="Arial"/>
          <w:sz w:val="18"/>
          <w:szCs w:val="18"/>
          <w:color w:val="auto"/>
        </w:rPr>
        <w:t>during the treatment of peripheral arterial disease, peripheral transcatheter embolization and occlusion, aortic aneurysm repair, arteriovenous malformations and endoscopic retrograde cholangiopancreatography. Within this product line, Lake Region Medical produces guidewire and catheter components, subassemblies and completed devices for the various applications.</w:t>
      </w:r>
    </w:p>
    <w:p>
      <w:pPr>
        <w:spacing w:after="0" w:line="186" w:lineRule="exact"/>
        <w:rPr>
          <w:rFonts w:ascii="Arial" w:cs="Arial" w:eastAsia="Arial" w:hAnsi="Arial"/>
          <w:sz w:val="18"/>
          <w:szCs w:val="18"/>
          <w:color w:val="auto"/>
        </w:rPr>
      </w:pPr>
    </w:p>
    <w:p>
      <w:pPr>
        <w:ind w:left="340" w:right="200"/>
        <w:spacing w:after="0" w:line="279" w:lineRule="auto"/>
        <w:rPr>
          <w:rFonts w:ascii="Arial" w:cs="Arial" w:eastAsia="Arial" w:hAnsi="Arial"/>
          <w:sz w:val="18"/>
          <w:szCs w:val="18"/>
          <w:color w:val="auto"/>
        </w:rPr>
      </w:pPr>
      <w:r>
        <w:rPr>
          <w:rFonts w:ascii="Arial" w:cs="Arial" w:eastAsia="Arial" w:hAnsi="Arial"/>
          <w:sz w:val="17"/>
          <w:szCs w:val="17"/>
          <w:color w:val="auto"/>
        </w:rPr>
        <w:t>The primary neurovascular applications for these products are cerebrovascular aneurysms, while the urology and oncology applications are stone retrieval, thermal tumor ablation, transarterial chemoembolization and radio frequency probes. Lake Region Medical products within this area include peripheral vascular and urology guidewires, neurovascular and oncology micro-guidewires, angiographic and diagnostic guidewires, guiding catheters, support and crossing catheters, embolic protection devices, micro-catheters, and delivery systems.</w:t>
      </w:r>
    </w:p>
    <w:p>
      <w:pPr>
        <w:spacing w:after="0" w:line="306" w:lineRule="exact"/>
        <w:rPr>
          <w:rFonts w:ascii="Arial" w:cs="Arial" w:eastAsia="Arial" w:hAnsi="Arial"/>
          <w:sz w:val="18"/>
          <w:szCs w:val="18"/>
          <w:color w:val="auto"/>
        </w:rPr>
      </w:pPr>
    </w:p>
    <w:p>
      <w:pPr>
        <w:ind w:left="5620" w:hanging="101"/>
        <w:spacing w:after="0"/>
        <w:tabs>
          <w:tab w:leader="none" w:pos="5620" w:val="left"/>
        </w:tabs>
        <w:numPr>
          <w:ilvl w:val="1"/>
          <w:numId w:val="5"/>
        </w:numPr>
        <w:rPr>
          <w:rFonts w:ascii="Arial" w:cs="Arial" w:eastAsia="Arial" w:hAnsi="Arial"/>
          <w:sz w:val="18"/>
          <w:szCs w:val="18"/>
          <w:color w:val="auto"/>
        </w:rPr>
      </w:pPr>
      <w:r>
        <w:rPr>
          <w:rFonts w:ascii="Arial" w:cs="Arial" w:eastAsia="Arial" w:hAnsi="Arial"/>
          <w:sz w:val="18"/>
          <w:szCs w:val="18"/>
          <w:color w:val="auto"/>
        </w:rPr>
        <w:t>10 -</w:t>
      </w:r>
    </w:p>
    <w:p>
      <w:pPr>
        <w:sectPr>
          <w:pgSz w:w="11900" w:h="16838" w:orient="portrait"/>
          <w:cols w:equalWidth="0" w:num="1">
            <w:col w:w="11400"/>
          </w:cols>
          <w:pgMar w:left="240" w:top="908" w:right="259" w:bottom="1440" w:gutter="0" w:footer="0" w:header="0"/>
        </w:sectPr>
      </w:pPr>
    </w:p>
    <w:bookmarkStart w:id="11" w:name="page12"/>
    <w:bookmarkEnd w:id="11"/>
    <w:p>
      <w:pPr>
        <w:ind w:left="340" w:right="160" w:hanging="332"/>
        <w:spacing w:after="0" w:line="259" w:lineRule="auto"/>
        <w:tabs>
          <w:tab w:leader="none" w:pos="340" w:val="left"/>
        </w:tabs>
        <w:numPr>
          <w:ilvl w:val="0"/>
          <w:numId w:val="6"/>
        </w:numPr>
        <w:rPr>
          <w:rFonts w:ascii="Arial" w:cs="Arial" w:eastAsia="Arial" w:hAnsi="Arial"/>
          <w:sz w:val="18"/>
          <w:szCs w:val="18"/>
          <w:color w:val="auto"/>
        </w:rPr>
      </w:pPr>
      <w:r>
        <w:rPr>
          <w:rFonts w:ascii="Arial" w:cs="Arial" w:eastAsia="Arial" w:hAnsi="Arial"/>
          <w:sz w:val="18"/>
          <w:szCs w:val="18"/>
          <w:i w:val="1"/>
          <w:iCs w:val="1"/>
          <w:u w:val="single" w:color="auto"/>
          <w:color w:val="auto"/>
        </w:rPr>
        <w:t>Electrophysiology and Stimulation Therapy</w:t>
      </w:r>
      <w:r>
        <w:rPr>
          <w:rFonts w:ascii="Arial" w:cs="Arial" w:eastAsia="Arial" w:hAnsi="Arial"/>
          <w:sz w:val="18"/>
          <w:szCs w:val="18"/>
          <w:i w:val="1"/>
          <w:iCs w:val="1"/>
          <w:color w:val="auto"/>
        </w:rPr>
        <w:t xml:space="preserve"> </w:t>
      </w:r>
      <w:r>
        <w:rPr>
          <w:rFonts w:ascii="Arial" w:cs="Arial" w:eastAsia="Arial" w:hAnsi="Arial"/>
          <w:sz w:val="18"/>
          <w:szCs w:val="18"/>
          <w:color w:val="auto"/>
        </w:rPr>
        <w:t>- The electrophysiology and stimulation therapy product lines includes devices that are used in the</w:t>
      </w:r>
      <w:r>
        <w:rPr>
          <w:rFonts w:ascii="Arial" w:cs="Arial" w:eastAsia="Arial" w:hAnsi="Arial"/>
          <w:sz w:val="18"/>
          <w:szCs w:val="18"/>
          <w:i w:val="1"/>
          <w:iCs w:val="1"/>
          <w:color w:val="auto"/>
        </w:rPr>
        <w:t xml:space="preserve"> </w:t>
      </w:r>
      <w:r>
        <w:rPr>
          <w:rFonts w:ascii="Arial" w:cs="Arial" w:eastAsia="Arial" w:hAnsi="Arial"/>
          <w:sz w:val="18"/>
          <w:szCs w:val="18"/>
          <w:color w:val="auto"/>
        </w:rPr>
        <w:t>electrophysiology ablation catheter and cardiac rhythm systems. Within this product line, Lake Region Medical produces guidewire and catheter components, subassemblies and completed devices for the various electrophysiology applications as well as components and assemblies for cardiac and neurostimulation leads and IPGs.</w:t>
      </w:r>
    </w:p>
    <w:p>
      <w:pPr>
        <w:spacing w:after="0" w:line="187" w:lineRule="exact"/>
        <w:rPr>
          <w:sz w:val="20"/>
          <w:szCs w:val="20"/>
          <w:color w:val="auto"/>
        </w:rPr>
      </w:pPr>
    </w:p>
    <w:p>
      <w:pPr>
        <w:jc w:val="both"/>
        <w:ind w:left="340" w:right="520" w:firstLine="648"/>
        <w:spacing w:after="0" w:line="302" w:lineRule="auto"/>
        <w:rPr>
          <w:sz w:val="20"/>
          <w:szCs w:val="20"/>
          <w:color w:val="auto"/>
        </w:rPr>
      </w:pPr>
      <w:r>
        <w:rPr>
          <w:rFonts w:ascii="Arial" w:cs="Arial" w:eastAsia="Arial" w:hAnsi="Arial"/>
          <w:sz w:val="16"/>
          <w:szCs w:val="16"/>
          <w:color w:val="auto"/>
        </w:rPr>
        <w:t>Electrophysiology atrial fibrillation ablation catheters, which deliver therapy to the heart and eliminate tissue paths for irregular electrical impulses, and electrophysiology catheters, which diagnose irregular electrical impulses in the heart’s electrical system, are the focal points of Lake Region Medical’s electrophysiology offering. In the stimulation therapy applications, CRM devices such as pacemakers, implantable cardioverter defibrillator, cardiac leads and neurostimulation devices for spinal cord and deep brain stimulation are the primary applications of focus.</w:t>
      </w:r>
    </w:p>
    <w:p>
      <w:pPr>
        <w:spacing w:after="0" w:line="154" w:lineRule="exact"/>
        <w:rPr>
          <w:sz w:val="20"/>
          <w:szCs w:val="20"/>
          <w:color w:val="auto"/>
        </w:rPr>
      </w:pPr>
    </w:p>
    <w:p>
      <w:pPr>
        <w:ind w:right="60"/>
        <w:spacing w:after="0" w:line="264" w:lineRule="auto"/>
        <w:rPr>
          <w:sz w:val="20"/>
          <w:szCs w:val="20"/>
          <w:color w:val="auto"/>
        </w:rPr>
      </w:pPr>
      <w:r>
        <w:rPr>
          <w:rFonts w:ascii="Arial" w:cs="Arial" w:eastAsia="Arial" w:hAnsi="Arial"/>
          <w:sz w:val="18"/>
          <w:szCs w:val="18"/>
          <w:u w:val="single" w:color="auto"/>
          <w:color w:val="auto"/>
        </w:rPr>
        <w:t>Advanced Surgical</w:t>
      </w:r>
      <w:r>
        <w:rPr>
          <w:rFonts w:ascii="Arial" w:cs="Arial" w:eastAsia="Arial" w:hAnsi="Arial"/>
          <w:sz w:val="18"/>
          <w:szCs w:val="18"/>
          <w:color w:val="auto"/>
        </w:rPr>
        <w:t xml:space="preserve"> - Lake Region Medical provides supply chain solutions that support the development and manufacturing of complex components, sub-assemblies, and finished devices for a range of surgical technologies to the advanced surgical market. Portions of this market include endoscopy, laparoscopy, arthroscopy, orthopaedics, spinal, women’s health and drug delivery.</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The following provides an overview of the main product lines within the advanced surgical market:</w:t>
      </w:r>
    </w:p>
    <w:p>
      <w:pPr>
        <w:spacing w:after="0" w:line="225" w:lineRule="exact"/>
        <w:rPr>
          <w:sz w:val="20"/>
          <w:szCs w:val="20"/>
          <w:color w:val="auto"/>
        </w:rPr>
      </w:pPr>
    </w:p>
    <w:p>
      <w:pPr>
        <w:ind w:left="340" w:right="200" w:hanging="332"/>
        <w:spacing w:after="0" w:line="257" w:lineRule="auto"/>
        <w:tabs>
          <w:tab w:leader="none" w:pos="340" w:val="left"/>
        </w:tabs>
        <w:numPr>
          <w:ilvl w:val="0"/>
          <w:numId w:val="7"/>
        </w:numPr>
        <w:rPr>
          <w:rFonts w:ascii="Arial" w:cs="Arial" w:eastAsia="Arial" w:hAnsi="Arial"/>
          <w:sz w:val="18"/>
          <w:szCs w:val="18"/>
          <w:color w:val="auto"/>
        </w:rPr>
      </w:pPr>
      <w:r>
        <w:rPr>
          <w:rFonts w:ascii="Arial" w:cs="Arial" w:eastAsia="Arial" w:hAnsi="Arial"/>
          <w:sz w:val="18"/>
          <w:szCs w:val="18"/>
          <w:i w:val="1"/>
          <w:iCs w:val="1"/>
          <w:u w:val="single" w:color="auto"/>
          <w:color w:val="auto"/>
        </w:rPr>
        <w:t>Laparoscopy and General Surgery</w:t>
      </w:r>
      <w:r>
        <w:rPr>
          <w:rFonts w:ascii="Arial" w:cs="Arial" w:eastAsia="Arial" w:hAnsi="Arial"/>
          <w:sz w:val="18"/>
          <w:szCs w:val="18"/>
          <w:i w:val="1"/>
          <w:iCs w:val="1"/>
          <w:color w:val="auto"/>
        </w:rPr>
        <w:t xml:space="preserve"> </w:t>
      </w:r>
      <w:r>
        <w:rPr>
          <w:rFonts w:ascii="Arial" w:cs="Arial" w:eastAsia="Arial" w:hAnsi="Arial"/>
          <w:sz w:val="18"/>
          <w:szCs w:val="18"/>
          <w:color w:val="auto"/>
        </w:rPr>
        <w:t>- This portion of the market includes devices used primarily for minimally invasive procedures in the abdominal</w:t>
      </w:r>
      <w:r>
        <w:rPr>
          <w:rFonts w:ascii="Arial" w:cs="Arial" w:eastAsia="Arial" w:hAnsi="Arial"/>
          <w:sz w:val="18"/>
          <w:szCs w:val="18"/>
          <w:i w:val="1"/>
          <w:iCs w:val="1"/>
          <w:color w:val="auto"/>
        </w:rPr>
        <w:t xml:space="preserve"> </w:t>
      </w:r>
      <w:r>
        <w:rPr>
          <w:rFonts w:ascii="Arial" w:cs="Arial" w:eastAsia="Arial" w:hAnsi="Arial"/>
          <w:sz w:val="18"/>
          <w:szCs w:val="18"/>
          <w:color w:val="auto"/>
        </w:rPr>
        <w:t>space, but may also be used in open or general surgery. Customers of Lake Region Medical’s laparoscopy and general surgery products require energy-based devices and endomechanical devices that are efficient and reliable. Lake Region Medical’s product line includes trocars, endoscopes and laparoscopes, closure devices, harmonic scalpels, bipolar energy delivery devices, radio frequency probes, thermal tumor ablation devices and ophthalmic surgery devices.</w:t>
      </w:r>
    </w:p>
    <w:p>
      <w:pPr>
        <w:spacing w:after="0" w:line="188" w:lineRule="exact"/>
        <w:rPr>
          <w:rFonts w:ascii="Arial" w:cs="Arial" w:eastAsia="Arial" w:hAnsi="Arial"/>
          <w:sz w:val="18"/>
          <w:szCs w:val="18"/>
          <w:color w:val="auto"/>
        </w:rPr>
      </w:pPr>
    </w:p>
    <w:p>
      <w:pPr>
        <w:jc w:val="both"/>
        <w:ind w:left="340" w:right="20" w:hanging="332"/>
        <w:spacing w:after="0" w:line="259" w:lineRule="auto"/>
        <w:tabs>
          <w:tab w:leader="none" w:pos="340" w:val="left"/>
        </w:tabs>
        <w:numPr>
          <w:ilvl w:val="0"/>
          <w:numId w:val="7"/>
        </w:numPr>
        <w:rPr>
          <w:rFonts w:ascii="Arial" w:cs="Arial" w:eastAsia="Arial" w:hAnsi="Arial"/>
          <w:sz w:val="18"/>
          <w:szCs w:val="18"/>
          <w:color w:val="auto"/>
        </w:rPr>
      </w:pPr>
      <w:r>
        <w:rPr>
          <w:rFonts w:ascii="Arial" w:cs="Arial" w:eastAsia="Arial" w:hAnsi="Arial"/>
          <w:sz w:val="18"/>
          <w:szCs w:val="18"/>
          <w:i w:val="1"/>
          <w:iCs w:val="1"/>
          <w:u w:val="single" w:color="auto"/>
          <w:color w:val="auto"/>
        </w:rPr>
        <w:t>Biopsy and Drug Delivery</w:t>
      </w:r>
      <w:r>
        <w:rPr>
          <w:rFonts w:ascii="Arial" w:cs="Arial" w:eastAsia="Arial" w:hAnsi="Arial"/>
          <w:sz w:val="18"/>
          <w:szCs w:val="18"/>
          <w:i w:val="1"/>
          <w:iCs w:val="1"/>
          <w:color w:val="auto"/>
        </w:rPr>
        <w:t xml:space="preserve"> </w:t>
      </w:r>
      <w:r>
        <w:rPr>
          <w:rFonts w:ascii="Arial" w:cs="Arial" w:eastAsia="Arial" w:hAnsi="Arial"/>
          <w:sz w:val="18"/>
          <w:szCs w:val="18"/>
          <w:color w:val="auto"/>
        </w:rPr>
        <w:t>- Biopsy and drug delivery products include minimally invasive biopsy devices used to retrieve tissue samples and for delivery</w:t>
      </w:r>
      <w:r>
        <w:rPr>
          <w:rFonts w:ascii="Arial" w:cs="Arial" w:eastAsia="Arial" w:hAnsi="Arial"/>
          <w:sz w:val="18"/>
          <w:szCs w:val="18"/>
          <w:i w:val="1"/>
          <w:iCs w:val="1"/>
          <w:color w:val="auto"/>
        </w:rPr>
        <w:t xml:space="preserve"> </w:t>
      </w:r>
      <w:r>
        <w:rPr>
          <w:rFonts w:ascii="Arial" w:cs="Arial" w:eastAsia="Arial" w:hAnsi="Arial"/>
          <w:sz w:val="18"/>
          <w:szCs w:val="18"/>
          <w:color w:val="auto"/>
        </w:rPr>
        <w:t>of drug therapy. Lake Region Medical’s biopsy and drug delivery product line includes biopsy and grasping forceps, breast biopsy devices, auto injection systems, cannula-based delivery systems, implantable brachytherapy seeds, tubes, catheters, infusion and IV connectors, and wearable patient constant or variable delivery systems.</w:t>
      </w:r>
    </w:p>
    <w:p>
      <w:pPr>
        <w:spacing w:after="0" w:line="186" w:lineRule="exact"/>
        <w:rPr>
          <w:rFonts w:ascii="Arial" w:cs="Arial" w:eastAsia="Arial" w:hAnsi="Arial"/>
          <w:sz w:val="18"/>
          <w:szCs w:val="18"/>
          <w:color w:val="auto"/>
        </w:rPr>
      </w:pPr>
    </w:p>
    <w:p>
      <w:pPr>
        <w:jc w:val="both"/>
        <w:ind w:left="340" w:hanging="332"/>
        <w:spacing w:after="0" w:line="273" w:lineRule="auto"/>
        <w:tabs>
          <w:tab w:leader="none" w:pos="340" w:val="left"/>
        </w:tabs>
        <w:numPr>
          <w:ilvl w:val="0"/>
          <w:numId w:val="7"/>
        </w:numPr>
        <w:rPr>
          <w:rFonts w:ascii="Arial" w:cs="Arial" w:eastAsia="Arial" w:hAnsi="Arial"/>
          <w:sz w:val="17"/>
          <w:szCs w:val="17"/>
          <w:color w:val="auto"/>
        </w:rPr>
      </w:pPr>
      <w:r>
        <w:rPr>
          <w:rFonts w:ascii="Arial" w:cs="Arial" w:eastAsia="Arial" w:hAnsi="Arial"/>
          <w:sz w:val="17"/>
          <w:szCs w:val="17"/>
          <w:i w:val="1"/>
          <w:iCs w:val="1"/>
          <w:u w:val="single" w:color="auto"/>
          <w:color w:val="auto"/>
        </w:rPr>
        <w:t>Joint Preservation and Reconstruction</w:t>
      </w:r>
      <w:r>
        <w:rPr>
          <w:rFonts w:ascii="Arial" w:cs="Arial" w:eastAsia="Arial" w:hAnsi="Arial"/>
          <w:sz w:val="17"/>
          <w:szCs w:val="17"/>
          <w:i w:val="1"/>
          <w:iCs w:val="1"/>
          <w:color w:val="auto"/>
        </w:rPr>
        <w:t xml:space="preserve"> </w:t>
      </w:r>
      <w:r>
        <w:rPr>
          <w:rFonts w:ascii="Arial" w:cs="Arial" w:eastAsia="Arial" w:hAnsi="Arial"/>
          <w:sz w:val="17"/>
          <w:szCs w:val="17"/>
          <w:color w:val="auto"/>
        </w:rPr>
        <w:t>- This portion of the market includes orthopaedic implants and fixation devices, including their related surgical</w:t>
      </w:r>
      <w:r>
        <w:rPr>
          <w:rFonts w:ascii="Arial" w:cs="Arial" w:eastAsia="Arial" w:hAnsi="Arial"/>
          <w:sz w:val="17"/>
          <w:szCs w:val="17"/>
          <w:i w:val="1"/>
          <w:iCs w:val="1"/>
          <w:color w:val="auto"/>
        </w:rPr>
        <w:t xml:space="preserve"> </w:t>
      </w:r>
      <w:r>
        <w:rPr>
          <w:rFonts w:ascii="Arial" w:cs="Arial" w:eastAsia="Arial" w:hAnsi="Arial"/>
          <w:sz w:val="17"/>
          <w:szCs w:val="17"/>
          <w:color w:val="auto"/>
        </w:rPr>
        <w:t>instruments used in large joint, extremities, trauma, spine and craniomaxillofacial applications. Lake Region Medical manufactures a variety of reconstructive implants, components, and instruments used in joint preservation and reconstruction. Lake Region Medical’s implant products include hip stems and sleeves, knee implant components, extremity devices, long bone nails and screws, tissue anchor and fixation devices. Instrument products include knee instruments, minimally invasive surgery and computer assisted surgery instruments, cutting blocks, measuring and sizing instruments, impactors and hip instruments; stem inserters, anatomical broach handles and cup holders.</w:t>
      </w:r>
    </w:p>
    <w:p>
      <w:pPr>
        <w:spacing w:after="0" w:line="178" w:lineRule="exact"/>
        <w:rPr>
          <w:rFonts w:ascii="Arial" w:cs="Arial" w:eastAsia="Arial" w:hAnsi="Arial"/>
          <w:sz w:val="17"/>
          <w:szCs w:val="17"/>
          <w:color w:val="auto"/>
        </w:rPr>
      </w:pPr>
    </w:p>
    <w:p>
      <w:pPr>
        <w:jc w:val="both"/>
        <w:ind w:left="340" w:hanging="332"/>
        <w:spacing w:after="0" w:line="264" w:lineRule="auto"/>
        <w:tabs>
          <w:tab w:leader="none" w:pos="340" w:val="left"/>
        </w:tabs>
        <w:numPr>
          <w:ilvl w:val="0"/>
          <w:numId w:val="7"/>
        </w:numPr>
        <w:rPr>
          <w:rFonts w:ascii="Arial" w:cs="Arial" w:eastAsia="Arial" w:hAnsi="Arial"/>
          <w:sz w:val="18"/>
          <w:szCs w:val="18"/>
          <w:color w:val="auto"/>
        </w:rPr>
      </w:pPr>
      <w:r>
        <w:rPr>
          <w:rFonts w:ascii="Arial" w:cs="Arial" w:eastAsia="Arial" w:hAnsi="Arial"/>
          <w:sz w:val="18"/>
          <w:szCs w:val="18"/>
          <w:i w:val="1"/>
          <w:iCs w:val="1"/>
          <w:u w:val="single" w:color="auto"/>
          <w:color w:val="auto"/>
        </w:rPr>
        <w:t>Arthroscopy</w:t>
      </w:r>
      <w:r>
        <w:rPr>
          <w:rFonts w:ascii="Arial" w:cs="Arial" w:eastAsia="Arial" w:hAnsi="Arial"/>
          <w:sz w:val="18"/>
          <w:szCs w:val="18"/>
          <w:i w:val="1"/>
          <w:iCs w:val="1"/>
          <w:color w:val="auto"/>
        </w:rPr>
        <w:t xml:space="preserve"> </w:t>
      </w:r>
      <w:r>
        <w:rPr>
          <w:rFonts w:ascii="Arial" w:cs="Arial" w:eastAsia="Arial" w:hAnsi="Arial"/>
          <w:sz w:val="18"/>
          <w:szCs w:val="18"/>
          <w:color w:val="auto"/>
        </w:rPr>
        <w:t>- This portion of the market includes devices used for minimally invasive surgery in a joint space, also referred to as “sports medicine.” Lake</w:t>
      </w:r>
      <w:r>
        <w:rPr>
          <w:rFonts w:ascii="Arial" w:cs="Arial" w:eastAsia="Arial" w:hAnsi="Arial"/>
          <w:sz w:val="18"/>
          <w:szCs w:val="18"/>
          <w:i w:val="1"/>
          <w:iCs w:val="1"/>
          <w:color w:val="auto"/>
        </w:rPr>
        <w:t xml:space="preserve"> </w:t>
      </w:r>
      <w:r>
        <w:rPr>
          <w:rFonts w:ascii="Arial" w:cs="Arial" w:eastAsia="Arial" w:hAnsi="Arial"/>
          <w:sz w:val="18"/>
          <w:szCs w:val="18"/>
          <w:color w:val="auto"/>
        </w:rPr>
        <w:t>Region Medical’s products includes shaver blades and burrs, ablation probes, and suture anchors, which are used in procedures such as arthroscopic ACL reconstruction arthroscopic repair, rotator cuff repair, and hip labrum repair.</w:t>
      </w:r>
    </w:p>
    <w:p>
      <w:pPr>
        <w:spacing w:after="0" w:line="181" w:lineRule="exact"/>
        <w:rPr>
          <w:rFonts w:ascii="Arial" w:cs="Arial" w:eastAsia="Arial" w:hAnsi="Arial"/>
          <w:sz w:val="18"/>
          <w:szCs w:val="18"/>
          <w:color w:val="auto"/>
        </w:rPr>
      </w:pPr>
    </w:p>
    <w:p>
      <w:pPr>
        <w:ind w:left="340" w:hanging="332"/>
        <w:spacing w:after="0" w:line="279" w:lineRule="auto"/>
        <w:tabs>
          <w:tab w:leader="none" w:pos="340" w:val="left"/>
        </w:tabs>
        <w:numPr>
          <w:ilvl w:val="0"/>
          <w:numId w:val="7"/>
        </w:numPr>
        <w:rPr>
          <w:rFonts w:ascii="Arial" w:cs="Arial" w:eastAsia="Arial" w:hAnsi="Arial"/>
          <w:sz w:val="17"/>
          <w:szCs w:val="17"/>
          <w:color w:val="auto"/>
        </w:rPr>
      </w:pPr>
      <w:r>
        <w:rPr>
          <w:rFonts w:ascii="Arial" w:cs="Arial" w:eastAsia="Arial" w:hAnsi="Arial"/>
          <w:sz w:val="17"/>
          <w:szCs w:val="17"/>
          <w:i w:val="1"/>
          <w:iCs w:val="1"/>
          <w:u w:val="single" w:color="auto"/>
          <w:color w:val="auto"/>
        </w:rPr>
        <w:t>Engineered Tubing Solutions</w:t>
      </w:r>
      <w:r>
        <w:rPr>
          <w:rFonts w:ascii="Arial" w:cs="Arial" w:eastAsia="Arial" w:hAnsi="Arial"/>
          <w:sz w:val="17"/>
          <w:szCs w:val="17"/>
          <w:i w:val="1"/>
          <w:iCs w:val="1"/>
          <w:color w:val="auto"/>
        </w:rPr>
        <w:t xml:space="preserve"> </w:t>
      </w:r>
      <w:r>
        <w:rPr>
          <w:rFonts w:ascii="Arial" w:cs="Arial" w:eastAsia="Arial" w:hAnsi="Arial"/>
          <w:sz w:val="17"/>
          <w:szCs w:val="17"/>
          <w:color w:val="auto"/>
        </w:rPr>
        <w:t>- Lake Region Medical’s engineered tubing solutions business is a comprehensive supply chain solution suite for precision</w:t>
      </w:r>
      <w:r>
        <w:rPr>
          <w:rFonts w:ascii="Arial" w:cs="Arial" w:eastAsia="Arial" w:hAnsi="Arial"/>
          <w:sz w:val="17"/>
          <w:szCs w:val="17"/>
          <w:i w:val="1"/>
          <w:iCs w:val="1"/>
          <w:color w:val="auto"/>
        </w:rPr>
        <w:t xml:space="preserve"> </w:t>
      </w:r>
      <w:r>
        <w:rPr>
          <w:rFonts w:ascii="Arial" w:cs="Arial" w:eastAsia="Arial" w:hAnsi="Arial"/>
          <w:sz w:val="17"/>
          <w:szCs w:val="17"/>
          <w:color w:val="auto"/>
        </w:rPr>
        <w:t>metal tubing manufacturing and fabrication. Lake Region Medical offers a fully integrated precision tubing business, which encompasses design, manufacturing and supply chain management. Lake Region Medical’s precision tubing products are primarily used in the medical, aerospace, automotive, chromatography, defense, oil and gas, power generation, and sensor and temperature control markets.</w:t>
      </w:r>
    </w:p>
    <w:p>
      <w:pPr>
        <w:spacing w:after="0" w:line="306" w:lineRule="exact"/>
        <w:rPr>
          <w:rFonts w:ascii="Arial" w:cs="Arial" w:eastAsia="Arial" w:hAnsi="Arial"/>
          <w:sz w:val="17"/>
          <w:szCs w:val="17"/>
          <w:color w:val="auto"/>
        </w:rPr>
      </w:pPr>
    </w:p>
    <w:p>
      <w:pPr>
        <w:ind w:left="5620" w:hanging="98"/>
        <w:spacing w:after="0"/>
        <w:tabs>
          <w:tab w:leader="none" w:pos="5620" w:val="left"/>
        </w:tabs>
        <w:numPr>
          <w:ilvl w:val="1"/>
          <w:numId w:val="7"/>
        </w:numPr>
        <w:rPr>
          <w:rFonts w:ascii="Arial" w:cs="Arial" w:eastAsia="Arial" w:hAnsi="Arial"/>
          <w:sz w:val="18"/>
          <w:szCs w:val="18"/>
          <w:color w:val="auto"/>
        </w:rPr>
      </w:pPr>
      <w:r>
        <w:rPr>
          <w:rFonts w:ascii="Arial" w:cs="Arial" w:eastAsia="Arial" w:hAnsi="Arial"/>
          <w:sz w:val="18"/>
          <w:szCs w:val="18"/>
          <w:color w:val="auto"/>
        </w:rPr>
        <w:t>11 -</w:t>
      </w:r>
    </w:p>
    <w:p>
      <w:pPr>
        <w:sectPr>
          <w:pgSz w:w="11900" w:h="16838" w:orient="portrait"/>
          <w:cols w:equalWidth="0" w:num="1">
            <w:col w:w="11420"/>
          </w:cols>
          <w:pgMar w:left="240" w:top="908" w:right="239" w:bottom="1440" w:gutter="0" w:footer="0" w:header="0"/>
        </w:sectPr>
      </w:pPr>
    </w:p>
    <w:bookmarkStart w:id="12" w:name="page13"/>
    <w:bookmarkEnd w:id="12"/>
    <w:p>
      <w:pPr>
        <w:spacing w:after="0"/>
        <w:rPr>
          <w:sz w:val="20"/>
          <w:szCs w:val="20"/>
          <w:color w:val="auto"/>
        </w:rPr>
      </w:pPr>
      <w:r>
        <w:rPr>
          <w:rFonts w:ascii="Arial" w:cs="Arial" w:eastAsia="Arial" w:hAnsi="Arial"/>
          <w:sz w:val="16"/>
          <w:szCs w:val="16"/>
          <w:color w:val="auto"/>
        </w:rPr>
        <w:t>The following table summarizes information about our Lake Region Medical products:</w:t>
      </w:r>
    </w:p>
    <w:p>
      <w:pPr>
        <w:sectPr>
          <w:pgSz w:w="11900" w:h="16838" w:orient="portrait"/>
          <w:cols w:equalWidth="0" w:num="1">
            <w:col w:w="10560"/>
          </w:cols>
          <w:pgMar w:left="240" w:top="908" w:right="1099" w:bottom="1440" w:gutter="0" w:footer="0" w:header="0"/>
        </w:sectPr>
      </w:pPr>
    </w:p>
    <w:p>
      <w:pPr>
        <w:spacing w:after="0" w:line="253" w:lineRule="exact"/>
        <w:rPr>
          <w:sz w:val="20"/>
          <w:szCs w:val="20"/>
          <w:color w:val="auto"/>
        </w:rPr>
      </w:pPr>
    </w:p>
    <w:p>
      <w:pPr>
        <w:ind w:left="40"/>
        <w:spacing w:after="0"/>
        <w:rPr>
          <w:sz w:val="20"/>
          <w:szCs w:val="20"/>
          <w:color w:val="auto"/>
        </w:rPr>
      </w:pPr>
      <w:r>
        <w:rPr>
          <w:rFonts w:ascii="Arial" w:cs="Arial" w:eastAsia="Arial" w:hAnsi="Arial"/>
          <w:sz w:val="14"/>
          <w:szCs w:val="14"/>
          <w:b w:val="1"/>
          <w:bCs w:val="1"/>
          <w:u w:val="single" w:color="auto"/>
          <w:color w:val="auto"/>
        </w:rPr>
        <w:t>Product</w:t>
      </w:r>
    </w:p>
    <w:p>
      <w:pPr>
        <w:spacing w:after="0" w:line="50" w:lineRule="exact"/>
        <w:rPr>
          <w:sz w:val="20"/>
          <w:szCs w:val="20"/>
          <w:color w:val="auto"/>
        </w:rPr>
      </w:pPr>
    </w:p>
    <w:p>
      <w:pPr>
        <w:ind w:left="40"/>
        <w:spacing w:after="0" w:line="277" w:lineRule="auto"/>
        <w:rPr>
          <w:sz w:val="20"/>
          <w:szCs w:val="20"/>
          <w:color w:val="auto"/>
        </w:rPr>
      </w:pPr>
      <w:r>
        <w:rPr>
          <w:rFonts w:ascii="Arial" w:cs="Arial" w:eastAsia="Arial" w:hAnsi="Arial"/>
          <w:sz w:val="18"/>
          <w:szCs w:val="18"/>
          <w:color w:val="auto"/>
        </w:rPr>
        <w:t>Access and infusion therapy guidewires</w:t>
      </w:r>
    </w:p>
    <w:p>
      <w:pPr>
        <w:spacing w:after="0" w:line="20" w:lineRule="exact"/>
        <w:rPr>
          <w:sz w:val="20"/>
          <w:szCs w:val="20"/>
          <w:color w:val="auto"/>
        </w:rPr>
      </w:pPr>
      <w:r>
        <w:rPr>
          <w:sz w:val="20"/>
          <w:szCs w:val="20"/>
          <w:color w:val="auto"/>
        </w:rPr>
        <w:br w:type="column"/>
      </w:r>
    </w:p>
    <w:p>
      <w:pPr>
        <w:spacing w:after="0" w:line="233" w:lineRule="exact"/>
        <w:rPr>
          <w:sz w:val="20"/>
          <w:szCs w:val="20"/>
          <w:color w:val="auto"/>
        </w:rPr>
      </w:pPr>
    </w:p>
    <w:p>
      <w:pPr>
        <w:jc w:val="center"/>
        <w:ind w:left="-19"/>
        <w:spacing w:after="0"/>
        <w:rPr>
          <w:sz w:val="20"/>
          <w:szCs w:val="20"/>
          <w:color w:val="auto"/>
        </w:rPr>
      </w:pPr>
      <w:r>
        <w:rPr>
          <w:rFonts w:ascii="Arial" w:cs="Arial" w:eastAsia="Arial" w:hAnsi="Arial"/>
          <w:sz w:val="14"/>
          <w:szCs w:val="14"/>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23495</wp:posOffset>
            </wp:positionV>
            <wp:extent cx="22809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2280920" cy="8890"/>
                    </a:xfrm>
                    <a:prstGeom prst="rect">
                      <a:avLst/>
                    </a:prstGeom>
                    <a:noFill/>
                  </pic:spPr>
                </pic:pic>
              </a:graphicData>
            </a:graphic>
          </wp:anchor>
        </w:drawing>
      </w:r>
    </w:p>
    <w:p>
      <w:pPr>
        <w:spacing w:after="0" w:line="43"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Guidewires for vascular access and placement of dialysis catheters, central venous catheters, peripherally inserted central catheters and implantable ports</w:t>
      </w:r>
    </w:p>
    <w:p>
      <w:pPr>
        <w:spacing w:after="0" w:line="20" w:lineRule="exact"/>
        <w:rPr>
          <w:sz w:val="20"/>
          <w:szCs w:val="20"/>
          <w:color w:val="auto"/>
        </w:rPr>
      </w:pPr>
      <w:r>
        <w:rPr>
          <w:sz w:val="20"/>
          <w:szCs w:val="20"/>
          <w:color w:val="auto"/>
        </w:rPr>
        <w:br w:type="column"/>
      </w:r>
    </w:p>
    <w:p>
      <w:pPr>
        <w:spacing w:after="0" w:line="233" w:lineRule="exact"/>
        <w:rPr>
          <w:sz w:val="20"/>
          <w:szCs w:val="20"/>
          <w:color w:val="auto"/>
        </w:rPr>
      </w:pPr>
    </w:p>
    <w:p>
      <w:pPr>
        <w:ind w:left="1260"/>
        <w:spacing w:after="0"/>
        <w:rPr>
          <w:sz w:val="20"/>
          <w:szCs w:val="20"/>
          <w:color w:val="auto"/>
        </w:rPr>
      </w:pPr>
      <w:r>
        <w:rPr>
          <w:rFonts w:ascii="Arial" w:cs="Arial" w:eastAsia="Arial" w:hAnsi="Arial"/>
          <w:sz w:val="14"/>
          <w:szCs w:val="14"/>
          <w:b w:val="1"/>
          <w:bCs w:val="1"/>
          <w:color w:val="auto"/>
        </w:rPr>
        <w:t>Principal Product Attributes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23495</wp:posOffset>
            </wp:positionV>
            <wp:extent cx="275272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2752725" cy="8890"/>
                    </a:xfrm>
                    <a:prstGeom prst="rect">
                      <a:avLst/>
                    </a:prstGeom>
                    <a:noFill/>
                  </pic:spPr>
                </pic:pic>
              </a:graphicData>
            </a:graphic>
          </wp:anchor>
        </w:drawing>
      </w:r>
    </w:p>
    <w:p>
      <w:pPr>
        <w:spacing w:after="0" w:line="43" w:lineRule="exact"/>
        <w:rPr>
          <w:sz w:val="20"/>
          <w:szCs w:val="20"/>
          <w:color w:val="auto"/>
        </w:rPr>
      </w:pPr>
    </w:p>
    <w:p>
      <w:pPr>
        <w:ind w:right="60"/>
        <w:spacing w:after="0" w:line="342" w:lineRule="auto"/>
        <w:rPr>
          <w:sz w:val="20"/>
          <w:szCs w:val="20"/>
          <w:color w:val="auto"/>
        </w:rPr>
      </w:pPr>
      <w:r>
        <w:rPr>
          <w:rFonts w:ascii="Arial" w:cs="Arial" w:eastAsia="Arial" w:hAnsi="Arial"/>
          <w:sz w:val="16"/>
          <w:szCs w:val="16"/>
          <w:color w:val="auto"/>
        </w:rPr>
        <w:t>Wide variety of custom and standard configurations available in both full-length coil and mandrel wire designs</w:t>
      </w:r>
    </w:p>
    <w:p>
      <w:pPr>
        <w:spacing w:after="0" w:line="515" w:lineRule="exact"/>
        <w:rPr>
          <w:sz w:val="20"/>
          <w:szCs w:val="20"/>
          <w:color w:val="auto"/>
        </w:rPr>
      </w:pPr>
    </w:p>
    <w:p>
      <w:pPr>
        <w:sectPr>
          <w:pgSz w:w="11900" w:h="16838" w:orient="portrait"/>
          <w:cols w:equalWidth="0" w:num="3">
            <w:col w:w="2060" w:space="520"/>
            <w:col w:w="3520" w:space="180"/>
            <w:col w:w="4280"/>
          </w:cols>
          <w:pgMar w:left="240" w:top="908" w:right="1099" w:bottom="1440" w:gutter="0" w:footer="0" w:header="0"/>
          <w:type w:val="continuous"/>
        </w:sectPr>
      </w:pPr>
    </w:p>
    <w:p>
      <w:pPr>
        <w:ind w:left="40"/>
        <w:spacing w:after="0"/>
        <w:tabs>
          <w:tab w:leader="none" w:pos="2560" w:val="left"/>
        </w:tabs>
        <w:rPr>
          <w:sz w:val="20"/>
          <w:szCs w:val="20"/>
          <w:color w:val="auto"/>
        </w:rPr>
      </w:pPr>
      <w:r>
        <w:rPr>
          <w:rFonts w:ascii="Arial" w:cs="Arial" w:eastAsia="Arial" w:hAnsi="Arial"/>
          <w:sz w:val="18"/>
          <w:szCs w:val="18"/>
          <w:color w:val="auto"/>
        </w:rPr>
        <w:t>Angiographic guidewires</w:t>
      </w:r>
      <w:r>
        <w:rPr>
          <w:sz w:val="20"/>
          <w:szCs w:val="20"/>
          <w:color w:val="auto"/>
        </w:rPr>
        <w:tab/>
      </w:r>
      <w:r>
        <w:rPr>
          <w:rFonts w:ascii="Arial" w:cs="Arial" w:eastAsia="Arial" w:hAnsi="Arial"/>
          <w:sz w:val="16"/>
          <w:szCs w:val="16"/>
          <w:color w:val="auto"/>
        </w:rPr>
        <w:t>Guidewires for delivery of angiography and</w:t>
      </w:r>
    </w:p>
    <w:p>
      <w:pPr>
        <w:spacing w:after="0" w:line="23" w:lineRule="exact"/>
        <w:rPr>
          <w:sz w:val="20"/>
          <w:szCs w:val="20"/>
          <w:color w:val="auto"/>
        </w:rPr>
      </w:pPr>
    </w:p>
    <w:p>
      <w:pPr>
        <w:jc w:val="center"/>
        <w:ind w:left="180"/>
        <w:spacing w:after="0"/>
        <w:rPr>
          <w:sz w:val="20"/>
          <w:szCs w:val="20"/>
          <w:color w:val="auto"/>
        </w:rPr>
      </w:pPr>
      <w:r>
        <w:rPr>
          <w:rFonts w:ascii="Arial" w:cs="Arial" w:eastAsia="Arial" w:hAnsi="Arial"/>
          <w:sz w:val="18"/>
          <w:szCs w:val="18"/>
          <w:color w:val="auto"/>
        </w:rPr>
        <w:t>guide catheters</w:t>
      </w:r>
    </w:p>
    <w:p>
      <w:pPr>
        <w:spacing w:after="0" w:line="386" w:lineRule="exact"/>
        <w:rPr>
          <w:sz w:val="20"/>
          <w:szCs w:val="20"/>
          <w:color w:val="auto"/>
        </w:rPr>
      </w:pPr>
    </w:p>
    <w:p>
      <w:pPr>
        <w:jc w:val="right"/>
        <w:ind w:left="40" w:right="40"/>
        <w:spacing w:after="0" w:line="277" w:lineRule="auto"/>
        <w:rPr>
          <w:sz w:val="20"/>
          <w:szCs w:val="20"/>
          <w:color w:val="auto"/>
        </w:rPr>
      </w:pPr>
      <w:r>
        <w:rPr>
          <w:rFonts w:ascii="Arial" w:cs="Arial" w:eastAsia="Arial" w:hAnsi="Arial"/>
          <w:sz w:val="18"/>
          <w:szCs w:val="18"/>
          <w:color w:val="auto"/>
        </w:rPr>
        <w:t>Introducer sheaths and dilators    Facilitate subcutaneous access and delivery of a variety of diagnostic and interventional devices</w:t>
      </w:r>
    </w:p>
    <w:p>
      <w:pPr>
        <w:spacing w:after="0" w:line="346" w:lineRule="exact"/>
        <w:rPr>
          <w:sz w:val="20"/>
          <w:szCs w:val="20"/>
          <w:color w:val="auto"/>
        </w:rPr>
      </w:pPr>
    </w:p>
    <w:p>
      <w:pPr>
        <w:ind w:left="40"/>
        <w:spacing w:after="0"/>
        <w:tabs>
          <w:tab w:leader="none" w:pos="2560" w:val="left"/>
        </w:tabs>
        <w:rPr>
          <w:sz w:val="20"/>
          <w:szCs w:val="20"/>
          <w:color w:val="auto"/>
        </w:rPr>
      </w:pPr>
      <w:r>
        <w:rPr>
          <w:rFonts w:ascii="Arial" w:cs="Arial" w:eastAsia="Arial" w:hAnsi="Arial"/>
          <w:sz w:val="18"/>
          <w:szCs w:val="18"/>
          <w:color w:val="auto"/>
        </w:rPr>
        <w:t>Interventional guidewires</w:t>
      </w:r>
      <w:r>
        <w:rPr>
          <w:sz w:val="20"/>
          <w:szCs w:val="20"/>
          <w:color w:val="auto"/>
        </w:rPr>
        <w:tab/>
      </w:r>
      <w:r>
        <w:rPr>
          <w:rFonts w:ascii="Arial" w:cs="Arial" w:eastAsia="Arial" w:hAnsi="Arial"/>
          <w:sz w:val="16"/>
          <w:szCs w:val="16"/>
          <w:color w:val="auto"/>
        </w:rPr>
        <w:t>Facilitate access and delivery of diagnostic and</w:t>
      </w:r>
    </w:p>
    <w:p>
      <w:pPr>
        <w:spacing w:after="0" w:line="23" w:lineRule="exact"/>
        <w:rPr>
          <w:sz w:val="20"/>
          <w:szCs w:val="20"/>
          <w:color w:val="auto"/>
        </w:rPr>
      </w:pPr>
    </w:p>
    <w:p>
      <w:pPr>
        <w:ind w:left="2580" w:right="20"/>
        <w:spacing w:after="0" w:line="261" w:lineRule="auto"/>
        <w:rPr>
          <w:sz w:val="20"/>
          <w:szCs w:val="20"/>
          <w:color w:val="auto"/>
        </w:rPr>
      </w:pPr>
      <w:r>
        <w:rPr>
          <w:rFonts w:ascii="Arial" w:cs="Arial" w:eastAsia="Arial" w:hAnsi="Arial"/>
          <w:sz w:val="18"/>
          <w:szCs w:val="18"/>
          <w:color w:val="auto"/>
        </w:rPr>
        <w:t>therapeutic catheter-based devices across a wide range of interventional procedures</w:t>
      </w:r>
    </w:p>
    <w:p>
      <w:pPr>
        <w:spacing w:after="0" w:line="143" w:lineRule="exact"/>
        <w:rPr>
          <w:sz w:val="20"/>
          <w:szCs w:val="20"/>
          <w:color w:val="auto"/>
        </w:rPr>
      </w:pPr>
    </w:p>
    <w:p>
      <w:pPr>
        <w:ind w:left="40"/>
        <w:spacing w:after="0"/>
        <w:tabs>
          <w:tab w:leader="none" w:pos="2560" w:val="left"/>
        </w:tabs>
        <w:rPr>
          <w:sz w:val="20"/>
          <w:szCs w:val="20"/>
          <w:color w:val="auto"/>
        </w:rPr>
      </w:pPr>
      <w:r>
        <w:rPr>
          <w:rFonts w:ascii="Arial" w:cs="Arial" w:eastAsia="Arial" w:hAnsi="Arial"/>
          <w:sz w:val="18"/>
          <w:szCs w:val="18"/>
          <w:color w:val="auto"/>
        </w:rPr>
        <w:t>Structural heart guidewires</w:t>
      </w:r>
      <w:r>
        <w:rPr>
          <w:sz w:val="20"/>
          <w:szCs w:val="20"/>
          <w:color w:val="auto"/>
        </w:rPr>
        <w:tab/>
      </w:r>
      <w:r>
        <w:rPr>
          <w:rFonts w:ascii="Arial" w:cs="Arial" w:eastAsia="Arial" w:hAnsi="Arial"/>
          <w:sz w:val="16"/>
          <w:szCs w:val="16"/>
          <w:color w:val="auto"/>
        </w:rPr>
        <w:t>Pre-curved guidewires used in a variety of</w:t>
      </w:r>
    </w:p>
    <w:p>
      <w:pPr>
        <w:spacing w:after="0" w:line="23" w:lineRule="exact"/>
        <w:rPr>
          <w:sz w:val="20"/>
          <w:szCs w:val="20"/>
          <w:color w:val="auto"/>
        </w:rPr>
      </w:pPr>
    </w:p>
    <w:p>
      <w:pPr>
        <w:ind w:left="2580" w:right="140"/>
        <w:spacing w:after="0" w:line="261" w:lineRule="auto"/>
        <w:rPr>
          <w:sz w:val="20"/>
          <w:szCs w:val="20"/>
          <w:color w:val="auto"/>
        </w:rPr>
      </w:pPr>
      <w:r>
        <w:rPr>
          <w:rFonts w:ascii="Arial" w:cs="Arial" w:eastAsia="Arial" w:hAnsi="Arial"/>
          <w:sz w:val="18"/>
          <w:szCs w:val="18"/>
          <w:color w:val="auto"/>
        </w:rPr>
        <w:t>transcatheter approaches for treating structural heart disease</w:t>
      </w:r>
    </w:p>
    <w:p>
      <w:pPr>
        <w:spacing w:after="0" w:line="143" w:lineRule="exact"/>
        <w:rPr>
          <w:sz w:val="20"/>
          <w:szCs w:val="20"/>
          <w:color w:val="auto"/>
        </w:rPr>
      </w:pPr>
    </w:p>
    <w:p>
      <w:pPr>
        <w:ind w:left="40"/>
        <w:spacing w:after="0"/>
        <w:tabs>
          <w:tab w:leader="none" w:pos="2560" w:val="left"/>
        </w:tabs>
        <w:rPr>
          <w:sz w:val="20"/>
          <w:szCs w:val="20"/>
          <w:color w:val="auto"/>
        </w:rPr>
      </w:pPr>
      <w:r>
        <w:rPr>
          <w:rFonts w:ascii="Arial" w:cs="Arial" w:eastAsia="Arial" w:hAnsi="Arial"/>
          <w:sz w:val="18"/>
          <w:szCs w:val="18"/>
          <w:color w:val="auto"/>
        </w:rPr>
        <w:t>Steerable sheaths</w:t>
      </w:r>
      <w:r>
        <w:rPr>
          <w:sz w:val="20"/>
          <w:szCs w:val="20"/>
          <w:color w:val="auto"/>
        </w:rPr>
        <w:tab/>
      </w:r>
      <w:r>
        <w:rPr>
          <w:rFonts w:ascii="Arial" w:cs="Arial" w:eastAsia="Arial" w:hAnsi="Arial"/>
          <w:sz w:val="16"/>
          <w:szCs w:val="16"/>
          <w:color w:val="auto"/>
        </w:rPr>
        <w:t>Used to gain access and deliver therapeutic</w:t>
      </w:r>
    </w:p>
    <w:p>
      <w:pPr>
        <w:spacing w:after="0" w:line="23" w:lineRule="exact"/>
        <w:rPr>
          <w:sz w:val="20"/>
          <w:szCs w:val="20"/>
          <w:color w:val="auto"/>
        </w:rPr>
      </w:pPr>
    </w:p>
    <w:p>
      <w:pPr>
        <w:ind w:left="2580"/>
        <w:spacing w:after="0" w:line="255" w:lineRule="auto"/>
        <w:rPr>
          <w:sz w:val="20"/>
          <w:szCs w:val="20"/>
          <w:color w:val="auto"/>
        </w:rPr>
      </w:pPr>
      <w:r>
        <w:rPr>
          <w:rFonts w:ascii="Arial" w:cs="Arial" w:eastAsia="Arial" w:hAnsi="Arial"/>
          <w:sz w:val="18"/>
          <w:szCs w:val="18"/>
          <w:color w:val="auto"/>
        </w:rPr>
        <w:t>devices to the inner chambers of the heart; primarily diagnostic catheters, ablation catheters and structural heart therapies</w:t>
      </w:r>
    </w:p>
    <w:p>
      <w:pPr>
        <w:spacing w:after="0" w:line="150" w:lineRule="exact"/>
        <w:rPr>
          <w:sz w:val="20"/>
          <w:szCs w:val="20"/>
          <w:color w:val="auto"/>
        </w:rPr>
      </w:pPr>
    </w:p>
    <w:p>
      <w:pPr>
        <w:ind w:left="40"/>
        <w:spacing w:after="0"/>
        <w:tabs>
          <w:tab w:leader="none" w:pos="2560" w:val="left"/>
        </w:tabs>
        <w:rPr>
          <w:sz w:val="20"/>
          <w:szCs w:val="20"/>
          <w:color w:val="auto"/>
        </w:rPr>
      </w:pPr>
      <w:r>
        <w:rPr>
          <w:rFonts w:ascii="Arial" w:cs="Arial" w:eastAsia="Arial" w:hAnsi="Arial"/>
          <w:sz w:val="18"/>
          <w:szCs w:val="18"/>
          <w:color w:val="auto"/>
        </w:rPr>
        <w:t>Embolic protection devices</w:t>
      </w:r>
      <w:r>
        <w:rPr>
          <w:sz w:val="20"/>
          <w:szCs w:val="20"/>
          <w:color w:val="auto"/>
        </w:rPr>
        <w:tab/>
      </w:r>
      <w:r>
        <w:rPr>
          <w:rFonts w:ascii="Arial" w:cs="Arial" w:eastAsia="Arial" w:hAnsi="Arial"/>
          <w:sz w:val="16"/>
          <w:szCs w:val="16"/>
          <w:color w:val="auto"/>
        </w:rPr>
        <w:t>Baskets and filters employed to protect distal</w:t>
      </w:r>
    </w:p>
    <w:p>
      <w:pPr>
        <w:spacing w:after="0" w:line="23" w:lineRule="exact"/>
        <w:rPr>
          <w:sz w:val="20"/>
          <w:szCs w:val="20"/>
          <w:color w:val="auto"/>
        </w:rPr>
      </w:pPr>
    </w:p>
    <w:p>
      <w:pPr>
        <w:ind w:left="2580"/>
        <w:spacing w:after="0" w:line="273" w:lineRule="auto"/>
        <w:rPr>
          <w:sz w:val="20"/>
          <w:szCs w:val="20"/>
          <w:color w:val="auto"/>
        </w:rPr>
      </w:pPr>
      <w:r>
        <w:rPr>
          <w:rFonts w:ascii="Arial" w:cs="Arial" w:eastAsia="Arial" w:hAnsi="Arial"/>
          <w:sz w:val="17"/>
          <w:szCs w:val="17"/>
          <w:color w:val="auto"/>
        </w:rPr>
        <w:t>arteries from embolization during angioplasty, stenting, and atherectomy procedures that can cause emboli to lodge in smaller arteries leading to reduced or loss of blood flow</w:t>
      </w:r>
    </w:p>
    <w:p>
      <w:pPr>
        <w:spacing w:after="0" w:line="20" w:lineRule="exact"/>
        <w:rPr>
          <w:sz w:val="20"/>
          <w:szCs w:val="20"/>
          <w:color w:val="auto"/>
        </w:rPr>
      </w:pPr>
      <w:r>
        <w:rPr>
          <w:sz w:val="20"/>
          <w:szCs w:val="20"/>
          <w:color w:val="auto"/>
        </w:rPr>
        <w:br w:type="column"/>
      </w:r>
    </w:p>
    <w:p>
      <w:pPr>
        <w:ind w:right="180"/>
        <w:spacing w:after="0" w:line="264" w:lineRule="auto"/>
        <w:rPr>
          <w:sz w:val="20"/>
          <w:szCs w:val="20"/>
          <w:color w:val="auto"/>
        </w:rPr>
      </w:pPr>
      <w:r>
        <w:rPr>
          <w:rFonts w:ascii="Arial" w:cs="Arial" w:eastAsia="Arial" w:hAnsi="Arial"/>
          <w:sz w:val="18"/>
          <w:szCs w:val="18"/>
          <w:color w:val="auto"/>
        </w:rPr>
        <w:t>Polytetrafluoroethylene (“PTFE”) pre-coated guidewires available in a wide variety of custom &amp; standard configurations</w:t>
      </w:r>
    </w:p>
    <w:p>
      <w:pPr>
        <w:spacing w:after="0" w:line="141" w:lineRule="exact"/>
        <w:rPr>
          <w:sz w:val="20"/>
          <w:szCs w:val="20"/>
          <w:color w:val="auto"/>
        </w:rPr>
      </w:pPr>
    </w:p>
    <w:p>
      <w:pPr>
        <w:ind w:right="20"/>
        <w:spacing w:after="0" w:line="286" w:lineRule="auto"/>
        <w:rPr>
          <w:sz w:val="20"/>
          <w:szCs w:val="20"/>
          <w:color w:val="auto"/>
        </w:rPr>
      </w:pPr>
      <w:r>
        <w:rPr>
          <w:rFonts w:ascii="Arial" w:cs="Arial" w:eastAsia="Arial" w:hAnsi="Arial"/>
          <w:sz w:val="17"/>
          <w:szCs w:val="17"/>
          <w:color w:val="auto"/>
        </w:rPr>
        <w:t>Generally consist of a kit that includes a guidewire, sheath, dilator, and needle Size, configuration &amp; coating depend on the clinical and anatomical requirements</w:t>
      </w:r>
    </w:p>
    <w:p>
      <w:pPr>
        <w:spacing w:after="0" w:line="125" w:lineRule="exact"/>
        <w:rPr>
          <w:sz w:val="20"/>
          <w:szCs w:val="20"/>
          <w:color w:val="auto"/>
        </w:rPr>
      </w:pPr>
    </w:p>
    <w:p>
      <w:pPr>
        <w:ind w:right="300"/>
        <w:spacing w:after="0" w:line="308" w:lineRule="auto"/>
        <w:rPr>
          <w:sz w:val="20"/>
          <w:szCs w:val="20"/>
          <w:color w:val="auto"/>
        </w:rPr>
      </w:pPr>
      <w:r>
        <w:rPr>
          <w:rFonts w:ascii="Arial" w:cs="Arial" w:eastAsia="Arial" w:hAnsi="Arial"/>
          <w:sz w:val="17"/>
          <w:szCs w:val="17"/>
          <w:color w:val="auto"/>
        </w:rPr>
        <w:t>Advanced core, coatings &amp; distal tips designs based on procedure and application specific needs</w:t>
      </w:r>
    </w:p>
    <w:p>
      <w:pPr>
        <w:spacing w:after="0" w:line="322" w:lineRule="exact"/>
        <w:rPr>
          <w:sz w:val="20"/>
          <w:szCs w:val="20"/>
          <w:color w:val="auto"/>
        </w:rPr>
      </w:pPr>
    </w:p>
    <w:p>
      <w:pPr>
        <w:ind w:right="260"/>
        <w:spacing w:after="0" w:line="342" w:lineRule="auto"/>
        <w:rPr>
          <w:sz w:val="20"/>
          <w:szCs w:val="20"/>
          <w:color w:val="auto"/>
        </w:rPr>
      </w:pPr>
      <w:r>
        <w:rPr>
          <w:rFonts w:ascii="Arial" w:cs="Arial" w:eastAsia="Arial" w:hAnsi="Arial"/>
          <w:sz w:val="16"/>
          <w:szCs w:val="16"/>
          <w:color w:val="auto"/>
        </w:rPr>
        <w:t>Range of stiffness profiles, tip shape configurations and transition zones to fit procedural and safety needs</w:t>
      </w:r>
    </w:p>
    <w:p>
      <w:pPr>
        <w:spacing w:after="0" w:line="299" w:lineRule="exact"/>
        <w:rPr>
          <w:sz w:val="20"/>
          <w:szCs w:val="20"/>
          <w:color w:val="auto"/>
        </w:rPr>
      </w:pPr>
    </w:p>
    <w:p>
      <w:pPr>
        <w:ind w:right="520"/>
        <w:spacing w:after="0" w:line="312" w:lineRule="auto"/>
        <w:rPr>
          <w:sz w:val="20"/>
          <w:szCs w:val="20"/>
          <w:color w:val="auto"/>
        </w:rPr>
      </w:pPr>
      <w:r>
        <w:rPr>
          <w:rFonts w:ascii="Arial" w:cs="Arial" w:eastAsia="Arial" w:hAnsi="Arial"/>
          <w:sz w:val="16"/>
          <w:szCs w:val="16"/>
          <w:color w:val="auto"/>
        </w:rPr>
        <w:t>Diverse range of configurations designed to achieve accurate positioning and deliver devices during electrophysiology and structural heart procedures</w:t>
      </w:r>
    </w:p>
    <w:p>
      <w:pPr>
        <w:spacing w:after="0" w:line="322" w:lineRule="exact"/>
        <w:rPr>
          <w:sz w:val="20"/>
          <w:szCs w:val="20"/>
          <w:color w:val="auto"/>
        </w:rPr>
      </w:pPr>
    </w:p>
    <w:p>
      <w:pPr>
        <w:ind w:right="380"/>
        <w:spacing w:after="0" w:line="264" w:lineRule="auto"/>
        <w:rPr>
          <w:sz w:val="20"/>
          <w:szCs w:val="20"/>
          <w:color w:val="auto"/>
        </w:rPr>
      </w:pPr>
      <w:r>
        <w:rPr>
          <w:rFonts w:ascii="Arial" w:cs="Arial" w:eastAsia="Arial" w:hAnsi="Arial"/>
          <w:sz w:val="18"/>
          <w:szCs w:val="18"/>
          <w:color w:val="auto"/>
        </w:rPr>
        <w:t>Range of basket designs, pore sizes and construction materials for capturing emboli in different parts of the body</w:t>
      </w:r>
    </w:p>
    <w:p>
      <w:pPr>
        <w:spacing w:after="0" w:line="572" w:lineRule="exact"/>
        <w:rPr>
          <w:sz w:val="20"/>
          <w:szCs w:val="20"/>
          <w:color w:val="auto"/>
        </w:rPr>
      </w:pPr>
    </w:p>
    <w:p>
      <w:pPr>
        <w:sectPr>
          <w:pgSz w:w="11900" w:h="16838" w:orient="portrait"/>
          <w:cols w:equalWidth="0" w:num="2">
            <w:col w:w="6080" w:space="200"/>
            <w:col w:w="4280"/>
          </w:cols>
          <w:pgMar w:left="240" w:top="908" w:right="1099" w:bottom="1440" w:gutter="0" w:footer="0" w:header="0"/>
          <w:type w:val="continuous"/>
        </w:sectPr>
      </w:pPr>
    </w:p>
    <w:p>
      <w:pPr>
        <w:ind w:left="40"/>
        <w:spacing w:after="0"/>
        <w:tabs>
          <w:tab w:leader="none" w:pos="2560" w:val="left"/>
        </w:tabs>
        <w:rPr>
          <w:sz w:val="20"/>
          <w:szCs w:val="20"/>
          <w:color w:val="auto"/>
        </w:rPr>
      </w:pPr>
      <w:r>
        <w:rPr>
          <w:rFonts w:ascii="Arial" w:cs="Arial" w:eastAsia="Arial" w:hAnsi="Arial"/>
          <w:sz w:val="18"/>
          <w:szCs w:val="18"/>
          <w:color w:val="auto"/>
        </w:rPr>
        <w:t>Delivery systems</w:t>
      </w:r>
      <w:r>
        <w:rPr>
          <w:sz w:val="20"/>
          <w:szCs w:val="20"/>
          <w:color w:val="auto"/>
        </w:rPr>
        <w:tab/>
      </w:r>
      <w:r>
        <w:rPr>
          <w:rFonts w:ascii="Arial" w:cs="Arial" w:eastAsia="Arial" w:hAnsi="Arial"/>
          <w:sz w:val="15"/>
          <w:szCs w:val="15"/>
          <w:color w:val="auto"/>
        </w:rPr>
        <w:t>Guidewires, catheters, and sub-assemblies used</w:t>
      </w:r>
    </w:p>
    <w:p>
      <w:pPr>
        <w:spacing w:after="0" w:line="23" w:lineRule="exact"/>
        <w:rPr>
          <w:sz w:val="20"/>
          <w:szCs w:val="20"/>
          <w:color w:val="auto"/>
        </w:rPr>
      </w:pPr>
    </w:p>
    <w:p>
      <w:pPr>
        <w:ind w:left="2580"/>
        <w:spacing w:after="0"/>
        <w:rPr>
          <w:sz w:val="20"/>
          <w:szCs w:val="20"/>
          <w:color w:val="auto"/>
        </w:rPr>
      </w:pPr>
      <w:r>
        <w:rPr>
          <w:rFonts w:ascii="Arial" w:cs="Arial" w:eastAsia="Arial" w:hAnsi="Arial"/>
          <w:sz w:val="16"/>
          <w:szCs w:val="16"/>
          <w:color w:val="auto"/>
        </w:rPr>
        <w:t>to deploy therapies, including coil pushers that</w:t>
      </w:r>
    </w:p>
    <w:p>
      <w:pPr>
        <w:spacing w:after="0" w:line="32" w:lineRule="exact"/>
        <w:rPr>
          <w:sz w:val="20"/>
          <w:szCs w:val="20"/>
          <w:color w:val="auto"/>
        </w:rPr>
      </w:pPr>
    </w:p>
    <w:p>
      <w:pPr>
        <w:ind w:left="2580"/>
        <w:spacing w:after="0"/>
        <w:rPr>
          <w:sz w:val="20"/>
          <w:szCs w:val="20"/>
          <w:color w:val="auto"/>
        </w:rPr>
      </w:pPr>
      <w:r>
        <w:rPr>
          <w:rFonts w:ascii="Arial" w:cs="Arial" w:eastAsia="Arial" w:hAnsi="Arial"/>
          <w:sz w:val="16"/>
          <w:szCs w:val="16"/>
          <w:color w:val="auto"/>
        </w:rPr>
        <w:t>deploy embolization coils; stent delivery wires</w:t>
      </w:r>
    </w:p>
    <w:p>
      <w:pPr>
        <w:spacing w:after="0" w:line="32" w:lineRule="exact"/>
        <w:rPr>
          <w:sz w:val="20"/>
          <w:szCs w:val="20"/>
          <w:color w:val="auto"/>
        </w:rPr>
      </w:pPr>
    </w:p>
    <w:p>
      <w:pPr>
        <w:ind w:left="2580"/>
        <w:spacing w:after="0"/>
        <w:rPr>
          <w:sz w:val="20"/>
          <w:szCs w:val="20"/>
          <w:color w:val="auto"/>
        </w:rPr>
      </w:pPr>
      <w:r>
        <w:rPr>
          <w:rFonts w:ascii="Arial" w:cs="Arial" w:eastAsia="Arial" w:hAnsi="Arial"/>
          <w:sz w:val="16"/>
          <w:szCs w:val="16"/>
          <w:color w:val="auto"/>
        </w:rPr>
        <w:t>and catheters used to place stents; and embolic</w:t>
      </w:r>
    </w:p>
    <w:p>
      <w:pPr>
        <w:spacing w:after="0" w:line="32" w:lineRule="exact"/>
        <w:rPr>
          <w:sz w:val="20"/>
          <w:szCs w:val="20"/>
          <w:color w:val="auto"/>
        </w:rPr>
      </w:pPr>
    </w:p>
    <w:p>
      <w:pPr>
        <w:ind w:left="2580"/>
        <w:spacing w:after="0"/>
        <w:rPr>
          <w:sz w:val="20"/>
          <w:szCs w:val="20"/>
          <w:color w:val="auto"/>
        </w:rPr>
      </w:pPr>
      <w:r>
        <w:rPr>
          <w:rFonts w:ascii="Arial" w:cs="Arial" w:eastAsia="Arial" w:hAnsi="Arial"/>
          <w:sz w:val="18"/>
          <w:szCs w:val="18"/>
          <w:color w:val="auto"/>
        </w:rPr>
        <w:t>protection delivery and retrieval systems</w:t>
      </w:r>
    </w:p>
    <w:p>
      <w:pPr>
        <w:spacing w:after="0" w:line="20" w:lineRule="exact"/>
        <w:rPr>
          <w:sz w:val="20"/>
          <w:szCs w:val="20"/>
          <w:color w:val="auto"/>
        </w:rPr>
      </w:pPr>
      <w:r>
        <w:rPr>
          <w:sz w:val="20"/>
          <w:szCs w:val="20"/>
          <w:color w:val="auto"/>
        </w:rPr>
        <w:br w:type="column"/>
      </w:r>
    </w:p>
    <w:p>
      <w:pPr>
        <w:jc w:val="both"/>
        <w:ind w:right="240"/>
        <w:spacing w:after="0" w:line="312" w:lineRule="auto"/>
        <w:rPr>
          <w:sz w:val="20"/>
          <w:szCs w:val="20"/>
          <w:color w:val="auto"/>
        </w:rPr>
      </w:pPr>
      <w:r>
        <w:rPr>
          <w:rFonts w:ascii="Arial" w:cs="Arial" w:eastAsia="Arial" w:hAnsi="Arial"/>
          <w:sz w:val="16"/>
          <w:szCs w:val="16"/>
          <w:color w:val="auto"/>
        </w:rPr>
        <w:t>Broad range of custom wire and catheter-based systems incorporating different stiffness profiles, tip shapes, and lengths to fit procedural and safety needs</w:t>
      </w:r>
    </w:p>
    <w:p>
      <w:pPr>
        <w:spacing w:after="0" w:line="538" w:lineRule="exact"/>
        <w:rPr>
          <w:sz w:val="20"/>
          <w:szCs w:val="20"/>
          <w:color w:val="auto"/>
        </w:rPr>
      </w:pPr>
    </w:p>
    <w:p>
      <w:pPr>
        <w:sectPr>
          <w:pgSz w:w="11900" w:h="16838" w:orient="portrait"/>
          <w:cols w:equalWidth="0" w:num="2">
            <w:col w:w="6000" w:space="280"/>
            <w:col w:w="4280"/>
          </w:cols>
          <w:pgMar w:left="240" w:top="908" w:right="1099" w:bottom="1440" w:gutter="0" w:footer="0" w:header="0"/>
          <w:type w:val="continuous"/>
        </w:sectPr>
      </w:pPr>
    </w:p>
    <w:p>
      <w:pPr>
        <w:ind w:left="40"/>
        <w:spacing w:after="0"/>
        <w:tabs>
          <w:tab w:leader="none" w:pos="2560" w:val="left"/>
        </w:tabs>
        <w:rPr>
          <w:sz w:val="20"/>
          <w:szCs w:val="20"/>
          <w:color w:val="auto"/>
        </w:rPr>
      </w:pPr>
      <w:r>
        <w:rPr>
          <w:rFonts w:ascii="Arial" w:cs="Arial" w:eastAsia="Arial" w:hAnsi="Arial"/>
          <w:sz w:val="18"/>
          <w:szCs w:val="18"/>
          <w:color w:val="auto"/>
        </w:rPr>
        <w:t>Microcatheters</w:t>
      </w:r>
      <w:r>
        <w:rPr>
          <w:sz w:val="20"/>
          <w:szCs w:val="20"/>
          <w:color w:val="auto"/>
        </w:rPr>
        <w:tab/>
      </w:r>
      <w:r>
        <w:rPr>
          <w:rFonts w:ascii="Arial" w:cs="Arial" w:eastAsia="Arial" w:hAnsi="Arial"/>
          <w:sz w:val="18"/>
          <w:szCs w:val="18"/>
          <w:color w:val="auto"/>
        </w:rPr>
        <w:t>Catheters with small inner lumens used to</w:t>
      </w:r>
    </w:p>
    <w:p>
      <w:pPr>
        <w:spacing w:after="0" w:line="23" w:lineRule="exact"/>
        <w:rPr>
          <w:sz w:val="20"/>
          <w:szCs w:val="20"/>
          <w:color w:val="auto"/>
        </w:rPr>
      </w:pPr>
    </w:p>
    <w:p>
      <w:pPr>
        <w:ind w:left="2580"/>
        <w:spacing w:after="0" w:line="253" w:lineRule="auto"/>
        <w:rPr>
          <w:sz w:val="20"/>
          <w:szCs w:val="20"/>
          <w:color w:val="auto"/>
        </w:rPr>
      </w:pPr>
      <w:r>
        <w:rPr>
          <w:rFonts w:ascii="Arial" w:cs="Arial" w:eastAsia="Arial" w:hAnsi="Arial"/>
          <w:sz w:val="18"/>
          <w:szCs w:val="18"/>
          <w:color w:val="auto"/>
        </w:rPr>
        <w:t>deliver embolization therapies including coils, particles, glues, and other embolization products during cancer, peripheral and neurovascular procedures where occluding blood flow is desired</w:t>
      </w:r>
    </w:p>
    <w:p>
      <w:pPr>
        <w:spacing w:after="0" w:line="20" w:lineRule="exact"/>
        <w:rPr>
          <w:sz w:val="20"/>
          <w:szCs w:val="20"/>
          <w:color w:val="auto"/>
        </w:rPr>
      </w:pPr>
      <w:r>
        <w:rPr>
          <w:sz w:val="20"/>
          <w:szCs w:val="20"/>
          <w:color w:val="auto"/>
        </w:rPr>
        <w:br w:type="column"/>
      </w:r>
    </w:p>
    <w:p>
      <w:pPr>
        <w:spacing w:after="0" w:line="277" w:lineRule="auto"/>
        <w:rPr>
          <w:sz w:val="20"/>
          <w:szCs w:val="20"/>
          <w:color w:val="auto"/>
        </w:rPr>
      </w:pPr>
      <w:r>
        <w:rPr>
          <w:rFonts w:ascii="Arial" w:cs="Arial" w:eastAsia="Arial" w:hAnsi="Arial"/>
          <w:sz w:val="18"/>
          <w:szCs w:val="18"/>
          <w:color w:val="auto"/>
        </w:rPr>
        <w:t>Range of catheters with differing lengths, stiffness profiles, and small lumen diameters</w:t>
      </w:r>
    </w:p>
    <w:p>
      <w:pPr>
        <w:spacing w:after="0" w:line="994" w:lineRule="exact"/>
        <w:rPr>
          <w:sz w:val="20"/>
          <w:szCs w:val="20"/>
          <w:color w:val="auto"/>
        </w:rPr>
      </w:pPr>
    </w:p>
    <w:p>
      <w:pPr>
        <w:sectPr>
          <w:pgSz w:w="11900" w:h="16838" w:orient="portrait"/>
          <w:cols w:equalWidth="0" w:num="2">
            <w:col w:w="6080" w:space="200"/>
            <w:col w:w="4280"/>
          </w:cols>
          <w:pgMar w:left="240" w:top="908" w:right="1099" w:bottom="1440" w:gutter="0" w:footer="0" w:header="0"/>
          <w:type w:val="continuous"/>
        </w:sectPr>
      </w:pPr>
    </w:p>
    <w:p>
      <w:pPr>
        <w:ind w:left="40"/>
        <w:spacing w:after="0"/>
        <w:tabs>
          <w:tab w:leader="none" w:pos="2560" w:val="left"/>
        </w:tabs>
        <w:rPr>
          <w:sz w:val="20"/>
          <w:szCs w:val="20"/>
          <w:color w:val="auto"/>
        </w:rPr>
      </w:pPr>
      <w:r>
        <w:rPr>
          <w:rFonts w:ascii="Arial" w:cs="Arial" w:eastAsia="Arial" w:hAnsi="Arial"/>
          <w:sz w:val="18"/>
          <w:szCs w:val="18"/>
          <w:color w:val="auto"/>
        </w:rPr>
        <w:t>Electrical and optical devices</w:t>
      </w:r>
      <w:r>
        <w:rPr>
          <w:sz w:val="20"/>
          <w:szCs w:val="20"/>
          <w:color w:val="auto"/>
        </w:rPr>
        <w:tab/>
      </w:r>
      <w:r>
        <w:rPr>
          <w:rFonts w:ascii="Arial" w:cs="Arial" w:eastAsia="Arial" w:hAnsi="Arial"/>
          <w:sz w:val="16"/>
          <w:szCs w:val="16"/>
          <w:color w:val="auto"/>
        </w:rPr>
        <w:t>Guidewire and catheter-based devices that</w:t>
      </w:r>
    </w:p>
    <w:p>
      <w:pPr>
        <w:spacing w:after="0" w:line="23" w:lineRule="exact"/>
        <w:rPr>
          <w:sz w:val="20"/>
          <w:szCs w:val="20"/>
          <w:color w:val="auto"/>
        </w:rPr>
      </w:pPr>
    </w:p>
    <w:p>
      <w:pPr>
        <w:ind w:left="2580"/>
        <w:spacing w:after="0" w:line="277" w:lineRule="auto"/>
        <w:rPr>
          <w:sz w:val="20"/>
          <w:szCs w:val="20"/>
          <w:color w:val="auto"/>
        </w:rPr>
      </w:pPr>
      <w:r>
        <w:rPr>
          <w:rFonts w:ascii="Arial" w:cs="Arial" w:eastAsia="Arial" w:hAnsi="Arial"/>
          <w:sz w:val="17"/>
          <w:szCs w:val="17"/>
          <w:color w:val="auto"/>
        </w:rPr>
        <w:t>provide diagnostic information (e.g. arterial pressure, imaging) when planning and optimizing interventional treatments</w:t>
      </w:r>
    </w:p>
    <w:p>
      <w:pPr>
        <w:spacing w:after="0" w:line="133" w:lineRule="exact"/>
        <w:rPr>
          <w:sz w:val="20"/>
          <w:szCs w:val="20"/>
          <w:color w:val="auto"/>
        </w:rPr>
      </w:pPr>
    </w:p>
    <w:p>
      <w:pPr>
        <w:ind w:left="40"/>
        <w:spacing w:after="0"/>
        <w:tabs>
          <w:tab w:leader="none" w:pos="2560" w:val="left"/>
        </w:tabs>
        <w:rPr>
          <w:sz w:val="20"/>
          <w:szCs w:val="20"/>
          <w:color w:val="auto"/>
        </w:rPr>
      </w:pPr>
      <w:r>
        <w:rPr>
          <w:rFonts w:ascii="Arial" w:cs="Arial" w:eastAsia="Arial" w:hAnsi="Arial"/>
          <w:sz w:val="18"/>
          <w:szCs w:val="18"/>
          <w:color w:val="auto"/>
        </w:rPr>
        <w:t>Orthopaedic implants</w:t>
      </w:r>
      <w:r>
        <w:rPr>
          <w:sz w:val="20"/>
          <w:szCs w:val="20"/>
          <w:color w:val="auto"/>
        </w:rPr>
        <w:tab/>
      </w:r>
      <w:r>
        <w:rPr>
          <w:rFonts w:ascii="Arial" w:cs="Arial" w:eastAsia="Arial" w:hAnsi="Arial"/>
          <w:sz w:val="16"/>
          <w:szCs w:val="16"/>
          <w:color w:val="auto"/>
        </w:rPr>
        <w:t>Orthopaedic implants for large joint, spine,</w:t>
      </w:r>
    </w:p>
    <w:p>
      <w:pPr>
        <w:spacing w:after="0" w:line="23" w:lineRule="exact"/>
        <w:rPr>
          <w:sz w:val="20"/>
          <w:szCs w:val="20"/>
          <w:color w:val="auto"/>
        </w:rPr>
      </w:pPr>
    </w:p>
    <w:p>
      <w:pPr>
        <w:ind w:left="2580"/>
        <w:spacing w:after="0"/>
        <w:rPr>
          <w:sz w:val="20"/>
          <w:szCs w:val="20"/>
          <w:color w:val="auto"/>
        </w:rPr>
      </w:pPr>
      <w:r>
        <w:rPr>
          <w:rFonts w:ascii="Arial" w:cs="Arial" w:eastAsia="Arial" w:hAnsi="Arial"/>
          <w:sz w:val="18"/>
          <w:szCs w:val="18"/>
          <w:color w:val="auto"/>
        </w:rPr>
        <w:t>extremity and trauma procedures</w:t>
      </w:r>
    </w:p>
    <w:p>
      <w:pPr>
        <w:spacing w:after="0" w:line="20" w:lineRule="exact"/>
        <w:rPr>
          <w:sz w:val="20"/>
          <w:szCs w:val="20"/>
          <w:color w:val="auto"/>
        </w:rPr>
      </w:pPr>
      <w:r>
        <w:rPr>
          <w:sz w:val="20"/>
          <w:szCs w:val="20"/>
          <w:color w:val="auto"/>
        </w:rPr>
        <w:br w:type="column"/>
      </w:r>
    </w:p>
    <w:p>
      <w:pPr>
        <w:ind w:right="700"/>
        <w:spacing w:after="0" w:line="264" w:lineRule="auto"/>
        <w:rPr>
          <w:sz w:val="20"/>
          <w:szCs w:val="20"/>
          <w:color w:val="auto"/>
        </w:rPr>
      </w:pPr>
      <w:r>
        <w:rPr>
          <w:rFonts w:ascii="Arial" w:cs="Arial" w:eastAsia="Arial" w:hAnsi="Arial"/>
          <w:sz w:val="18"/>
          <w:szCs w:val="18"/>
          <w:color w:val="auto"/>
        </w:rPr>
        <w:t>Guidewires and catheters that incorporate various mechanical, electrical / optical and connectivity technologies</w:t>
      </w:r>
    </w:p>
    <w:p>
      <w:pPr>
        <w:spacing w:after="0" w:line="357" w:lineRule="exact"/>
        <w:rPr>
          <w:sz w:val="20"/>
          <w:szCs w:val="20"/>
          <w:color w:val="auto"/>
        </w:rPr>
      </w:pPr>
    </w:p>
    <w:p>
      <w:pPr>
        <w:ind w:right="40"/>
        <w:spacing w:after="0" w:line="342" w:lineRule="auto"/>
        <w:rPr>
          <w:sz w:val="20"/>
          <w:szCs w:val="20"/>
          <w:color w:val="auto"/>
        </w:rPr>
      </w:pPr>
      <w:r>
        <w:rPr>
          <w:rFonts w:ascii="Arial" w:cs="Arial" w:eastAsia="Arial" w:hAnsi="Arial"/>
          <w:sz w:val="16"/>
          <w:szCs w:val="16"/>
          <w:color w:val="auto"/>
        </w:rPr>
        <w:t>Precision manufacturing, leveraging capabilities and product processes including sterile packaging and coatings</w:t>
      </w:r>
    </w:p>
    <w:p>
      <w:pPr>
        <w:spacing w:after="0" w:line="200" w:lineRule="exact"/>
        <w:rPr>
          <w:sz w:val="20"/>
          <w:szCs w:val="20"/>
          <w:color w:val="auto"/>
        </w:rPr>
      </w:pPr>
    </w:p>
    <w:p>
      <w:pPr>
        <w:sectPr>
          <w:pgSz w:w="11900" w:h="16838" w:orient="portrait"/>
          <w:cols w:equalWidth="0" w:num="2">
            <w:col w:w="5740" w:space="540"/>
            <w:col w:w="4280"/>
          </w:cols>
          <w:pgMar w:left="240" w:top="908" w:right="1099" w:bottom="1440" w:gutter="0" w:footer="0" w:header="0"/>
          <w:type w:val="continuous"/>
        </w:sectPr>
      </w:pPr>
    </w:p>
    <w:p>
      <w:pPr>
        <w:spacing w:after="0" w:line="200" w:lineRule="exact"/>
        <w:rPr>
          <w:sz w:val="20"/>
          <w:szCs w:val="20"/>
          <w:color w:val="auto"/>
        </w:rPr>
      </w:pPr>
    </w:p>
    <w:p>
      <w:pPr>
        <w:spacing w:after="0" w:line="224" w:lineRule="exact"/>
        <w:rPr>
          <w:sz w:val="20"/>
          <w:szCs w:val="20"/>
          <w:color w:val="auto"/>
        </w:rPr>
      </w:pPr>
    </w:p>
    <w:p>
      <w:pPr>
        <w:ind w:left="5520"/>
        <w:spacing w:after="0"/>
        <w:rPr>
          <w:sz w:val="20"/>
          <w:szCs w:val="20"/>
          <w:color w:val="auto"/>
        </w:rPr>
      </w:pPr>
      <w:r>
        <w:rPr>
          <w:rFonts w:ascii="Arial" w:cs="Arial" w:eastAsia="Arial" w:hAnsi="Arial"/>
          <w:sz w:val="16"/>
          <w:szCs w:val="16"/>
          <w:color w:val="auto"/>
        </w:rPr>
        <w:t>- 12 -</w:t>
      </w:r>
    </w:p>
    <w:p>
      <w:pPr>
        <w:sectPr>
          <w:pgSz w:w="11900" w:h="16838" w:orient="portrait"/>
          <w:cols w:equalWidth="0" w:num="1">
            <w:col w:w="10560"/>
          </w:cols>
          <w:pgMar w:left="240" w:top="908" w:right="1099" w:bottom="1440" w:gutter="0" w:footer="0" w:header="0"/>
          <w:type w:val="continuous"/>
        </w:sectPr>
      </w:pPr>
    </w:p>
    <w:bookmarkStart w:id="13" w:name="page14"/>
    <w:bookmarkEnd w:id="13"/>
    <w:p>
      <w:pPr>
        <w:ind w:left="40"/>
        <w:spacing w:after="0"/>
        <w:tabs>
          <w:tab w:leader="none" w:pos="3980" w:val="left"/>
          <w:tab w:leader="none" w:pos="7520" w:val="left"/>
        </w:tabs>
        <w:rPr>
          <w:sz w:val="20"/>
          <w:szCs w:val="20"/>
          <w:color w:val="auto"/>
        </w:rPr>
      </w:pPr>
      <w:r>
        <w:rPr>
          <w:rFonts w:ascii="Arial" w:cs="Arial" w:eastAsia="Arial" w:hAnsi="Arial"/>
          <w:sz w:val="14"/>
          <w:szCs w:val="14"/>
          <w:b w:val="1"/>
          <w:bCs w:val="1"/>
          <w:u w:val="single" w:color="auto"/>
          <w:color w:val="auto"/>
        </w:rPr>
        <w:t>Product</w:t>
      </w:r>
      <w:r>
        <w:rPr>
          <w:sz w:val="20"/>
          <w:szCs w:val="20"/>
          <w:color w:val="auto"/>
        </w:rPr>
        <w:tab/>
      </w:r>
      <w:r>
        <w:rPr>
          <w:rFonts w:ascii="Arial" w:cs="Arial" w:eastAsia="Arial" w:hAnsi="Arial"/>
          <w:sz w:val="14"/>
          <w:szCs w:val="14"/>
          <w:b w:val="1"/>
          <w:bCs w:val="1"/>
          <w:color w:val="auto"/>
        </w:rPr>
        <w:t>Description</w:t>
      </w:r>
      <w:r>
        <w:rPr>
          <w:sz w:val="20"/>
          <w:szCs w:val="20"/>
          <w:color w:val="auto"/>
        </w:rPr>
        <w:tab/>
      </w:r>
      <w:r>
        <w:rPr>
          <w:rFonts w:ascii="Arial" w:cs="Arial" w:eastAsia="Arial" w:hAnsi="Arial"/>
          <w:sz w:val="13"/>
          <w:szCs w:val="13"/>
          <w:b w:val="1"/>
          <w:bCs w:val="1"/>
          <w:color w:val="auto"/>
        </w:rPr>
        <w:t>Principal Product Attributes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3975735</wp:posOffset>
            </wp:positionH>
            <wp:positionV relativeFrom="paragraph">
              <wp:posOffset>23495</wp:posOffset>
            </wp:positionV>
            <wp:extent cx="275272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2752725" cy="8890"/>
                    </a:xfrm>
                    <a:prstGeom prst="rect">
                      <a:avLst/>
                    </a:prstGeom>
                    <a:noFill/>
                  </pic:spPr>
                </pic:pic>
              </a:graphicData>
            </a:graphic>
          </wp:anchor>
        </w:drawing>
      </w:r>
    </w:p>
    <w:p>
      <w:pPr>
        <w:sectPr>
          <w:pgSz w:w="11900" w:h="16838" w:orient="portrait"/>
          <w:cols w:equalWidth="0" w:num="1">
            <w:col w:w="11420"/>
          </w:cols>
          <w:pgMar w:left="240" w:top="1130" w:right="239" w:bottom="1440" w:gutter="0" w:footer="0" w:header="0"/>
        </w:sectPr>
      </w:pPr>
    </w:p>
    <w:p>
      <w:pPr>
        <w:spacing w:after="0" w:line="25" w:lineRule="exact"/>
        <w:rPr>
          <w:sz w:val="20"/>
          <w:szCs w:val="20"/>
          <w:color w:val="auto"/>
        </w:rPr>
      </w:pPr>
    </w:p>
    <w:tbl>
      <w:tblPr>
        <w:tblLayout w:type="fixed"/>
        <w:tblInd w:w="40" w:type="dxa"/>
        <w:tblCellMar>
          <w:top w:w="0" w:type="dxa"/>
          <w:left w:w="0" w:type="dxa"/>
          <w:bottom w:w="0" w:type="dxa"/>
          <w:right w:w="0" w:type="dxa"/>
        </w:tblCellMar>
      </w:tblPr>
      <w:tr>
        <w:trPr>
          <w:trHeight w:val="234"/>
        </w:trPr>
        <w:tc>
          <w:tcPr>
            <w:tcW w:w="2520" w:type="dxa"/>
            <w:vAlign w:val="bottom"/>
          </w:tcPr>
          <w:p>
            <w:pPr>
              <w:spacing w:after="0"/>
              <w:rPr>
                <w:sz w:val="20"/>
                <w:szCs w:val="20"/>
                <w:color w:val="auto"/>
              </w:rPr>
            </w:pPr>
            <w:r>
              <w:rPr>
                <w:rFonts w:ascii="Arial" w:cs="Arial" w:eastAsia="Arial" w:hAnsi="Arial"/>
                <w:sz w:val="18"/>
                <w:szCs w:val="18"/>
                <w:color w:val="auto"/>
              </w:rPr>
              <w:t>Orthopaedic instruments</w:t>
            </w:r>
          </w:p>
        </w:tc>
        <w:tc>
          <w:tcPr>
            <w:tcW w:w="360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w w:val="90"/>
              </w:rPr>
              <w:t>Reusable and single use orthopaedic instruments</w:t>
            </w:r>
          </w:p>
        </w:tc>
      </w:tr>
      <w:tr>
        <w:trPr>
          <w:trHeight w:val="216"/>
        </w:trPr>
        <w:tc>
          <w:tcPr>
            <w:tcW w:w="2520" w:type="dxa"/>
            <w:vAlign w:val="bottom"/>
          </w:tcPr>
          <w:p>
            <w:pPr>
              <w:spacing w:after="0"/>
              <w:rPr>
                <w:sz w:val="18"/>
                <w:szCs w:val="18"/>
                <w:color w:val="auto"/>
              </w:rPr>
            </w:pPr>
          </w:p>
        </w:tc>
        <w:tc>
          <w:tcPr>
            <w:tcW w:w="3600" w:type="dxa"/>
            <w:vAlign w:val="bottom"/>
          </w:tcPr>
          <w:p>
            <w:pPr>
              <w:ind w:left="20"/>
              <w:spacing w:after="0"/>
              <w:rPr>
                <w:sz w:val="20"/>
                <w:szCs w:val="20"/>
                <w:color w:val="auto"/>
              </w:rPr>
            </w:pPr>
            <w:r>
              <w:rPr>
                <w:rFonts w:ascii="Arial" w:cs="Arial" w:eastAsia="Arial" w:hAnsi="Arial"/>
                <w:sz w:val="18"/>
                <w:szCs w:val="18"/>
                <w:color w:val="auto"/>
              </w:rPr>
              <w:t>for large joint, spine, extremity and trauma</w:t>
            </w:r>
          </w:p>
        </w:tc>
      </w:tr>
      <w:tr>
        <w:trPr>
          <w:trHeight w:val="230"/>
        </w:trPr>
        <w:tc>
          <w:tcPr>
            <w:tcW w:w="2520" w:type="dxa"/>
            <w:vAlign w:val="bottom"/>
          </w:tcPr>
          <w:p>
            <w:pPr>
              <w:spacing w:after="0"/>
              <w:rPr>
                <w:sz w:val="20"/>
                <w:szCs w:val="20"/>
                <w:color w:val="auto"/>
              </w:rPr>
            </w:pPr>
          </w:p>
        </w:tc>
        <w:tc>
          <w:tcPr>
            <w:tcW w:w="3600" w:type="dxa"/>
            <w:vAlign w:val="bottom"/>
          </w:tcPr>
          <w:p>
            <w:pPr>
              <w:ind w:left="20"/>
              <w:spacing w:after="0"/>
              <w:rPr>
                <w:sz w:val="20"/>
                <w:szCs w:val="20"/>
                <w:color w:val="auto"/>
              </w:rPr>
            </w:pPr>
            <w:r>
              <w:rPr>
                <w:rFonts w:ascii="Arial" w:cs="Arial" w:eastAsia="Arial" w:hAnsi="Arial"/>
                <w:sz w:val="18"/>
                <w:szCs w:val="18"/>
                <w:color w:val="auto"/>
              </w:rPr>
              <w:t>procedures</w:t>
            </w:r>
          </w:p>
        </w:tc>
      </w:tr>
    </w:tbl>
    <w:p>
      <w:pPr>
        <w:spacing w:after="0" w:line="20" w:lineRule="exact"/>
        <w:rPr>
          <w:sz w:val="20"/>
          <w:szCs w:val="20"/>
          <w:color w:val="auto"/>
        </w:rPr>
      </w:pPr>
      <w:r>
        <w:rPr>
          <w:sz w:val="20"/>
          <w:szCs w:val="20"/>
          <w:color w:val="auto"/>
        </w:rPr>
        <w:br w:type="column"/>
      </w:r>
    </w:p>
    <w:p>
      <w:pPr>
        <w:spacing w:after="0" w:line="43" w:lineRule="exact"/>
        <w:rPr>
          <w:sz w:val="20"/>
          <w:szCs w:val="20"/>
          <w:color w:val="auto"/>
        </w:rPr>
      </w:pPr>
    </w:p>
    <w:p>
      <w:pPr>
        <w:ind w:right="1040"/>
        <w:spacing w:after="0" w:line="277" w:lineRule="auto"/>
        <w:rPr>
          <w:sz w:val="20"/>
          <w:szCs w:val="20"/>
          <w:color w:val="auto"/>
        </w:rPr>
      </w:pPr>
      <w:r>
        <w:rPr>
          <w:rFonts w:ascii="Arial" w:cs="Arial" w:eastAsia="Arial" w:hAnsi="Arial"/>
          <w:sz w:val="18"/>
          <w:szCs w:val="18"/>
          <w:color w:val="auto"/>
        </w:rPr>
        <w:t>Designed to improve surgical techniques, reduce surgery time, and increase surgical precision</w:t>
      </w:r>
    </w:p>
    <w:p>
      <w:pPr>
        <w:spacing w:after="0" w:line="345" w:lineRule="exact"/>
        <w:rPr>
          <w:sz w:val="20"/>
          <w:szCs w:val="20"/>
          <w:color w:val="auto"/>
        </w:rPr>
      </w:pPr>
    </w:p>
    <w:p>
      <w:pPr>
        <w:sectPr>
          <w:pgSz w:w="11900" w:h="16838" w:orient="portrait"/>
          <w:cols w:equalWidth="0" w:num="2">
            <w:col w:w="6160" w:space="120"/>
            <w:col w:w="5140"/>
          </w:cols>
          <w:pgMar w:left="240" w:top="1130" w:right="239" w:bottom="1440" w:gutter="0" w:footer="0" w:header="0"/>
          <w:type w:val="continuous"/>
        </w:sectPr>
      </w:pPr>
    </w:p>
    <w:tbl>
      <w:tblPr>
        <w:tblLayout w:type="fixed"/>
        <w:tblInd w:w="40" w:type="dxa"/>
        <w:tblCellMar>
          <w:top w:w="0" w:type="dxa"/>
          <w:left w:w="0" w:type="dxa"/>
          <w:bottom w:w="0" w:type="dxa"/>
          <w:right w:w="0" w:type="dxa"/>
        </w:tblCellMar>
      </w:tblPr>
      <w:tr>
        <w:trPr>
          <w:trHeight w:val="216"/>
        </w:trPr>
        <w:tc>
          <w:tcPr>
            <w:tcW w:w="2340" w:type="dxa"/>
            <w:vAlign w:val="bottom"/>
          </w:tcPr>
          <w:p>
            <w:pPr>
              <w:spacing w:after="0"/>
              <w:rPr>
                <w:sz w:val="20"/>
                <w:szCs w:val="20"/>
                <w:color w:val="auto"/>
              </w:rPr>
            </w:pPr>
            <w:r>
              <w:rPr>
                <w:rFonts w:ascii="Arial" w:cs="Arial" w:eastAsia="Arial" w:hAnsi="Arial"/>
                <w:sz w:val="18"/>
                <w:szCs w:val="18"/>
                <w:color w:val="auto"/>
              </w:rPr>
              <w:t>Cases and trays</w:t>
            </w:r>
          </w:p>
        </w:tc>
        <w:tc>
          <w:tcPr>
            <w:tcW w:w="3780" w:type="dxa"/>
            <w:vAlign w:val="bottom"/>
          </w:tcPr>
          <w:p>
            <w:pPr>
              <w:ind w:left="200"/>
              <w:spacing w:after="0"/>
              <w:rPr>
                <w:sz w:val="20"/>
                <w:szCs w:val="20"/>
                <w:color w:val="auto"/>
              </w:rPr>
            </w:pPr>
            <w:r>
              <w:rPr>
                <w:rFonts w:ascii="Arial" w:cs="Arial" w:eastAsia="Arial" w:hAnsi="Arial"/>
                <w:sz w:val="18"/>
                <w:szCs w:val="18"/>
                <w:color w:val="auto"/>
              </w:rPr>
              <w:t>Delivery systems for cleaning and sterilizing</w:t>
            </w:r>
          </w:p>
        </w:tc>
        <w:tc>
          <w:tcPr>
            <w:tcW w:w="4340" w:type="dxa"/>
            <w:vAlign w:val="bottom"/>
          </w:tcPr>
          <w:p>
            <w:pPr>
              <w:ind w:left="120"/>
              <w:spacing w:after="0"/>
              <w:rPr>
                <w:sz w:val="20"/>
                <w:szCs w:val="20"/>
                <w:color w:val="auto"/>
              </w:rPr>
            </w:pPr>
            <w:r>
              <w:rPr>
                <w:rFonts w:ascii="Arial" w:cs="Arial" w:eastAsia="Arial" w:hAnsi="Arial"/>
                <w:sz w:val="18"/>
                <w:szCs w:val="18"/>
                <w:color w:val="auto"/>
              </w:rPr>
              <w:t>High degree of customization;</w:t>
            </w:r>
          </w:p>
        </w:tc>
      </w:tr>
      <w:tr>
        <w:trPr>
          <w:trHeight w:val="230"/>
        </w:trPr>
        <w:tc>
          <w:tcPr>
            <w:tcW w:w="2340" w:type="dxa"/>
            <w:vAlign w:val="bottom"/>
          </w:tcPr>
          <w:p>
            <w:pPr>
              <w:spacing w:after="0"/>
              <w:rPr>
                <w:sz w:val="20"/>
                <w:szCs w:val="20"/>
                <w:color w:val="auto"/>
              </w:rPr>
            </w:pPr>
          </w:p>
        </w:tc>
        <w:tc>
          <w:tcPr>
            <w:tcW w:w="3780" w:type="dxa"/>
            <w:vAlign w:val="bottom"/>
          </w:tcPr>
          <w:p>
            <w:pPr>
              <w:ind w:left="200"/>
              <w:spacing w:after="0"/>
              <w:rPr>
                <w:sz w:val="20"/>
                <w:szCs w:val="20"/>
                <w:color w:val="auto"/>
              </w:rPr>
            </w:pPr>
            <w:r>
              <w:rPr>
                <w:rFonts w:ascii="Arial" w:cs="Arial" w:eastAsia="Arial" w:hAnsi="Arial"/>
                <w:sz w:val="18"/>
                <w:szCs w:val="18"/>
                <w:color w:val="auto"/>
              </w:rPr>
              <w:t>orthopaedic instruments and implants</w:t>
            </w:r>
          </w:p>
        </w:tc>
        <w:tc>
          <w:tcPr>
            <w:tcW w:w="4340" w:type="dxa"/>
            <w:vAlign w:val="bottom"/>
          </w:tcPr>
          <w:p>
            <w:pPr>
              <w:ind w:left="120"/>
              <w:spacing w:after="0"/>
              <w:rPr>
                <w:sz w:val="20"/>
                <w:szCs w:val="20"/>
                <w:color w:val="auto"/>
              </w:rPr>
            </w:pPr>
            <w:r>
              <w:rPr>
                <w:rFonts w:ascii="Arial" w:cs="Arial" w:eastAsia="Arial" w:hAnsi="Arial"/>
                <w:sz w:val="18"/>
                <w:szCs w:val="18"/>
                <w:color w:val="auto"/>
                <w:w w:val="93"/>
              </w:rPr>
              <w:t>Short, predictable development and production timelines</w:t>
            </w:r>
          </w:p>
        </w:tc>
      </w:tr>
      <w:tr>
        <w:trPr>
          <w:trHeight w:val="377"/>
        </w:trPr>
        <w:tc>
          <w:tcPr>
            <w:tcW w:w="2340" w:type="dxa"/>
            <w:vAlign w:val="bottom"/>
          </w:tcPr>
          <w:p>
            <w:pPr>
              <w:spacing w:after="0"/>
              <w:rPr>
                <w:sz w:val="20"/>
                <w:szCs w:val="20"/>
                <w:color w:val="auto"/>
              </w:rPr>
            </w:pPr>
            <w:r>
              <w:rPr>
                <w:rFonts w:ascii="Arial" w:cs="Arial" w:eastAsia="Arial" w:hAnsi="Arial"/>
                <w:sz w:val="18"/>
                <w:szCs w:val="18"/>
                <w:color w:val="auto"/>
                <w:w w:val="97"/>
              </w:rPr>
              <w:t>Laparoscopic surgery devices</w:t>
            </w:r>
          </w:p>
        </w:tc>
        <w:tc>
          <w:tcPr>
            <w:tcW w:w="3780" w:type="dxa"/>
            <w:vAlign w:val="bottom"/>
          </w:tcPr>
          <w:p>
            <w:pPr>
              <w:ind w:left="200"/>
              <w:spacing w:after="0"/>
              <w:rPr>
                <w:sz w:val="20"/>
                <w:szCs w:val="20"/>
                <w:color w:val="auto"/>
              </w:rPr>
            </w:pPr>
            <w:r>
              <w:rPr>
                <w:rFonts w:ascii="Arial" w:cs="Arial" w:eastAsia="Arial" w:hAnsi="Arial"/>
                <w:sz w:val="18"/>
                <w:szCs w:val="18"/>
                <w:color w:val="auto"/>
                <w:w w:val="94"/>
              </w:rPr>
              <w:t>Devices which include access devices, such as</w:t>
            </w:r>
          </w:p>
        </w:tc>
        <w:tc>
          <w:tcPr>
            <w:tcW w:w="4340" w:type="dxa"/>
            <w:vAlign w:val="bottom"/>
          </w:tcPr>
          <w:p>
            <w:pPr>
              <w:ind w:left="120"/>
              <w:spacing w:after="0"/>
              <w:rPr>
                <w:sz w:val="20"/>
                <w:szCs w:val="20"/>
                <w:color w:val="auto"/>
              </w:rPr>
            </w:pPr>
            <w:r>
              <w:rPr>
                <w:rFonts w:ascii="Arial" w:cs="Arial" w:eastAsia="Arial" w:hAnsi="Arial"/>
                <w:sz w:val="18"/>
                <w:szCs w:val="18"/>
                <w:color w:val="auto"/>
                <w:w w:val="90"/>
              </w:rPr>
              <w:t>Precision manufacturing of tubing, machined components,</w:t>
            </w:r>
          </w:p>
        </w:tc>
      </w:tr>
      <w:tr>
        <w:trPr>
          <w:trHeight w:val="216"/>
        </w:trPr>
        <w:tc>
          <w:tcPr>
            <w:tcW w:w="2340" w:type="dxa"/>
            <w:vAlign w:val="bottom"/>
          </w:tcPr>
          <w:p>
            <w:pPr>
              <w:spacing w:after="0"/>
              <w:rPr>
                <w:sz w:val="18"/>
                <w:szCs w:val="18"/>
                <w:color w:val="auto"/>
              </w:rPr>
            </w:pPr>
          </w:p>
        </w:tc>
        <w:tc>
          <w:tcPr>
            <w:tcW w:w="3780" w:type="dxa"/>
            <w:vAlign w:val="bottom"/>
          </w:tcPr>
          <w:p>
            <w:pPr>
              <w:ind w:left="200"/>
              <w:spacing w:after="0"/>
              <w:rPr>
                <w:sz w:val="20"/>
                <w:szCs w:val="20"/>
                <w:color w:val="auto"/>
              </w:rPr>
            </w:pPr>
            <w:r>
              <w:rPr>
                <w:rFonts w:ascii="Arial" w:cs="Arial" w:eastAsia="Arial" w:hAnsi="Arial"/>
                <w:sz w:val="18"/>
                <w:szCs w:val="18"/>
                <w:color w:val="auto"/>
                <w:w w:val="94"/>
              </w:rPr>
              <w:t>trocars and cannulas; imaging devices, such as</w:t>
            </w:r>
          </w:p>
        </w:tc>
        <w:tc>
          <w:tcPr>
            <w:tcW w:w="4340" w:type="dxa"/>
            <w:vAlign w:val="bottom"/>
          </w:tcPr>
          <w:p>
            <w:pPr>
              <w:ind w:left="120"/>
              <w:spacing w:after="0"/>
              <w:rPr>
                <w:sz w:val="20"/>
                <w:szCs w:val="20"/>
                <w:color w:val="auto"/>
              </w:rPr>
            </w:pPr>
            <w:r>
              <w:rPr>
                <w:rFonts w:ascii="Arial" w:cs="Arial" w:eastAsia="Arial" w:hAnsi="Arial"/>
                <w:sz w:val="18"/>
                <w:szCs w:val="18"/>
                <w:color w:val="auto"/>
              </w:rPr>
              <w:t>plastics and finished device assembly</w:t>
            </w:r>
          </w:p>
        </w:tc>
      </w:tr>
      <w:tr>
        <w:trPr>
          <w:trHeight w:val="216"/>
        </w:trPr>
        <w:tc>
          <w:tcPr>
            <w:tcW w:w="2340" w:type="dxa"/>
            <w:vAlign w:val="bottom"/>
          </w:tcPr>
          <w:p>
            <w:pPr>
              <w:spacing w:after="0"/>
              <w:rPr>
                <w:sz w:val="18"/>
                <w:szCs w:val="18"/>
                <w:color w:val="auto"/>
              </w:rPr>
            </w:pPr>
          </w:p>
        </w:tc>
        <w:tc>
          <w:tcPr>
            <w:tcW w:w="3780" w:type="dxa"/>
            <w:vAlign w:val="bottom"/>
          </w:tcPr>
          <w:p>
            <w:pPr>
              <w:ind w:left="200"/>
              <w:spacing w:after="0"/>
              <w:rPr>
                <w:sz w:val="20"/>
                <w:szCs w:val="20"/>
                <w:color w:val="auto"/>
              </w:rPr>
            </w:pPr>
            <w:r>
              <w:rPr>
                <w:rFonts w:ascii="Arial" w:cs="Arial" w:eastAsia="Arial" w:hAnsi="Arial"/>
                <w:sz w:val="18"/>
                <w:szCs w:val="18"/>
                <w:color w:val="auto"/>
              </w:rPr>
              <w:t>endoscopes; energy based devices, such as</w:t>
            </w:r>
          </w:p>
        </w:tc>
        <w:tc>
          <w:tcPr>
            <w:tcW w:w="4340" w:type="dxa"/>
            <w:vAlign w:val="bottom"/>
          </w:tcPr>
          <w:p>
            <w:pPr>
              <w:spacing w:after="0"/>
              <w:rPr>
                <w:sz w:val="18"/>
                <w:szCs w:val="18"/>
                <w:color w:val="auto"/>
              </w:rPr>
            </w:pPr>
          </w:p>
        </w:tc>
      </w:tr>
      <w:tr>
        <w:trPr>
          <w:trHeight w:val="216"/>
        </w:trPr>
        <w:tc>
          <w:tcPr>
            <w:tcW w:w="2340" w:type="dxa"/>
            <w:vAlign w:val="bottom"/>
          </w:tcPr>
          <w:p>
            <w:pPr>
              <w:spacing w:after="0"/>
              <w:rPr>
                <w:sz w:val="18"/>
                <w:szCs w:val="18"/>
                <w:color w:val="auto"/>
              </w:rPr>
            </w:pPr>
          </w:p>
        </w:tc>
        <w:tc>
          <w:tcPr>
            <w:tcW w:w="3780" w:type="dxa"/>
            <w:vAlign w:val="bottom"/>
          </w:tcPr>
          <w:p>
            <w:pPr>
              <w:ind w:left="200"/>
              <w:spacing w:after="0"/>
              <w:rPr>
                <w:sz w:val="20"/>
                <w:szCs w:val="20"/>
                <w:color w:val="auto"/>
              </w:rPr>
            </w:pPr>
            <w:r>
              <w:rPr>
                <w:rFonts w:ascii="Arial" w:cs="Arial" w:eastAsia="Arial" w:hAnsi="Arial"/>
                <w:sz w:val="18"/>
                <w:szCs w:val="18"/>
                <w:color w:val="auto"/>
                <w:w w:val="92"/>
              </w:rPr>
              <w:t>vessel cutters and sealers and; endomechanical</w:t>
            </w:r>
          </w:p>
        </w:tc>
        <w:tc>
          <w:tcPr>
            <w:tcW w:w="4340" w:type="dxa"/>
            <w:vAlign w:val="bottom"/>
          </w:tcPr>
          <w:p>
            <w:pPr>
              <w:spacing w:after="0"/>
              <w:rPr>
                <w:sz w:val="18"/>
                <w:szCs w:val="18"/>
                <w:color w:val="auto"/>
              </w:rPr>
            </w:pPr>
          </w:p>
        </w:tc>
      </w:tr>
      <w:tr>
        <w:trPr>
          <w:trHeight w:val="216"/>
        </w:trPr>
        <w:tc>
          <w:tcPr>
            <w:tcW w:w="2340" w:type="dxa"/>
            <w:vAlign w:val="bottom"/>
          </w:tcPr>
          <w:p>
            <w:pPr>
              <w:spacing w:after="0"/>
              <w:rPr>
                <w:sz w:val="18"/>
                <w:szCs w:val="18"/>
                <w:color w:val="auto"/>
              </w:rPr>
            </w:pPr>
          </w:p>
        </w:tc>
        <w:tc>
          <w:tcPr>
            <w:tcW w:w="3780" w:type="dxa"/>
            <w:vAlign w:val="bottom"/>
          </w:tcPr>
          <w:p>
            <w:pPr>
              <w:ind w:left="200"/>
              <w:spacing w:after="0"/>
              <w:rPr>
                <w:sz w:val="20"/>
                <w:szCs w:val="20"/>
                <w:color w:val="auto"/>
              </w:rPr>
            </w:pPr>
            <w:r>
              <w:rPr>
                <w:rFonts w:ascii="Arial" w:cs="Arial" w:eastAsia="Arial" w:hAnsi="Arial"/>
                <w:sz w:val="18"/>
                <w:szCs w:val="18"/>
                <w:color w:val="auto"/>
                <w:w w:val="90"/>
              </w:rPr>
              <w:t>devices, such as endocutters, tissue staplers and</w:t>
            </w:r>
          </w:p>
        </w:tc>
        <w:tc>
          <w:tcPr>
            <w:tcW w:w="4340" w:type="dxa"/>
            <w:vAlign w:val="bottom"/>
          </w:tcPr>
          <w:p>
            <w:pPr>
              <w:spacing w:after="0"/>
              <w:rPr>
                <w:sz w:val="18"/>
                <w:szCs w:val="18"/>
                <w:color w:val="auto"/>
              </w:rPr>
            </w:pPr>
          </w:p>
        </w:tc>
      </w:tr>
      <w:tr>
        <w:trPr>
          <w:trHeight w:val="230"/>
        </w:trPr>
        <w:tc>
          <w:tcPr>
            <w:tcW w:w="2340" w:type="dxa"/>
            <w:vAlign w:val="bottom"/>
          </w:tcPr>
          <w:p>
            <w:pPr>
              <w:spacing w:after="0"/>
              <w:rPr>
                <w:sz w:val="20"/>
                <w:szCs w:val="20"/>
                <w:color w:val="auto"/>
              </w:rPr>
            </w:pPr>
          </w:p>
        </w:tc>
        <w:tc>
          <w:tcPr>
            <w:tcW w:w="3780" w:type="dxa"/>
            <w:vAlign w:val="bottom"/>
          </w:tcPr>
          <w:p>
            <w:pPr>
              <w:ind w:left="200"/>
              <w:spacing w:after="0"/>
              <w:rPr>
                <w:sz w:val="20"/>
                <w:szCs w:val="20"/>
                <w:color w:val="auto"/>
              </w:rPr>
            </w:pPr>
            <w:r>
              <w:rPr>
                <w:rFonts w:ascii="Arial" w:cs="Arial" w:eastAsia="Arial" w:hAnsi="Arial"/>
                <w:sz w:val="18"/>
                <w:szCs w:val="18"/>
                <w:color w:val="auto"/>
              </w:rPr>
              <w:t>other hand instruments</w:t>
            </w:r>
          </w:p>
        </w:tc>
        <w:tc>
          <w:tcPr>
            <w:tcW w:w="4340" w:type="dxa"/>
            <w:vAlign w:val="bottom"/>
          </w:tcPr>
          <w:p>
            <w:pPr>
              <w:spacing w:after="0"/>
              <w:rPr>
                <w:sz w:val="20"/>
                <w:szCs w:val="20"/>
                <w:color w:val="auto"/>
              </w:rPr>
            </w:pPr>
          </w:p>
        </w:tc>
      </w:tr>
    </w:tbl>
    <w:p>
      <w:pPr>
        <w:spacing w:after="0" w:line="161" w:lineRule="exact"/>
        <w:rPr>
          <w:sz w:val="20"/>
          <w:szCs w:val="20"/>
          <w:color w:val="auto"/>
        </w:rPr>
      </w:pPr>
    </w:p>
    <w:p>
      <w:pPr>
        <w:sectPr>
          <w:pgSz w:w="11900" w:h="16838" w:orient="portrait"/>
          <w:cols w:equalWidth="0" w:num="1">
            <w:col w:w="11420"/>
          </w:cols>
          <w:pgMar w:left="240" w:top="1130" w:right="239" w:bottom="1440" w:gutter="0" w:footer="0" w:header="0"/>
          <w:type w:val="continuous"/>
        </w:sectPr>
      </w:pPr>
    </w:p>
    <w:p>
      <w:pPr>
        <w:ind w:left="40"/>
        <w:spacing w:after="0"/>
        <w:tabs>
          <w:tab w:leader="none" w:pos="2560" w:val="left"/>
        </w:tabs>
        <w:rPr>
          <w:sz w:val="20"/>
          <w:szCs w:val="20"/>
          <w:color w:val="auto"/>
        </w:rPr>
      </w:pPr>
      <w:r>
        <w:rPr>
          <w:rFonts w:ascii="Arial" w:cs="Arial" w:eastAsia="Arial" w:hAnsi="Arial"/>
          <w:sz w:val="18"/>
          <w:szCs w:val="18"/>
          <w:color w:val="auto"/>
        </w:rPr>
        <w:t>Arthroscopic surgery devices</w:t>
      </w:r>
      <w:r>
        <w:rPr>
          <w:sz w:val="20"/>
          <w:szCs w:val="20"/>
          <w:color w:val="auto"/>
        </w:rPr>
        <w:tab/>
      </w:r>
      <w:r>
        <w:rPr>
          <w:rFonts w:ascii="Arial" w:cs="Arial" w:eastAsia="Arial" w:hAnsi="Arial"/>
          <w:sz w:val="16"/>
          <w:szCs w:val="16"/>
          <w:color w:val="auto"/>
        </w:rPr>
        <w:t>Devices which include shavers and burrs,</w:t>
      </w:r>
    </w:p>
    <w:p>
      <w:pPr>
        <w:spacing w:after="0" w:line="23" w:lineRule="exact"/>
        <w:rPr>
          <w:sz w:val="20"/>
          <w:szCs w:val="20"/>
          <w:color w:val="auto"/>
        </w:rPr>
      </w:pPr>
    </w:p>
    <w:p>
      <w:pPr>
        <w:ind w:left="2580"/>
        <w:spacing w:after="0"/>
        <w:rPr>
          <w:sz w:val="20"/>
          <w:szCs w:val="20"/>
          <w:color w:val="auto"/>
        </w:rPr>
      </w:pPr>
      <w:r>
        <w:rPr>
          <w:rFonts w:ascii="Arial" w:cs="Arial" w:eastAsia="Arial" w:hAnsi="Arial"/>
          <w:sz w:val="18"/>
          <w:szCs w:val="18"/>
          <w:color w:val="auto"/>
        </w:rPr>
        <w:t>devices for soft tissue ablation, and tissue</w:t>
      </w:r>
    </w:p>
    <w:p>
      <w:pPr>
        <w:spacing w:after="0" w:line="9" w:lineRule="exact"/>
        <w:rPr>
          <w:sz w:val="20"/>
          <w:szCs w:val="20"/>
          <w:color w:val="auto"/>
        </w:rPr>
      </w:pPr>
    </w:p>
    <w:p>
      <w:pPr>
        <w:ind w:left="2580"/>
        <w:spacing w:after="0"/>
        <w:rPr>
          <w:sz w:val="20"/>
          <w:szCs w:val="20"/>
          <w:color w:val="auto"/>
        </w:rPr>
      </w:pPr>
      <w:r>
        <w:rPr>
          <w:rFonts w:ascii="Arial" w:cs="Arial" w:eastAsia="Arial" w:hAnsi="Arial"/>
          <w:sz w:val="18"/>
          <w:szCs w:val="18"/>
          <w:color w:val="auto"/>
        </w:rPr>
        <w:t>anchoring and suturing instruments</w:t>
      </w:r>
    </w:p>
    <w:p>
      <w:pPr>
        <w:spacing w:after="0" w:line="170" w:lineRule="exact"/>
        <w:rPr>
          <w:sz w:val="20"/>
          <w:szCs w:val="20"/>
          <w:color w:val="auto"/>
        </w:rPr>
      </w:pPr>
    </w:p>
    <w:p>
      <w:pPr>
        <w:ind w:left="40"/>
        <w:spacing w:after="0"/>
        <w:tabs>
          <w:tab w:leader="none" w:pos="2560" w:val="left"/>
        </w:tabs>
        <w:rPr>
          <w:sz w:val="20"/>
          <w:szCs w:val="20"/>
          <w:color w:val="auto"/>
        </w:rPr>
      </w:pPr>
      <w:r>
        <w:rPr>
          <w:rFonts w:ascii="Arial" w:cs="Arial" w:eastAsia="Arial" w:hAnsi="Arial"/>
          <w:sz w:val="18"/>
          <w:szCs w:val="18"/>
          <w:color w:val="auto"/>
        </w:rPr>
        <w:t>Biopsy and drug delivery</w:t>
      </w:r>
      <w:r>
        <w:rPr>
          <w:sz w:val="20"/>
          <w:szCs w:val="20"/>
          <w:color w:val="auto"/>
        </w:rPr>
        <w:tab/>
      </w:r>
      <w:r>
        <w:rPr>
          <w:rFonts w:ascii="Arial" w:cs="Arial" w:eastAsia="Arial" w:hAnsi="Arial"/>
          <w:sz w:val="16"/>
          <w:szCs w:val="16"/>
          <w:color w:val="auto"/>
        </w:rPr>
        <w:t>Devices used for minimally invasive access of</w:t>
      </w:r>
    </w:p>
    <w:p>
      <w:pPr>
        <w:spacing w:after="0" w:line="23" w:lineRule="exact"/>
        <w:rPr>
          <w:sz w:val="20"/>
          <w:szCs w:val="20"/>
          <w:color w:val="auto"/>
        </w:rPr>
      </w:pPr>
    </w:p>
    <w:p>
      <w:pPr>
        <w:ind w:left="40"/>
        <w:spacing w:after="0"/>
        <w:tabs>
          <w:tab w:leader="none" w:pos="2560" w:val="left"/>
        </w:tabs>
        <w:rPr>
          <w:sz w:val="20"/>
          <w:szCs w:val="20"/>
          <w:color w:val="auto"/>
        </w:rPr>
      </w:pPr>
      <w:r>
        <w:rPr>
          <w:rFonts w:ascii="Arial" w:cs="Arial" w:eastAsia="Arial" w:hAnsi="Arial"/>
          <w:sz w:val="17"/>
          <w:szCs w:val="17"/>
          <w:color w:val="auto"/>
        </w:rPr>
        <w:t>devices</w:t>
      </w:r>
      <w:r>
        <w:rPr>
          <w:sz w:val="20"/>
          <w:szCs w:val="20"/>
          <w:color w:val="auto"/>
        </w:rPr>
        <w:tab/>
      </w:r>
      <w:r>
        <w:rPr>
          <w:rFonts w:ascii="Arial" w:cs="Arial" w:eastAsia="Arial" w:hAnsi="Arial"/>
          <w:sz w:val="17"/>
          <w:szCs w:val="17"/>
          <w:color w:val="auto"/>
        </w:rPr>
        <w:t>the body for retrieval of tissue or delivery of</w:t>
      </w:r>
    </w:p>
    <w:p>
      <w:pPr>
        <w:spacing w:after="0" w:line="21" w:lineRule="exact"/>
        <w:rPr>
          <w:sz w:val="20"/>
          <w:szCs w:val="20"/>
          <w:color w:val="auto"/>
        </w:rPr>
      </w:pPr>
    </w:p>
    <w:p>
      <w:pPr>
        <w:ind w:left="2580"/>
        <w:spacing w:after="0"/>
        <w:rPr>
          <w:sz w:val="20"/>
          <w:szCs w:val="20"/>
          <w:color w:val="auto"/>
        </w:rPr>
      </w:pPr>
      <w:r>
        <w:rPr>
          <w:rFonts w:ascii="Arial" w:cs="Arial" w:eastAsia="Arial" w:hAnsi="Arial"/>
          <w:sz w:val="17"/>
          <w:szCs w:val="17"/>
          <w:color w:val="auto"/>
        </w:rPr>
        <w:t>drug therapy such as forceps, breast biopsy</w:t>
      </w:r>
    </w:p>
    <w:p>
      <w:pPr>
        <w:spacing w:after="0" w:line="21" w:lineRule="exact"/>
        <w:rPr>
          <w:sz w:val="20"/>
          <w:szCs w:val="20"/>
          <w:color w:val="auto"/>
        </w:rPr>
      </w:pPr>
    </w:p>
    <w:p>
      <w:pPr>
        <w:ind w:left="2580"/>
        <w:spacing w:after="0"/>
        <w:rPr>
          <w:sz w:val="20"/>
          <w:szCs w:val="20"/>
          <w:color w:val="auto"/>
        </w:rPr>
      </w:pPr>
      <w:r>
        <w:rPr>
          <w:rFonts w:ascii="Arial" w:cs="Arial" w:eastAsia="Arial" w:hAnsi="Arial"/>
          <w:sz w:val="18"/>
          <w:szCs w:val="18"/>
          <w:color w:val="auto"/>
        </w:rPr>
        <w:t>probes, and other interventional surgical</w:t>
      </w:r>
    </w:p>
    <w:p>
      <w:pPr>
        <w:spacing w:after="0" w:line="9" w:lineRule="exact"/>
        <w:rPr>
          <w:sz w:val="20"/>
          <w:szCs w:val="20"/>
          <w:color w:val="auto"/>
        </w:rPr>
      </w:pPr>
    </w:p>
    <w:p>
      <w:pPr>
        <w:ind w:left="2580"/>
        <w:spacing w:after="0"/>
        <w:rPr>
          <w:sz w:val="20"/>
          <w:szCs w:val="20"/>
          <w:color w:val="auto"/>
        </w:rPr>
      </w:pPr>
      <w:r>
        <w:rPr>
          <w:rFonts w:ascii="Arial" w:cs="Arial" w:eastAsia="Arial" w:hAnsi="Arial"/>
          <w:sz w:val="18"/>
          <w:szCs w:val="18"/>
          <w:color w:val="auto"/>
        </w:rPr>
        <w:t>instruments</w:t>
      </w:r>
    </w:p>
    <w:p>
      <w:pPr>
        <w:spacing w:after="0" w:line="20" w:lineRule="exact"/>
        <w:rPr>
          <w:sz w:val="20"/>
          <w:szCs w:val="20"/>
          <w:color w:val="auto"/>
        </w:rPr>
      </w:pPr>
      <w:r>
        <w:rPr>
          <w:sz w:val="20"/>
          <w:szCs w:val="20"/>
          <w:color w:val="auto"/>
        </w:rPr>
        <w:br w:type="column"/>
      </w:r>
    </w:p>
    <w:p>
      <w:pPr>
        <w:ind w:right="920"/>
        <w:spacing w:after="0" w:line="277" w:lineRule="auto"/>
        <w:rPr>
          <w:sz w:val="20"/>
          <w:szCs w:val="20"/>
          <w:color w:val="auto"/>
        </w:rPr>
      </w:pPr>
      <w:r>
        <w:rPr>
          <w:rFonts w:ascii="Arial" w:cs="Arial" w:eastAsia="Arial" w:hAnsi="Arial"/>
          <w:sz w:val="18"/>
          <w:szCs w:val="18"/>
          <w:color w:val="auto"/>
        </w:rPr>
        <w:t>Precision manufacturing of tubing, machined components, plastics and finished device assembly</w:t>
      </w:r>
    </w:p>
    <w:p>
      <w:pPr>
        <w:spacing w:after="0" w:line="346" w:lineRule="exact"/>
        <w:rPr>
          <w:sz w:val="20"/>
          <w:szCs w:val="20"/>
          <w:color w:val="auto"/>
        </w:rPr>
      </w:pPr>
    </w:p>
    <w:p>
      <w:pPr>
        <w:ind w:right="920"/>
        <w:spacing w:after="0" w:line="277" w:lineRule="auto"/>
        <w:rPr>
          <w:sz w:val="20"/>
          <w:szCs w:val="20"/>
          <w:color w:val="auto"/>
        </w:rPr>
      </w:pPr>
      <w:r>
        <w:rPr>
          <w:rFonts w:ascii="Arial" w:cs="Arial" w:eastAsia="Arial" w:hAnsi="Arial"/>
          <w:sz w:val="18"/>
          <w:szCs w:val="18"/>
          <w:color w:val="auto"/>
        </w:rPr>
        <w:t>Precision manufacturing of tubing, machined components, plastics and finished device assembly</w:t>
      </w:r>
    </w:p>
    <w:p>
      <w:pPr>
        <w:spacing w:after="0" w:line="807" w:lineRule="exact"/>
        <w:rPr>
          <w:sz w:val="20"/>
          <w:szCs w:val="20"/>
          <w:color w:val="auto"/>
        </w:rPr>
      </w:pPr>
    </w:p>
    <w:p>
      <w:pPr>
        <w:sectPr>
          <w:pgSz w:w="11900" w:h="16838" w:orient="portrait"/>
          <w:cols w:equalWidth="0" w:num="2">
            <w:col w:w="5920" w:space="360"/>
            <w:col w:w="5140"/>
          </w:cols>
          <w:pgMar w:left="240" w:top="1130" w:right="239" w:bottom="1440" w:gutter="0" w:footer="0" w:header="0"/>
          <w:type w:val="continuous"/>
        </w:sectPr>
      </w:pPr>
    </w:p>
    <w:p>
      <w:pPr>
        <w:spacing w:after="0" w:line="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RESEARCH AND DEVELOPMENT</w:t>
      </w:r>
    </w:p>
    <w:p>
      <w:pPr>
        <w:spacing w:after="0" w:line="229" w:lineRule="exact"/>
        <w:rPr>
          <w:sz w:val="20"/>
          <w:szCs w:val="20"/>
          <w:color w:val="auto"/>
        </w:rPr>
      </w:pPr>
    </w:p>
    <w:p>
      <w:pPr>
        <w:spacing w:after="0" w:line="288" w:lineRule="auto"/>
        <w:rPr>
          <w:sz w:val="20"/>
          <w:szCs w:val="20"/>
          <w:color w:val="auto"/>
        </w:rPr>
      </w:pPr>
      <w:r>
        <w:rPr>
          <w:rFonts w:ascii="Arial" w:cs="Arial" w:eastAsia="Arial" w:hAnsi="Arial"/>
          <w:sz w:val="16"/>
          <w:szCs w:val="16"/>
          <w:color w:val="auto"/>
        </w:rPr>
        <w:t>Our position as a leading developer and manufacturer of medical devices and components is largely the result of our long history of technological innovation. We invest substantial resources in research, development and engineering. Our scientists, engineers and technicians focus on improving existing products, expanding the use of our products and developing new products and enhancements to our existing products. In addition to our internal technology and product development efforts, we also engage outside research institutions for unique technology projects. In order to facilitate the development of new and improved medical devices systems, starting in 2008, we significantly increased our investments in research and development. Net investments in medical device systems (including SG&amp;A), which are being facilitated through our QiG segment, totaled $25.8 million, $23.3 million and $30.5 million for 2015, 2014 and 2013, respectively. After the completion of the pending Spin-off, we will continue to invest substantial resources in research, development and engineering to expand the use of our products and develop new products within the markets we serve. After the pending Spin-off is completed, the Company’s design and development of complete medical device systems will be completed by our combined teams in Greatbatch Medical, Lake Region Medical, and CCC. Further information regarding our research and development activities can be found in the “Product Development” section of Item 7 of this report.</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PATENTS AND PROPRIETARY TECHNOLOGY</w:t>
      </w: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color w:val="auto"/>
        </w:rPr>
        <w:t>We rely on a combination of patents, licenses, trade secrets and know-how to establish and protect our proprietary rights to our technologies and products.</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Often, several patents covering various aspects of the design protect a single product. We believe this provides broad protection of the inventions employed.</w:t>
      </w:r>
    </w:p>
    <w:p>
      <w:pPr>
        <w:spacing w:after="0" w:line="234" w:lineRule="exact"/>
        <w:rPr>
          <w:sz w:val="20"/>
          <w:szCs w:val="20"/>
          <w:color w:val="auto"/>
        </w:rPr>
      </w:pPr>
    </w:p>
    <w:p>
      <w:pPr>
        <w:ind w:right="100"/>
        <w:spacing w:after="0" w:line="264" w:lineRule="auto"/>
        <w:rPr>
          <w:sz w:val="20"/>
          <w:szCs w:val="20"/>
          <w:color w:val="auto"/>
        </w:rPr>
      </w:pPr>
      <w:r>
        <w:rPr>
          <w:rFonts w:ascii="Arial" w:cs="Arial" w:eastAsia="Arial" w:hAnsi="Arial"/>
          <w:sz w:val="18"/>
          <w:szCs w:val="18"/>
          <w:color w:val="auto"/>
        </w:rPr>
        <w:t>As of January 1, 2016, we have 1,209 active issued patents, of which 94 were acquired with the Lake Region Medical acquisition. We also have 484 pending patent applications at various stages of approval. During 2015, there were 101 patent applications filed and 92 patents issued. Of the 1,693 patents filed and pending, approximately 378 of these relate to complete medical device systems.</w:t>
      </w:r>
    </w:p>
    <w:p>
      <w:pPr>
        <w:spacing w:after="0" w:line="181" w:lineRule="exact"/>
        <w:rPr>
          <w:sz w:val="20"/>
          <w:szCs w:val="20"/>
          <w:color w:val="auto"/>
        </w:rPr>
      </w:pPr>
    </w:p>
    <w:p>
      <w:pPr>
        <w:ind w:right="40"/>
        <w:spacing w:after="0" w:line="264" w:lineRule="auto"/>
        <w:rPr>
          <w:sz w:val="20"/>
          <w:szCs w:val="20"/>
          <w:color w:val="auto"/>
        </w:rPr>
      </w:pPr>
      <w:r>
        <w:rPr>
          <w:rFonts w:ascii="Arial" w:cs="Arial" w:eastAsia="Arial" w:hAnsi="Arial"/>
          <w:sz w:val="18"/>
          <w:szCs w:val="18"/>
          <w:color w:val="auto"/>
        </w:rPr>
        <w:t>After the completion of the Spin-off, Nuvectra, as an independent publicly-traded company, will own 153 patents and 119 pending patent applications that are included within the patent figures above, including the patents and patent applications that embody the intellectual property underlying Algovita and Nuvectra’s neurostimulation technology platform.</w:t>
      </w:r>
    </w:p>
    <w:p>
      <w:pPr>
        <w:spacing w:after="0" w:line="181" w:lineRule="exact"/>
        <w:rPr>
          <w:sz w:val="20"/>
          <w:szCs w:val="20"/>
          <w:color w:val="auto"/>
        </w:rPr>
      </w:pPr>
    </w:p>
    <w:p>
      <w:pPr>
        <w:ind w:right="40"/>
        <w:spacing w:after="0" w:line="302" w:lineRule="auto"/>
        <w:rPr>
          <w:sz w:val="20"/>
          <w:szCs w:val="20"/>
          <w:color w:val="auto"/>
        </w:rPr>
      </w:pPr>
      <w:r>
        <w:rPr>
          <w:rFonts w:ascii="Arial" w:cs="Arial" w:eastAsia="Arial" w:hAnsi="Arial"/>
          <w:sz w:val="16"/>
          <w:szCs w:val="16"/>
          <w:color w:val="auto"/>
        </w:rPr>
        <w:t>In connection with the Spin-off, we expect to enter into two license agreements pursuant to which Nuvectra will license to us, subject to specified restrictions, rights in certain intellectual property underlying Nuvectra’s neurostimulation technology platform. Under the terms of the unrestricted license agreement, Nuvectra will grant us a perpetual, non-exclusive, worldwide license to use, make, have made, offer to sell, sell, distribute and import certain patents, patent applications and other intellectual property rights underlying Nuvectra’s neurostimulation technology platform for applications within the</w:t>
      </w:r>
    </w:p>
    <w:p>
      <w:pPr>
        <w:spacing w:after="0" w:line="28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- 13 -</w:t>
      </w:r>
    </w:p>
    <w:p>
      <w:pPr>
        <w:sectPr>
          <w:pgSz w:w="11900" w:h="16838" w:orient="portrait"/>
          <w:cols w:equalWidth="0" w:num="1">
            <w:col w:w="11420"/>
          </w:cols>
          <w:pgMar w:left="240" w:top="1130" w:right="239" w:bottom="1440" w:gutter="0" w:footer="0" w:header="0"/>
          <w:type w:val="continuous"/>
        </w:sectPr>
      </w:pPr>
    </w:p>
    <w:bookmarkStart w:id="14" w:name="page15"/>
    <w:bookmarkEnd w:id="14"/>
    <w:p>
      <w:pPr>
        <w:ind w:right="260"/>
        <w:spacing w:after="0" w:line="286" w:lineRule="auto"/>
        <w:rPr>
          <w:sz w:val="20"/>
          <w:szCs w:val="20"/>
          <w:color w:val="auto"/>
        </w:rPr>
      </w:pPr>
      <w:r>
        <w:rPr>
          <w:rFonts w:ascii="Arial" w:cs="Arial" w:eastAsia="Arial" w:hAnsi="Arial"/>
          <w:sz w:val="17"/>
          <w:szCs w:val="17"/>
          <w:color w:val="auto"/>
        </w:rPr>
        <w:t>neurostimulation fields of use. Under the terms of the restricted license agreement, Nuvectra will grant us a perpetual, non-exclusive, worldwide license to use, make, have made, offer to sell, sell, distribute and import certain other patents, patent applications and other intellectual property rights underlying Nuvectra’s neurostimulation technology platform for applications outside of the neurostimulation fields of use.</w:t>
      </w:r>
    </w:p>
    <w:p>
      <w:pPr>
        <w:spacing w:after="0" w:line="166" w:lineRule="exact"/>
        <w:rPr>
          <w:sz w:val="20"/>
          <w:szCs w:val="20"/>
          <w:color w:val="auto"/>
        </w:rPr>
      </w:pPr>
    </w:p>
    <w:p>
      <w:pPr>
        <w:jc w:val="both"/>
        <w:ind w:right="300"/>
        <w:spacing w:after="0" w:line="312" w:lineRule="auto"/>
        <w:rPr>
          <w:sz w:val="20"/>
          <w:szCs w:val="20"/>
          <w:color w:val="auto"/>
        </w:rPr>
      </w:pPr>
      <w:r>
        <w:rPr>
          <w:rFonts w:ascii="Arial" w:cs="Arial" w:eastAsia="Arial" w:hAnsi="Arial"/>
          <w:sz w:val="16"/>
          <w:szCs w:val="16"/>
          <w:color w:val="auto"/>
        </w:rPr>
        <w:t>We are a party to several other license agreements with third parties under which we have obtained, on varying terms, exclusive or non-exclusive rights to patents held by them. Examples of these agreements is the license of basic technology used in our wet tantalum capacitors, filtered feedthroughs, wireless charging technology, and MRI compatible lead systems. We have also granted rights to our patents to others under license agreements.</w:t>
      </w:r>
    </w:p>
    <w:p>
      <w:pPr>
        <w:spacing w:after="0" w:line="147" w:lineRule="exact"/>
        <w:rPr>
          <w:sz w:val="20"/>
          <w:szCs w:val="20"/>
          <w:color w:val="auto"/>
        </w:rPr>
      </w:pPr>
    </w:p>
    <w:p>
      <w:pPr>
        <w:ind w:right="40"/>
        <w:spacing w:after="0" w:line="312" w:lineRule="auto"/>
        <w:rPr>
          <w:sz w:val="20"/>
          <w:szCs w:val="20"/>
          <w:color w:val="auto"/>
        </w:rPr>
      </w:pPr>
      <w:r>
        <w:rPr>
          <w:rFonts w:ascii="Arial" w:cs="Arial" w:eastAsia="Arial" w:hAnsi="Arial"/>
          <w:sz w:val="16"/>
          <w:szCs w:val="16"/>
          <w:color w:val="auto"/>
        </w:rPr>
        <w:t>It is our policy to require our management and technical employees, consultants and other parties having access to our confidential information to execute confidentiality agreements. These agreements prohibit disclosure of confidential information to third parties, except in specified circumstances. In the case of employees and consultants, the agreements generally provide that all confidential information relating to our business is the exclusive property of Greatbatch.</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MANUFACTURING AND QUALITY CONTROL</w:t>
      </w:r>
    </w:p>
    <w:p>
      <w:pPr>
        <w:spacing w:after="0" w:line="229" w:lineRule="exact"/>
        <w:rPr>
          <w:sz w:val="20"/>
          <w:szCs w:val="20"/>
          <w:color w:val="auto"/>
        </w:rPr>
      </w:pPr>
    </w:p>
    <w:p>
      <w:pPr>
        <w:ind w:right="120"/>
        <w:spacing w:after="0" w:line="259" w:lineRule="auto"/>
        <w:rPr>
          <w:sz w:val="20"/>
          <w:szCs w:val="20"/>
          <w:color w:val="auto"/>
        </w:rPr>
      </w:pPr>
      <w:r>
        <w:rPr>
          <w:rFonts w:ascii="Arial" w:cs="Arial" w:eastAsia="Arial" w:hAnsi="Arial"/>
          <w:sz w:val="18"/>
          <w:szCs w:val="18"/>
          <w:color w:val="auto"/>
        </w:rPr>
        <w:t>We leverage our strength as an innovative designer and manufacturer of finished devices and components to the medical device industry. Our manufacturing and engineering services include: design, testing, component production, and device assembly. We have integrated our proprietary technologies in our own products and those of our customers throughout the medical device industry. Our flexible, high productivity manufacturing capabilities span sites across the United States, Mexico, Uruguay, Europe, and Asia.</w:t>
      </w:r>
    </w:p>
    <w:p>
      <w:pPr>
        <w:spacing w:after="0" w:line="187"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Due to the highly regulated nature of the products we produce, we have implemented strong quality systems across all sites. The quality systems at our sites are compliant with and certified to various recognized international standards, requirements, and directives. Each site’s quality system is certified under an applicable International Organization for Standardization (“ISO”) quality system standard, such as ISO 13485 or ISO 9001. This certification requires, among other things, an implemented quality system that applies (where applicable) to the design and manufacture of components, assemblies and finished medical devices, including component quality and supplier control. Maintenance of these certifications for each facility requires periodic re-examination from an independent notified body.</w:t>
      </w:r>
    </w:p>
    <w:p>
      <w:pPr>
        <w:spacing w:after="0" w:line="193" w:lineRule="exact"/>
        <w:rPr>
          <w:sz w:val="20"/>
          <w:szCs w:val="20"/>
          <w:color w:val="auto"/>
        </w:rPr>
      </w:pPr>
    </w:p>
    <w:p>
      <w:pPr>
        <w:jc w:val="both"/>
        <w:ind w:right="240"/>
        <w:spacing w:after="0" w:line="279" w:lineRule="auto"/>
        <w:rPr>
          <w:sz w:val="20"/>
          <w:szCs w:val="20"/>
          <w:color w:val="auto"/>
        </w:rPr>
      </w:pPr>
      <w:r>
        <w:rPr>
          <w:rFonts w:ascii="Arial" w:cs="Arial" w:eastAsia="Arial" w:hAnsi="Arial"/>
          <w:sz w:val="17"/>
          <w:szCs w:val="17"/>
          <w:color w:val="auto"/>
        </w:rPr>
        <w:t>Along with ISO 13485, the facilities producing finished medical devices are subject to extensive and rigorous regulation by numerous government bodies, including the FDA and comparable international regulatory agencies in order to ship product worldwide. For these facilities, we maintain FDA registration and compliance to all applicable domestic and international regulations. Compliance with applicable regulatory requirements is subject to continual review and is monitored through periodic inspections by the FDA and other international regulatory bodies.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SALES AND MARKETING</w:t>
      </w:r>
    </w:p>
    <w:p>
      <w:pPr>
        <w:spacing w:after="0" w:line="229" w:lineRule="exact"/>
        <w:rPr>
          <w:sz w:val="20"/>
          <w:szCs w:val="20"/>
          <w:color w:val="auto"/>
        </w:rPr>
      </w:pPr>
    </w:p>
    <w:p>
      <w:pPr>
        <w:ind w:right="220"/>
        <w:spacing w:after="0" w:line="312" w:lineRule="auto"/>
        <w:rPr>
          <w:sz w:val="20"/>
          <w:szCs w:val="20"/>
          <w:color w:val="auto"/>
        </w:rPr>
      </w:pPr>
      <w:r>
        <w:rPr>
          <w:rFonts w:ascii="Arial" w:cs="Arial" w:eastAsia="Arial" w:hAnsi="Arial"/>
          <w:sz w:val="16"/>
          <w:szCs w:val="16"/>
          <w:color w:val="auto"/>
        </w:rPr>
        <w:t>We sell our products directly to our customers. In 2015, approximately 50% of our products were sold in the U.S. Sales outside the U.S. are primarily to customers whose corporate offices are located and headquartered in the U.S. Information regarding our sales by geographic area is set forth in Note 19 “Business Segment, Geographic and Concentration Risk Information” of the Notes to Consolidated Financial Statements contained in Item 8 of this report.</w:t>
      </w:r>
    </w:p>
    <w:p>
      <w:pPr>
        <w:spacing w:after="0" w:line="147" w:lineRule="exact"/>
        <w:rPr>
          <w:sz w:val="20"/>
          <w:szCs w:val="20"/>
          <w:color w:val="auto"/>
        </w:rPr>
      </w:pPr>
    </w:p>
    <w:p>
      <w:pPr>
        <w:ind w:right="300"/>
        <w:spacing w:after="0" w:line="312" w:lineRule="auto"/>
        <w:rPr>
          <w:sz w:val="20"/>
          <w:szCs w:val="20"/>
          <w:color w:val="auto"/>
        </w:rPr>
      </w:pPr>
      <w:r>
        <w:rPr>
          <w:rFonts w:ascii="Arial" w:cs="Arial" w:eastAsia="Arial" w:hAnsi="Arial"/>
          <w:sz w:val="16"/>
          <w:szCs w:val="16"/>
          <w:color w:val="auto"/>
        </w:rPr>
        <w:t>Although the majority of our customers contract with us to develop custom components and assemblies to fit their product specifications, we also provide system and device solutions ready for market distribution by OEMs. As a result, we have established close working relationships between our internal program managers and our customers. We market our products and technologies at industry meetings and trade shows domestically and internationally.</w:t>
      </w:r>
    </w:p>
    <w:p>
      <w:pPr>
        <w:spacing w:after="0" w:line="147" w:lineRule="exact"/>
        <w:rPr>
          <w:sz w:val="20"/>
          <w:szCs w:val="20"/>
          <w:color w:val="auto"/>
        </w:rPr>
      </w:pPr>
    </w:p>
    <w:p>
      <w:pPr>
        <w:ind w:right="620"/>
        <w:spacing w:after="0" w:line="264" w:lineRule="auto"/>
        <w:rPr>
          <w:sz w:val="20"/>
          <w:szCs w:val="20"/>
          <w:color w:val="auto"/>
        </w:rPr>
      </w:pPr>
      <w:r>
        <w:rPr>
          <w:rFonts w:ascii="Arial" w:cs="Arial" w:eastAsia="Arial" w:hAnsi="Arial"/>
          <w:sz w:val="18"/>
          <w:szCs w:val="18"/>
          <w:color w:val="auto"/>
        </w:rPr>
        <w:t>Internal account executives support all activity and involve engineers and technology professionals in the sales process to address customer requests appropriately. For system and device solutions, we partner with our customers’ research, marketing, and clinical groups to jointly develop technology platforms in alignment with their product roadmaps and therapy needs.</w:t>
      </w:r>
    </w:p>
    <w:p>
      <w:pPr>
        <w:spacing w:after="0" w:line="181" w:lineRule="exact"/>
        <w:rPr>
          <w:sz w:val="20"/>
          <w:szCs w:val="20"/>
          <w:color w:val="auto"/>
        </w:rPr>
      </w:pPr>
    </w:p>
    <w:p>
      <w:pPr>
        <w:ind w:right="120"/>
        <w:spacing w:after="0" w:line="264" w:lineRule="auto"/>
        <w:rPr>
          <w:sz w:val="20"/>
          <w:szCs w:val="20"/>
          <w:color w:val="auto"/>
        </w:rPr>
      </w:pPr>
      <w:r>
        <w:rPr>
          <w:rFonts w:ascii="Arial" w:cs="Arial" w:eastAsia="Arial" w:hAnsi="Arial"/>
          <w:sz w:val="18"/>
          <w:szCs w:val="18"/>
          <w:color w:val="auto"/>
        </w:rPr>
        <w:t>We leverage our account executives with support from our engineers to design and sell product solutions into our targeted markets. Our account executives are trained to assist our customers in selecting appropriate chemistries and configurations. We market our products and services through well-defined selling strategies and marketing campaigns that are customized for each of the industries we target.</w:t>
      </w:r>
    </w:p>
    <w:p>
      <w:pPr>
        <w:spacing w:after="0" w:line="181" w:lineRule="exact"/>
        <w:rPr>
          <w:sz w:val="20"/>
          <w:szCs w:val="20"/>
          <w:color w:val="auto"/>
        </w:rPr>
      </w:pPr>
    </w:p>
    <w:p>
      <w:pPr>
        <w:ind w:right="440"/>
        <w:spacing w:after="0" w:line="308" w:lineRule="auto"/>
        <w:rPr>
          <w:sz w:val="20"/>
          <w:szCs w:val="20"/>
          <w:color w:val="auto"/>
        </w:rPr>
      </w:pPr>
      <w:r>
        <w:rPr>
          <w:rFonts w:ascii="Arial" w:cs="Arial" w:eastAsia="Arial" w:hAnsi="Arial"/>
          <w:sz w:val="17"/>
          <w:szCs w:val="17"/>
          <w:color w:val="auto"/>
        </w:rPr>
        <w:t>We have placed additional emphasis on reaching long-term agreements with our OEM customers in order to secure our revenue base. At times, we have provided our customers with price concessions in exchange for entering into long-term agreements and certain volume commitments.</w:t>
      </w:r>
    </w:p>
    <w:p>
      <w:pPr>
        <w:spacing w:after="0" w:line="147" w:lineRule="exact"/>
        <w:rPr>
          <w:sz w:val="20"/>
          <w:szCs w:val="20"/>
          <w:color w:val="auto"/>
        </w:rPr>
      </w:pPr>
    </w:p>
    <w:p>
      <w:pPr>
        <w:ind w:right="420"/>
        <w:spacing w:after="0" w:line="277" w:lineRule="auto"/>
        <w:rPr>
          <w:sz w:val="20"/>
          <w:szCs w:val="20"/>
          <w:color w:val="auto"/>
        </w:rPr>
      </w:pPr>
      <w:r>
        <w:rPr>
          <w:rFonts w:ascii="Arial" w:cs="Arial" w:eastAsia="Arial" w:hAnsi="Arial"/>
          <w:sz w:val="18"/>
          <w:szCs w:val="18"/>
          <w:color w:val="auto"/>
        </w:rPr>
        <w:t>Firm backlog orders at January 1, 2016 and January 2, 2015 were approximately $355 million and $174 million, respectively. The majority of the orders outstanding at January 1, 2016 are expected to be shipped within one year.</w:t>
      </w:r>
    </w:p>
    <w:p>
      <w:pPr>
        <w:spacing w:after="0" w:line="30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- 14 -</w:t>
      </w:r>
    </w:p>
    <w:p>
      <w:pPr>
        <w:sectPr>
          <w:pgSz w:w="11900" w:h="16838" w:orient="portrait"/>
          <w:cols w:equalWidth="0" w:num="1">
            <w:col w:w="11400"/>
          </w:cols>
          <w:pgMar w:left="240" w:top="908" w:right="259" w:bottom="1440" w:gutter="0" w:footer="0" w:header="0"/>
        </w:sectPr>
      </w:pPr>
    </w:p>
    <w:bookmarkStart w:id="15" w:name="page16"/>
    <w:bookmarkEnd w:id="15"/>
    <w:p>
      <w:pPr>
        <w:spacing w:after="0"/>
        <w:rPr>
          <w:sz w:val="20"/>
          <w:szCs w:val="20"/>
          <w:color w:val="auto"/>
        </w:rPr>
      </w:pPr>
      <w:r>
        <w:rPr>
          <w:rFonts w:ascii="Arial" w:cs="Arial" w:eastAsia="Arial" w:hAnsi="Arial"/>
          <w:sz w:val="18"/>
          <w:szCs w:val="18"/>
          <w:b w:val="1"/>
          <w:bCs w:val="1"/>
          <w:color w:val="auto"/>
        </w:rPr>
        <w:t>CUSTOMERS</w:t>
      </w:r>
    </w:p>
    <w:p>
      <w:pPr>
        <w:spacing w:after="0" w:line="229" w:lineRule="exact"/>
        <w:rPr>
          <w:sz w:val="20"/>
          <w:szCs w:val="20"/>
          <w:color w:val="auto"/>
        </w:rPr>
      </w:pPr>
    </w:p>
    <w:p>
      <w:pPr>
        <w:ind w:right="40"/>
        <w:spacing w:after="0" w:line="271" w:lineRule="auto"/>
        <w:rPr>
          <w:sz w:val="20"/>
          <w:szCs w:val="20"/>
          <w:color w:val="auto"/>
        </w:rPr>
      </w:pPr>
      <w:r>
        <w:rPr>
          <w:rFonts w:ascii="Arial" w:cs="Arial" w:eastAsia="Arial" w:hAnsi="Arial"/>
          <w:sz w:val="17"/>
          <w:szCs w:val="17"/>
          <w:color w:val="auto"/>
        </w:rPr>
        <w:t>Our Greatbatch Medical and Lake Region Medical customers include large multi-national OEMs and their subsidiaries such as, in alphabetical order here and throughout this report, Abbott Labs, Biotronik, Boehringer Ingelheim, Boston Scientific, Cyberonics, Halliburton Company, Johnson &amp; Johnson, Medtronic, Nevro Corp., Philips Healthcare, Smith &amp; Nephew, Sorin Group, St. Jude Medical, Stryker, and Zimmer Biomet. During 2015, 2014, and 2013, Biotronik, Johnson &amp; Johnson, Medtronic, and St. Jude Medical collectively accounted for 52%, 54% and 56% of our total sales, respectively. We have been successful in leveraging our diversified product line to further enhance our relationships with these customers and selling to more of their operating divisions, which cover the cardiac, neuromodulation, orthopaedic and vascular markets. QiG customers include numerous scientists, hospitals and universities throughout the world who perform research for the neuroscience and clinical markets. With the acquisition of CCC in 2014, QiG customers also include various research companies and institutes and early stage medical device companies.</w:t>
      </w:r>
    </w:p>
    <w:p>
      <w:pPr>
        <w:spacing w:after="0" w:line="179" w:lineRule="exact"/>
        <w:rPr>
          <w:sz w:val="20"/>
          <w:szCs w:val="20"/>
          <w:color w:val="auto"/>
        </w:rPr>
      </w:pPr>
    </w:p>
    <w:p>
      <w:pPr>
        <w:ind w:right="140"/>
        <w:spacing w:after="0" w:line="270" w:lineRule="auto"/>
        <w:rPr>
          <w:sz w:val="20"/>
          <w:szCs w:val="20"/>
          <w:color w:val="auto"/>
        </w:rPr>
      </w:pPr>
      <w:r>
        <w:rPr>
          <w:rFonts w:ascii="Arial" w:cs="Arial" w:eastAsia="Arial" w:hAnsi="Arial"/>
          <w:sz w:val="17"/>
          <w:szCs w:val="17"/>
          <w:color w:val="auto"/>
        </w:rPr>
        <w:t>The nature and extent of our selling relationship with each OEM customer is different in terms of breadth of products purchased, selling prices, product volumes, ordering patterns and inventory management. For customers with long-term contracts, we have negotiated fixed pricing arrangements for pre-determined volume levels with pricing fixed at each level. In general, the higher the volume level, the lower the pricing. We have pricing arrangements with our customers that at times do not specify minimum order quantities. During new contract negotiations, price level decreases (concessions) for future sales may be offered to customers in exchange for volume and/or long-term commitments. Once new contracts are signed, these prices are fixed and determinable for all future sales. We recognize revenue when it is realized or realizable and earned. This occurs when persuasive evidence of an arrangement exists, delivery has occurred, the price is fixed or determinable, the buyer is obligated to pay us (i.e. payment is not contingent on a future event), the risk of loss is transferred, there is no obligation of future performance, collectability is reasonably assured and the amount of future returns can reasonably be estimated. Those criteria are met when title passes, generally at the point of shipment.</w:t>
      </w:r>
    </w:p>
    <w:p>
      <w:pPr>
        <w:spacing w:after="0" w:line="182" w:lineRule="exact"/>
        <w:rPr>
          <w:sz w:val="20"/>
          <w:szCs w:val="20"/>
          <w:color w:val="auto"/>
        </w:rPr>
      </w:pPr>
    </w:p>
    <w:p>
      <w:pPr>
        <w:ind w:right="20"/>
        <w:spacing w:after="0" w:line="270" w:lineRule="auto"/>
        <w:rPr>
          <w:sz w:val="20"/>
          <w:szCs w:val="20"/>
          <w:color w:val="auto"/>
        </w:rPr>
      </w:pPr>
      <w:r>
        <w:rPr>
          <w:rFonts w:ascii="Arial" w:cs="Arial" w:eastAsia="Arial" w:hAnsi="Arial"/>
          <w:sz w:val="17"/>
          <w:szCs w:val="17"/>
          <w:color w:val="auto"/>
        </w:rPr>
        <w:t>Our visibility into customer ordering patterns is over a relatively short period of time. Our customers may have inventory management programs, vertical integration plans and/or alternate supply arrangements that we are unaware of. Additionally, the relative market share among the OEM manufacturers changes periodically. Consequently, these and other factors can significantly impact our sales in any given period. Our customers may initiate field actions with respect to market-released products. These actions may include product recalls or communications with a significant number of physicians about a product or labeling issue. The scope of such actions can range from very minor issues affecting a small number of units to more significant actions. There are a number of factors, both short-term and long-term, related to these field actions that may impact our results. In the short-term, if a product has to be replaced, or customer inventory levels have to be restored, demand will increase. Also, changing customer order patterns due to market share shifts or accelerated device replacements may also have a positive or negative impact on our sales results in the near-term. These same factors may have longer-term implications as well. Customer inventory levels may ultimately have to be rebalanced to match new demand.</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SUPPLIERS AND RAW MATERIALS</w:t>
      </w:r>
    </w:p>
    <w:p>
      <w:pPr>
        <w:spacing w:after="0" w:line="229"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We purchase critical raw materials from a limited number of suppliers due to the technically challenging requirements of the supplied product and/or the lengthy process required to qualify these materials both internally and with our customers. We cannot quickly establish additional or replacement suppliers for these materials because of these rigid requirements. For these critical raw materials, we maintain minimum safety stock levels and partner with suppliers through contract to help ensure the continuity of supply. Historically, we have not experienced any significant interruptions or delays in obtaining critical raw materials.</w:t>
      </w:r>
    </w:p>
    <w:p>
      <w:pPr>
        <w:spacing w:after="0" w:line="188" w:lineRule="exact"/>
        <w:rPr>
          <w:sz w:val="20"/>
          <w:szCs w:val="20"/>
          <w:color w:val="auto"/>
        </w:rPr>
      </w:pPr>
    </w:p>
    <w:p>
      <w:pPr>
        <w:ind w:right="100"/>
        <w:spacing w:after="0" w:line="302" w:lineRule="auto"/>
        <w:rPr>
          <w:sz w:val="20"/>
          <w:szCs w:val="20"/>
          <w:color w:val="auto"/>
        </w:rPr>
      </w:pPr>
      <w:r>
        <w:rPr>
          <w:rFonts w:ascii="Arial" w:cs="Arial" w:eastAsia="Arial" w:hAnsi="Arial"/>
          <w:sz w:val="16"/>
          <w:szCs w:val="16"/>
          <w:color w:val="auto"/>
        </w:rPr>
        <w:t>Many of the raw materials that are used in our products are subject to fluctuations in market price. In particular, the prices of stainless steel, titanium and precious metals, such as platinum, have historically fluctuated, and the prices that we pay for these materials, and, in some cases, their availability, are dependent upon general market conditions. In most cases, we have pass-through pricing arrangements with our customers that purchase components containing precious metals or have established firm-pricing agreements with our suppliers that are designed to minimize our exposure to market fluctuations.</w:t>
      </w:r>
    </w:p>
    <w:p>
      <w:pPr>
        <w:spacing w:after="0" w:line="154" w:lineRule="exact"/>
        <w:rPr>
          <w:sz w:val="20"/>
          <w:szCs w:val="20"/>
          <w:color w:val="auto"/>
        </w:rPr>
      </w:pPr>
    </w:p>
    <w:p>
      <w:pPr>
        <w:ind w:right="20"/>
        <w:spacing w:after="0" w:line="264" w:lineRule="auto"/>
        <w:rPr>
          <w:sz w:val="20"/>
          <w:szCs w:val="20"/>
          <w:color w:val="auto"/>
        </w:rPr>
      </w:pPr>
      <w:r>
        <w:rPr>
          <w:rFonts w:ascii="Arial" w:cs="Arial" w:eastAsia="Arial" w:hAnsi="Arial"/>
          <w:sz w:val="18"/>
          <w:szCs w:val="18"/>
          <w:color w:val="auto"/>
        </w:rPr>
        <w:t>For non-critical raw material purchases, we utilize competitive pricing methods such as bulk purchases, precious metal pool buys, blanket orders, and long-term contracts to secure supply. We believe that there are alternative suppliers or substitute products available at competitive prices for all of these non-critical raw materials.</w:t>
      </w:r>
    </w:p>
    <w:p>
      <w:pPr>
        <w:spacing w:after="0" w:line="181" w:lineRule="exact"/>
        <w:rPr>
          <w:sz w:val="20"/>
          <w:szCs w:val="20"/>
          <w:color w:val="auto"/>
        </w:rPr>
      </w:pPr>
    </w:p>
    <w:p>
      <w:pPr>
        <w:ind w:right="100"/>
        <w:spacing w:after="0" w:line="279" w:lineRule="auto"/>
        <w:rPr>
          <w:sz w:val="20"/>
          <w:szCs w:val="20"/>
          <w:color w:val="auto"/>
        </w:rPr>
      </w:pPr>
      <w:r>
        <w:rPr>
          <w:rFonts w:ascii="Arial" w:cs="Arial" w:eastAsia="Arial" w:hAnsi="Arial"/>
          <w:sz w:val="17"/>
          <w:szCs w:val="17"/>
          <w:color w:val="auto"/>
        </w:rPr>
        <w:t>As discussed more fully in Item 1A “Risk Factors” of this report, our business depends on a continuous supply of raw materials from a limited number of suppliers. If an unforeseen interruption of supply were to occur, we may be unable to obtain substitute sources for these raw materials on a timely basis or on terms acceptable to us, which could harm our ability to manufacture our products profitably or on time. Additionally, we may be unable to quickly establish additional or replacement suppliers for these materials as there are a limited number of worldwide suppliers.</w:t>
      </w:r>
    </w:p>
    <w:p>
      <w:pPr>
        <w:spacing w:after="0" w:line="30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- 15 -</w:t>
      </w:r>
    </w:p>
    <w:p>
      <w:pPr>
        <w:sectPr>
          <w:pgSz w:w="11900" w:h="16838" w:orient="portrait"/>
          <w:cols w:equalWidth="0" w:num="1">
            <w:col w:w="11420"/>
          </w:cols>
          <w:pgMar w:left="240" w:top="904" w:right="239" w:bottom="1440" w:gutter="0" w:footer="0" w:header="0"/>
        </w:sectPr>
      </w:pPr>
    </w:p>
    <w:bookmarkStart w:id="16" w:name="page17"/>
    <w:bookmarkEnd w:id="16"/>
    <w:p>
      <w:pPr>
        <w:spacing w:after="0"/>
        <w:rPr>
          <w:sz w:val="20"/>
          <w:szCs w:val="20"/>
          <w:color w:val="auto"/>
        </w:rPr>
      </w:pPr>
      <w:r>
        <w:rPr>
          <w:rFonts w:ascii="Arial" w:cs="Arial" w:eastAsia="Arial" w:hAnsi="Arial"/>
          <w:sz w:val="18"/>
          <w:szCs w:val="18"/>
          <w:b w:val="1"/>
          <w:bCs w:val="1"/>
          <w:color w:val="auto"/>
        </w:rPr>
        <w:t>COMPETITION</w:t>
      </w:r>
    </w:p>
    <w:p>
      <w:pPr>
        <w:spacing w:after="0" w:line="229" w:lineRule="exact"/>
        <w:rPr>
          <w:sz w:val="20"/>
          <w:szCs w:val="20"/>
          <w:color w:val="auto"/>
        </w:rPr>
      </w:pPr>
    </w:p>
    <w:p>
      <w:pPr>
        <w:ind w:right="440"/>
        <w:spacing w:after="0" w:line="264" w:lineRule="auto"/>
        <w:rPr>
          <w:sz w:val="20"/>
          <w:szCs w:val="20"/>
          <w:color w:val="auto"/>
        </w:rPr>
      </w:pPr>
      <w:r>
        <w:rPr>
          <w:rFonts w:ascii="Arial" w:cs="Arial" w:eastAsia="Arial" w:hAnsi="Arial"/>
          <w:sz w:val="18"/>
          <w:szCs w:val="18"/>
          <w:color w:val="auto"/>
        </w:rPr>
        <w:t>Our existing and potential competitors include our OEM customers that currently have vertically integrated operations and may expand their vertical integration capability in the future. Competitors also include independent suppliers who typically specialize in one type of component. Our known non-vertically integrated competitors include the following:</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Greatbatch Medical</w:t>
      </w:r>
    </w:p>
    <w:p>
      <w:pPr>
        <w:spacing w:after="0" w:line="376" w:lineRule="exact"/>
        <w:rPr>
          <w:sz w:val="20"/>
          <w:szCs w:val="20"/>
          <w:color w:val="auto"/>
        </w:rPr>
      </w:pPr>
    </w:p>
    <w:tbl>
      <w:tblPr>
        <w:tblLayout w:type="fixed"/>
        <w:tblInd w:w="40" w:type="dxa"/>
        <w:tblCellMar>
          <w:top w:w="0" w:type="dxa"/>
          <w:left w:w="0" w:type="dxa"/>
          <w:bottom w:w="0" w:type="dxa"/>
          <w:right w:w="0" w:type="dxa"/>
        </w:tblCellMar>
      </w:tblPr>
      <w:tr>
        <w:trPr>
          <w:trHeight w:val="161"/>
        </w:trPr>
        <w:tc>
          <w:tcPr>
            <w:tcW w:w="5080" w:type="dxa"/>
            <w:vAlign w:val="bottom"/>
            <w:gridSpan w:val="2"/>
          </w:tcPr>
          <w:p>
            <w:pPr>
              <w:spacing w:after="0"/>
              <w:rPr>
                <w:sz w:val="20"/>
                <w:szCs w:val="20"/>
                <w:color w:val="auto"/>
              </w:rPr>
            </w:pPr>
            <w:r>
              <w:rPr>
                <w:rFonts w:ascii="Arial" w:cs="Arial" w:eastAsia="Arial" w:hAnsi="Arial"/>
                <w:sz w:val="14"/>
                <w:szCs w:val="14"/>
                <w:b w:val="1"/>
                <w:bCs w:val="1"/>
                <w:color w:val="auto"/>
              </w:rPr>
              <w:t>Product Line</w:t>
            </w:r>
          </w:p>
        </w:tc>
        <w:tc>
          <w:tcPr>
            <w:tcW w:w="6240" w:type="dxa"/>
            <w:vAlign w:val="bottom"/>
          </w:tcPr>
          <w:p>
            <w:pPr>
              <w:ind w:left="20"/>
              <w:spacing w:after="0"/>
              <w:rPr>
                <w:sz w:val="20"/>
                <w:szCs w:val="20"/>
                <w:color w:val="auto"/>
              </w:rPr>
            </w:pPr>
            <w:r>
              <w:rPr>
                <w:rFonts w:ascii="Arial" w:cs="Arial" w:eastAsia="Arial" w:hAnsi="Arial"/>
                <w:sz w:val="14"/>
                <w:szCs w:val="14"/>
                <w:b w:val="1"/>
                <w:bCs w:val="1"/>
                <w:color w:val="auto"/>
              </w:rPr>
              <w:t>Competitors</w:t>
            </w:r>
          </w:p>
        </w:tc>
        <w:tc>
          <w:tcPr>
            <w:tcW w:w="0" w:type="dxa"/>
            <w:vAlign w:val="bottom"/>
          </w:tcPr>
          <w:p>
            <w:pPr>
              <w:spacing w:after="0"/>
              <w:rPr>
                <w:sz w:val="1"/>
                <w:szCs w:val="1"/>
                <w:color w:val="auto"/>
              </w:rPr>
            </w:pPr>
          </w:p>
        </w:tc>
      </w:tr>
      <w:tr>
        <w:trPr>
          <w:trHeight w:val="20"/>
        </w:trPr>
        <w:tc>
          <w:tcPr>
            <w:tcW w:w="800" w:type="dxa"/>
            <w:vAlign w:val="bottom"/>
            <w:shd w:val="clear" w:color="auto" w:fill="000000"/>
          </w:tcPr>
          <w:p>
            <w:pPr>
              <w:spacing w:after="0" w:line="20" w:lineRule="exact"/>
              <w:rPr>
                <w:sz w:val="1"/>
                <w:szCs w:val="1"/>
                <w:color w:val="auto"/>
              </w:rPr>
            </w:pPr>
          </w:p>
        </w:tc>
        <w:tc>
          <w:tcPr>
            <w:tcW w:w="4280" w:type="dxa"/>
            <w:vAlign w:val="bottom"/>
          </w:tcPr>
          <w:p>
            <w:pPr>
              <w:spacing w:after="0" w:line="20" w:lineRule="exact"/>
              <w:rPr>
                <w:sz w:val="1"/>
                <w:szCs w:val="1"/>
                <w:color w:val="auto"/>
              </w:rPr>
            </w:pPr>
          </w:p>
        </w:tc>
        <w:tc>
          <w:tcPr>
            <w:tcW w:w="62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
        </w:trPr>
        <w:tc>
          <w:tcPr>
            <w:tcW w:w="5080" w:type="dxa"/>
            <w:vAlign w:val="bottom"/>
            <w:gridSpan w:val="2"/>
            <w:vMerge w:val="restart"/>
          </w:tcPr>
          <w:p>
            <w:pPr>
              <w:spacing w:after="0"/>
              <w:rPr>
                <w:sz w:val="20"/>
                <w:szCs w:val="20"/>
                <w:color w:val="auto"/>
              </w:rPr>
            </w:pPr>
            <w:r>
              <w:rPr>
                <w:rFonts w:ascii="Arial" w:cs="Arial" w:eastAsia="Arial" w:hAnsi="Arial"/>
                <w:sz w:val="18"/>
                <w:szCs w:val="18"/>
                <w:color w:val="auto"/>
              </w:rPr>
              <w:t>Medical batteries</w:t>
            </w:r>
          </w:p>
        </w:tc>
        <w:tc>
          <w:tcPr>
            <w:tcW w:w="62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22"/>
        </w:trPr>
        <w:tc>
          <w:tcPr>
            <w:tcW w:w="5080" w:type="dxa"/>
            <w:vAlign w:val="bottom"/>
            <w:gridSpan w:val="2"/>
            <w:vMerge w:val="continue"/>
          </w:tcPr>
          <w:p>
            <w:pPr>
              <w:spacing w:after="0"/>
              <w:rPr>
                <w:sz w:val="19"/>
                <w:szCs w:val="19"/>
                <w:color w:val="auto"/>
              </w:rPr>
            </w:pPr>
          </w:p>
        </w:tc>
        <w:tc>
          <w:tcPr>
            <w:tcW w:w="6240" w:type="dxa"/>
            <w:vAlign w:val="bottom"/>
          </w:tcPr>
          <w:p>
            <w:pPr>
              <w:ind w:left="20"/>
              <w:spacing w:after="0"/>
              <w:rPr>
                <w:sz w:val="20"/>
                <w:szCs w:val="20"/>
                <w:color w:val="auto"/>
              </w:rPr>
            </w:pPr>
            <w:r>
              <w:rPr>
                <w:rFonts w:ascii="Arial" w:cs="Arial" w:eastAsia="Arial" w:hAnsi="Arial"/>
                <w:sz w:val="18"/>
                <w:szCs w:val="18"/>
                <w:color w:val="auto"/>
              </w:rPr>
              <w:t>Eagle-Picher</w:t>
            </w:r>
          </w:p>
        </w:tc>
        <w:tc>
          <w:tcPr>
            <w:tcW w:w="0" w:type="dxa"/>
            <w:vAlign w:val="bottom"/>
          </w:tcPr>
          <w:p>
            <w:pPr>
              <w:spacing w:after="0"/>
              <w:rPr>
                <w:sz w:val="1"/>
                <w:szCs w:val="1"/>
                <w:color w:val="auto"/>
              </w:rPr>
            </w:pPr>
          </w:p>
        </w:tc>
      </w:tr>
      <w:tr>
        <w:trPr>
          <w:trHeight w:val="230"/>
        </w:trPr>
        <w:tc>
          <w:tcPr>
            <w:tcW w:w="800" w:type="dxa"/>
            <w:vAlign w:val="bottom"/>
          </w:tcPr>
          <w:p>
            <w:pPr>
              <w:spacing w:after="0"/>
              <w:rPr>
                <w:sz w:val="20"/>
                <w:szCs w:val="20"/>
                <w:color w:val="auto"/>
              </w:rPr>
            </w:pPr>
          </w:p>
        </w:tc>
        <w:tc>
          <w:tcPr>
            <w:tcW w:w="4280" w:type="dxa"/>
            <w:vAlign w:val="bottom"/>
          </w:tcPr>
          <w:p>
            <w:pPr>
              <w:spacing w:after="0"/>
              <w:rPr>
                <w:sz w:val="20"/>
                <w:szCs w:val="20"/>
                <w:color w:val="auto"/>
              </w:rPr>
            </w:pPr>
          </w:p>
        </w:tc>
        <w:tc>
          <w:tcPr>
            <w:tcW w:w="6240" w:type="dxa"/>
            <w:vAlign w:val="bottom"/>
          </w:tcPr>
          <w:p>
            <w:pPr>
              <w:ind w:left="20"/>
              <w:spacing w:after="0"/>
              <w:rPr>
                <w:sz w:val="20"/>
                <w:szCs w:val="20"/>
                <w:color w:val="auto"/>
              </w:rPr>
            </w:pPr>
            <w:r>
              <w:rPr>
                <w:rFonts w:ascii="Arial" w:cs="Arial" w:eastAsia="Arial" w:hAnsi="Arial"/>
                <w:sz w:val="18"/>
                <w:szCs w:val="18"/>
                <w:color w:val="auto"/>
              </w:rPr>
              <w:t>Quallion</w:t>
            </w:r>
          </w:p>
        </w:tc>
        <w:tc>
          <w:tcPr>
            <w:tcW w:w="0" w:type="dxa"/>
            <w:vAlign w:val="bottom"/>
          </w:tcPr>
          <w:p>
            <w:pPr>
              <w:spacing w:after="0"/>
              <w:rPr>
                <w:sz w:val="1"/>
                <w:szCs w:val="1"/>
                <w:color w:val="auto"/>
              </w:rPr>
            </w:pPr>
          </w:p>
        </w:tc>
      </w:tr>
      <w:tr>
        <w:trPr>
          <w:trHeight w:val="392"/>
        </w:trPr>
        <w:tc>
          <w:tcPr>
            <w:tcW w:w="5080" w:type="dxa"/>
            <w:vAlign w:val="bottom"/>
            <w:gridSpan w:val="2"/>
          </w:tcPr>
          <w:p>
            <w:pPr>
              <w:spacing w:after="0"/>
              <w:rPr>
                <w:sz w:val="20"/>
                <w:szCs w:val="20"/>
                <w:color w:val="auto"/>
              </w:rPr>
            </w:pPr>
            <w:r>
              <w:rPr>
                <w:rFonts w:ascii="Arial" w:cs="Arial" w:eastAsia="Arial" w:hAnsi="Arial"/>
                <w:sz w:val="18"/>
                <w:szCs w:val="18"/>
                <w:color w:val="auto"/>
              </w:rPr>
              <w:t>Capacitors</w:t>
            </w:r>
          </w:p>
        </w:tc>
        <w:tc>
          <w:tcPr>
            <w:tcW w:w="6240" w:type="dxa"/>
            <w:vAlign w:val="bottom"/>
          </w:tcPr>
          <w:p>
            <w:pPr>
              <w:ind w:left="20"/>
              <w:spacing w:after="0"/>
              <w:rPr>
                <w:sz w:val="20"/>
                <w:szCs w:val="20"/>
                <w:color w:val="auto"/>
              </w:rPr>
            </w:pPr>
            <w:r>
              <w:rPr>
                <w:rFonts w:ascii="Arial" w:cs="Arial" w:eastAsia="Arial" w:hAnsi="Arial"/>
                <w:sz w:val="18"/>
                <w:szCs w:val="18"/>
                <w:color w:val="auto"/>
              </w:rPr>
              <w:t>AVX (subsidiary of Kyocera) Critical Medical Components</w:t>
            </w:r>
          </w:p>
        </w:tc>
        <w:tc>
          <w:tcPr>
            <w:tcW w:w="0" w:type="dxa"/>
            <w:vAlign w:val="bottom"/>
          </w:tcPr>
          <w:p>
            <w:pPr>
              <w:spacing w:after="0"/>
              <w:rPr>
                <w:sz w:val="1"/>
                <w:szCs w:val="1"/>
                <w:color w:val="auto"/>
              </w:rPr>
            </w:pPr>
          </w:p>
        </w:tc>
      </w:tr>
      <w:tr>
        <w:trPr>
          <w:trHeight w:val="392"/>
        </w:trPr>
        <w:tc>
          <w:tcPr>
            <w:tcW w:w="5080" w:type="dxa"/>
            <w:vAlign w:val="bottom"/>
            <w:gridSpan w:val="2"/>
          </w:tcPr>
          <w:p>
            <w:pPr>
              <w:spacing w:after="0"/>
              <w:rPr>
                <w:sz w:val="20"/>
                <w:szCs w:val="20"/>
                <w:color w:val="auto"/>
              </w:rPr>
            </w:pPr>
            <w:r>
              <w:rPr>
                <w:rFonts w:ascii="Arial" w:cs="Arial" w:eastAsia="Arial" w:hAnsi="Arial"/>
                <w:sz w:val="18"/>
                <w:szCs w:val="18"/>
                <w:color w:val="auto"/>
              </w:rPr>
              <w:t>Feedthroughs</w:t>
            </w:r>
          </w:p>
        </w:tc>
        <w:tc>
          <w:tcPr>
            <w:tcW w:w="6240" w:type="dxa"/>
            <w:vAlign w:val="bottom"/>
          </w:tcPr>
          <w:p>
            <w:pPr>
              <w:ind w:left="20"/>
              <w:spacing w:after="0"/>
              <w:rPr>
                <w:sz w:val="20"/>
                <w:szCs w:val="20"/>
                <w:color w:val="auto"/>
              </w:rPr>
            </w:pPr>
            <w:r>
              <w:rPr>
                <w:rFonts w:ascii="Arial" w:cs="Arial" w:eastAsia="Arial" w:hAnsi="Arial"/>
                <w:sz w:val="18"/>
                <w:szCs w:val="18"/>
                <w:color w:val="auto"/>
              </w:rPr>
              <w:t>Alberox (subsidiary of The Morgan Crucible Co. PLC)</w:t>
            </w:r>
          </w:p>
        </w:tc>
        <w:tc>
          <w:tcPr>
            <w:tcW w:w="0" w:type="dxa"/>
            <w:vAlign w:val="bottom"/>
          </w:tcPr>
          <w:p>
            <w:pPr>
              <w:spacing w:after="0"/>
              <w:rPr>
                <w:sz w:val="1"/>
                <w:szCs w:val="1"/>
                <w:color w:val="auto"/>
              </w:rPr>
            </w:pPr>
          </w:p>
        </w:tc>
      </w:tr>
      <w:tr>
        <w:trPr>
          <w:trHeight w:val="377"/>
        </w:trPr>
        <w:tc>
          <w:tcPr>
            <w:tcW w:w="5080" w:type="dxa"/>
            <w:vAlign w:val="bottom"/>
            <w:gridSpan w:val="2"/>
          </w:tcPr>
          <w:p>
            <w:pPr>
              <w:spacing w:after="0"/>
              <w:rPr>
                <w:sz w:val="20"/>
                <w:szCs w:val="20"/>
                <w:color w:val="auto"/>
              </w:rPr>
            </w:pPr>
            <w:r>
              <w:rPr>
                <w:rFonts w:ascii="Arial" w:cs="Arial" w:eastAsia="Arial" w:hAnsi="Arial"/>
                <w:sz w:val="18"/>
                <w:szCs w:val="18"/>
                <w:color w:val="auto"/>
              </w:rPr>
              <w:t>EMI filtering</w:t>
            </w:r>
          </w:p>
        </w:tc>
        <w:tc>
          <w:tcPr>
            <w:tcW w:w="6240" w:type="dxa"/>
            <w:vAlign w:val="bottom"/>
          </w:tcPr>
          <w:p>
            <w:pPr>
              <w:ind w:left="20"/>
              <w:spacing w:after="0"/>
              <w:rPr>
                <w:sz w:val="20"/>
                <w:szCs w:val="20"/>
                <w:color w:val="auto"/>
              </w:rPr>
            </w:pPr>
            <w:r>
              <w:rPr>
                <w:rFonts w:ascii="Arial" w:cs="Arial" w:eastAsia="Arial" w:hAnsi="Arial"/>
                <w:sz w:val="18"/>
                <w:szCs w:val="18"/>
                <w:color w:val="auto"/>
              </w:rPr>
              <w:t>AVX (subsidiary of Kyocera)</w:t>
            </w:r>
          </w:p>
        </w:tc>
        <w:tc>
          <w:tcPr>
            <w:tcW w:w="0" w:type="dxa"/>
            <w:vAlign w:val="bottom"/>
          </w:tcPr>
          <w:p>
            <w:pPr>
              <w:spacing w:after="0"/>
              <w:rPr>
                <w:sz w:val="1"/>
                <w:szCs w:val="1"/>
                <w:color w:val="auto"/>
              </w:rPr>
            </w:pPr>
          </w:p>
        </w:tc>
      </w:tr>
      <w:tr>
        <w:trPr>
          <w:trHeight w:val="230"/>
        </w:trPr>
        <w:tc>
          <w:tcPr>
            <w:tcW w:w="800" w:type="dxa"/>
            <w:vAlign w:val="bottom"/>
          </w:tcPr>
          <w:p>
            <w:pPr>
              <w:spacing w:after="0"/>
              <w:rPr>
                <w:sz w:val="20"/>
                <w:szCs w:val="20"/>
                <w:color w:val="auto"/>
              </w:rPr>
            </w:pPr>
          </w:p>
        </w:tc>
        <w:tc>
          <w:tcPr>
            <w:tcW w:w="4280" w:type="dxa"/>
            <w:vAlign w:val="bottom"/>
          </w:tcPr>
          <w:p>
            <w:pPr>
              <w:spacing w:after="0"/>
              <w:rPr>
                <w:sz w:val="20"/>
                <w:szCs w:val="20"/>
                <w:color w:val="auto"/>
              </w:rPr>
            </w:pPr>
          </w:p>
        </w:tc>
        <w:tc>
          <w:tcPr>
            <w:tcW w:w="6240" w:type="dxa"/>
            <w:vAlign w:val="bottom"/>
          </w:tcPr>
          <w:p>
            <w:pPr>
              <w:ind w:left="20"/>
              <w:spacing w:after="0"/>
              <w:rPr>
                <w:sz w:val="20"/>
                <w:szCs w:val="20"/>
                <w:color w:val="auto"/>
              </w:rPr>
            </w:pPr>
            <w:r>
              <w:rPr>
                <w:rFonts w:ascii="Arial" w:cs="Arial" w:eastAsia="Arial" w:hAnsi="Arial"/>
                <w:sz w:val="18"/>
                <w:szCs w:val="18"/>
                <w:color w:val="auto"/>
              </w:rPr>
              <w:t>Eurofarad</w:t>
            </w:r>
          </w:p>
        </w:tc>
        <w:tc>
          <w:tcPr>
            <w:tcW w:w="0" w:type="dxa"/>
            <w:vAlign w:val="bottom"/>
          </w:tcPr>
          <w:p>
            <w:pPr>
              <w:spacing w:after="0"/>
              <w:rPr>
                <w:sz w:val="1"/>
                <w:szCs w:val="1"/>
                <w:color w:val="auto"/>
              </w:rPr>
            </w:pPr>
          </w:p>
        </w:tc>
      </w:tr>
      <w:tr>
        <w:trPr>
          <w:trHeight w:val="377"/>
        </w:trPr>
        <w:tc>
          <w:tcPr>
            <w:tcW w:w="5080" w:type="dxa"/>
            <w:vAlign w:val="bottom"/>
            <w:gridSpan w:val="2"/>
          </w:tcPr>
          <w:p>
            <w:pPr>
              <w:spacing w:after="0"/>
              <w:rPr>
                <w:sz w:val="20"/>
                <w:szCs w:val="20"/>
                <w:color w:val="auto"/>
              </w:rPr>
            </w:pPr>
            <w:r>
              <w:rPr>
                <w:rFonts w:ascii="Arial" w:cs="Arial" w:eastAsia="Arial" w:hAnsi="Arial"/>
                <w:sz w:val="18"/>
                <w:szCs w:val="18"/>
                <w:color w:val="auto"/>
              </w:rPr>
              <w:t>Enclosures</w:t>
            </w:r>
          </w:p>
        </w:tc>
        <w:tc>
          <w:tcPr>
            <w:tcW w:w="6240" w:type="dxa"/>
            <w:vAlign w:val="bottom"/>
          </w:tcPr>
          <w:p>
            <w:pPr>
              <w:ind w:left="20"/>
              <w:spacing w:after="0"/>
              <w:rPr>
                <w:sz w:val="20"/>
                <w:szCs w:val="20"/>
                <w:color w:val="auto"/>
              </w:rPr>
            </w:pPr>
            <w:r>
              <w:rPr>
                <w:rFonts w:ascii="Arial" w:cs="Arial" w:eastAsia="Arial" w:hAnsi="Arial"/>
                <w:sz w:val="18"/>
                <w:szCs w:val="18"/>
                <w:color w:val="auto"/>
              </w:rPr>
              <w:t>Heraeus</w:t>
            </w:r>
          </w:p>
        </w:tc>
        <w:tc>
          <w:tcPr>
            <w:tcW w:w="0" w:type="dxa"/>
            <w:vAlign w:val="bottom"/>
          </w:tcPr>
          <w:p>
            <w:pPr>
              <w:spacing w:after="0"/>
              <w:rPr>
                <w:sz w:val="1"/>
                <w:szCs w:val="1"/>
                <w:color w:val="auto"/>
              </w:rPr>
            </w:pPr>
          </w:p>
        </w:tc>
      </w:tr>
      <w:tr>
        <w:trPr>
          <w:trHeight w:val="216"/>
        </w:trPr>
        <w:tc>
          <w:tcPr>
            <w:tcW w:w="800" w:type="dxa"/>
            <w:vAlign w:val="bottom"/>
          </w:tcPr>
          <w:p>
            <w:pPr>
              <w:spacing w:after="0"/>
              <w:rPr>
                <w:sz w:val="18"/>
                <w:szCs w:val="18"/>
                <w:color w:val="auto"/>
              </w:rPr>
            </w:pPr>
          </w:p>
        </w:tc>
        <w:tc>
          <w:tcPr>
            <w:tcW w:w="4280" w:type="dxa"/>
            <w:vAlign w:val="bottom"/>
          </w:tcPr>
          <w:p>
            <w:pPr>
              <w:spacing w:after="0"/>
              <w:rPr>
                <w:sz w:val="18"/>
                <w:szCs w:val="18"/>
                <w:color w:val="auto"/>
              </w:rPr>
            </w:pPr>
          </w:p>
        </w:tc>
        <w:tc>
          <w:tcPr>
            <w:tcW w:w="6240" w:type="dxa"/>
            <w:vAlign w:val="bottom"/>
          </w:tcPr>
          <w:p>
            <w:pPr>
              <w:ind w:left="20"/>
              <w:spacing w:after="0"/>
              <w:rPr>
                <w:sz w:val="20"/>
                <w:szCs w:val="20"/>
                <w:color w:val="auto"/>
              </w:rPr>
            </w:pPr>
            <w:r>
              <w:rPr>
                <w:rFonts w:ascii="Arial" w:cs="Arial" w:eastAsia="Arial" w:hAnsi="Arial"/>
                <w:sz w:val="18"/>
                <w:szCs w:val="18"/>
                <w:color w:val="auto"/>
              </w:rPr>
              <w:t>Hudson</w:t>
            </w:r>
          </w:p>
        </w:tc>
        <w:tc>
          <w:tcPr>
            <w:tcW w:w="0" w:type="dxa"/>
            <w:vAlign w:val="bottom"/>
          </w:tcPr>
          <w:p>
            <w:pPr>
              <w:spacing w:after="0"/>
              <w:rPr>
                <w:sz w:val="1"/>
                <w:szCs w:val="1"/>
                <w:color w:val="auto"/>
              </w:rPr>
            </w:pPr>
          </w:p>
        </w:tc>
      </w:tr>
      <w:tr>
        <w:trPr>
          <w:trHeight w:val="230"/>
        </w:trPr>
        <w:tc>
          <w:tcPr>
            <w:tcW w:w="800" w:type="dxa"/>
            <w:vAlign w:val="bottom"/>
          </w:tcPr>
          <w:p>
            <w:pPr>
              <w:spacing w:after="0"/>
              <w:rPr>
                <w:sz w:val="20"/>
                <w:szCs w:val="20"/>
                <w:color w:val="auto"/>
              </w:rPr>
            </w:pPr>
          </w:p>
        </w:tc>
        <w:tc>
          <w:tcPr>
            <w:tcW w:w="4280" w:type="dxa"/>
            <w:vAlign w:val="bottom"/>
          </w:tcPr>
          <w:p>
            <w:pPr>
              <w:spacing w:after="0"/>
              <w:rPr>
                <w:sz w:val="20"/>
                <w:szCs w:val="20"/>
                <w:color w:val="auto"/>
              </w:rPr>
            </w:pPr>
          </w:p>
        </w:tc>
        <w:tc>
          <w:tcPr>
            <w:tcW w:w="6240" w:type="dxa"/>
            <w:vAlign w:val="bottom"/>
          </w:tcPr>
          <w:p>
            <w:pPr>
              <w:ind w:left="20"/>
              <w:spacing w:after="0"/>
              <w:rPr>
                <w:sz w:val="20"/>
                <w:szCs w:val="20"/>
                <w:color w:val="auto"/>
              </w:rPr>
            </w:pPr>
            <w:r>
              <w:rPr>
                <w:rFonts w:ascii="Arial" w:cs="Arial" w:eastAsia="Arial" w:hAnsi="Arial"/>
                <w:sz w:val="18"/>
                <w:szCs w:val="18"/>
                <w:color w:val="auto"/>
              </w:rPr>
              <w:t>National</w:t>
            </w:r>
          </w:p>
        </w:tc>
        <w:tc>
          <w:tcPr>
            <w:tcW w:w="0" w:type="dxa"/>
            <w:vAlign w:val="bottom"/>
          </w:tcPr>
          <w:p>
            <w:pPr>
              <w:spacing w:after="0"/>
              <w:rPr>
                <w:sz w:val="1"/>
                <w:szCs w:val="1"/>
                <w:color w:val="auto"/>
              </w:rPr>
            </w:pPr>
          </w:p>
        </w:tc>
      </w:tr>
      <w:tr>
        <w:trPr>
          <w:trHeight w:val="392"/>
        </w:trPr>
        <w:tc>
          <w:tcPr>
            <w:tcW w:w="5080" w:type="dxa"/>
            <w:vAlign w:val="bottom"/>
            <w:gridSpan w:val="2"/>
          </w:tcPr>
          <w:p>
            <w:pPr>
              <w:spacing w:after="0"/>
              <w:rPr>
                <w:sz w:val="20"/>
                <w:szCs w:val="20"/>
                <w:color w:val="auto"/>
              </w:rPr>
            </w:pPr>
            <w:r>
              <w:rPr>
                <w:rFonts w:ascii="Arial" w:cs="Arial" w:eastAsia="Arial" w:hAnsi="Arial"/>
                <w:sz w:val="18"/>
                <w:szCs w:val="18"/>
                <w:color w:val="auto"/>
              </w:rPr>
              <w:t>Machined and molded components</w:t>
            </w:r>
          </w:p>
        </w:tc>
        <w:tc>
          <w:tcPr>
            <w:tcW w:w="6240" w:type="dxa"/>
            <w:vAlign w:val="bottom"/>
          </w:tcPr>
          <w:p>
            <w:pPr>
              <w:ind w:left="20"/>
              <w:spacing w:after="0"/>
              <w:rPr>
                <w:sz w:val="20"/>
                <w:szCs w:val="20"/>
                <w:color w:val="auto"/>
              </w:rPr>
            </w:pPr>
            <w:r>
              <w:rPr>
                <w:rFonts w:ascii="Arial" w:cs="Arial" w:eastAsia="Arial" w:hAnsi="Arial"/>
                <w:sz w:val="18"/>
                <w:szCs w:val="18"/>
                <w:color w:val="auto"/>
              </w:rPr>
              <w:t>Team Vantage</w:t>
            </w:r>
          </w:p>
        </w:tc>
        <w:tc>
          <w:tcPr>
            <w:tcW w:w="0" w:type="dxa"/>
            <w:vAlign w:val="bottom"/>
          </w:tcPr>
          <w:p>
            <w:pPr>
              <w:spacing w:after="0"/>
              <w:rPr>
                <w:sz w:val="1"/>
                <w:szCs w:val="1"/>
                <w:color w:val="auto"/>
              </w:rPr>
            </w:pPr>
          </w:p>
        </w:tc>
      </w:tr>
      <w:tr>
        <w:trPr>
          <w:trHeight w:val="392"/>
        </w:trPr>
        <w:tc>
          <w:tcPr>
            <w:tcW w:w="5080" w:type="dxa"/>
            <w:vAlign w:val="bottom"/>
            <w:gridSpan w:val="2"/>
          </w:tcPr>
          <w:p>
            <w:pPr>
              <w:spacing w:after="0"/>
              <w:rPr>
                <w:sz w:val="20"/>
                <w:szCs w:val="20"/>
                <w:color w:val="auto"/>
              </w:rPr>
            </w:pPr>
            <w:r>
              <w:rPr>
                <w:rFonts w:ascii="Arial" w:cs="Arial" w:eastAsia="Arial" w:hAnsi="Arial"/>
                <w:sz w:val="18"/>
                <w:szCs w:val="18"/>
                <w:color w:val="auto"/>
              </w:rPr>
              <w:t>Value added assembly</w:t>
            </w:r>
          </w:p>
        </w:tc>
        <w:tc>
          <w:tcPr>
            <w:tcW w:w="6240" w:type="dxa"/>
            <w:vAlign w:val="bottom"/>
          </w:tcPr>
          <w:p>
            <w:pPr>
              <w:ind w:left="20"/>
              <w:spacing w:after="0"/>
              <w:rPr>
                <w:sz w:val="20"/>
                <w:szCs w:val="20"/>
                <w:color w:val="auto"/>
              </w:rPr>
            </w:pPr>
            <w:r>
              <w:rPr>
                <w:rFonts w:ascii="Arial" w:cs="Arial" w:eastAsia="Arial" w:hAnsi="Arial"/>
                <w:sz w:val="18"/>
                <w:szCs w:val="18"/>
                <w:color w:val="auto"/>
              </w:rPr>
              <w:t>Numerous</w:t>
            </w:r>
          </w:p>
        </w:tc>
        <w:tc>
          <w:tcPr>
            <w:tcW w:w="0" w:type="dxa"/>
            <w:vAlign w:val="bottom"/>
          </w:tcPr>
          <w:p>
            <w:pPr>
              <w:spacing w:after="0"/>
              <w:rPr>
                <w:sz w:val="1"/>
                <w:szCs w:val="1"/>
                <w:color w:val="auto"/>
              </w:rPr>
            </w:pPr>
          </w:p>
        </w:tc>
      </w:tr>
      <w:tr>
        <w:trPr>
          <w:trHeight w:val="377"/>
        </w:trPr>
        <w:tc>
          <w:tcPr>
            <w:tcW w:w="5080" w:type="dxa"/>
            <w:vAlign w:val="bottom"/>
            <w:gridSpan w:val="2"/>
          </w:tcPr>
          <w:p>
            <w:pPr>
              <w:spacing w:after="0"/>
              <w:rPr>
                <w:sz w:val="20"/>
                <w:szCs w:val="20"/>
                <w:color w:val="auto"/>
              </w:rPr>
            </w:pPr>
            <w:r>
              <w:rPr>
                <w:rFonts w:ascii="Arial" w:cs="Arial" w:eastAsia="Arial" w:hAnsi="Arial"/>
                <w:sz w:val="18"/>
                <w:szCs w:val="18"/>
                <w:color w:val="auto"/>
              </w:rPr>
              <w:t>Catheters</w:t>
            </w:r>
          </w:p>
        </w:tc>
        <w:tc>
          <w:tcPr>
            <w:tcW w:w="6240" w:type="dxa"/>
            <w:vAlign w:val="bottom"/>
          </w:tcPr>
          <w:p>
            <w:pPr>
              <w:ind w:left="20"/>
              <w:spacing w:after="0"/>
              <w:rPr>
                <w:sz w:val="20"/>
                <w:szCs w:val="20"/>
                <w:color w:val="auto"/>
              </w:rPr>
            </w:pPr>
            <w:r>
              <w:rPr>
                <w:rFonts w:ascii="Arial" w:cs="Arial" w:eastAsia="Arial" w:hAnsi="Arial"/>
                <w:sz w:val="18"/>
                <w:szCs w:val="18"/>
                <w:color w:val="auto"/>
              </w:rPr>
              <w:t>Creganna</w:t>
            </w:r>
          </w:p>
        </w:tc>
        <w:tc>
          <w:tcPr>
            <w:tcW w:w="0" w:type="dxa"/>
            <w:vAlign w:val="bottom"/>
          </w:tcPr>
          <w:p>
            <w:pPr>
              <w:spacing w:after="0"/>
              <w:rPr>
                <w:sz w:val="1"/>
                <w:szCs w:val="1"/>
                <w:color w:val="auto"/>
              </w:rPr>
            </w:pPr>
          </w:p>
        </w:tc>
      </w:tr>
      <w:tr>
        <w:trPr>
          <w:trHeight w:val="216"/>
        </w:trPr>
        <w:tc>
          <w:tcPr>
            <w:tcW w:w="800" w:type="dxa"/>
            <w:vAlign w:val="bottom"/>
          </w:tcPr>
          <w:p>
            <w:pPr>
              <w:spacing w:after="0"/>
              <w:rPr>
                <w:sz w:val="18"/>
                <w:szCs w:val="18"/>
                <w:color w:val="auto"/>
              </w:rPr>
            </w:pPr>
          </w:p>
        </w:tc>
        <w:tc>
          <w:tcPr>
            <w:tcW w:w="4280" w:type="dxa"/>
            <w:vAlign w:val="bottom"/>
          </w:tcPr>
          <w:p>
            <w:pPr>
              <w:spacing w:after="0"/>
              <w:rPr>
                <w:sz w:val="18"/>
                <w:szCs w:val="18"/>
                <w:color w:val="auto"/>
              </w:rPr>
            </w:pPr>
          </w:p>
        </w:tc>
        <w:tc>
          <w:tcPr>
            <w:tcW w:w="6240" w:type="dxa"/>
            <w:vAlign w:val="bottom"/>
          </w:tcPr>
          <w:p>
            <w:pPr>
              <w:ind w:left="20"/>
              <w:spacing w:after="0"/>
              <w:rPr>
                <w:sz w:val="20"/>
                <w:szCs w:val="20"/>
                <w:color w:val="auto"/>
              </w:rPr>
            </w:pPr>
            <w:r>
              <w:rPr>
                <w:rFonts w:ascii="Arial" w:cs="Arial" w:eastAsia="Arial" w:hAnsi="Arial"/>
                <w:sz w:val="18"/>
                <w:szCs w:val="18"/>
                <w:color w:val="auto"/>
              </w:rPr>
              <w:t>Teleflex</w:t>
            </w:r>
          </w:p>
        </w:tc>
        <w:tc>
          <w:tcPr>
            <w:tcW w:w="0" w:type="dxa"/>
            <w:vAlign w:val="bottom"/>
          </w:tcPr>
          <w:p>
            <w:pPr>
              <w:spacing w:after="0"/>
              <w:rPr>
                <w:sz w:val="1"/>
                <w:szCs w:val="1"/>
                <w:color w:val="auto"/>
              </w:rPr>
            </w:pPr>
          </w:p>
        </w:tc>
      </w:tr>
      <w:tr>
        <w:trPr>
          <w:trHeight w:val="230"/>
        </w:trPr>
        <w:tc>
          <w:tcPr>
            <w:tcW w:w="800" w:type="dxa"/>
            <w:vAlign w:val="bottom"/>
          </w:tcPr>
          <w:p>
            <w:pPr>
              <w:spacing w:after="0"/>
              <w:rPr>
                <w:sz w:val="20"/>
                <w:szCs w:val="20"/>
                <w:color w:val="auto"/>
              </w:rPr>
            </w:pPr>
          </w:p>
        </w:tc>
        <w:tc>
          <w:tcPr>
            <w:tcW w:w="4280" w:type="dxa"/>
            <w:vAlign w:val="bottom"/>
          </w:tcPr>
          <w:p>
            <w:pPr>
              <w:spacing w:after="0"/>
              <w:rPr>
                <w:sz w:val="20"/>
                <w:szCs w:val="20"/>
                <w:color w:val="auto"/>
              </w:rPr>
            </w:pPr>
          </w:p>
        </w:tc>
        <w:tc>
          <w:tcPr>
            <w:tcW w:w="6240" w:type="dxa"/>
            <w:vAlign w:val="bottom"/>
          </w:tcPr>
          <w:p>
            <w:pPr>
              <w:ind w:left="20"/>
              <w:spacing w:after="0"/>
              <w:rPr>
                <w:sz w:val="20"/>
                <w:szCs w:val="20"/>
                <w:color w:val="auto"/>
              </w:rPr>
            </w:pPr>
            <w:r>
              <w:rPr>
                <w:rFonts w:ascii="Arial" w:cs="Arial" w:eastAsia="Arial" w:hAnsi="Arial"/>
                <w:sz w:val="18"/>
                <w:szCs w:val="18"/>
                <w:color w:val="auto"/>
              </w:rPr>
              <w:t>Vention medical</w:t>
            </w:r>
          </w:p>
        </w:tc>
        <w:tc>
          <w:tcPr>
            <w:tcW w:w="0" w:type="dxa"/>
            <w:vAlign w:val="bottom"/>
          </w:tcPr>
          <w:p>
            <w:pPr>
              <w:spacing w:after="0"/>
              <w:rPr>
                <w:sz w:val="1"/>
                <w:szCs w:val="1"/>
                <w:color w:val="auto"/>
              </w:rPr>
            </w:pPr>
          </w:p>
        </w:tc>
      </w:tr>
      <w:tr>
        <w:trPr>
          <w:trHeight w:val="377"/>
        </w:trPr>
        <w:tc>
          <w:tcPr>
            <w:tcW w:w="5080" w:type="dxa"/>
            <w:vAlign w:val="bottom"/>
            <w:gridSpan w:val="2"/>
          </w:tcPr>
          <w:p>
            <w:pPr>
              <w:spacing w:after="0"/>
              <w:rPr>
                <w:sz w:val="20"/>
                <w:szCs w:val="20"/>
                <w:color w:val="auto"/>
              </w:rPr>
            </w:pPr>
            <w:r>
              <w:rPr>
                <w:rFonts w:ascii="Arial" w:cs="Arial" w:eastAsia="Arial" w:hAnsi="Arial"/>
                <w:sz w:val="18"/>
                <w:szCs w:val="18"/>
                <w:color w:val="auto"/>
              </w:rPr>
              <w:t>Introducers</w:t>
            </w:r>
          </w:p>
        </w:tc>
        <w:tc>
          <w:tcPr>
            <w:tcW w:w="6240" w:type="dxa"/>
            <w:vAlign w:val="bottom"/>
          </w:tcPr>
          <w:p>
            <w:pPr>
              <w:ind w:left="20"/>
              <w:spacing w:after="0"/>
              <w:rPr>
                <w:sz w:val="20"/>
                <w:szCs w:val="20"/>
                <w:color w:val="auto"/>
              </w:rPr>
            </w:pPr>
            <w:r>
              <w:rPr>
                <w:rFonts w:ascii="Arial" w:cs="Arial" w:eastAsia="Arial" w:hAnsi="Arial"/>
                <w:sz w:val="18"/>
                <w:szCs w:val="18"/>
                <w:color w:val="auto"/>
              </w:rPr>
              <w:t>Pressure Products</w:t>
            </w:r>
          </w:p>
        </w:tc>
        <w:tc>
          <w:tcPr>
            <w:tcW w:w="0" w:type="dxa"/>
            <w:vAlign w:val="bottom"/>
          </w:tcPr>
          <w:p>
            <w:pPr>
              <w:spacing w:after="0"/>
              <w:rPr>
                <w:sz w:val="1"/>
                <w:szCs w:val="1"/>
                <w:color w:val="auto"/>
              </w:rPr>
            </w:pPr>
          </w:p>
        </w:tc>
      </w:tr>
      <w:tr>
        <w:trPr>
          <w:trHeight w:val="216"/>
        </w:trPr>
        <w:tc>
          <w:tcPr>
            <w:tcW w:w="800" w:type="dxa"/>
            <w:vAlign w:val="bottom"/>
          </w:tcPr>
          <w:p>
            <w:pPr>
              <w:spacing w:after="0"/>
              <w:rPr>
                <w:sz w:val="18"/>
                <w:szCs w:val="18"/>
                <w:color w:val="auto"/>
              </w:rPr>
            </w:pPr>
          </w:p>
        </w:tc>
        <w:tc>
          <w:tcPr>
            <w:tcW w:w="4280" w:type="dxa"/>
            <w:vAlign w:val="bottom"/>
          </w:tcPr>
          <w:p>
            <w:pPr>
              <w:spacing w:after="0"/>
              <w:rPr>
                <w:sz w:val="18"/>
                <w:szCs w:val="18"/>
                <w:color w:val="auto"/>
              </w:rPr>
            </w:pPr>
          </w:p>
        </w:tc>
        <w:tc>
          <w:tcPr>
            <w:tcW w:w="6240" w:type="dxa"/>
            <w:vAlign w:val="bottom"/>
          </w:tcPr>
          <w:p>
            <w:pPr>
              <w:ind w:left="20"/>
              <w:spacing w:after="0"/>
              <w:rPr>
                <w:sz w:val="20"/>
                <w:szCs w:val="20"/>
                <w:color w:val="auto"/>
              </w:rPr>
            </w:pPr>
            <w:r>
              <w:rPr>
                <w:rFonts w:ascii="Arial" w:cs="Arial" w:eastAsia="Arial" w:hAnsi="Arial"/>
                <w:sz w:val="18"/>
                <w:szCs w:val="18"/>
                <w:color w:val="auto"/>
              </w:rPr>
              <w:t>Theragenics (Galt)</w:t>
            </w:r>
          </w:p>
        </w:tc>
        <w:tc>
          <w:tcPr>
            <w:tcW w:w="0" w:type="dxa"/>
            <w:vAlign w:val="bottom"/>
          </w:tcPr>
          <w:p>
            <w:pPr>
              <w:spacing w:after="0"/>
              <w:rPr>
                <w:sz w:val="1"/>
                <w:szCs w:val="1"/>
                <w:color w:val="auto"/>
              </w:rPr>
            </w:pPr>
          </w:p>
        </w:tc>
      </w:tr>
      <w:tr>
        <w:trPr>
          <w:trHeight w:val="230"/>
        </w:trPr>
        <w:tc>
          <w:tcPr>
            <w:tcW w:w="800" w:type="dxa"/>
            <w:vAlign w:val="bottom"/>
          </w:tcPr>
          <w:p>
            <w:pPr>
              <w:spacing w:after="0"/>
              <w:rPr>
                <w:sz w:val="20"/>
                <w:szCs w:val="20"/>
                <w:color w:val="auto"/>
              </w:rPr>
            </w:pPr>
          </w:p>
        </w:tc>
        <w:tc>
          <w:tcPr>
            <w:tcW w:w="4280" w:type="dxa"/>
            <w:vAlign w:val="bottom"/>
          </w:tcPr>
          <w:p>
            <w:pPr>
              <w:spacing w:after="0"/>
              <w:rPr>
                <w:sz w:val="20"/>
                <w:szCs w:val="20"/>
                <w:color w:val="auto"/>
              </w:rPr>
            </w:pPr>
          </w:p>
        </w:tc>
        <w:tc>
          <w:tcPr>
            <w:tcW w:w="6240" w:type="dxa"/>
            <w:vAlign w:val="bottom"/>
          </w:tcPr>
          <w:p>
            <w:pPr>
              <w:ind w:left="20"/>
              <w:spacing w:after="0"/>
              <w:rPr>
                <w:sz w:val="20"/>
                <w:szCs w:val="20"/>
                <w:color w:val="auto"/>
              </w:rPr>
            </w:pPr>
            <w:r>
              <w:rPr>
                <w:rFonts w:ascii="Arial" w:cs="Arial" w:eastAsia="Arial" w:hAnsi="Arial"/>
                <w:sz w:val="18"/>
                <w:szCs w:val="18"/>
                <w:color w:val="auto"/>
              </w:rPr>
              <w:t>Merit Medical</w:t>
            </w:r>
          </w:p>
        </w:tc>
        <w:tc>
          <w:tcPr>
            <w:tcW w:w="0" w:type="dxa"/>
            <w:vAlign w:val="bottom"/>
          </w:tcPr>
          <w:p>
            <w:pPr>
              <w:spacing w:after="0"/>
              <w:rPr>
                <w:sz w:val="1"/>
                <w:szCs w:val="1"/>
                <w:color w:val="auto"/>
              </w:rPr>
            </w:pPr>
          </w:p>
        </w:tc>
      </w:tr>
      <w:tr>
        <w:trPr>
          <w:trHeight w:val="392"/>
        </w:trPr>
        <w:tc>
          <w:tcPr>
            <w:tcW w:w="5080" w:type="dxa"/>
            <w:vAlign w:val="bottom"/>
            <w:gridSpan w:val="2"/>
          </w:tcPr>
          <w:p>
            <w:pPr>
              <w:spacing w:after="0"/>
              <w:rPr>
                <w:sz w:val="20"/>
                <w:szCs w:val="20"/>
                <w:color w:val="auto"/>
              </w:rPr>
            </w:pPr>
            <w:r>
              <w:rPr>
                <w:rFonts w:ascii="Arial" w:cs="Arial" w:eastAsia="Arial" w:hAnsi="Arial"/>
                <w:sz w:val="18"/>
                <w:szCs w:val="18"/>
                <w:color w:val="auto"/>
              </w:rPr>
              <w:t>Stimulation leads</w:t>
            </w:r>
          </w:p>
        </w:tc>
        <w:tc>
          <w:tcPr>
            <w:tcW w:w="6240" w:type="dxa"/>
            <w:vAlign w:val="bottom"/>
          </w:tcPr>
          <w:p>
            <w:pPr>
              <w:ind w:left="20"/>
              <w:spacing w:after="0"/>
              <w:rPr>
                <w:sz w:val="20"/>
                <w:szCs w:val="20"/>
                <w:color w:val="auto"/>
              </w:rPr>
            </w:pPr>
            <w:r>
              <w:rPr>
                <w:rFonts w:ascii="Arial" w:cs="Arial" w:eastAsia="Arial" w:hAnsi="Arial"/>
                <w:sz w:val="18"/>
                <w:szCs w:val="18"/>
                <w:color w:val="auto"/>
              </w:rPr>
              <w:t>Oscor</w:t>
            </w:r>
          </w:p>
        </w:tc>
        <w:tc>
          <w:tcPr>
            <w:tcW w:w="0" w:type="dxa"/>
            <w:vAlign w:val="bottom"/>
          </w:tcPr>
          <w:p>
            <w:pPr>
              <w:spacing w:after="0"/>
              <w:rPr>
                <w:sz w:val="1"/>
                <w:szCs w:val="1"/>
                <w:color w:val="auto"/>
              </w:rPr>
            </w:pPr>
          </w:p>
        </w:tc>
      </w:tr>
      <w:tr>
        <w:trPr>
          <w:trHeight w:val="377"/>
        </w:trPr>
        <w:tc>
          <w:tcPr>
            <w:tcW w:w="5080" w:type="dxa"/>
            <w:vAlign w:val="bottom"/>
            <w:gridSpan w:val="2"/>
          </w:tcPr>
          <w:p>
            <w:pPr>
              <w:spacing w:after="0"/>
              <w:rPr>
                <w:sz w:val="20"/>
                <w:szCs w:val="20"/>
                <w:color w:val="auto"/>
              </w:rPr>
            </w:pPr>
            <w:r>
              <w:rPr>
                <w:rFonts w:ascii="Arial" w:cs="Arial" w:eastAsia="Arial" w:hAnsi="Arial"/>
                <w:sz w:val="18"/>
                <w:szCs w:val="18"/>
                <w:color w:val="auto"/>
              </w:rPr>
              <w:t>Orthopaedic trays, instruments and implants</w:t>
            </w:r>
          </w:p>
        </w:tc>
        <w:tc>
          <w:tcPr>
            <w:tcW w:w="6240" w:type="dxa"/>
            <w:vAlign w:val="bottom"/>
          </w:tcPr>
          <w:p>
            <w:pPr>
              <w:ind w:left="20"/>
              <w:spacing w:after="0"/>
              <w:rPr>
                <w:sz w:val="20"/>
                <w:szCs w:val="20"/>
                <w:color w:val="auto"/>
              </w:rPr>
            </w:pPr>
            <w:r>
              <w:rPr>
                <w:rFonts w:ascii="Arial" w:cs="Arial" w:eastAsia="Arial" w:hAnsi="Arial"/>
                <w:sz w:val="18"/>
                <w:szCs w:val="18"/>
                <w:color w:val="auto"/>
              </w:rPr>
              <w:t>Avalign Technologies</w:t>
            </w:r>
          </w:p>
        </w:tc>
        <w:tc>
          <w:tcPr>
            <w:tcW w:w="0" w:type="dxa"/>
            <w:vAlign w:val="bottom"/>
          </w:tcPr>
          <w:p>
            <w:pPr>
              <w:spacing w:after="0"/>
              <w:rPr>
                <w:sz w:val="1"/>
                <w:szCs w:val="1"/>
                <w:color w:val="auto"/>
              </w:rPr>
            </w:pPr>
          </w:p>
        </w:tc>
      </w:tr>
      <w:tr>
        <w:trPr>
          <w:trHeight w:val="216"/>
        </w:trPr>
        <w:tc>
          <w:tcPr>
            <w:tcW w:w="800" w:type="dxa"/>
            <w:vAlign w:val="bottom"/>
          </w:tcPr>
          <w:p>
            <w:pPr>
              <w:spacing w:after="0"/>
              <w:rPr>
                <w:sz w:val="18"/>
                <w:szCs w:val="18"/>
                <w:color w:val="auto"/>
              </w:rPr>
            </w:pPr>
          </w:p>
        </w:tc>
        <w:tc>
          <w:tcPr>
            <w:tcW w:w="4280" w:type="dxa"/>
            <w:vAlign w:val="bottom"/>
          </w:tcPr>
          <w:p>
            <w:pPr>
              <w:spacing w:after="0"/>
              <w:rPr>
                <w:sz w:val="18"/>
                <w:szCs w:val="18"/>
                <w:color w:val="auto"/>
              </w:rPr>
            </w:pPr>
          </w:p>
        </w:tc>
        <w:tc>
          <w:tcPr>
            <w:tcW w:w="6240" w:type="dxa"/>
            <w:vAlign w:val="bottom"/>
          </w:tcPr>
          <w:p>
            <w:pPr>
              <w:ind w:left="20"/>
              <w:spacing w:after="0"/>
              <w:rPr>
                <w:sz w:val="20"/>
                <w:szCs w:val="20"/>
                <w:color w:val="auto"/>
              </w:rPr>
            </w:pPr>
            <w:r>
              <w:rPr>
                <w:rFonts w:ascii="Arial" w:cs="Arial" w:eastAsia="Arial" w:hAnsi="Arial"/>
                <w:sz w:val="18"/>
                <w:szCs w:val="18"/>
                <w:color w:val="auto"/>
              </w:rPr>
              <w:t>IMDS</w:t>
            </w:r>
          </w:p>
        </w:tc>
        <w:tc>
          <w:tcPr>
            <w:tcW w:w="0" w:type="dxa"/>
            <w:vAlign w:val="bottom"/>
          </w:tcPr>
          <w:p>
            <w:pPr>
              <w:spacing w:after="0"/>
              <w:rPr>
                <w:sz w:val="1"/>
                <w:szCs w:val="1"/>
                <w:color w:val="auto"/>
              </w:rPr>
            </w:pPr>
          </w:p>
        </w:tc>
      </w:tr>
      <w:tr>
        <w:trPr>
          <w:trHeight w:val="216"/>
        </w:trPr>
        <w:tc>
          <w:tcPr>
            <w:tcW w:w="800" w:type="dxa"/>
            <w:vAlign w:val="bottom"/>
          </w:tcPr>
          <w:p>
            <w:pPr>
              <w:spacing w:after="0"/>
              <w:rPr>
                <w:sz w:val="18"/>
                <w:szCs w:val="18"/>
                <w:color w:val="auto"/>
              </w:rPr>
            </w:pPr>
          </w:p>
        </w:tc>
        <w:tc>
          <w:tcPr>
            <w:tcW w:w="4280" w:type="dxa"/>
            <w:vAlign w:val="bottom"/>
          </w:tcPr>
          <w:p>
            <w:pPr>
              <w:spacing w:after="0"/>
              <w:rPr>
                <w:sz w:val="18"/>
                <w:szCs w:val="18"/>
                <w:color w:val="auto"/>
              </w:rPr>
            </w:pPr>
          </w:p>
        </w:tc>
        <w:tc>
          <w:tcPr>
            <w:tcW w:w="6240" w:type="dxa"/>
            <w:vAlign w:val="bottom"/>
          </w:tcPr>
          <w:p>
            <w:pPr>
              <w:ind w:left="20"/>
              <w:spacing w:after="0"/>
              <w:rPr>
                <w:sz w:val="20"/>
                <w:szCs w:val="20"/>
                <w:color w:val="auto"/>
              </w:rPr>
            </w:pPr>
            <w:r>
              <w:rPr>
                <w:rFonts w:ascii="Arial" w:cs="Arial" w:eastAsia="Arial" w:hAnsi="Arial"/>
                <w:sz w:val="18"/>
                <w:szCs w:val="18"/>
                <w:color w:val="auto"/>
              </w:rPr>
              <w:t>Micropulse, Inc.</w:t>
            </w:r>
          </w:p>
        </w:tc>
        <w:tc>
          <w:tcPr>
            <w:tcW w:w="0" w:type="dxa"/>
            <w:vAlign w:val="bottom"/>
          </w:tcPr>
          <w:p>
            <w:pPr>
              <w:spacing w:after="0"/>
              <w:rPr>
                <w:sz w:val="1"/>
                <w:szCs w:val="1"/>
                <w:color w:val="auto"/>
              </w:rPr>
            </w:pPr>
          </w:p>
        </w:tc>
      </w:tr>
      <w:tr>
        <w:trPr>
          <w:trHeight w:val="216"/>
        </w:trPr>
        <w:tc>
          <w:tcPr>
            <w:tcW w:w="800" w:type="dxa"/>
            <w:vAlign w:val="bottom"/>
          </w:tcPr>
          <w:p>
            <w:pPr>
              <w:spacing w:after="0"/>
              <w:rPr>
                <w:sz w:val="18"/>
                <w:szCs w:val="18"/>
                <w:color w:val="auto"/>
              </w:rPr>
            </w:pPr>
          </w:p>
        </w:tc>
        <w:tc>
          <w:tcPr>
            <w:tcW w:w="4280" w:type="dxa"/>
            <w:vAlign w:val="bottom"/>
          </w:tcPr>
          <w:p>
            <w:pPr>
              <w:spacing w:after="0"/>
              <w:rPr>
                <w:sz w:val="18"/>
                <w:szCs w:val="18"/>
                <w:color w:val="auto"/>
              </w:rPr>
            </w:pPr>
          </w:p>
        </w:tc>
        <w:tc>
          <w:tcPr>
            <w:tcW w:w="6240" w:type="dxa"/>
            <w:vAlign w:val="bottom"/>
          </w:tcPr>
          <w:p>
            <w:pPr>
              <w:ind w:left="20"/>
              <w:spacing w:after="0"/>
              <w:rPr>
                <w:sz w:val="20"/>
                <w:szCs w:val="20"/>
                <w:color w:val="auto"/>
              </w:rPr>
            </w:pPr>
            <w:r>
              <w:rPr>
                <w:rFonts w:ascii="Arial" w:cs="Arial" w:eastAsia="Arial" w:hAnsi="Arial"/>
                <w:sz w:val="18"/>
                <w:szCs w:val="18"/>
                <w:color w:val="auto"/>
              </w:rPr>
              <w:t>Juno</w:t>
            </w:r>
          </w:p>
        </w:tc>
        <w:tc>
          <w:tcPr>
            <w:tcW w:w="0" w:type="dxa"/>
            <w:vAlign w:val="bottom"/>
          </w:tcPr>
          <w:p>
            <w:pPr>
              <w:spacing w:after="0"/>
              <w:rPr>
                <w:sz w:val="1"/>
                <w:szCs w:val="1"/>
                <w:color w:val="auto"/>
              </w:rPr>
            </w:pPr>
          </w:p>
        </w:tc>
      </w:tr>
      <w:tr>
        <w:trPr>
          <w:trHeight w:val="216"/>
        </w:trPr>
        <w:tc>
          <w:tcPr>
            <w:tcW w:w="800" w:type="dxa"/>
            <w:vAlign w:val="bottom"/>
          </w:tcPr>
          <w:p>
            <w:pPr>
              <w:spacing w:after="0"/>
              <w:rPr>
                <w:sz w:val="18"/>
                <w:szCs w:val="18"/>
                <w:color w:val="auto"/>
              </w:rPr>
            </w:pPr>
          </w:p>
        </w:tc>
        <w:tc>
          <w:tcPr>
            <w:tcW w:w="4280" w:type="dxa"/>
            <w:vAlign w:val="bottom"/>
          </w:tcPr>
          <w:p>
            <w:pPr>
              <w:spacing w:after="0"/>
              <w:rPr>
                <w:sz w:val="18"/>
                <w:szCs w:val="18"/>
                <w:color w:val="auto"/>
              </w:rPr>
            </w:pPr>
          </w:p>
        </w:tc>
        <w:tc>
          <w:tcPr>
            <w:tcW w:w="6240" w:type="dxa"/>
            <w:vAlign w:val="bottom"/>
          </w:tcPr>
          <w:p>
            <w:pPr>
              <w:ind w:left="20"/>
              <w:spacing w:after="0"/>
              <w:rPr>
                <w:sz w:val="20"/>
                <w:szCs w:val="20"/>
                <w:color w:val="auto"/>
              </w:rPr>
            </w:pPr>
            <w:r>
              <w:rPr>
                <w:rFonts w:ascii="Arial" w:cs="Arial" w:eastAsia="Arial" w:hAnsi="Arial"/>
                <w:sz w:val="18"/>
                <w:szCs w:val="18"/>
                <w:color w:val="auto"/>
              </w:rPr>
              <w:t>Orchid</w:t>
            </w:r>
          </w:p>
        </w:tc>
        <w:tc>
          <w:tcPr>
            <w:tcW w:w="0" w:type="dxa"/>
            <w:vAlign w:val="bottom"/>
          </w:tcPr>
          <w:p>
            <w:pPr>
              <w:spacing w:after="0"/>
              <w:rPr>
                <w:sz w:val="1"/>
                <w:szCs w:val="1"/>
                <w:color w:val="auto"/>
              </w:rPr>
            </w:pPr>
          </w:p>
        </w:tc>
      </w:tr>
      <w:tr>
        <w:trPr>
          <w:trHeight w:val="216"/>
        </w:trPr>
        <w:tc>
          <w:tcPr>
            <w:tcW w:w="800" w:type="dxa"/>
            <w:vAlign w:val="bottom"/>
          </w:tcPr>
          <w:p>
            <w:pPr>
              <w:spacing w:after="0"/>
              <w:rPr>
                <w:sz w:val="18"/>
                <w:szCs w:val="18"/>
                <w:color w:val="auto"/>
              </w:rPr>
            </w:pPr>
          </w:p>
        </w:tc>
        <w:tc>
          <w:tcPr>
            <w:tcW w:w="4280" w:type="dxa"/>
            <w:vAlign w:val="bottom"/>
          </w:tcPr>
          <w:p>
            <w:pPr>
              <w:spacing w:after="0"/>
              <w:rPr>
                <w:sz w:val="18"/>
                <w:szCs w:val="18"/>
                <w:color w:val="auto"/>
              </w:rPr>
            </w:pPr>
          </w:p>
        </w:tc>
        <w:tc>
          <w:tcPr>
            <w:tcW w:w="6240" w:type="dxa"/>
            <w:vAlign w:val="bottom"/>
          </w:tcPr>
          <w:p>
            <w:pPr>
              <w:ind w:left="20"/>
              <w:spacing w:after="0"/>
              <w:rPr>
                <w:sz w:val="20"/>
                <w:szCs w:val="20"/>
                <w:color w:val="auto"/>
              </w:rPr>
            </w:pPr>
            <w:r>
              <w:rPr>
                <w:rFonts w:ascii="Arial" w:cs="Arial" w:eastAsia="Arial" w:hAnsi="Arial"/>
                <w:sz w:val="18"/>
                <w:szCs w:val="18"/>
                <w:color w:val="auto"/>
              </w:rPr>
              <w:t>Sandvik</w:t>
            </w:r>
          </w:p>
        </w:tc>
        <w:tc>
          <w:tcPr>
            <w:tcW w:w="0" w:type="dxa"/>
            <w:vAlign w:val="bottom"/>
          </w:tcPr>
          <w:p>
            <w:pPr>
              <w:spacing w:after="0"/>
              <w:rPr>
                <w:sz w:val="1"/>
                <w:szCs w:val="1"/>
                <w:color w:val="auto"/>
              </w:rPr>
            </w:pPr>
          </w:p>
        </w:tc>
      </w:tr>
      <w:tr>
        <w:trPr>
          <w:trHeight w:val="216"/>
        </w:trPr>
        <w:tc>
          <w:tcPr>
            <w:tcW w:w="800" w:type="dxa"/>
            <w:vAlign w:val="bottom"/>
          </w:tcPr>
          <w:p>
            <w:pPr>
              <w:spacing w:after="0"/>
              <w:rPr>
                <w:sz w:val="18"/>
                <w:szCs w:val="18"/>
                <w:color w:val="auto"/>
              </w:rPr>
            </w:pPr>
          </w:p>
        </w:tc>
        <w:tc>
          <w:tcPr>
            <w:tcW w:w="4280" w:type="dxa"/>
            <w:vAlign w:val="bottom"/>
          </w:tcPr>
          <w:p>
            <w:pPr>
              <w:spacing w:after="0"/>
              <w:rPr>
                <w:sz w:val="18"/>
                <w:szCs w:val="18"/>
                <w:color w:val="auto"/>
              </w:rPr>
            </w:pPr>
          </w:p>
        </w:tc>
        <w:tc>
          <w:tcPr>
            <w:tcW w:w="6240" w:type="dxa"/>
            <w:vAlign w:val="bottom"/>
          </w:tcPr>
          <w:p>
            <w:pPr>
              <w:ind w:left="20"/>
              <w:spacing w:after="0"/>
              <w:rPr>
                <w:sz w:val="20"/>
                <w:szCs w:val="20"/>
                <w:color w:val="auto"/>
              </w:rPr>
            </w:pPr>
            <w:r>
              <w:rPr>
                <w:rFonts w:ascii="Arial" w:cs="Arial" w:eastAsia="Arial" w:hAnsi="Arial"/>
                <w:sz w:val="18"/>
                <w:szCs w:val="18"/>
                <w:color w:val="auto"/>
              </w:rPr>
              <w:t>Paragon</w:t>
            </w:r>
          </w:p>
        </w:tc>
        <w:tc>
          <w:tcPr>
            <w:tcW w:w="0" w:type="dxa"/>
            <w:vAlign w:val="bottom"/>
          </w:tcPr>
          <w:p>
            <w:pPr>
              <w:spacing w:after="0"/>
              <w:rPr>
                <w:sz w:val="1"/>
                <w:szCs w:val="1"/>
                <w:color w:val="auto"/>
              </w:rPr>
            </w:pPr>
          </w:p>
        </w:tc>
      </w:tr>
      <w:tr>
        <w:trPr>
          <w:trHeight w:val="230"/>
        </w:trPr>
        <w:tc>
          <w:tcPr>
            <w:tcW w:w="800" w:type="dxa"/>
            <w:vAlign w:val="bottom"/>
          </w:tcPr>
          <w:p>
            <w:pPr>
              <w:spacing w:after="0"/>
              <w:rPr>
                <w:sz w:val="20"/>
                <w:szCs w:val="20"/>
                <w:color w:val="auto"/>
              </w:rPr>
            </w:pPr>
          </w:p>
        </w:tc>
        <w:tc>
          <w:tcPr>
            <w:tcW w:w="4280" w:type="dxa"/>
            <w:vAlign w:val="bottom"/>
          </w:tcPr>
          <w:p>
            <w:pPr>
              <w:spacing w:after="0"/>
              <w:rPr>
                <w:sz w:val="20"/>
                <w:szCs w:val="20"/>
                <w:color w:val="auto"/>
              </w:rPr>
            </w:pPr>
          </w:p>
        </w:tc>
        <w:tc>
          <w:tcPr>
            <w:tcW w:w="6240" w:type="dxa"/>
            <w:vAlign w:val="bottom"/>
          </w:tcPr>
          <w:p>
            <w:pPr>
              <w:ind w:left="20"/>
              <w:spacing w:after="0"/>
              <w:rPr>
                <w:sz w:val="20"/>
                <w:szCs w:val="20"/>
                <w:color w:val="auto"/>
              </w:rPr>
            </w:pPr>
            <w:r>
              <w:rPr>
                <w:rFonts w:ascii="Arial" w:cs="Arial" w:eastAsia="Arial" w:hAnsi="Arial"/>
                <w:sz w:val="18"/>
                <w:szCs w:val="18"/>
                <w:color w:val="auto"/>
              </w:rPr>
              <w:t>Tecomet</w:t>
            </w:r>
          </w:p>
        </w:tc>
        <w:tc>
          <w:tcPr>
            <w:tcW w:w="0" w:type="dxa"/>
            <w:vAlign w:val="bottom"/>
          </w:tcPr>
          <w:p>
            <w:pPr>
              <w:spacing w:after="0"/>
              <w:rPr>
                <w:sz w:val="1"/>
                <w:szCs w:val="1"/>
                <w:color w:val="auto"/>
              </w:rPr>
            </w:pPr>
          </w:p>
        </w:tc>
      </w:tr>
      <w:tr>
        <w:trPr>
          <w:trHeight w:val="377"/>
        </w:trPr>
        <w:tc>
          <w:tcPr>
            <w:tcW w:w="5080" w:type="dxa"/>
            <w:vAlign w:val="bottom"/>
            <w:gridSpan w:val="2"/>
          </w:tcPr>
          <w:p>
            <w:pPr>
              <w:spacing w:after="0"/>
              <w:rPr>
                <w:sz w:val="20"/>
                <w:szCs w:val="20"/>
                <w:color w:val="auto"/>
              </w:rPr>
            </w:pPr>
            <w:r>
              <w:rPr>
                <w:rFonts w:ascii="Arial" w:cs="Arial" w:eastAsia="Arial" w:hAnsi="Arial"/>
                <w:sz w:val="18"/>
                <w:szCs w:val="18"/>
                <w:color w:val="auto"/>
              </w:rPr>
              <w:t>Manufactured primary cells</w:t>
            </w:r>
          </w:p>
        </w:tc>
        <w:tc>
          <w:tcPr>
            <w:tcW w:w="6240" w:type="dxa"/>
            <w:vAlign w:val="bottom"/>
          </w:tcPr>
          <w:p>
            <w:pPr>
              <w:ind w:left="20"/>
              <w:spacing w:after="0"/>
              <w:rPr>
                <w:sz w:val="20"/>
                <w:szCs w:val="20"/>
                <w:color w:val="auto"/>
              </w:rPr>
            </w:pPr>
            <w:r>
              <w:rPr>
                <w:rFonts w:ascii="Arial" w:cs="Arial" w:eastAsia="Arial" w:hAnsi="Arial"/>
                <w:sz w:val="18"/>
                <w:szCs w:val="18"/>
                <w:color w:val="auto"/>
              </w:rPr>
              <w:t>Tracer Technologies</w:t>
            </w:r>
          </w:p>
        </w:tc>
        <w:tc>
          <w:tcPr>
            <w:tcW w:w="0" w:type="dxa"/>
            <w:vAlign w:val="bottom"/>
          </w:tcPr>
          <w:p>
            <w:pPr>
              <w:spacing w:after="0"/>
              <w:rPr>
                <w:sz w:val="1"/>
                <w:szCs w:val="1"/>
                <w:color w:val="auto"/>
              </w:rPr>
            </w:pPr>
          </w:p>
        </w:tc>
      </w:tr>
      <w:tr>
        <w:trPr>
          <w:trHeight w:val="216"/>
        </w:trPr>
        <w:tc>
          <w:tcPr>
            <w:tcW w:w="800" w:type="dxa"/>
            <w:vAlign w:val="bottom"/>
          </w:tcPr>
          <w:p>
            <w:pPr>
              <w:spacing w:after="0"/>
              <w:rPr>
                <w:sz w:val="18"/>
                <w:szCs w:val="18"/>
                <w:color w:val="auto"/>
              </w:rPr>
            </w:pPr>
          </w:p>
        </w:tc>
        <w:tc>
          <w:tcPr>
            <w:tcW w:w="4280" w:type="dxa"/>
            <w:vAlign w:val="bottom"/>
          </w:tcPr>
          <w:p>
            <w:pPr>
              <w:spacing w:after="0"/>
              <w:rPr>
                <w:sz w:val="18"/>
                <w:szCs w:val="18"/>
                <w:color w:val="auto"/>
              </w:rPr>
            </w:pPr>
          </w:p>
        </w:tc>
        <w:tc>
          <w:tcPr>
            <w:tcW w:w="6240" w:type="dxa"/>
            <w:vAlign w:val="bottom"/>
          </w:tcPr>
          <w:p>
            <w:pPr>
              <w:ind w:left="20"/>
              <w:spacing w:after="0"/>
              <w:rPr>
                <w:sz w:val="20"/>
                <w:szCs w:val="20"/>
                <w:color w:val="auto"/>
              </w:rPr>
            </w:pPr>
            <w:r>
              <w:rPr>
                <w:rFonts w:ascii="Arial" w:cs="Arial" w:eastAsia="Arial" w:hAnsi="Arial"/>
                <w:sz w:val="18"/>
                <w:szCs w:val="18"/>
                <w:color w:val="auto"/>
              </w:rPr>
              <w:t>Engineered Power</w:t>
            </w:r>
          </w:p>
        </w:tc>
        <w:tc>
          <w:tcPr>
            <w:tcW w:w="0" w:type="dxa"/>
            <w:vAlign w:val="bottom"/>
          </w:tcPr>
          <w:p>
            <w:pPr>
              <w:spacing w:after="0"/>
              <w:rPr>
                <w:sz w:val="1"/>
                <w:szCs w:val="1"/>
                <w:color w:val="auto"/>
              </w:rPr>
            </w:pPr>
          </w:p>
        </w:tc>
      </w:tr>
      <w:tr>
        <w:trPr>
          <w:trHeight w:val="216"/>
        </w:trPr>
        <w:tc>
          <w:tcPr>
            <w:tcW w:w="800" w:type="dxa"/>
            <w:vAlign w:val="bottom"/>
          </w:tcPr>
          <w:p>
            <w:pPr>
              <w:spacing w:after="0"/>
              <w:rPr>
                <w:sz w:val="18"/>
                <w:szCs w:val="18"/>
                <w:color w:val="auto"/>
              </w:rPr>
            </w:pPr>
          </w:p>
        </w:tc>
        <w:tc>
          <w:tcPr>
            <w:tcW w:w="4280" w:type="dxa"/>
            <w:vAlign w:val="bottom"/>
          </w:tcPr>
          <w:p>
            <w:pPr>
              <w:spacing w:after="0"/>
              <w:rPr>
                <w:sz w:val="18"/>
                <w:szCs w:val="18"/>
                <w:color w:val="auto"/>
              </w:rPr>
            </w:pPr>
          </w:p>
        </w:tc>
        <w:tc>
          <w:tcPr>
            <w:tcW w:w="6240" w:type="dxa"/>
            <w:vAlign w:val="bottom"/>
          </w:tcPr>
          <w:p>
            <w:pPr>
              <w:ind w:left="20"/>
              <w:spacing w:after="0"/>
              <w:rPr>
                <w:sz w:val="20"/>
                <w:szCs w:val="20"/>
                <w:color w:val="auto"/>
              </w:rPr>
            </w:pPr>
            <w:r>
              <w:rPr>
                <w:rFonts w:ascii="Arial" w:cs="Arial" w:eastAsia="Arial" w:hAnsi="Arial"/>
                <w:sz w:val="18"/>
                <w:szCs w:val="18"/>
                <w:color w:val="auto"/>
              </w:rPr>
              <w:t>Saft</w:t>
            </w:r>
          </w:p>
        </w:tc>
        <w:tc>
          <w:tcPr>
            <w:tcW w:w="0" w:type="dxa"/>
            <w:vAlign w:val="bottom"/>
          </w:tcPr>
          <w:p>
            <w:pPr>
              <w:spacing w:after="0"/>
              <w:rPr>
                <w:sz w:val="1"/>
                <w:szCs w:val="1"/>
                <w:color w:val="auto"/>
              </w:rPr>
            </w:pPr>
          </w:p>
        </w:tc>
      </w:tr>
      <w:tr>
        <w:trPr>
          <w:trHeight w:val="216"/>
        </w:trPr>
        <w:tc>
          <w:tcPr>
            <w:tcW w:w="800" w:type="dxa"/>
            <w:vAlign w:val="bottom"/>
          </w:tcPr>
          <w:p>
            <w:pPr>
              <w:spacing w:after="0"/>
              <w:rPr>
                <w:sz w:val="18"/>
                <w:szCs w:val="18"/>
                <w:color w:val="auto"/>
              </w:rPr>
            </w:pPr>
          </w:p>
        </w:tc>
        <w:tc>
          <w:tcPr>
            <w:tcW w:w="4280" w:type="dxa"/>
            <w:vAlign w:val="bottom"/>
          </w:tcPr>
          <w:p>
            <w:pPr>
              <w:spacing w:after="0"/>
              <w:rPr>
                <w:sz w:val="18"/>
                <w:szCs w:val="18"/>
                <w:color w:val="auto"/>
              </w:rPr>
            </w:pPr>
          </w:p>
        </w:tc>
        <w:tc>
          <w:tcPr>
            <w:tcW w:w="6240" w:type="dxa"/>
            <w:vAlign w:val="bottom"/>
          </w:tcPr>
          <w:p>
            <w:pPr>
              <w:ind w:left="20"/>
              <w:spacing w:after="0"/>
              <w:rPr>
                <w:sz w:val="20"/>
                <w:szCs w:val="20"/>
                <w:color w:val="auto"/>
              </w:rPr>
            </w:pPr>
            <w:r>
              <w:rPr>
                <w:rFonts w:ascii="Arial" w:cs="Arial" w:eastAsia="Arial" w:hAnsi="Arial"/>
                <w:sz w:val="18"/>
                <w:szCs w:val="18"/>
                <w:color w:val="auto"/>
              </w:rPr>
              <w:t>Ultralife</w:t>
            </w:r>
          </w:p>
        </w:tc>
        <w:tc>
          <w:tcPr>
            <w:tcW w:w="0" w:type="dxa"/>
            <w:vAlign w:val="bottom"/>
          </w:tcPr>
          <w:p>
            <w:pPr>
              <w:spacing w:after="0"/>
              <w:rPr>
                <w:sz w:val="1"/>
                <w:szCs w:val="1"/>
                <w:color w:val="auto"/>
              </w:rPr>
            </w:pPr>
          </w:p>
        </w:tc>
      </w:tr>
      <w:tr>
        <w:trPr>
          <w:trHeight w:val="230"/>
        </w:trPr>
        <w:tc>
          <w:tcPr>
            <w:tcW w:w="800" w:type="dxa"/>
            <w:vAlign w:val="bottom"/>
          </w:tcPr>
          <w:p>
            <w:pPr>
              <w:spacing w:after="0"/>
              <w:rPr>
                <w:sz w:val="20"/>
                <w:szCs w:val="20"/>
                <w:color w:val="auto"/>
              </w:rPr>
            </w:pPr>
          </w:p>
        </w:tc>
        <w:tc>
          <w:tcPr>
            <w:tcW w:w="4280" w:type="dxa"/>
            <w:vAlign w:val="bottom"/>
          </w:tcPr>
          <w:p>
            <w:pPr>
              <w:spacing w:after="0"/>
              <w:rPr>
                <w:sz w:val="20"/>
                <w:szCs w:val="20"/>
                <w:color w:val="auto"/>
              </w:rPr>
            </w:pPr>
          </w:p>
        </w:tc>
        <w:tc>
          <w:tcPr>
            <w:tcW w:w="6240" w:type="dxa"/>
            <w:vAlign w:val="bottom"/>
          </w:tcPr>
          <w:p>
            <w:pPr>
              <w:ind w:left="20"/>
              <w:spacing w:after="0"/>
              <w:rPr>
                <w:sz w:val="20"/>
                <w:szCs w:val="20"/>
                <w:color w:val="auto"/>
              </w:rPr>
            </w:pPr>
            <w:r>
              <w:rPr>
                <w:rFonts w:ascii="Arial" w:cs="Arial" w:eastAsia="Arial" w:hAnsi="Arial"/>
                <w:sz w:val="18"/>
                <w:szCs w:val="18"/>
                <w:color w:val="auto"/>
              </w:rPr>
              <w:t>Vitzrocell</w:t>
            </w:r>
          </w:p>
        </w:tc>
        <w:tc>
          <w:tcPr>
            <w:tcW w:w="0" w:type="dxa"/>
            <w:vAlign w:val="bottom"/>
          </w:tcPr>
          <w:p>
            <w:pPr>
              <w:spacing w:after="0"/>
              <w:rPr>
                <w:sz w:val="1"/>
                <w:szCs w:val="1"/>
                <w:color w:val="auto"/>
              </w:rPr>
            </w:pPr>
          </w:p>
        </w:tc>
      </w:tr>
      <w:tr>
        <w:trPr>
          <w:trHeight w:val="377"/>
        </w:trPr>
        <w:tc>
          <w:tcPr>
            <w:tcW w:w="5080" w:type="dxa"/>
            <w:vAlign w:val="bottom"/>
            <w:gridSpan w:val="2"/>
          </w:tcPr>
          <w:p>
            <w:pPr>
              <w:spacing w:after="0"/>
              <w:rPr>
                <w:sz w:val="20"/>
                <w:szCs w:val="20"/>
                <w:color w:val="auto"/>
              </w:rPr>
            </w:pPr>
            <w:r>
              <w:rPr>
                <w:rFonts w:ascii="Arial" w:cs="Arial" w:eastAsia="Arial" w:hAnsi="Arial"/>
                <w:sz w:val="18"/>
                <w:szCs w:val="18"/>
                <w:color w:val="auto"/>
              </w:rPr>
              <w:t>Assembled primary and secondary battery packs</w:t>
            </w:r>
          </w:p>
        </w:tc>
        <w:tc>
          <w:tcPr>
            <w:tcW w:w="6240" w:type="dxa"/>
            <w:vAlign w:val="bottom"/>
          </w:tcPr>
          <w:p>
            <w:pPr>
              <w:ind w:left="20"/>
              <w:spacing w:after="0"/>
              <w:rPr>
                <w:sz w:val="20"/>
                <w:szCs w:val="20"/>
                <w:color w:val="auto"/>
              </w:rPr>
            </w:pPr>
            <w:r>
              <w:rPr>
                <w:rFonts w:ascii="Arial" w:cs="Arial" w:eastAsia="Arial" w:hAnsi="Arial"/>
                <w:sz w:val="18"/>
                <w:szCs w:val="18"/>
                <w:color w:val="auto"/>
              </w:rPr>
              <w:t>Totex</w:t>
            </w:r>
          </w:p>
        </w:tc>
        <w:tc>
          <w:tcPr>
            <w:tcW w:w="0" w:type="dxa"/>
            <w:vAlign w:val="bottom"/>
          </w:tcPr>
          <w:p>
            <w:pPr>
              <w:spacing w:after="0"/>
              <w:rPr>
                <w:sz w:val="1"/>
                <w:szCs w:val="1"/>
                <w:color w:val="auto"/>
              </w:rPr>
            </w:pPr>
          </w:p>
        </w:tc>
      </w:tr>
      <w:tr>
        <w:trPr>
          <w:trHeight w:val="216"/>
        </w:trPr>
        <w:tc>
          <w:tcPr>
            <w:tcW w:w="800" w:type="dxa"/>
            <w:vAlign w:val="bottom"/>
          </w:tcPr>
          <w:p>
            <w:pPr>
              <w:spacing w:after="0"/>
              <w:rPr>
                <w:sz w:val="18"/>
                <w:szCs w:val="18"/>
                <w:color w:val="auto"/>
              </w:rPr>
            </w:pPr>
          </w:p>
        </w:tc>
        <w:tc>
          <w:tcPr>
            <w:tcW w:w="4280" w:type="dxa"/>
            <w:vAlign w:val="bottom"/>
          </w:tcPr>
          <w:p>
            <w:pPr>
              <w:spacing w:after="0"/>
              <w:rPr>
                <w:sz w:val="18"/>
                <w:szCs w:val="18"/>
                <w:color w:val="auto"/>
              </w:rPr>
            </w:pPr>
          </w:p>
        </w:tc>
        <w:tc>
          <w:tcPr>
            <w:tcW w:w="6240" w:type="dxa"/>
            <w:vAlign w:val="bottom"/>
          </w:tcPr>
          <w:p>
            <w:pPr>
              <w:ind w:left="20"/>
              <w:spacing w:after="0"/>
              <w:rPr>
                <w:sz w:val="20"/>
                <w:szCs w:val="20"/>
                <w:color w:val="auto"/>
              </w:rPr>
            </w:pPr>
            <w:r>
              <w:rPr>
                <w:rFonts w:ascii="Arial" w:cs="Arial" w:eastAsia="Arial" w:hAnsi="Arial"/>
                <w:sz w:val="18"/>
                <w:szCs w:val="18"/>
                <w:color w:val="auto"/>
              </w:rPr>
              <w:t>Palladium</w:t>
            </w:r>
          </w:p>
        </w:tc>
        <w:tc>
          <w:tcPr>
            <w:tcW w:w="0" w:type="dxa"/>
            <w:vAlign w:val="bottom"/>
          </w:tcPr>
          <w:p>
            <w:pPr>
              <w:spacing w:after="0"/>
              <w:rPr>
                <w:sz w:val="1"/>
                <w:szCs w:val="1"/>
                <w:color w:val="auto"/>
              </w:rPr>
            </w:pPr>
          </w:p>
        </w:tc>
      </w:tr>
      <w:tr>
        <w:trPr>
          <w:trHeight w:val="216"/>
        </w:trPr>
        <w:tc>
          <w:tcPr>
            <w:tcW w:w="800" w:type="dxa"/>
            <w:vAlign w:val="bottom"/>
          </w:tcPr>
          <w:p>
            <w:pPr>
              <w:spacing w:after="0"/>
              <w:rPr>
                <w:sz w:val="18"/>
                <w:szCs w:val="18"/>
                <w:color w:val="auto"/>
              </w:rPr>
            </w:pPr>
          </w:p>
        </w:tc>
        <w:tc>
          <w:tcPr>
            <w:tcW w:w="4280" w:type="dxa"/>
            <w:vAlign w:val="bottom"/>
          </w:tcPr>
          <w:p>
            <w:pPr>
              <w:spacing w:after="0"/>
              <w:rPr>
                <w:sz w:val="18"/>
                <w:szCs w:val="18"/>
                <w:color w:val="auto"/>
              </w:rPr>
            </w:pPr>
          </w:p>
        </w:tc>
        <w:tc>
          <w:tcPr>
            <w:tcW w:w="6240" w:type="dxa"/>
            <w:vAlign w:val="bottom"/>
          </w:tcPr>
          <w:p>
            <w:pPr>
              <w:ind w:left="20"/>
              <w:spacing w:after="0"/>
              <w:rPr>
                <w:sz w:val="20"/>
                <w:szCs w:val="20"/>
                <w:color w:val="auto"/>
              </w:rPr>
            </w:pPr>
            <w:r>
              <w:rPr>
                <w:rFonts w:ascii="Arial" w:cs="Arial" w:eastAsia="Arial" w:hAnsi="Arial"/>
                <w:sz w:val="18"/>
                <w:szCs w:val="18"/>
                <w:color w:val="auto"/>
              </w:rPr>
              <w:t>ICC/Nexergy</w:t>
            </w:r>
          </w:p>
        </w:tc>
        <w:tc>
          <w:tcPr>
            <w:tcW w:w="0" w:type="dxa"/>
            <w:vAlign w:val="bottom"/>
          </w:tcPr>
          <w:p>
            <w:pPr>
              <w:spacing w:after="0"/>
              <w:rPr>
                <w:sz w:val="1"/>
                <w:szCs w:val="1"/>
                <w:color w:val="auto"/>
              </w:rPr>
            </w:pPr>
          </w:p>
        </w:tc>
      </w:tr>
      <w:tr>
        <w:trPr>
          <w:trHeight w:val="216"/>
        </w:trPr>
        <w:tc>
          <w:tcPr>
            <w:tcW w:w="800" w:type="dxa"/>
            <w:vAlign w:val="bottom"/>
          </w:tcPr>
          <w:p>
            <w:pPr>
              <w:spacing w:after="0"/>
              <w:rPr>
                <w:sz w:val="18"/>
                <w:szCs w:val="18"/>
                <w:color w:val="auto"/>
              </w:rPr>
            </w:pPr>
          </w:p>
        </w:tc>
        <w:tc>
          <w:tcPr>
            <w:tcW w:w="4280" w:type="dxa"/>
            <w:vAlign w:val="bottom"/>
          </w:tcPr>
          <w:p>
            <w:pPr>
              <w:spacing w:after="0"/>
              <w:rPr>
                <w:sz w:val="18"/>
                <w:szCs w:val="18"/>
                <w:color w:val="auto"/>
              </w:rPr>
            </w:pPr>
          </w:p>
        </w:tc>
        <w:tc>
          <w:tcPr>
            <w:tcW w:w="6240" w:type="dxa"/>
            <w:vAlign w:val="bottom"/>
          </w:tcPr>
          <w:p>
            <w:pPr>
              <w:ind w:left="20"/>
              <w:spacing w:after="0"/>
              <w:rPr>
                <w:sz w:val="20"/>
                <w:szCs w:val="20"/>
                <w:color w:val="auto"/>
              </w:rPr>
            </w:pPr>
            <w:r>
              <w:rPr>
                <w:rFonts w:ascii="Arial" w:cs="Arial" w:eastAsia="Arial" w:hAnsi="Arial"/>
                <w:sz w:val="18"/>
                <w:szCs w:val="18"/>
                <w:color w:val="auto"/>
              </w:rPr>
              <w:t>BMZ</w:t>
            </w:r>
          </w:p>
        </w:tc>
        <w:tc>
          <w:tcPr>
            <w:tcW w:w="0" w:type="dxa"/>
            <w:vAlign w:val="bottom"/>
          </w:tcPr>
          <w:p>
            <w:pPr>
              <w:spacing w:after="0"/>
              <w:rPr>
                <w:sz w:val="1"/>
                <w:szCs w:val="1"/>
                <w:color w:val="auto"/>
              </w:rPr>
            </w:pPr>
          </w:p>
        </w:tc>
      </w:tr>
      <w:tr>
        <w:trPr>
          <w:trHeight w:val="216"/>
        </w:trPr>
        <w:tc>
          <w:tcPr>
            <w:tcW w:w="800" w:type="dxa"/>
            <w:vAlign w:val="bottom"/>
          </w:tcPr>
          <w:p>
            <w:pPr>
              <w:spacing w:after="0"/>
              <w:rPr>
                <w:sz w:val="18"/>
                <w:szCs w:val="18"/>
                <w:color w:val="auto"/>
              </w:rPr>
            </w:pPr>
          </w:p>
        </w:tc>
        <w:tc>
          <w:tcPr>
            <w:tcW w:w="4280" w:type="dxa"/>
            <w:vAlign w:val="bottom"/>
          </w:tcPr>
          <w:p>
            <w:pPr>
              <w:spacing w:after="0"/>
              <w:rPr>
                <w:sz w:val="18"/>
                <w:szCs w:val="18"/>
                <w:color w:val="auto"/>
              </w:rPr>
            </w:pPr>
          </w:p>
        </w:tc>
        <w:tc>
          <w:tcPr>
            <w:tcW w:w="6240" w:type="dxa"/>
            <w:vAlign w:val="bottom"/>
          </w:tcPr>
          <w:p>
            <w:pPr>
              <w:ind w:left="20"/>
              <w:spacing w:after="0"/>
              <w:rPr>
                <w:sz w:val="20"/>
                <w:szCs w:val="20"/>
                <w:color w:val="auto"/>
              </w:rPr>
            </w:pPr>
            <w:r>
              <w:rPr>
                <w:rFonts w:ascii="Arial" w:cs="Arial" w:eastAsia="Arial" w:hAnsi="Arial"/>
                <w:sz w:val="18"/>
                <w:szCs w:val="18"/>
                <w:color w:val="auto"/>
              </w:rPr>
              <w:t>Ultralife</w:t>
            </w:r>
          </w:p>
        </w:tc>
        <w:tc>
          <w:tcPr>
            <w:tcW w:w="0" w:type="dxa"/>
            <w:vAlign w:val="bottom"/>
          </w:tcPr>
          <w:p>
            <w:pPr>
              <w:spacing w:after="0"/>
              <w:rPr>
                <w:sz w:val="1"/>
                <w:szCs w:val="1"/>
                <w:color w:val="auto"/>
              </w:rPr>
            </w:pPr>
          </w:p>
        </w:tc>
      </w:tr>
      <w:tr>
        <w:trPr>
          <w:trHeight w:val="230"/>
        </w:trPr>
        <w:tc>
          <w:tcPr>
            <w:tcW w:w="800" w:type="dxa"/>
            <w:vAlign w:val="bottom"/>
          </w:tcPr>
          <w:p>
            <w:pPr>
              <w:spacing w:after="0"/>
              <w:rPr>
                <w:sz w:val="20"/>
                <w:szCs w:val="20"/>
                <w:color w:val="auto"/>
              </w:rPr>
            </w:pPr>
          </w:p>
        </w:tc>
        <w:tc>
          <w:tcPr>
            <w:tcW w:w="4280" w:type="dxa"/>
            <w:vAlign w:val="bottom"/>
          </w:tcPr>
          <w:p>
            <w:pPr>
              <w:spacing w:after="0"/>
              <w:rPr>
                <w:sz w:val="20"/>
                <w:szCs w:val="20"/>
                <w:color w:val="auto"/>
              </w:rPr>
            </w:pPr>
          </w:p>
        </w:tc>
        <w:tc>
          <w:tcPr>
            <w:tcW w:w="6240" w:type="dxa"/>
            <w:vAlign w:val="bottom"/>
          </w:tcPr>
          <w:p>
            <w:pPr>
              <w:ind w:left="20"/>
              <w:spacing w:after="0"/>
              <w:rPr>
                <w:sz w:val="20"/>
                <w:szCs w:val="20"/>
                <w:color w:val="auto"/>
              </w:rPr>
            </w:pPr>
            <w:r>
              <w:rPr>
                <w:rFonts w:ascii="Arial" w:cs="Arial" w:eastAsia="Arial" w:hAnsi="Arial"/>
                <w:sz w:val="18"/>
                <w:szCs w:val="18"/>
                <w:color w:val="auto"/>
              </w:rPr>
              <w:t>Saft</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1360"/>
          </w:cols>
          <w:pgMar w:left="240" w:top="904" w:right="299" w:bottom="1440" w:gutter="0" w:footer="0" w:header="0"/>
        </w:sectPr>
      </w:pPr>
    </w:p>
    <w:p>
      <w:pPr>
        <w:spacing w:after="0" w:line="200" w:lineRule="exact"/>
        <w:rPr>
          <w:sz w:val="20"/>
          <w:szCs w:val="20"/>
          <w:color w:val="auto"/>
        </w:rPr>
      </w:pPr>
    </w:p>
    <w:p>
      <w:pPr>
        <w:spacing w:after="0" w:line="288" w:lineRule="exact"/>
        <w:rPr>
          <w:sz w:val="20"/>
          <w:szCs w:val="20"/>
          <w:color w:val="auto"/>
        </w:rPr>
      </w:pPr>
    </w:p>
    <w:p>
      <w:pPr>
        <w:jc w:val="center"/>
        <w:ind w:right="-59"/>
        <w:spacing w:after="0"/>
        <w:rPr>
          <w:sz w:val="20"/>
          <w:szCs w:val="20"/>
          <w:color w:val="auto"/>
        </w:rPr>
      </w:pPr>
      <w:r>
        <w:rPr>
          <w:rFonts w:ascii="Arial" w:cs="Arial" w:eastAsia="Arial" w:hAnsi="Arial"/>
          <w:sz w:val="16"/>
          <w:szCs w:val="16"/>
          <w:color w:val="auto"/>
        </w:rPr>
        <w:t>- 16 -</w:t>
      </w:r>
    </w:p>
    <w:p>
      <w:pPr>
        <w:sectPr>
          <w:pgSz w:w="11900" w:h="16838" w:orient="portrait"/>
          <w:cols w:equalWidth="0" w:num="1">
            <w:col w:w="11360"/>
          </w:cols>
          <w:pgMar w:left="240" w:top="904" w:right="299" w:bottom="1440" w:gutter="0" w:footer="0" w:header="0"/>
          <w:type w:val="continuous"/>
        </w:sectPr>
      </w:pPr>
    </w:p>
    <w:bookmarkStart w:id="17" w:name="page18"/>
    <w:bookmarkEnd w:id="17"/>
    <w:p>
      <w:pPr>
        <w:spacing w:after="0"/>
        <w:rPr>
          <w:sz w:val="20"/>
          <w:szCs w:val="20"/>
          <w:color w:val="auto"/>
        </w:rPr>
      </w:pPr>
      <w:r>
        <w:rPr>
          <w:rFonts w:ascii="Arial" w:cs="Arial" w:eastAsia="Arial" w:hAnsi="Arial"/>
          <w:sz w:val="18"/>
          <w:szCs w:val="18"/>
          <w:u w:val="single" w:color="auto"/>
          <w:color w:val="auto"/>
        </w:rPr>
        <w:t>QiG</w:t>
      </w:r>
    </w:p>
    <w:p>
      <w:pPr>
        <w:spacing w:after="0" w:line="163" w:lineRule="exact"/>
        <w:rPr>
          <w:sz w:val="20"/>
          <w:szCs w:val="20"/>
          <w:color w:val="auto"/>
        </w:rPr>
      </w:pPr>
    </w:p>
    <w:p>
      <w:pPr>
        <w:ind w:left="40"/>
        <w:spacing w:after="0"/>
        <w:rPr>
          <w:sz w:val="20"/>
          <w:szCs w:val="20"/>
          <w:color w:val="auto"/>
        </w:rPr>
      </w:pPr>
      <w:r>
        <w:rPr>
          <w:rFonts w:ascii="Arial" w:cs="Arial" w:eastAsia="Arial" w:hAnsi="Arial"/>
          <w:sz w:val="14"/>
          <w:szCs w:val="14"/>
          <w:b w:val="1"/>
          <w:bCs w:val="1"/>
          <w:u w:val="single" w:color="auto"/>
          <w:color w:val="auto"/>
        </w:rPr>
        <w:t>Product Line</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8"/>
          <w:szCs w:val="18"/>
          <w:color w:val="auto"/>
        </w:rPr>
        <w:t>Implantable medical devices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ind w:left="40"/>
        <w:spacing w:after="0"/>
        <w:rPr>
          <w:sz w:val="20"/>
          <w:szCs w:val="20"/>
          <w:color w:val="auto"/>
        </w:rPr>
      </w:pPr>
      <w:r>
        <w:rPr>
          <w:rFonts w:ascii="Arial" w:cs="Arial" w:eastAsia="Arial" w:hAnsi="Arial"/>
          <w:sz w:val="16"/>
          <w:szCs w:val="16"/>
          <w:color w:val="auto"/>
        </w:rPr>
        <w:t>Medical device design and development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Lake Region Medical</w:t>
      </w:r>
    </w:p>
    <w:p>
      <w:pPr>
        <w:spacing w:after="0" w:line="379" w:lineRule="exact"/>
        <w:rPr>
          <w:sz w:val="20"/>
          <w:szCs w:val="20"/>
          <w:color w:val="auto"/>
        </w:rPr>
      </w:pPr>
    </w:p>
    <w:p>
      <w:pPr>
        <w:ind w:left="40"/>
        <w:spacing w:after="0"/>
        <w:rPr>
          <w:sz w:val="20"/>
          <w:szCs w:val="20"/>
          <w:color w:val="auto"/>
        </w:rPr>
      </w:pPr>
      <w:r>
        <w:rPr>
          <w:rFonts w:ascii="Arial" w:cs="Arial" w:eastAsia="Arial" w:hAnsi="Arial"/>
          <w:sz w:val="14"/>
          <w:szCs w:val="14"/>
          <w:b w:val="1"/>
          <w:bCs w:val="1"/>
          <w:u w:val="single" w:color="auto"/>
          <w:color w:val="auto"/>
        </w:rPr>
        <w:t>Product Line</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6"/>
          <w:szCs w:val="16"/>
          <w:color w:val="auto"/>
        </w:rPr>
        <w:t>Access and infusion therapy guidewires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ind w:left="40"/>
        <w:spacing w:after="0"/>
        <w:rPr>
          <w:sz w:val="20"/>
          <w:szCs w:val="20"/>
          <w:color w:val="auto"/>
        </w:rPr>
      </w:pPr>
      <w:r>
        <w:rPr>
          <w:rFonts w:ascii="Arial" w:cs="Arial" w:eastAsia="Arial" w:hAnsi="Arial"/>
          <w:sz w:val="18"/>
          <w:szCs w:val="18"/>
          <w:color w:val="auto"/>
        </w:rPr>
        <w:t>Angiographic guidewires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ind w:left="40"/>
        <w:spacing w:after="0"/>
        <w:rPr>
          <w:sz w:val="20"/>
          <w:szCs w:val="20"/>
          <w:color w:val="auto"/>
        </w:rPr>
      </w:pPr>
      <w:r>
        <w:rPr>
          <w:rFonts w:ascii="Arial" w:cs="Arial" w:eastAsia="Arial" w:hAnsi="Arial"/>
          <w:sz w:val="18"/>
          <w:szCs w:val="18"/>
          <w:color w:val="auto"/>
        </w:rPr>
        <w:t>Introducer sheaths and dilators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ind w:left="40"/>
        <w:spacing w:after="0"/>
        <w:rPr>
          <w:sz w:val="20"/>
          <w:szCs w:val="20"/>
          <w:color w:val="auto"/>
        </w:rPr>
      </w:pPr>
      <w:r>
        <w:rPr>
          <w:rFonts w:ascii="Arial" w:cs="Arial" w:eastAsia="Arial" w:hAnsi="Arial"/>
          <w:sz w:val="18"/>
          <w:szCs w:val="18"/>
          <w:color w:val="auto"/>
        </w:rPr>
        <w:t>Interventional guidewires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ind w:left="40"/>
        <w:spacing w:after="0"/>
        <w:rPr>
          <w:sz w:val="20"/>
          <w:szCs w:val="20"/>
          <w:color w:val="auto"/>
        </w:rPr>
      </w:pPr>
      <w:r>
        <w:rPr>
          <w:rFonts w:ascii="Arial" w:cs="Arial" w:eastAsia="Arial" w:hAnsi="Arial"/>
          <w:sz w:val="18"/>
          <w:szCs w:val="18"/>
          <w:color w:val="auto"/>
        </w:rPr>
        <w:t>Structural heart guidewires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ind w:left="40"/>
        <w:spacing w:after="0"/>
        <w:rPr>
          <w:sz w:val="20"/>
          <w:szCs w:val="20"/>
          <w:color w:val="auto"/>
        </w:rPr>
      </w:pPr>
      <w:r>
        <w:rPr>
          <w:rFonts w:ascii="Arial" w:cs="Arial" w:eastAsia="Arial" w:hAnsi="Arial"/>
          <w:sz w:val="18"/>
          <w:szCs w:val="18"/>
          <w:color w:val="auto"/>
        </w:rPr>
        <w:t>Steerable sheaths</w:t>
      </w: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ind w:left="40"/>
        <w:spacing w:after="0"/>
        <w:rPr>
          <w:sz w:val="20"/>
          <w:szCs w:val="20"/>
          <w:color w:val="auto"/>
        </w:rPr>
      </w:pPr>
      <w:r>
        <w:rPr>
          <w:rFonts w:ascii="Arial" w:cs="Arial" w:eastAsia="Arial" w:hAnsi="Arial"/>
          <w:sz w:val="18"/>
          <w:szCs w:val="18"/>
          <w:color w:val="auto"/>
        </w:rPr>
        <w:t>Embolic protection devices</w:t>
      </w:r>
    </w:p>
    <w:p>
      <w:pPr>
        <w:spacing w:after="0" w:line="20" w:lineRule="exact"/>
        <w:rPr>
          <w:sz w:val="20"/>
          <w:szCs w:val="20"/>
          <w:color w:val="auto"/>
        </w:rPr>
      </w:pPr>
      <w:r>
        <w:rPr>
          <w:sz w:val="20"/>
          <w:szCs w:val="20"/>
          <w:color w:val="auto"/>
        </w:rPr>
        <w:br w:type="column"/>
      </w:r>
    </w:p>
    <w:p>
      <w:pPr>
        <w:spacing w:after="0" w:line="350"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Competitors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-21590</wp:posOffset>
            </wp:positionH>
            <wp:positionV relativeFrom="paragraph">
              <wp:posOffset>23495</wp:posOffset>
            </wp:positionV>
            <wp:extent cx="441642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4416425" cy="8890"/>
                    </a:xfrm>
                    <a:prstGeom prst="rect">
                      <a:avLst/>
                    </a:prstGeom>
                    <a:noFill/>
                  </pic:spPr>
                </pic:pic>
              </a:graphicData>
            </a:graphic>
          </wp:anchor>
        </w:drawing>
      </w:r>
    </w:p>
    <w:p>
      <w:pPr>
        <w:spacing w:after="0" w:line="43" w:lineRule="exact"/>
        <w:rPr>
          <w:sz w:val="20"/>
          <w:szCs w:val="20"/>
          <w:color w:val="auto"/>
        </w:rPr>
      </w:pPr>
    </w:p>
    <w:p>
      <w:pPr>
        <w:spacing w:after="0"/>
        <w:rPr>
          <w:sz w:val="20"/>
          <w:szCs w:val="20"/>
          <w:color w:val="auto"/>
        </w:rPr>
      </w:pPr>
      <w:r>
        <w:rPr>
          <w:rFonts w:ascii="Arial" w:cs="Arial" w:eastAsia="Arial" w:hAnsi="Arial"/>
          <w:sz w:val="18"/>
          <w:szCs w:val="18"/>
          <w:color w:val="auto"/>
        </w:rPr>
        <w:t>St. Jude Medical</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Boston Scientific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Medtronic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Johnson &amp; Johnson</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Cirtec Medical Systems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Stellar Technologies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Flextronics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Vention Medical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Competitors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-21590</wp:posOffset>
            </wp:positionH>
            <wp:positionV relativeFrom="paragraph">
              <wp:posOffset>23495</wp:posOffset>
            </wp:positionV>
            <wp:extent cx="441642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4416425" cy="8890"/>
                    </a:xfrm>
                    <a:prstGeom prst="rect">
                      <a:avLst/>
                    </a:prstGeom>
                    <a:noFill/>
                  </pic:spPr>
                </pic:pic>
              </a:graphicData>
            </a:graphic>
          </wp:anchor>
        </w:drawing>
      </w:r>
    </w:p>
    <w:p>
      <w:pPr>
        <w:spacing w:after="0" w:line="70" w:lineRule="exact"/>
        <w:rPr>
          <w:sz w:val="20"/>
          <w:szCs w:val="20"/>
          <w:color w:val="auto"/>
        </w:rPr>
      </w:pPr>
    </w:p>
    <w:p>
      <w:pPr>
        <w:spacing w:after="0" w:line="297" w:lineRule="auto"/>
        <w:rPr>
          <w:sz w:val="20"/>
          <w:szCs w:val="20"/>
          <w:color w:val="auto"/>
        </w:rPr>
      </w:pPr>
      <w:r>
        <w:rPr>
          <w:rFonts w:ascii="Arial" w:cs="Arial" w:eastAsia="Arial" w:hAnsi="Arial"/>
          <w:sz w:val="18"/>
          <w:szCs w:val="18"/>
          <w:color w:val="auto"/>
        </w:rPr>
        <w:t>TE Connectivity (acquired AdvancedCath and definitive agreement to acquire Creganna) Merit Medical OEM</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EP Flex</w:t>
      </w:r>
    </w:p>
    <w:p>
      <w:pPr>
        <w:spacing w:after="0" w:line="200" w:lineRule="exact"/>
        <w:rPr>
          <w:sz w:val="20"/>
          <w:szCs w:val="20"/>
          <w:color w:val="auto"/>
        </w:rPr>
      </w:pPr>
    </w:p>
    <w:p>
      <w:pPr>
        <w:spacing w:after="0" w:line="228" w:lineRule="exact"/>
        <w:rPr>
          <w:sz w:val="20"/>
          <w:szCs w:val="20"/>
          <w:color w:val="auto"/>
        </w:rPr>
      </w:pPr>
    </w:p>
    <w:p>
      <w:pPr>
        <w:spacing w:after="0"/>
        <w:rPr>
          <w:sz w:val="20"/>
          <w:szCs w:val="20"/>
          <w:color w:val="auto"/>
        </w:rPr>
      </w:pPr>
      <w:r>
        <w:rPr>
          <w:rFonts w:ascii="Arial" w:cs="Arial" w:eastAsia="Arial" w:hAnsi="Arial"/>
          <w:sz w:val="16"/>
          <w:szCs w:val="16"/>
          <w:color w:val="auto"/>
        </w:rPr>
        <w:t>TE Connectivity (acquired AdvancedCath and definitive agreement to acquire Creganna)</w:t>
      </w:r>
    </w:p>
    <w:p>
      <w:pPr>
        <w:spacing w:after="0" w:line="86" w:lineRule="exact"/>
        <w:rPr>
          <w:sz w:val="20"/>
          <w:szCs w:val="20"/>
          <w:color w:val="auto"/>
        </w:rPr>
      </w:pPr>
    </w:p>
    <w:p>
      <w:pPr>
        <w:spacing w:after="0"/>
        <w:rPr>
          <w:sz w:val="20"/>
          <w:szCs w:val="20"/>
          <w:color w:val="auto"/>
        </w:rPr>
      </w:pPr>
      <w:r>
        <w:rPr>
          <w:rFonts w:ascii="Arial" w:cs="Arial" w:eastAsia="Arial" w:hAnsi="Arial"/>
          <w:sz w:val="18"/>
          <w:szCs w:val="18"/>
          <w:color w:val="auto"/>
        </w:rPr>
        <w:t>Merit Medical OEM</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Bard OEM</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Heraeus (Neometrix)</w:t>
      </w:r>
    </w:p>
    <w:p>
      <w:pPr>
        <w:spacing w:after="0" w:line="200" w:lineRule="exact"/>
        <w:rPr>
          <w:sz w:val="20"/>
          <w:szCs w:val="20"/>
          <w:color w:val="auto"/>
        </w:rPr>
      </w:pPr>
    </w:p>
    <w:p>
      <w:pPr>
        <w:spacing w:after="0" w:line="255" w:lineRule="exact"/>
        <w:rPr>
          <w:sz w:val="20"/>
          <w:szCs w:val="20"/>
          <w:color w:val="auto"/>
        </w:rPr>
      </w:pPr>
    </w:p>
    <w:p>
      <w:pPr>
        <w:spacing w:after="0"/>
        <w:rPr>
          <w:sz w:val="20"/>
          <w:szCs w:val="20"/>
          <w:color w:val="auto"/>
        </w:rPr>
      </w:pPr>
      <w:r>
        <w:rPr>
          <w:rFonts w:ascii="Arial" w:cs="Arial" w:eastAsia="Arial" w:hAnsi="Arial"/>
          <w:sz w:val="16"/>
          <w:szCs w:val="16"/>
          <w:color w:val="auto"/>
        </w:rPr>
        <w:t>TE Connectivity (acquired AdvancedCath and definitive agreement to acquire Creganna)</w:t>
      </w:r>
    </w:p>
    <w:p>
      <w:pPr>
        <w:spacing w:after="0" w:line="86" w:lineRule="exact"/>
        <w:rPr>
          <w:sz w:val="20"/>
          <w:szCs w:val="20"/>
          <w:color w:val="auto"/>
        </w:rPr>
      </w:pPr>
    </w:p>
    <w:p>
      <w:pPr>
        <w:spacing w:after="0"/>
        <w:rPr>
          <w:sz w:val="20"/>
          <w:szCs w:val="20"/>
          <w:color w:val="auto"/>
        </w:rPr>
      </w:pPr>
      <w:r>
        <w:rPr>
          <w:rFonts w:ascii="Arial" w:cs="Arial" w:eastAsia="Arial" w:hAnsi="Arial"/>
          <w:sz w:val="18"/>
          <w:szCs w:val="18"/>
          <w:color w:val="auto"/>
        </w:rPr>
        <w:t>Merit Medical OEM</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Oscor</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color w:val="auto"/>
        </w:rPr>
        <w:t>Freudenberg Medical (Medventure)</w:t>
      </w:r>
    </w:p>
    <w:p>
      <w:pPr>
        <w:spacing w:after="0" w:line="200" w:lineRule="exact"/>
        <w:rPr>
          <w:sz w:val="20"/>
          <w:szCs w:val="20"/>
          <w:color w:val="auto"/>
        </w:rPr>
      </w:pP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color w:val="auto"/>
        </w:rPr>
        <w:t>Asahi Intecc</w:t>
      </w:r>
    </w:p>
    <w:p>
      <w:pPr>
        <w:spacing w:after="0" w:line="63" w:lineRule="exact"/>
        <w:rPr>
          <w:sz w:val="20"/>
          <w:szCs w:val="20"/>
          <w:color w:val="auto"/>
        </w:rPr>
      </w:pPr>
    </w:p>
    <w:p>
      <w:pPr>
        <w:spacing w:after="0" w:line="340" w:lineRule="auto"/>
        <w:rPr>
          <w:sz w:val="20"/>
          <w:szCs w:val="20"/>
          <w:color w:val="auto"/>
        </w:rPr>
      </w:pPr>
      <w:r>
        <w:rPr>
          <w:rFonts w:ascii="Arial" w:cs="Arial" w:eastAsia="Arial" w:hAnsi="Arial"/>
          <w:sz w:val="18"/>
          <w:szCs w:val="18"/>
          <w:color w:val="auto"/>
        </w:rPr>
        <w:t>TE Connectivity (acquired AdvancedCath and definitive agreement to acquire Creganna) FMD Co.</w:t>
      </w:r>
    </w:p>
    <w:p>
      <w:pPr>
        <w:spacing w:after="0" w:line="345" w:lineRule="exact"/>
        <w:rPr>
          <w:sz w:val="20"/>
          <w:szCs w:val="20"/>
          <w:color w:val="auto"/>
        </w:rPr>
      </w:pPr>
    </w:p>
    <w:p>
      <w:pPr>
        <w:spacing w:after="0"/>
        <w:rPr>
          <w:sz w:val="20"/>
          <w:szCs w:val="20"/>
          <w:color w:val="auto"/>
        </w:rPr>
      </w:pPr>
      <w:r>
        <w:rPr>
          <w:rFonts w:ascii="Arial" w:cs="Arial" w:eastAsia="Arial" w:hAnsi="Arial"/>
          <w:sz w:val="16"/>
          <w:szCs w:val="16"/>
          <w:color w:val="auto"/>
        </w:rPr>
        <w:t>TE Connectivity (acquired AdvancedCath and definitive agreement to acquire Creganna)</w:t>
      </w:r>
    </w:p>
    <w:p>
      <w:pPr>
        <w:spacing w:after="0" w:line="86" w:lineRule="exact"/>
        <w:rPr>
          <w:sz w:val="20"/>
          <w:szCs w:val="20"/>
          <w:color w:val="auto"/>
        </w:rPr>
      </w:pPr>
    </w:p>
    <w:p>
      <w:pPr>
        <w:spacing w:after="0"/>
        <w:rPr>
          <w:sz w:val="20"/>
          <w:szCs w:val="20"/>
          <w:color w:val="auto"/>
        </w:rPr>
      </w:pPr>
      <w:r>
        <w:rPr>
          <w:rFonts w:ascii="Arial" w:cs="Arial" w:eastAsia="Arial" w:hAnsi="Arial"/>
          <w:sz w:val="18"/>
          <w:szCs w:val="18"/>
          <w:color w:val="auto"/>
        </w:rPr>
        <w:t>Merit Medical OEM</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Bard OEM</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color w:val="auto"/>
        </w:rPr>
        <w:t>EP Flex</w:t>
      </w:r>
    </w:p>
    <w:p>
      <w:pPr>
        <w:spacing w:after="0" w:line="200" w:lineRule="exact"/>
        <w:rPr>
          <w:sz w:val="20"/>
          <w:szCs w:val="20"/>
          <w:color w:val="auto"/>
        </w:rPr>
      </w:pPr>
    </w:p>
    <w:p>
      <w:pPr>
        <w:spacing w:after="0" w:line="228" w:lineRule="exact"/>
        <w:rPr>
          <w:sz w:val="20"/>
          <w:szCs w:val="20"/>
          <w:color w:val="auto"/>
        </w:rPr>
      </w:pPr>
    </w:p>
    <w:p>
      <w:pPr>
        <w:spacing w:after="0" w:line="309" w:lineRule="auto"/>
        <w:rPr>
          <w:sz w:val="20"/>
          <w:szCs w:val="20"/>
          <w:color w:val="auto"/>
        </w:rPr>
      </w:pPr>
      <w:r>
        <w:rPr>
          <w:rFonts w:ascii="Arial" w:cs="Arial" w:eastAsia="Arial" w:hAnsi="Arial"/>
          <w:sz w:val="18"/>
          <w:szCs w:val="18"/>
          <w:color w:val="auto"/>
        </w:rPr>
        <w:t>TE Connectivity (acquired AdvancedCath and definitive agreement to acquire Creganna) Oscor</w:t>
      </w:r>
    </w:p>
    <w:p>
      <w:pPr>
        <w:spacing w:after="0" w:line="345" w:lineRule="exact"/>
        <w:rPr>
          <w:sz w:val="20"/>
          <w:szCs w:val="20"/>
          <w:color w:val="auto"/>
        </w:rPr>
      </w:pPr>
    </w:p>
    <w:p>
      <w:pPr>
        <w:spacing w:after="0" w:line="309" w:lineRule="auto"/>
        <w:rPr>
          <w:sz w:val="20"/>
          <w:szCs w:val="20"/>
          <w:color w:val="auto"/>
        </w:rPr>
      </w:pPr>
      <w:r>
        <w:rPr>
          <w:rFonts w:ascii="Arial" w:cs="Arial" w:eastAsia="Arial" w:hAnsi="Arial"/>
          <w:sz w:val="18"/>
          <w:szCs w:val="18"/>
          <w:color w:val="auto"/>
        </w:rPr>
        <w:t>TE Connectivity (acquired AdvancedCath and definitive agreement to acquire Creganna) Merit Medical OEM</w:t>
      </w:r>
    </w:p>
    <w:p>
      <w:pPr>
        <w:spacing w:after="0" w:line="200" w:lineRule="exact"/>
        <w:rPr>
          <w:sz w:val="20"/>
          <w:szCs w:val="20"/>
          <w:color w:val="auto"/>
        </w:rPr>
      </w:pPr>
    </w:p>
    <w:p>
      <w:pPr>
        <w:spacing w:after="0" w:line="334"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- 17 -</w:t>
      </w:r>
    </w:p>
    <w:p>
      <w:pPr>
        <w:sectPr>
          <w:pgSz w:w="11900" w:h="16838" w:orient="portrait"/>
          <w:cols w:equalWidth="0" w:num="2">
            <w:col w:w="3780" w:space="720"/>
            <w:col w:w="6420"/>
          </w:cols>
          <w:pgMar w:left="240" w:top="800" w:right="739" w:bottom="1440" w:gutter="0" w:footer="0" w:header="0"/>
        </w:sectPr>
      </w:pPr>
    </w:p>
    <w:bookmarkStart w:id="18" w:name="page19"/>
    <w:bookmarkEnd w:id="18"/>
    <w:p>
      <w:pPr>
        <w:ind w:left="40"/>
        <w:spacing w:after="0"/>
        <w:rPr>
          <w:sz w:val="20"/>
          <w:szCs w:val="20"/>
          <w:color w:val="auto"/>
        </w:rPr>
      </w:pPr>
      <w:r>
        <w:rPr>
          <w:rFonts w:ascii="Arial" w:cs="Arial" w:eastAsia="Arial" w:hAnsi="Arial"/>
          <w:sz w:val="14"/>
          <w:szCs w:val="14"/>
          <w:b w:val="1"/>
          <w:bCs w:val="1"/>
          <w:u w:val="single" w:color="auto"/>
          <w:color w:val="auto"/>
        </w:rPr>
        <w:t>Product Line</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8"/>
          <w:szCs w:val="18"/>
          <w:color w:val="auto"/>
        </w:rPr>
        <w:t>Delivery systems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40"/>
        <w:spacing w:after="0"/>
        <w:rPr>
          <w:sz w:val="20"/>
          <w:szCs w:val="20"/>
          <w:color w:val="auto"/>
        </w:rPr>
      </w:pPr>
      <w:r>
        <w:rPr>
          <w:rFonts w:ascii="Arial" w:cs="Arial" w:eastAsia="Arial" w:hAnsi="Arial"/>
          <w:sz w:val="18"/>
          <w:szCs w:val="18"/>
          <w:color w:val="auto"/>
        </w:rPr>
        <w:t>Microcatheters</w:t>
      </w: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ind w:left="40"/>
        <w:spacing w:after="0"/>
        <w:rPr>
          <w:sz w:val="20"/>
          <w:szCs w:val="20"/>
          <w:color w:val="auto"/>
        </w:rPr>
      </w:pPr>
      <w:r>
        <w:rPr>
          <w:rFonts w:ascii="Arial" w:cs="Arial" w:eastAsia="Arial" w:hAnsi="Arial"/>
          <w:sz w:val="18"/>
          <w:szCs w:val="18"/>
          <w:color w:val="auto"/>
        </w:rPr>
        <w:t>Electrical and optical devices</w:t>
      </w:r>
    </w:p>
    <w:p>
      <w:pPr>
        <w:spacing w:after="0" w:line="200" w:lineRule="exact"/>
        <w:rPr>
          <w:sz w:val="20"/>
          <w:szCs w:val="20"/>
          <w:color w:val="auto"/>
        </w:rPr>
      </w:pPr>
    </w:p>
    <w:p>
      <w:pPr>
        <w:spacing w:after="0" w:line="255" w:lineRule="exact"/>
        <w:rPr>
          <w:sz w:val="20"/>
          <w:szCs w:val="20"/>
          <w:color w:val="auto"/>
        </w:rPr>
      </w:pPr>
    </w:p>
    <w:p>
      <w:pPr>
        <w:ind w:left="40"/>
        <w:spacing w:after="0"/>
        <w:rPr>
          <w:sz w:val="20"/>
          <w:szCs w:val="20"/>
          <w:color w:val="auto"/>
        </w:rPr>
      </w:pPr>
      <w:r>
        <w:rPr>
          <w:rFonts w:ascii="Arial" w:cs="Arial" w:eastAsia="Arial" w:hAnsi="Arial"/>
          <w:sz w:val="16"/>
          <w:szCs w:val="16"/>
          <w:color w:val="auto"/>
        </w:rPr>
        <w:t>Orthopaedic implants, instruments, cases and trays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ind w:left="40"/>
        <w:spacing w:after="0"/>
        <w:rPr>
          <w:sz w:val="20"/>
          <w:szCs w:val="20"/>
          <w:color w:val="auto"/>
        </w:rPr>
      </w:pPr>
      <w:r>
        <w:rPr>
          <w:rFonts w:ascii="Arial" w:cs="Arial" w:eastAsia="Arial" w:hAnsi="Arial"/>
          <w:sz w:val="18"/>
          <w:szCs w:val="18"/>
          <w:color w:val="auto"/>
        </w:rPr>
        <w:t>Laparoscopic surgery devices</w:t>
      </w: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ind w:left="40"/>
        <w:spacing w:after="0"/>
        <w:rPr>
          <w:sz w:val="20"/>
          <w:szCs w:val="20"/>
          <w:color w:val="auto"/>
        </w:rPr>
      </w:pPr>
      <w:r>
        <w:rPr>
          <w:rFonts w:ascii="Arial" w:cs="Arial" w:eastAsia="Arial" w:hAnsi="Arial"/>
          <w:sz w:val="18"/>
          <w:szCs w:val="18"/>
          <w:color w:val="auto"/>
        </w:rPr>
        <w:t>Arthroscopic surgery devices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ind w:left="40"/>
        <w:spacing w:after="0"/>
        <w:rPr>
          <w:sz w:val="20"/>
          <w:szCs w:val="20"/>
          <w:color w:val="auto"/>
        </w:rPr>
      </w:pPr>
      <w:r>
        <w:rPr>
          <w:rFonts w:ascii="Arial" w:cs="Arial" w:eastAsia="Arial" w:hAnsi="Arial"/>
          <w:sz w:val="18"/>
          <w:szCs w:val="18"/>
          <w:color w:val="auto"/>
        </w:rPr>
        <w:t>Biopsy and drug delivery devices</w:t>
      </w:r>
    </w:p>
    <w:p>
      <w:pPr>
        <w:spacing w:after="0" w:line="200" w:lineRule="exact"/>
        <w:rPr>
          <w:sz w:val="20"/>
          <w:szCs w:val="20"/>
          <w:color w:val="auto"/>
        </w:rPr>
      </w:pPr>
    </w:p>
    <w:p>
      <w:pPr>
        <w:spacing w:after="0" w:line="2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GOVERNMENT REGULATION</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4"/>
          <w:szCs w:val="14"/>
          <w:b w:val="1"/>
          <w:bCs w:val="1"/>
          <w:color w:val="auto"/>
        </w:rPr>
        <w:t>Competitors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-21590</wp:posOffset>
            </wp:positionH>
            <wp:positionV relativeFrom="paragraph">
              <wp:posOffset>23495</wp:posOffset>
            </wp:positionV>
            <wp:extent cx="4416425"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4416425" cy="8890"/>
                    </a:xfrm>
                    <a:prstGeom prst="rect">
                      <a:avLst/>
                    </a:prstGeom>
                    <a:noFill/>
                  </pic:spPr>
                </pic:pic>
              </a:graphicData>
            </a:graphic>
          </wp:anchor>
        </w:drawing>
      </w:r>
    </w:p>
    <w:p>
      <w:pPr>
        <w:spacing w:after="0" w:line="70" w:lineRule="exact"/>
        <w:rPr>
          <w:sz w:val="20"/>
          <w:szCs w:val="20"/>
          <w:color w:val="auto"/>
        </w:rPr>
      </w:pPr>
    </w:p>
    <w:p>
      <w:pPr>
        <w:spacing w:after="0"/>
        <w:rPr>
          <w:sz w:val="20"/>
          <w:szCs w:val="20"/>
          <w:color w:val="auto"/>
        </w:rPr>
      </w:pPr>
      <w:r>
        <w:rPr>
          <w:rFonts w:ascii="Arial" w:cs="Arial" w:eastAsia="Arial" w:hAnsi="Arial"/>
          <w:sz w:val="16"/>
          <w:szCs w:val="16"/>
          <w:color w:val="auto"/>
        </w:rPr>
        <w:t>TE Connectivity (acquired AdvancedCath and definitive agreement to acquire Creganna)</w:t>
      </w:r>
    </w:p>
    <w:p>
      <w:pPr>
        <w:spacing w:after="0" w:line="86" w:lineRule="exact"/>
        <w:rPr>
          <w:sz w:val="20"/>
          <w:szCs w:val="20"/>
          <w:color w:val="auto"/>
        </w:rPr>
      </w:pPr>
    </w:p>
    <w:p>
      <w:pPr>
        <w:spacing w:after="0"/>
        <w:rPr>
          <w:sz w:val="20"/>
          <w:szCs w:val="20"/>
          <w:color w:val="auto"/>
        </w:rPr>
      </w:pPr>
      <w:r>
        <w:rPr>
          <w:rFonts w:ascii="Arial" w:cs="Arial" w:eastAsia="Arial" w:hAnsi="Arial"/>
          <w:sz w:val="18"/>
          <w:szCs w:val="18"/>
          <w:color w:val="auto"/>
        </w:rPr>
        <w:t>Freudenberg Medical (Medventure)</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Confluent Medical Technologies</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color w:val="auto"/>
        </w:rPr>
        <w:t>Vention Medical</w:t>
      </w:r>
    </w:p>
    <w:p>
      <w:pPr>
        <w:spacing w:after="0" w:line="200" w:lineRule="exact"/>
        <w:rPr>
          <w:sz w:val="20"/>
          <w:szCs w:val="20"/>
          <w:color w:val="auto"/>
        </w:rPr>
      </w:pPr>
    </w:p>
    <w:p>
      <w:pPr>
        <w:spacing w:after="0" w:line="228" w:lineRule="exact"/>
        <w:rPr>
          <w:sz w:val="20"/>
          <w:szCs w:val="20"/>
          <w:color w:val="auto"/>
        </w:rPr>
      </w:pPr>
    </w:p>
    <w:p>
      <w:pPr>
        <w:ind w:right="440"/>
        <w:spacing w:after="0" w:line="340" w:lineRule="auto"/>
        <w:rPr>
          <w:sz w:val="20"/>
          <w:szCs w:val="20"/>
          <w:color w:val="auto"/>
        </w:rPr>
      </w:pPr>
      <w:r>
        <w:rPr>
          <w:rFonts w:ascii="Arial" w:cs="Arial" w:eastAsia="Arial" w:hAnsi="Arial"/>
          <w:sz w:val="18"/>
          <w:szCs w:val="18"/>
          <w:color w:val="auto"/>
        </w:rPr>
        <w:t>TE Connectivity (acquired AdvancedCath and definitive agreement to acquire Creganna) Vention Medical</w:t>
      </w:r>
    </w:p>
    <w:p>
      <w:pPr>
        <w:spacing w:after="0" w:line="345" w:lineRule="exact"/>
        <w:rPr>
          <w:sz w:val="20"/>
          <w:szCs w:val="20"/>
          <w:color w:val="auto"/>
        </w:rPr>
      </w:pPr>
    </w:p>
    <w:p>
      <w:pPr>
        <w:spacing w:after="0"/>
        <w:rPr>
          <w:sz w:val="20"/>
          <w:szCs w:val="20"/>
          <w:color w:val="auto"/>
        </w:rPr>
      </w:pPr>
      <w:r>
        <w:rPr>
          <w:rFonts w:ascii="Arial" w:cs="Arial" w:eastAsia="Arial" w:hAnsi="Arial"/>
          <w:sz w:val="16"/>
          <w:szCs w:val="16"/>
          <w:color w:val="auto"/>
        </w:rPr>
        <w:t>TE Connectivity (acquired AdvancedCath and definitive agreement to acquire Creganna)</w:t>
      </w:r>
    </w:p>
    <w:p>
      <w:pPr>
        <w:spacing w:after="0" w:line="200" w:lineRule="exact"/>
        <w:rPr>
          <w:sz w:val="20"/>
          <w:szCs w:val="20"/>
          <w:color w:val="auto"/>
        </w:rPr>
      </w:pPr>
    </w:p>
    <w:p>
      <w:pPr>
        <w:spacing w:after="0" w:line="278" w:lineRule="exact"/>
        <w:rPr>
          <w:sz w:val="20"/>
          <w:szCs w:val="20"/>
          <w:color w:val="auto"/>
        </w:rPr>
      </w:pPr>
    </w:p>
    <w:p>
      <w:pPr>
        <w:spacing w:after="0"/>
        <w:rPr>
          <w:sz w:val="20"/>
          <w:szCs w:val="20"/>
          <w:color w:val="auto"/>
        </w:rPr>
      </w:pPr>
      <w:r>
        <w:rPr>
          <w:rFonts w:ascii="Arial" w:cs="Arial" w:eastAsia="Arial" w:hAnsi="Arial"/>
          <w:sz w:val="18"/>
          <w:szCs w:val="18"/>
          <w:color w:val="auto"/>
        </w:rPr>
        <w:t>Avalign Technologies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Micropulse,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Juno</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Orchid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Paragon</w:t>
      </w:r>
    </w:p>
    <w:p>
      <w:pPr>
        <w:spacing w:after="0" w:line="22" w:lineRule="exact"/>
        <w:rPr>
          <w:sz w:val="20"/>
          <w:szCs w:val="20"/>
          <w:color w:val="auto"/>
        </w:rPr>
      </w:pPr>
    </w:p>
    <w:p>
      <w:pPr>
        <w:spacing w:after="0"/>
        <w:rPr>
          <w:sz w:val="20"/>
          <w:szCs w:val="20"/>
          <w:color w:val="auto"/>
        </w:rPr>
      </w:pPr>
      <w:r>
        <w:rPr>
          <w:rFonts w:ascii="Arial" w:cs="Arial" w:eastAsia="Arial" w:hAnsi="Arial"/>
          <w:sz w:val="18"/>
          <w:szCs w:val="18"/>
          <w:color w:val="auto"/>
        </w:rPr>
        <w:t>Tecomet</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color w:val="auto"/>
        </w:rPr>
        <w:t>Perryman</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color w:val="auto"/>
        </w:rPr>
        <w:t>Norwood Medical</w:t>
      </w:r>
    </w:p>
    <w:p>
      <w:pPr>
        <w:spacing w:after="0" w:line="200" w:lineRule="exact"/>
        <w:rPr>
          <w:sz w:val="20"/>
          <w:szCs w:val="20"/>
          <w:color w:val="auto"/>
        </w:rPr>
      </w:pP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color w:val="auto"/>
        </w:rPr>
        <w:t>Norwood Medical</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Remmele</w:t>
      </w:r>
    </w:p>
    <w:p>
      <w:pPr>
        <w:spacing w:after="0" w:line="200" w:lineRule="exact"/>
        <w:rPr>
          <w:sz w:val="20"/>
          <w:szCs w:val="20"/>
          <w:color w:val="auto"/>
        </w:rPr>
      </w:pPr>
    </w:p>
    <w:p>
      <w:pPr>
        <w:spacing w:after="0" w:line="255" w:lineRule="exact"/>
        <w:rPr>
          <w:sz w:val="20"/>
          <w:szCs w:val="20"/>
          <w:color w:val="auto"/>
        </w:rPr>
      </w:pPr>
    </w:p>
    <w:p>
      <w:pPr>
        <w:spacing w:after="0"/>
        <w:rPr>
          <w:sz w:val="20"/>
          <w:szCs w:val="20"/>
          <w:color w:val="auto"/>
        </w:rPr>
      </w:pPr>
      <w:r>
        <w:rPr>
          <w:rFonts w:ascii="Arial" w:cs="Arial" w:eastAsia="Arial" w:hAnsi="Arial"/>
          <w:sz w:val="18"/>
          <w:szCs w:val="18"/>
          <w:color w:val="auto"/>
        </w:rPr>
        <w:t>Tegra</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B &amp; M Precision</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3D Medical</w:t>
      </w:r>
    </w:p>
    <w:p>
      <w:pPr>
        <w:spacing w:after="0" w:line="200" w:lineRule="exact"/>
        <w:rPr>
          <w:sz w:val="20"/>
          <w:szCs w:val="20"/>
          <w:color w:val="auto"/>
        </w:rPr>
      </w:pPr>
    </w:p>
    <w:p>
      <w:pPr>
        <w:spacing w:after="0" w:line="255" w:lineRule="exact"/>
        <w:rPr>
          <w:sz w:val="20"/>
          <w:szCs w:val="20"/>
          <w:color w:val="auto"/>
        </w:rPr>
      </w:pPr>
    </w:p>
    <w:p>
      <w:pPr>
        <w:spacing w:after="0"/>
        <w:rPr>
          <w:sz w:val="20"/>
          <w:szCs w:val="20"/>
          <w:color w:val="auto"/>
        </w:rPr>
      </w:pPr>
      <w:r>
        <w:rPr>
          <w:rFonts w:ascii="Arial" w:cs="Arial" w:eastAsia="Arial" w:hAnsi="Arial"/>
          <w:sz w:val="18"/>
          <w:szCs w:val="18"/>
          <w:color w:val="auto"/>
        </w:rPr>
        <w:t>Tegra</w:t>
      </w:r>
    </w:p>
    <w:p>
      <w:pPr>
        <w:spacing w:after="0" w:line="790" w:lineRule="exact"/>
        <w:rPr>
          <w:sz w:val="20"/>
          <w:szCs w:val="20"/>
          <w:color w:val="auto"/>
        </w:rPr>
      </w:pPr>
    </w:p>
    <w:p>
      <w:pPr>
        <w:sectPr>
          <w:pgSz w:w="11900" w:h="16838" w:orient="portrait"/>
          <w:cols w:equalWidth="0" w:num="2">
            <w:col w:w="3780" w:space="720"/>
            <w:col w:w="6860"/>
          </w:cols>
          <w:pgMar w:left="240" w:top="954" w:right="299" w:bottom="1440" w:gutter="0" w:footer="0" w:header="0"/>
        </w:sectPr>
      </w:pPr>
    </w:p>
    <w:p>
      <w:pPr>
        <w:spacing w:after="0" w:line="29" w:lineRule="exact"/>
        <w:rPr>
          <w:sz w:val="20"/>
          <w:szCs w:val="20"/>
          <w:color w:val="auto"/>
        </w:rPr>
      </w:pPr>
    </w:p>
    <w:p>
      <w:pPr>
        <w:ind w:right="40"/>
        <w:spacing w:after="0" w:line="289" w:lineRule="auto"/>
        <w:rPr>
          <w:sz w:val="20"/>
          <w:szCs w:val="20"/>
          <w:color w:val="auto"/>
        </w:rPr>
      </w:pPr>
      <w:r>
        <w:rPr>
          <w:rFonts w:ascii="Arial" w:cs="Arial" w:eastAsia="Arial" w:hAnsi="Arial"/>
          <w:sz w:val="16"/>
          <w:szCs w:val="16"/>
          <w:color w:val="auto"/>
        </w:rPr>
        <w:t>As described below, our business is subject to direct governmental regulation, including the laws and regulations generally applicable to all businesses in the jurisdictions in which we operate. We are subject to federal, state and local environmental laws and regulations governing the emission, discharge, use, storage and disposal of hazardous materials and the remediation of contamination associated with the release of these materials at our facilities and at off-site disposal locations. Our manufacturing and research, development and engineering activities may involve the controlled use of small amounts of hazardous materials. Liabilities associated with hazardous material releases arise principally under the Federal Comprehensive Environmental Response, Compensation and Liability Act and analogous state laws that impose strict, joint and several liability on owners and operators of contaminated facilities and parties that arrange for the off-site disposal of hazardous materials. Except as described below, we are not aware of any material noncompliance with the environmental laws currently applicable to our business and we are not subject to any material claim for liability with respect to contamination at any of our facilities or any off-site location. We may, however, become subject to these environmental liabilities in the future as a result of our historic or current operations.</w:t>
      </w:r>
    </w:p>
    <w:p>
      <w:pPr>
        <w:spacing w:after="0" w:line="167"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Our Collegeville, PA facility, which was acquired as part of the Lake Region Medical acquisition, is subject to two administrative consent orders entered into with the U.S. Environmental Protection Agency (the “EPA”), which require ongoing groundwater treatment and monitoring at the site as a result of historic leaks from underground storage tanks. Upon approval by the EPA of our proposed post remediation care plan, which requires a continuation of the groundwater treatment and monitoring process at the site, we expect that the consent orders will terminate. During the first half of 2016, we expect a decision from the EPA on whether our post remediation care plan has been approved. The groundwater treatment process at our Collegeville facility consists of a groundwater extraction and treatment system and the performance of annual sampling of a defined set of groundwater wells as a means to monitor containment within approved boundaries.</w:t>
      </w:r>
    </w:p>
    <w:p>
      <w:pPr>
        <w:sectPr>
          <w:pgSz w:w="11900" w:h="16838" w:orient="portrait"/>
          <w:cols w:equalWidth="0" w:num="1">
            <w:col w:w="11360"/>
          </w:cols>
          <w:pgMar w:left="240" w:top="954" w:right="299" w:bottom="1440" w:gutter="0" w:footer="0" w:header="0"/>
          <w:type w:val="continuous"/>
        </w:sectPr>
      </w:pPr>
    </w:p>
    <w:p>
      <w:pPr>
        <w:spacing w:after="0" w:line="324" w:lineRule="exact"/>
        <w:rPr>
          <w:sz w:val="20"/>
          <w:szCs w:val="20"/>
          <w:color w:val="auto"/>
        </w:rPr>
      </w:pPr>
    </w:p>
    <w:p>
      <w:pPr>
        <w:jc w:val="center"/>
        <w:ind w:right="-59"/>
        <w:spacing w:after="0"/>
        <w:rPr>
          <w:sz w:val="20"/>
          <w:szCs w:val="20"/>
          <w:color w:val="auto"/>
        </w:rPr>
      </w:pPr>
      <w:r>
        <w:rPr>
          <w:rFonts w:ascii="Arial" w:cs="Arial" w:eastAsia="Arial" w:hAnsi="Arial"/>
          <w:sz w:val="16"/>
          <w:szCs w:val="16"/>
          <w:color w:val="auto"/>
        </w:rPr>
        <w:t>- 18 -</w:t>
      </w:r>
    </w:p>
    <w:p>
      <w:pPr>
        <w:sectPr>
          <w:pgSz w:w="11900" w:h="16838" w:orient="portrait"/>
          <w:cols w:equalWidth="0" w:num="1">
            <w:col w:w="11360"/>
          </w:cols>
          <w:pgMar w:left="240" w:top="954" w:right="299" w:bottom="1440" w:gutter="0" w:footer="0" w:header="0"/>
          <w:type w:val="continuous"/>
        </w:sectPr>
      </w:pPr>
    </w:p>
    <w:bookmarkStart w:id="19" w:name="page20"/>
    <w:bookmarkEnd w:id="19"/>
    <w:p>
      <w:pPr>
        <w:ind w:right="180"/>
        <w:spacing w:after="0" w:line="257" w:lineRule="auto"/>
        <w:rPr>
          <w:sz w:val="20"/>
          <w:szCs w:val="20"/>
          <w:color w:val="auto"/>
        </w:rPr>
      </w:pPr>
      <w:r>
        <w:rPr>
          <w:rFonts w:ascii="Arial" w:cs="Arial" w:eastAsia="Arial" w:hAnsi="Arial"/>
          <w:sz w:val="18"/>
          <w:szCs w:val="18"/>
          <w:color w:val="auto"/>
        </w:rPr>
        <w:t>Our products are subject to regulation by numerous government agencies, including the FDA and comparable foreign agencies. For some of our component technology, we have “master files” on record with the FDA. Master files may be used to provide proprietary and confidential detailed information about technology, facilities, processes, or articles used in the manufacturing, processing, packaging and storing of one or more medical device components. These master files may be used by device manufacturers to support their PMA, investigational device exemption application (“IDE”) or premarket notification (“510(k)”).</w:t>
      </w:r>
    </w:p>
    <w:p>
      <w:pPr>
        <w:spacing w:after="0" w:line="188" w:lineRule="exact"/>
        <w:rPr>
          <w:sz w:val="20"/>
          <w:szCs w:val="20"/>
          <w:color w:val="auto"/>
        </w:rPr>
      </w:pPr>
    </w:p>
    <w:p>
      <w:pPr>
        <w:jc w:val="both"/>
        <w:ind w:right="20"/>
        <w:spacing w:after="0" w:line="297" w:lineRule="auto"/>
        <w:rPr>
          <w:sz w:val="20"/>
          <w:szCs w:val="20"/>
          <w:color w:val="auto"/>
        </w:rPr>
      </w:pPr>
      <w:r>
        <w:rPr>
          <w:rFonts w:ascii="Arial" w:cs="Arial" w:eastAsia="Arial" w:hAnsi="Arial"/>
          <w:sz w:val="16"/>
          <w:szCs w:val="16"/>
          <w:color w:val="auto"/>
        </w:rPr>
        <w:t>In the U.S., our introducer and delivery catheter products are considered Class II devices. The 510(k) process requires us to demonstrate that our new medical devices are substantially equivalent to a legally marketed medical device. In order to support a substantial equivalence claim, we must submit supporting data. In Europe, these devices are considered Class IIa and Class III, respectively, under European Medical Device Directives. These Directives require companies that wish to manufacture and distribute medical devices in European Union member countries to obtain a CE Marking for those products, which indicate that the products meet minimum standards of performance, essential requirements, safety conformity assessment and quality.</w:t>
      </w:r>
    </w:p>
    <w:p>
      <w:pPr>
        <w:spacing w:after="0" w:line="158" w:lineRule="exact"/>
        <w:rPr>
          <w:sz w:val="20"/>
          <w:szCs w:val="20"/>
          <w:color w:val="auto"/>
        </w:rPr>
      </w:pPr>
    </w:p>
    <w:p>
      <w:pPr>
        <w:ind w:right="380"/>
        <w:spacing w:after="0" w:line="259" w:lineRule="auto"/>
        <w:rPr>
          <w:sz w:val="20"/>
          <w:szCs w:val="20"/>
          <w:color w:val="auto"/>
        </w:rPr>
      </w:pPr>
      <w:r>
        <w:rPr>
          <w:rFonts w:ascii="Arial" w:cs="Arial" w:eastAsia="Arial" w:hAnsi="Arial"/>
          <w:sz w:val="18"/>
          <w:szCs w:val="18"/>
          <w:color w:val="auto"/>
        </w:rPr>
        <w:t>The PMA process is a more rigorous process that is required to demonstrate that a new medical device is safe and effective. This is demonstrated by generating data regarding design, manufacturing processes, materials, bench testing, and animal testing, and typically human clinical data. Some of our products that we are developing are Class III medical devices that require a PMA or, in the European Union, premarket approval through submission of a Design Dossier.</w:t>
      </w:r>
    </w:p>
    <w:p>
      <w:pPr>
        <w:spacing w:after="0" w:line="187" w:lineRule="exact"/>
        <w:rPr>
          <w:sz w:val="20"/>
          <w:szCs w:val="20"/>
          <w:color w:val="auto"/>
        </w:rPr>
      </w:pPr>
    </w:p>
    <w:p>
      <w:pPr>
        <w:ind w:right="240"/>
        <w:spacing w:after="0" w:line="259" w:lineRule="auto"/>
        <w:rPr>
          <w:sz w:val="20"/>
          <w:szCs w:val="20"/>
          <w:color w:val="auto"/>
        </w:rPr>
      </w:pPr>
      <w:r>
        <w:rPr>
          <w:rFonts w:ascii="Arial" w:cs="Arial" w:eastAsia="Arial" w:hAnsi="Arial"/>
          <w:sz w:val="18"/>
          <w:szCs w:val="18"/>
          <w:color w:val="auto"/>
        </w:rPr>
        <w:t>As a manufacturer of medical devices and components that go into medical devices, we are also subject to periodic inspection by the FDA for compliance with the FDA’s Quality System Regulations and the applicable notified body in the European Union to ensure conformity to the Medical Device Directives and Active Implantable Medical Device Directives. We believe that our quality controls, development, testing, manufacturing, labeling, marketing and distribution of our medical devices conform to the requirements of all pertinent regulations.</w:t>
      </w:r>
    </w:p>
    <w:p>
      <w:pPr>
        <w:spacing w:after="0" w:line="187"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Our sales and marketing practices are subject to regulation by the U.S. Department of Health and Human Services pursuant to federal anti-kickback laws, and are also subject to similar state laws.</w:t>
      </w:r>
    </w:p>
    <w:p>
      <w:pPr>
        <w:spacing w:after="0" w:line="170" w:lineRule="exact"/>
        <w:rPr>
          <w:sz w:val="20"/>
          <w:szCs w:val="20"/>
          <w:color w:val="auto"/>
        </w:rPr>
      </w:pPr>
    </w:p>
    <w:p>
      <w:pPr>
        <w:ind w:right="200"/>
        <w:spacing w:after="0" w:line="286" w:lineRule="auto"/>
        <w:rPr>
          <w:sz w:val="20"/>
          <w:szCs w:val="20"/>
          <w:color w:val="auto"/>
        </w:rPr>
      </w:pPr>
      <w:r>
        <w:rPr>
          <w:rFonts w:ascii="Arial" w:cs="Arial" w:eastAsia="Arial" w:hAnsi="Arial"/>
          <w:sz w:val="17"/>
          <w:szCs w:val="17"/>
          <w:color w:val="auto"/>
        </w:rPr>
        <w:t>We are also subject to various other environmental, transportation and labor laws as well as various other directives and regulations both in the U.S. and abroad. We believe that compliance with these laws will not have a material impact on our capital expenditures, earnings or competitive position. Given the scope and nature of these laws, however, they may have a material impact on our operational results in the future.</w:t>
      </w:r>
    </w:p>
    <w:p>
      <w:pPr>
        <w:spacing w:after="0" w:line="166" w:lineRule="exact"/>
        <w:rPr>
          <w:sz w:val="20"/>
          <w:szCs w:val="20"/>
          <w:color w:val="auto"/>
        </w:rPr>
      </w:pPr>
    </w:p>
    <w:p>
      <w:pPr>
        <w:spacing w:after="0" w:line="269" w:lineRule="auto"/>
        <w:rPr>
          <w:sz w:val="20"/>
          <w:szCs w:val="20"/>
          <w:color w:val="auto"/>
        </w:rPr>
      </w:pPr>
      <w:r>
        <w:rPr>
          <w:rFonts w:ascii="Arial" w:cs="Arial" w:eastAsia="Arial" w:hAnsi="Arial"/>
          <w:sz w:val="17"/>
          <w:szCs w:val="17"/>
          <w:color w:val="auto"/>
        </w:rPr>
        <w:t>The Patient Protection and Affordable Care Act and the Health Care and Education Affordability Reconciliation Act (collectively “Health Care Reform”) legislated broad-based changes to the U.S. healthcare system that could significantly impact our business operations and financial results, including higher or lower revenue, as well as higher employee medical costs and taxes. Health Care Reform imposes significant new taxes on medical device OEMs, which will result in a significant increase in the tax burden on our industry and which could have a material negative impact on our financial condition, results of operations and our cash flows. Beginning on January 1, 2016, the medical device excise tax was suspended through December 31, 2017, but if this suspension is not continued or made permanent thereafter, the medical device excise tax will be automatically reinstated starting on January 1, 2018. Other elements of Health Care Reform such as comparative effectiveness research, an independent payment advisory board, payment system reforms including shared savings pilots and other provisions could meaningfully change the way healthcare is developed and delivered, and may materially impact numerous aspects of our business, results of operations and financial condition. Many significant parts of Health Care Reform will be phased in over the next several years and require further guidance and clarification in the form of regulations. The medical device tax increased our cost of sales by $0.6 million, $0.7 million, and $0.5 million in 2015, 2014 and 2013, respectively.</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EMPLOYEES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provides a breakdown of our employees:</w:t>
      </w:r>
    </w:p>
    <w:p>
      <w:pPr>
        <w:spacing w:after="0" w:line="375" w:lineRule="exact"/>
        <w:rPr>
          <w:sz w:val="20"/>
          <w:szCs w:val="20"/>
          <w:color w:val="auto"/>
        </w:rPr>
      </w:pPr>
    </w:p>
    <w:tbl>
      <w:tblPr>
        <w:tblLayout w:type="fixed"/>
        <w:tblInd w:w="0" w:type="dxa"/>
        <w:tblCellMar>
          <w:top w:w="0" w:type="dxa"/>
          <w:left w:w="0" w:type="dxa"/>
          <w:bottom w:w="0" w:type="dxa"/>
          <w:right w:w="0" w:type="dxa"/>
        </w:tblCellMar>
      </w:tblPr>
      <w:tr>
        <w:trPr>
          <w:trHeight w:val="270"/>
        </w:trPr>
        <w:tc>
          <w:tcPr>
            <w:tcW w:w="4460" w:type="dxa"/>
            <w:vAlign w:val="bottom"/>
            <w:shd w:val="clear" w:color="auto" w:fill="CCEEFF"/>
          </w:tcPr>
          <w:p>
            <w:pPr>
              <w:ind w:left="40"/>
              <w:spacing w:after="0"/>
              <w:rPr>
                <w:sz w:val="20"/>
                <w:szCs w:val="20"/>
                <w:color w:val="auto"/>
              </w:rPr>
            </w:pPr>
            <w:r>
              <w:rPr>
                <w:rFonts w:ascii="Arial" w:cs="Arial" w:eastAsia="Arial" w:hAnsi="Arial"/>
                <w:sz w:val="18"/>
                <w:szCs w:val="18"/>
                <w:color w:val="auto"/>
              </w:rPr>
              <w:t>Manufacturing – U.S.</w:t>
            </w:r>
          </w:p>
        </w:tc>
        <w:tc>
          <w:tcPr>
            <w:tcW w:w="30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4,330</w:t>
            </w:r>
          </w:p>
        </w:tc>
        <w:tc>
          <w:tcPr>
            <w:tcW w:w="0" w:type="dxa"/>
            <w:vAlign w:val="bottom"/>
          </w:tcPr>
          <w:p>
            <w:pPr>
              <w:spacing w:after="0"/>
              <w:rPr>
                <w:sz w:val="1"/>
                <w:szCs w:val="1"/>
                <w:color w:val="auto"/>
              </w:rPr>
            </w:pPr>
          </w:p>
        </w:tc>
      </w:tr>
      <w:tr>
        <w:trPr>
          <w:trHeight w:val="243"/>
        </w:trPr>
        <w:tc>
          <w:tcPr>
            <w:tcW w:w="4460" w:type="dxa"/>
            <w:vAlign w:val="bottom"/>
          </w:tcPr>
          <w:p>
            <w:pPr>
              <w:ind w:left="40"/>
              <w:spacing w:after="0"/>
              <w:rPr>
                <w:sz w:val="20"/>
                <w:szCs w:val="20"/>
                <w:color w:val="auto"/>
              </w:rPr>
            </w:pPr>
            <w:r>
              <w:rPr>
                <w:rFonts w:ascii="Arial" w:cs="Arial" w:eastAsia="Arial" w:hAnsi="Arial"/>
                <w:sz w:val="18"/>
                <w:szCs w:val="18"/>
                <w:color w:val="auto"/>
              </w:rPr>
              <w:t>General and administrative – U.S.</w:t>
            </w:r>
          </w:p>
        </w:tc>
        <w:tc>
          <w:tcPr>
            <w:tcW w:w="3080" w:type="dxa"/>
            <w:vAlign w:val="bottom"/>
            <w:gridSpan w:val="2"/>
          </w:tcPr>
          <w:p>
            <w:pPr>
              <w:jc w:val="right"/>
              <w:ind w:right="60"/>
              <w:spacing w:after="0"/>
              <w:rPr>
                <w:sz w:val="20"/>
                <w:szCs w:val="20"/>
                <w:color w:val="auto"/>
              </w:rPr>
            </w:pPr>
            <w:r>
              <w:rPr>
                <w:rFonts w:ascii="Arial" w:cs="Arial" w:eastAsia="Arial" w:hAnsi="Arial"/>
                <w:sz w:val="18"/>
                <w:szCs w:val="18"/>
                <w:color w:val="auto"/>
              </w:rPr>
              <w:t>294</w:t>
            </w:r>
          </w:p>
        </w:tc>
        <w:tc>
          <w:tcPr>
            <w:tcW w:w="0" w:type="dxa"/>
            <w:vAlign w:val="bottom"/>
          </w:tcPr>
          <w:p>
            <w:pPr>
              <w:spacing w:after="0"/>
              <w:rPr>
                <w:sz w:val="1"/>
                <w:szCs w:val="1"/>
                <w:color w:val="auto"/>
              </w:rPr>
            </w:pPr>
          </w:p>
        </w:tc>
      </w:tr>
      <w:tr>
        <w:trPr>
          <w:trHeight w:val="27"/>
        </w:trPr>
        <w:tc>
          <w:tcPr>
            <w:tcW w:w="446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Sales and marketing – U.S.</w:t>
            </w:r>
          </w:p>
        </w:tc>
        <w:tc>
          <w:tcPr>
            <w:tcW w:w="3080" w:type="dxa"/>
            <w:vAlign w:val="bottom"/>
            <w:tcBorders>
              <w:bottom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186</w:t>
            </w:r>
          </w:p>
        </w:tc>
        <w:tc>
          <w:tcPr>
            <w:tcW w:w="0" w:type="dxa"/>
            <w:vAlign w:val="bottom"/>
          </w:tcPr>
          <w:p>
            <w:pPr>
              <w:spacing w:after="0"/>
              <w:rPr>
                <w:sz w:val="1"/>
                <w:szCs w:val="1"/>
                <w:color w:val="auto"/>
              </w:rPr>
            </w:pPr>
          </w:p>
        </w:tc>
      </w:tr>
      <w:tr>
        <w:trPr>
          <w:trHeight w:val="243"/>
        </w:trPr>
        <w:tc>
          <w:tcPr>
            <w:tcW w:w="4460" w:type="dxa"/>
            <w:vAlign w:val="bottom"/>
          </w:tcPr>
          <w:p>
            <w:pPr>
              <w:ind w:left="40"/>
              <w:spacing w:after="0"/>
              <w:rPr>
                <w:sz w:val="20"/>
                <w:szCs w:val="20"/>
                <w:color w:val="auto"/>
              </w:rPr>
            </w:pPr>
            <w:r>
              <w:rPr>
                <w:rFonts w:ascii="Arial" w:cs="Arial" w:eastAsia="Arial" w:hAnsi="Arial"/>
                <w:sz w:val="18"/>
                <w:szCs w:val="18"/>
                <w:color w:val="auto"/>
              </w:rPr>
              <w:t>Research, development and engineering – U.S.</w:t>
            </w:r>
          </w:p>
        </w:tc>
        <w:tc>
          <w:tcPr>
            <w:tcW w:w="3080" w:type="dxa"/>
            <w:vAlign w:val="bottom"/>
            <w:gridSpan w:val="2"/>
          </w:tcPr>
          <w:p>
            <w:pPr>
              <w:jc w:val="right"/>
              <w:ind w:right="60"/>
              <w:spacing w:after="0"/>
              <w:rPr>
                <w:sz w:val="20"/>
                <w:szCs w:val="20"/>
                <w:color w:val="auto"/>
              </w:rPr>
            </w:pPr>
            <w:r>
              <w:rPr>
                <w:rFonts w:ascii="Arial" w:cs="Arial" w:eastAsia="Arial" w:hAnsi="Arial"/>
                <w:sz w:val="18"/>
                <w:szCs w:val="18"/>
                <w:color w:val="auto"/>
              </w:rPr>
              <w:t>646</w:t>
            </w:r>
          </w:p>
        </w:tc>
        <w:tc>
          <w:tcPr>
            <w:tcW w:w="0" w:type="dxa"/>
            <w:vAlign w:val="bottom"/>
          </w:tcPr>
          <w:p>
            <w:pPr>
              <w:spacing w:after="0"/>
              <w:rPr>
                <w:sz w:val="1"/>
                <w:szCs w:val="1"/>
                <w:color w:val="auto"/>
              </w:rPr>
            </w:pPr>
          </w:p>
        </w:tc>
      </w:tr>
      <w:tr>
        <w:trPr>
          <w:trHeight w:val="27"/>
        </w:trPr>
        <w:tc>
          <w:tcPr>
            <w:tcW w:w="446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Mexico</w:t>
            </w:r>
          </w:p>
        </w:tc>
        <w:tc>
          <w:tcPr>
            <w:tcW w:w="3080" w:type="dxa"/>
            <w:vAlign w:val="bottom"/>
            <w:tcBorders>
              <w:bottom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2,130</w:t>
            </w:r>
          </w:p>
        </w:tc>
        <w:tc>
          <w:tcPr>
            <w:tcW w:w="0" w:type="dxa"/>
            <w:vAlign w:val="bottom"/>
          </w:tcPr>
          <w:p>
            <w:pPr>
              <w:spacing w:after="0"/>
              <w:rPr>
                <w:sz w:val="1"/>
                <w:szCs w:val="1"/>
                <w:color w:val="auto"/>
              </w:rPr>
            </w:pPr>
          </w:p>
        </w:tc>
      </w:tr>
      <w:tr>
        <w:trPr>
          <w:trHeight w:val="243"/>
        </w:trPr>
        <w:tc>
          <w:tcPr>
            <w:tcW w:w="4460" w:type="dxa"/>
            <w:vAlign w:val="bottom"/>
          </w:tcPr>
          <w:p>
            <w:pPr>
              <w:ind w:left="40"/>
              <w:spacing w:after="0"/>
              <w:rPr>
                <w:sz w:val="20"/>
                <w:szCs w:val="20"/>
                <w:color w:val="auto"/>
              </w:rPr>
            </w:pPr>
            <w:r>
              <w:rPr>
                <w:rFonts w:ascii="Arial" w:cs="Arial" w:eastAsia="Arial" w:hAnsi="Arial"/>
                <w:sz w:val="18"/>
                <w:szCs w:val="18"/>
                <w:color w:val="auto"/>
              </w:rPr>
              <w:t>Europe</w:t>
            </w:r>
          </w:p>
        </w:tc>
        <w:tc>
          <w:tcPr>
            <w:tcW w:w="3080" w:type="dxa"/>
            <w:vAlign w:val="bottom"/>
            <w:gridSpan w:val="2"/>
          </w:tcPr>
          <w:p>
            <w:pPr>
              <w:jc w:val="right"/>
              <w:ind w:right="60"/>
              <w:spacing w:after="0"/>
              <w:rPr>
                <w:sz w:val="20"/>
                <w:szCs w:val="20"/>
                <w:color w:val="auto"/>
              </w:rPr>
            </w:pPr>
            <w:r>
              <w:rPr>
                <w:rFonts w:ascii="Arial" w:cs="Arial" w:eastAsia="Arial" w:hAnsi="Arial"/>
                <w:sz w:val="18"/>
                <w:szCs w:val="18"/>
                <w:color w:val="auto"/>
              </w:rPr>
              <w:t>1,595</w:t>
            </w:r>
          </w:p>
        </w:tc>
        <w:tc>
          <w:tcPr>
            <w:tcW w:w="0" w:type="dxa"/>
            <w:vAlign w:val="bottom"/>
          </w:tcPr>
          <w:p>
            <w:pPr>
              <w:spacing w:after="0"/>
              <w:rPr>
                <w:sz w:val="1"/>
                <w:szCs w:val="1"/>
                <w:color w:val="auto"/>
              </w:rPr>
            </w:pPr>
          </w:p>
        </w:tc>
      </w:tr>
      <w:tr>
        <w:trPr>
          <w:trHeight w:val="27"/>
        </w:trPr>
        <w:tc>
          <w:tcPr>
            <w:tcW w:w="446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Uruguay</w:t>
            </w:r>
          </w:p>
        </w:tc>
        <w:tc>
          <w:tcPr>
            <w:tcW w:w="3080" w:type="dxa"/>
            <w:vAlign w:val="bottom"/>
            <w:tcBorders>
              <w:bottom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236</w:t>
            </w:r>
          </w:p>
        </w:tc>
        <w:tc>
          <w:tcPr>
            <w:tcW w:w="0" w:type="dxa"/>
            <w:vAlign w:val="bottom"/>
          </w:tcPr>
          <w:p>
            <w:pPr>
              <w:spacing w:after="0"/>
              <w:rPr>
                <w:sz w:val="1"/>
                <w:szCs w:val="1"/>
                <w:color w:val="auto"/>
              </w:rPr>
            </w:pPr>
          </w:p>
        </w:tc>
      </w:tr>
      <w:tr>
        <w:trPr>
          <w:trHeight w:val="243"/>
        </w:trPr>
        <w:tc>
          <w:tcPr>
            <w:tcW w:w="4460" w:type="dxa"/>
            <w:vAlign w:val="bottom"/>
          </w:tcPr>
          <w:p>
            <w:pPr>
              <w:ind w:left="40"/>
              <w:spacing w:after="0"/>
              <w:rPr>
                <w:sz w:val="20"/>
                <w:szCs w:val="20"/>
                <w:color w:val="auto"/>
              </w:rPr>
            </w:pPr>
            <w:r>
              <w:rPr>
                <w:rFonts w:ascii="Arial" w:cs="Arial" w:eastAsia="Arial" w:hAnsi="Arial"/>
                <w:sz w:val="18"/>
                <w:szCs w:val="18"/>
                <w:color w:val="auto"/>
              </w:rPr>
              <w:t>Asia</w:t>
            </w:r>
          </w:p>
        </w:tc>
        <w:tc>
          <w:tcPr>
            <w:tcW w:w="3080" w:type="dxa"/>
            <w:vAlign w:val="bottom"/>
            <w:gridSpan w:val="2"/>
          </w:tcPr>
          <w:p>
            <w:pPr>
              <w:jc w:val="right"/>
              <w:ind w:right="60"/>
              <w:spacing w:after="0"/>
              <w:rPr>
                <w:sz w:val="20"/>
                <w:szCs w:val="20"/>
                <w:color w:val="auto"/>
              </w:rPr>
            </w:pPr>
            <w:r>
              <w:rPr>
                <w:rFonts w:ascii="Arial" w:cs="Arial" w:eastAsia="Arial" w:hAnsi="Arial"/>
                <w:sz w:val="18"/>
                <w:szCs w:val="18"/>
                <w:color w:val="auto"/>
              </w:rPr>
              <w:t>142</w:t>
            </w:r>
          </w:p>
        </w:tc>
        <w:tc>
          <w:tcPr>
            <w:tcW w:w="0" w:type="dxa"/>
            <w:vAlign w:val="bottom"/>
          </w:tcPr>
          <w:p>
            <w:pPr>
              <w:spacing w:after="0"/>
              <w:rPr>
                <w:sz w:val="1"/>
                <w:szCs w:val="1"/>
                <w:color w:val="auto"/>
              </w:rPr>
            </w:pPr>
          </w:p>
        </w:tc>
      </w:tr>
      <w:tr>
        <w:trPr>
          <w:trHeight w:val="27"/>
        </w:trPr>
        <w:tc>
          <w:tcPr>
            <w:tcW w:w="4460" w:type="dxa"/>
            <w:vAlign w:val="bottom"/>
            <w:tcBorders>
              <w:bottom w:val="single" w:sz="8" w:color="CCEEFF"/>
            </w:tcBorders>
          </w:tcPr>
          <w:p>
            <w:pPr>
              <w:spacing w:after="0"/>
              <w:rPr>
                <w:sz w:val="2"/>
                <w:szCs w:val="2"/>
                <w:color w:val="auto"/>
              </w:rPr>
            </w:pPr>
          </w:p>
        </w:tc>
        <w:tc>
          <w:tcPr>
            <w:tcW w:w="1660" w:type="dxa"/>
            <w:vAlign w:val="bottom"/>
            <w:tcBorders>
              <w:bottom w:val="single" w:sz="8" w:color="CCEEFF"/>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460" w:type="dxa"/>
            <w:vAlign w:val="bottom"/>
            <w:shd w:val="clear" w:color="auto" w:fill="CCEEFF"/>
          </w:tcPr>
          <w:p>
            <w:pPr>
              <w:ind w:left="380"/>
              <w:spacing w:after="0"/>
              <w:rPr>
                <w:sz w:val="20"/>
                <w:szCs w:val="20"/>
                <w:color w:val="auto"/>
              </w:rPr>
            </w:pPr>
            <w:r>
              <w:rPr>
                <w:rFonts w:ascii="Arial" w:cs="Arial" w:eastAsia="Arial" w:hAnsi="Arial"/>
                <w:sz w:val="18"/>
                <w:szCs w:val="18"/>
                <w:color w:val="auto"/>
              </w:rPr>
              <w:t>Total</w:t>
            </w:r>
          </w:p>
        </w:tc>
        <w:tc>
          <w:tcPr>
            <w:tcW w:w="30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9,559</w:t>
            </w:r>
          </w:p>
        </w:tc>
        <w:tc>
          <w:tcPr>
            <w:tcW w:w="0" w:type="dxa"/>
            <w:vAlign w:val="bottom"/>
          </w:tcPr>
          <w:p>
            <w:pPr>
              <w:spacing w:after="0"/>
              <w:rPr>
                <w:sz w:val="1"/>
                <w:szCs w:val="1"/>
                <w:color w:val="auto"/>
              </w:rPr>
            </w:pPr>
          </w:p>
        </w:tc>
      </w:tr>
      <w:tr>
        <w:trPr>
          <w:trHeight w:val="20"/>
        </w:trPr>
        <w:tc>
          <w:tcPr>
            <w:tcW w:w="4460" w:type="dxa"/>
            <w:vAlign w:val="bottom"/>
            <w:tcBorders>
              <w:top w:val="single" w:sz="8" w:color="CCEEFF"/>
            </w:tcBorders>
          </w:tcPr>
          <w:p>
            <w:pPr>
              <w:spacing w:after="0" w:line="20" w:lineRule="exact"/>
              <w:rPr>
                <w:sz w:val="1"/>
                <w:szCs w:val="1"/>
                <w:color w:val="auto"/>
              </w:rPr>
            </w:pPr>
          </w:p>
        </w:tc>
        <w:tc>
          <w:tcPr>
            <w:tcW w:w="1660" w:type="dxa"/>
            <w:vAlign w:val="bottom"/>
            <w:tcBorders>
              <w:top w:val="single" w:sz="8" w:color="CCEEFF"/>
              <w:bottom w:val="single" w:sz="8" w:color="CCEEFF"/>
            </w:tcBorders>
            <w:vMerge w:val="restart"/>
          </w:tcPr>
          <w:p>
            <w:pPr>
              <w:jc w:val="right"/>
              <w:ind w:right="130"/>
              <w:spacing w:after="0"/>
              <w:rPr>
                <w:sz w:val="20"/>
                <w:szCs w:val="20"/>
                <w:color w:val="auto"/>
              </w:rPr>
            </w:pPr>
            <w:r>
              <w:rPr>
                <w:rFonts w:ascii="Arial" w:cs="Arial" w:eastAsia="Arial" w:hAnsi="Arial"/>
                <w:sz w:val="18"/>
                <w:szCs w:val="18"/>
                <w:color w:val="auto"/>
              </w:rPr>
              <w:t>- 19 -</w:t>
            </w:r>
          </w:p>
        </w:tc>
        <w:tc>
          <w:tcPr>
            <w:tcW w:w="14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6"/>
        </w:trPr>
        <w:tc>
          <w:tcPr>
            <w:tcW w:w="4460" w:type="dxa"/>
            <w:vAlign w:val="bottom"/>
          </w:tcPr>
          <w:p>
            <w:pPr>
              <w:spacing w:after="0"/>
              <w:rPr>
                <w:sz w:val="24"/>
                <w:szCs w:val="24"/>
                <w:color w:val="auto"/>
              </w:rPr>
            </w:pPr>
          </w:p>
        </w:tc>
        <w:tc>
          <w:tcPr>
            <w:tcW w:w="1660" w:type="dxa"/>
            <w:vAlign w:val="bottom"/>
            <w:vMerge w:val="continue"/>
          </w:tcPr>
          <w:p>
            <w:pPr>
              <w:spacing w:after="0"/>
              <w:rPr>
                <w:sz w:val="24"/>
                <w:szCs w:val="24"/>
                <w:color w:val="auto"/>
              </w:rPr>
            </w:pPr>
          </w:p>
        </w:tc>
        <w:tc>
          <w:tcPr>
            <w:tcW w:w="14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908" w:right="239" w:bottom="1440" w:gutter="0" w:footer="0" w:header="0"/>
        </w:sectPr>
      </w:pPr>
    </w:p>
    <w:bookmarkStart w:id="20" w:name="page21"/>
    <w:bookmarkEnd w:id="20"/>
    <w:p>
      <w:pPr>
        <w:ind w:right="80"/>
        <w:spacing w:after="0" w:line="286" w:lineRule="auto"/>
        <w:rPr>
          <w:sz w:val="20"/>
          <w:szCs w:val="20"/>
          <w:color w:val="auto"/>
        </w:rPr>
      </w:pPr>
      <w:r>
        <w:rPr>
          <w:rFonts w:ascii="Arial" w:cs="Arial" w:eastAsia="Arial" w:hAnsi="Arial"/>
          <w:sz w:val="17"/>
          <w:szCs w:val="17"/>
          <w:color w:val="auto"/>
        </w:rPr>
        <w:t>We also employ approximately 800 temporary employees worldwide to assist us with various projects and service functions and address peaks in staff requirements. Our employees at our Chaumont, France, Tijuana, Mexico, and Aura, Germany facilities are represented by a union. Nearly all of the positions at our foreign facilities are manufacturing related. We believe that we have a good relationship with our employees.</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OFFICERS OF THE COMPANY</w:t>
      </w:r>
    </w:p>
    <w:p>
      <w:pPr>
        <w:spacing w:after="0" w:line="229" w:lineRule="exact"/>
        <w:rPr>
          <w:sz w:val="20"/>
          <w:szCs w:val="20"/>
          <w:color w:val="auto"/>
        </w:rPr>
      </w:pPr>
    </w:p>
    <w:p>
      <w:pPr>
        <w:ind w:right="100"/>
        <w:spacing w:after="0" w:line="264" w:lineRule="auto"/>
        <w:rPr>
          <w:sz w:val="20"/>
          <w:szCs w:val="20"/>
          <w:color w:val="auto"/>
        </w:rPr>
      </w:pPr>
      <w:r>
        <w:rPr>
          <w:rFonts w:ascii="Arial" w:cs="Arial" w:eastAsia="Arial" w:hAnsi="Arial"/>
          <w:sz w:val="18"/>
          <w:szCs w:val="18"/>
          <w:color w:val="auto"/>
        </w:rPr>
        <w:t>Information concerning our executive officers is presented below as of March 1, 2016. The officers’ terms of office run from year to year until the first meeting of the Board of Directors occurring immediately following our Annual Meeting of Stockholders, and until their successors are elected and qualified, except in the case of earlier death, retirement, resignation or removal.</w:t>
      </w:r>
    </w:p>
    <w:p>
      <w:pPr>
        <w:spacing w:after="0" w:line="177" w:lineRule="exact"/>
        <w:rPr>
          <w:sz w:val="20"/>
          <w:szCs w:val="20"/>
          <w:color w:val="auto"/>
        </w:rPr>
      </w:pPr>
    </w:p>
    <w:p>
      <w:pPr>
        <w:ind w:right="100"/>
        <w:spacing w:after="0" w:line="273" w:lineRule="auto"/>
        <w:rPr>
          <w:sz w:val="20"/>
          <w:szCs w:val="20"/>
          <w:color w:val="auto"/>
        </w:rPr>
      </w:pPr>
      <w:r>
        <w:rPr>
          <w:rFonts w:ascii="Arial" w:cs="Arial" w:eastAsia="Arial" w:hAnsi="Arial"/>
          <w:sz w:val="17"/>
          <w:szCs w:val="17"/>
          <w:b w:val="1"/>
          <w:bCs w:val="1"/>
          <w:color w:val="auto"/>
        </w:rPr>
        <w:t>Mauricio Arellano</w:t>
      </w:r>
      <w:r>
        <w:rPr>
          <w:rFonts w:ascii="Arial" w:cs="Arial" w:eastAsia="Arial" w:hAnsi="Arial"/>
          <w:sz w:val="17"/>
          <w:szCs w:val="17"/>
          <w:color w:val="auto"/>
        </w:rPr>
        <w:t>, age 49, is Executive Vice President for Global Operations and has served in that office since June 2013. From December 2010 to June</w:t>
      </w:r>
      <w:r>
        <w:rPr>
          <w:rFonts w:ascii="Arial" w:cs="Arial" w:eastAsia="Arial" w:hAnsi="Arial"/>
          <w:sz w:val="17"/>
          <w:szCs w:val="17"/>
          <w:b w:val="1"/>
          <w:bCs w:val="1"/>
          <w:color w:val="auto"/>
        </w:rPr>
        <w:t xml:space="preserve"> </w:t>
      </w:r>
      <w:r>
        <w:rPr>
          <w:rFonts w:ascii="Arial" w:cs="Arial" w:eastAsia="Arial" w:hAnsi="Arial"/>
          <w:sz w:val="17"/>
          <w:szCs w:val="17"/>
          <w:color w:val="auto"/>
        </w:rPr>
        <w:t>2013, he was President of Greatbatch Medical. Mr. Arellano served as Senior Vice President and Business Leader of our Cardiac and Neurology Group from October 2008 until December 2010, Senior Vice President and Business Leader of our Cardiac Rhythm Management (“CRM”) and Neuromodulation Group from January 2008 to October 2008, Senior Vice President and Business Leader of our Medical Solutions Group from November 2006 to January 2008, and as Vice President of Greatbatch Mexico from January 2005 to November 2006. Mr. Arellano joined our Company in October 2003 as the Plant Manager of our former Carson City, NV facility. Prior to joining our Company, he served in a variety of human resources and operational roles with Tyco Healthcare - Especialidades Medicas Kenmex and with Sony de Tijuana Este.</w:t>
      </w:r>
    </w:p>
    <w:p>
      <w:pPr>
        <w:spacing w:after="0" w:line="172" w:lineRule="exact"/>
        <w:rPr>
          <w:sz w:val="20"/>
          <w:szCs w:val="20"/>
          <w:color w:val="auto"/>
        </w:rPr>
      </w:pPr>
    </w:p>
    <w:p>
      <w:pPr>
        <w:ind w:right="160"/>
        <w:spacing w:after="0" w:line="258" w:lineRule="auto"/>
        <w:rPr>
          <w:sz w:val="20"/>
          <w:szCs w:val="20"/>
          <w:color w:val="auto"/>
        </w:rPr>
      </w:pPr>
      <w:r>
        <w:rPr>
          <w:rFonts w:ascii="Arial" w:cs="Arial" w:eastAsia="Arial" w:hAnsi="Arial"/>
          <w:sz w:val="18"/>
          <w:szCs w:val="18"/>
          <w:b w:val="1"/>
          <w:bCs w:val="1"/>
          <w:color w:val="auto"/>
        </w:rPr>
        <w:t xml:space="preserve">Jennifer M. Bolt, </w:t>
      </w:r>
      <w:r>
        <w:rPr>
          <w:rFonts w:ascii="Arial" w:cs="Arial" w:eastAsia="Arial" w:hAnsi="Arial"/>
          <w:sz w:val="18"/>
          <w:szCs w:val="18"/>
          <w:color w:val="auto"/>
        </w:rPr>
        <w:t>age 47, is President, Electrochem, and has served in that office since October 2015. From June 2013 to October 2015 she was Vice</w:t>
      </w:r>
      <w:r>
        <w:rPr>
          <w:rFonts w:ascii="Arial" w:cs="Arial" w:eastAsia="Arial" w:hAnsi="Arial"/>
          <w:sz w:val="18"/>
          <w:szCs w:val="18"/>
          <w:b w:val="1"/>
          <w:bCs w:val="1"/>
          <w:color w:val="auto"/>
        </w:rPr>
        <w:t xml:space="preserve"> </w:t>
      </w:r>
      <w:r>
        <w:rPr>
          <w:rFonts w:ascii="Arial" w:cs="Arial" w:eastAsia="Arial" w:hAnsi="Arial"/>
          <w:sz w:val="18"/>
          <w:szCs w:val="18"/>
          <w:color w:val="auto"/>
        </w:rPr>
        <w:t>President, Supply Chain and Operational Excellence for Greatbatch. Ms. Bolt held the position of Vice President, Operations for Electrochem from May 2012 to June 2013, and prior to that served as Director of Operations of our Raynham, MA facility from September 2007 to May 2012. Ms. Bolt joined our Company in May 2005 as the Manufacturing Engineering Manager for our Alden, NY facility. Prior to joining our company, she served in a variety of engineering and operational roles at General Motors/Delphi and Eastman Kodak.</w:t>
      </w:r>
    </w:p>
    <w:p>
      <w:pPr>
        <w:spacing w:after="0" w:line="184" w:lineRule="exact"/>
        <w:rPr>
          <w:sz w:val="20"/>
          <w:szCs w:val="20"/>
          <w:color w:val="auto"/>
        </w:rPr>
      </w:pPr>
    </w:p>
    <w:p>
      <w:pPr>
        <w:ind w:right="40"/>
        <w:spacing w:after="0" w:line="258" w:lineRule="auto"/>
        <w:rPr>
          <w:sz w:val="20"/>
          <w:szCs w:val="20"/>
          <w:color w:val="auto"/>
        </w:rPr>
      </w:pPr>
      <w:r>
        <w:rPr>
          <w:rFonts w:ascii="Arial" w:cs="Arial" w:eastAsia="Arial" w:hAnsi="Arial"/>
          <w:sz w:val="18"/>
          <w:szCs w:val="18"/>
          <w:b w:val="1"/>
          <w:bCs w:val="1"/>
          <w:color w:val="auto"/>
        </w:rPr>
        <w:t>Michael Dinkins</w:t>
      </w:r>
      <w:r>
        <w:rPr>
          <w:rFonts w:ascii="Arial" w:cs="Arial" w:eastAsia="Arial" w:hAnsi="Arial"/>
          <w:sz w:val="18"/>
          <w:szCs w:val="18"/>
          <w:color w:val="auto"/>
        </w:rPr>
        <w:t>, age 61, is Executive Vice President &amp; Chief Financial Officer, and has served in that office since joining our Company in May 2012. From</w:t>
      </w:r>
      <w:r>
        <w:rPr>
          <w:rFonts w:ascii="Arial" w:cs="Arial" w:eastAsia="Arial" w:hAnsi="Arial"/>
          <w:sz w:val="18"/>
          <w:szCs w:val="18"/>
          <w:b w:val="1"/>
          <w:bCs w:val="1"/>
          <w:color w:val="auto"/>
        </w:rPr>
        <w:t xml:space="preserve"> </w:t>
      </w:r>
      <w:r>
        <w:rPr>
          <w:rFonts w:ascii="Arial" w:cs="Arial" w:eastAsia="Arial" w:hAnsi="Arial"/>
          <w:sz w:val="18"/>
          <w:szCs w:val="18"/>
          <w:color w:val="auto"/>
        </w:rPr>
        <w:t>2008 until May 2012, he was Executive Vice President and Chief Financial Officer of USI Insurance Services, an insurance intermediary company. From 2005 until 2008, he was Executive Vice President and Chief Financial Officer of Hilb Rogal &amp; Hobbs Co., an insurance and risk management services company. Prior to that, Mr. Dinkins held senior positions at Guidant Corporation, Access Worldwide Communications, Cadmus Communications Group and General Electric Company.</w:t>
      </w:r>
    </w:p>
    <w:p>
      <w:pPr>
        <w:spacing w:after="0" w:line="184" w:lineRule="exact"/>
        <w:rPr>
          <w:sz w:val="20"/>
          <w:szCs w:val="20"/>
          <w:color w:val="auto"/>
        </w:rPr>
      </w:pPr>
    </w:p>
    <w:p>
      <w:pPr>
        <w:ind w:right="40"/>
        <w:spacing w:after="0" w:line="255" w:lineRule="auto"/>
        <w:rPr>
          <w:sz w:val="20"/>
          <w:szCs w:val="20"/>
          <w:color w:val="auto"/>
        </w:rPr>
      </w:pPr>
      <w:r>
        <w:rPr>
          <w:rFonts w:ascii="Arial" w:cs="Arial" w:eastAsia="Arial" w:hAnsi="Arial"/>
          <w:sz w:val="18"/>
          <w:szCs w:val="18"/>
          <w:b w:val="1"/>
          <w:bCs w:val="1"/>
          <w:color w:val="auto"/>
        </w:rPr>
        <w:t>Jeremy Friedman</w:t>
      </w:r>
      <w:r>
        <w:rPr>
          <w:rFonts w:ascii="Arial" w:cs="Arial" w:eastAsia="Arial" w:hAnsi="Arial"/>
          <w:sz w:val="18"/>
          <w:szCs w:val="18"/>
          <w:color w:val="auto"/>
        </w:rPr>
        <w:t>, age 62, is President, Cardio &amp; Vascular, an office he has held since the Company’s acquisition of Lake Region Medical in October 2015.</w:t>
      </w:r>
      <w:r>
        <w:rPr>
          <w:rFonts w:ascii="Arial" w:cs="Arial" w:eastAsia="Arial" w:hAnsi="Arial"/>
          <w:sz w:val="18"/>
          <w:szCs w:val="18"/>
          <w:b w:val="1"/>
          <w:bCs w:val="1"/>
          <w:color w:val="auto"/>
        </w:rPr>
        <w:t xml:space="preserve"> </w:t>
      </w:r>
      <w:r>
        <w:rPr>
          <w:rFonts w:ascii="Arial" w:cs="Arial" w:eastAsia="Arial" w:hAnsi="Arial"/>
          <w:sz w:val="18"/>
          <w:szCs w:val="18"/>
          <w:color w:val="auto"/>
        </w:rPr>
        <w:t>Prior to that acquisition, he was Executive Vice President of Lake Region Medical and President and Chief Operating Officer of Lake Region Medical’s Cardio and Vascular Division from August 2013 to October 2015. From September 2007 to August 2013, he was Executive Vice President and Chief Financial Officer of Accellent, Inc. From January 2001 until September 2007, Mr. Friedman held a number of leadership positions at Flextronics, a global contract manufacturing services firm, including Chief Operating Officer of Flextronics Network Services in Stockholm, Sweden and Senior Vice President of Finance and Operations, Components Division. From June 1994 until January 2001, he was President and Chief Operating Officer of We’re Entertainment Inc., a specialty retailer of apparel and hard goods. Prior to 1994, Mr. Friedman held a number of finance and operations positions with Phillips-Van Heusen Corporation and KPMG.</w:t>
      </w:r>
    </w:p>
    <w:p>
      <w:pPr>
        <w:spacing w:after="0" w:line="185" w:lineRule="exact"/>
        <w:rPr>
          <w:sz w:val="20"/>
          <w:szCs w:val="20"/>
          <w:color w:val="auto"/>
        </w:rPr>
      </w:pPr>
    </w:p>
    <w:p>
      <w:pPr>
        <w:spacing w:after="0" w:line="256" w:lineRule="auto"/>
        <w:rPr>
          <w:sz w:val="20"/>
          <w:szCs w:val="20"/>
          <w:color w:val="auto"/>
        </w:rPr>
      </w:pPr>
      <w:r>
        <w:rPr>
          <w:rFonts w:ascii="Arial" w:cs="Arial" w:eastAsia="Arial" w:hAnsi="Arial"/>
          <w:sz w:val="18"/>
          <w:szCs w:val="18"/>
          <w:b w:val="1"/>
          <w:bCs w:val="1"/>
          <w:color w:val="auto"/>
        </w:rPr>
        <w:t>Antonio Gonzalez</w:t>
      </w:r>
      <w:r>
        <w:rPr>
          <w:rFonts w:ascii="Arial" w:cs="Arial" w:eastAsia="Arial" w:hAnsi="Arial"/>
          <w:sz w:val="18"/>
          <w:szCs w:val="18"/>
          <w:color w:val="auto"/>
        </w:rPr>
        <w:t>, age 42, is President, CRM &amp; Neuromodulation, and has served in that office since October 2015. From October 2014 to October 2015,</w:t>
      </w:r>
      <w:r>
        <w:rPr>
          <w:rFonts w:ascii="Arial" w:cs="Arial" w:eastAsia="Arial" w:hAnsi="Arial"/>
          <w:sz w:val="18"/>
          <w:szCs w:val="18"/>
          <w:b w:val="1"/>
          <w:bCs w:val="1"/>
          <w:color w:val="auto"/>
        </w:rPr>
        <w:t xml:space="preserve"> </w:t>
      </w:r>
      <w:r>
        <w:rPr>
          <w:rFonts w:ascii="Arial" w:cs="Arial" w:eastAsia="Arial" w:hAnsi="Arial"/>
          <w:sz w:val="18"/>
          <w:szCs w:val="18"/>
          <w:color w:val="auto"/>
        </w:rPr>
        <w:t>he served as Vice President, Operations, Greatbatch Medical Mexico. Previously, Mr. Gonzalez served as Executive Director, Operations Mexico between November 2011 and October 2014, Director of Global Supply Chain from November 2007 to November 2011, Director of Strategic Projects from March 2006 to November 2007, and Supply Chain Manager for Greatbatch Tecnologías de Mexico from January 2005 to March 2006. Prior to joining our Company, he served in a variety of finance, operations, supply chain and customer management roles with Sanmina-SCI, BellSouth Telecommunications, HSBC and ING Bank.</w:t>
      </w:r>
    </w:p>
    <w:p>
      <w:pPr>
        <w:spacing w:after="0" w:line="188" w:lineRule="exact"/>
        <w:rPr>
          <w:sz w:val="20"/>
          <w:szCs w:val="20"/>
          <w:color w:val="auto"/>
        </w:rPr>
      </w:pPr>
    </w:p>
    <w:p>
      <w:pPr>
        <w:spacing w:after="0" w:line="274" w:lineRule="auto"/>
        <w:rPr>
          <w:sz w:val="20"/>
          <w:szCs w:val="20"/>
          <w:color w:val="auto"/>
        </w:rPr>
      </w:pPr>
      <w:r>
        <w:rPr>
          <w:rFonts w:ascii="Arial" w:cs="Arial" w:eastAsia="Arial" w:hAnsi="Arial"/>
          <w:sz w:val="17"/>
          <w:szCs w:val="17"/>
          <w:b w:val="1"/>
          <w:bCs w:val="1"/>
          <w:color w:val="auto"/>
        </w:rPr>
        <w:t>Andrew P. Holman</w:t>
      </w:r>
      <w:r>
        <w:rPr>
          <w:rFonts w:ascii="Arial" w:cs="Arial" w:eastAsia="Arial" w:hAnsi="Arial"/>
          <w:sz w:val="17"/>
          <w:szCs w:val="17"/>
          <w:color w:val="auto"/>
        </w:rPr>
        <w:t>, age 48, is President, Corporate Development, and has served in that role since October 2015. From June 2013 until October 2015, he</w:t>
      </w:r>
      <w:r>
        <w:rPr>
          <w:rFonts w:ascii="Arial" w:cs="Arial" w:eastAsia="Arial" w:hAnsi="Arial"/>
          <w:sz w:val="17"/>
          <w:szCs w:val="17"/>
          <w:b w:val="1"/>
          <w:bCs w:val="1"/>
          <w:color w:val="auto"/>
        </w:rPr>
        <w:t xml:space="preserve"> </w:t>
      </w:r>
      <w:r>
        <w:rPr>
          <w:rFonts w:ascii="Arial" w:cs="Arial" w:eastAsia="Arial" w:hAnsi="Arial"/>
          <w:sz w:val="17"/>
          <w:szCs w:val="17"/>
          <w:color w:val="auto"/>
        </w:rPr>
        <w:t>served as Executive Vice President, Global Sales &amp; Marketing - Greatbatch Medical. He joined Greatbatch in April 2012 as Vice President of Sales and Marketing for Greatbatch Medical. From October 2011 until joining Greatbatch, Mr. Holman was a consultant with HarQuinn, LLC. From September 2009 to October 2011, he served as Executive Vice President, Sales &amp; Marketing for DJO Global, Inc., and from October 2005 to June 2009, he served as President of the Americas for the Orthopaedics business unit of Smith &amp; Nephew, Inc. Mr. Holman previously held various sales and marketing leadership positions at Johnson &amp; Johnson, Inc., Boston Scientific Corporation and Xerox Corporation.</w:t>
      </w:r>
    </w:p>
    <w:p>
      <w:pPr>
        <w:spacing w:after="0" w:line="31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- 20 -</w:t>
      </w:r>
    </w:p>
    <w:p>
      <w:pPr>
        <w:sectPr>
          <w:pgSz w:w="11900" w:h="16838" w:orient="portrait"/>
          <w:cols w:equalWidth="0" w:num="1">
            <w:col w:w="11400"/>
          </w:cols>
          <w:pgMar w:left="240" w:top="908" w:right="259" w:bottom="1440" w:gutter="0" w:footer="0" w:header="0"/>
        </w:sectPr>
      </w:pPr>
    </w:p>
    <w:bookmarkStart w:id="21" w:name="page22"/>
    <w:bookmarkEnd w:id="21"/>
    <w:p>
      <w:pPr>
        <w:ind w:right="340"/>
        <w:spacing w:after="0" w:line="266" w:lineRule="auto"/>
        <w:rPr>
          <w:sz w:val="20"/>
          <w:szCs w:val="20"/>
          <w:color w:val="auto"/>
        </w:rPr>
      </w:pPr>
      <w:r>
        <w:rPr>
          <w:rFonts w:ascii="Arial" w:cs="Arial" w:eastAsia="Arial" w:hAnsi="Arial"/>
          <w:sz w:val="18"/>
          <w:szCs w:val="18"/>
          <w:b w:val="1"/>
          <w:bCs w:val="1"/>
          <w:color w:val="auto"/>
        </w:rPr>
        <w:t>Thomas J. Hook</w:t>
      </w:r>
      <w:r>
        <w:rPr>
          <w:rFonts w:ascii="Arial" w:cs="Arial" w:eastAsia="Arial" w:hAnsi="Arial"/>
          <w:sz w:val="18"/>
          <w:szCs w:val="18"/>
          <w:color w:val="auto"/>
        </w:rPr>
        <w:t>, age 53, has served as our President &amp; Chief Executive Officer since August 2006. Prior to August 2006, he was our Chief Operating</w:t>
      </w:r>
      <w:r>
        <w:rPr>
          <w:rFonts w:ascii="Arial" w:cs="Arial" w:eastAsia="Arial" w:hAnsi="Arial"/>
          <w:sz w:val="18"/>
          <w:szCs w:val="18"/>
          <w:b w:val="1"/>
          <w:bCs w:val="1"/>
          <w:color w:val="auto"/>
        </w:rPr>
        <w:t xml:space="preserve"> </w:t>
      </w:r>
      <w:r>
        <w:rPr>
          <w:rFonts w:ascii="Arial" w:cs="Arial" w:eastAsia="Arial" w:hAnsi="Arial"/>
          <w:sz w:val="18"/>
          <w:szCs w:val="18"/>
          <w:color w:val="auto"/>
        </w:rPr>
        <w:t>Officer, a position he assumed upon joining our Company in September 2004. From August 2002 until September 2004, Mr. Hook was employed by CTI Molecular Imaging where he had served as President, CTI Solutions Group.</w:t>
      </w:r>
    </w:p>
    <w:p>
      <w:pPr>
        <w:spacing w:after="0" w:line="176" w:lineRule="exact"/>
        <w:rPr>
          <w:sz w:val="20"/>
          <w:szCs w:val="20"/>
          <w:color w:val="auto"/>
        </w:rPr>
      </w:pPr>
    </w:p>
    <w:p>
      <w:pPr>
        <w:ind w:right="260"/>
        <w:spacing w:after="0" w:line="313" w:lineRule="auto"/>
        <w:rPr>
          <w:sz w:val="20"/>
          <w:szCs w:val="20"/>
          <w:color w:val="auto"/>
        </w:rPr>
      </w:pPr>
      <w:r>
        <w:rPr>
          <w:rFonts w:ascii="Arial" w:cs="Arial" w:eastAsia="Arial" w:hAnsi="Arial"/>
          <w:sz w:val="17"/>
          <w:szCs w:val="17"/>
          <w:b w:val="1"/>
          <w:bCs w:val="1"/>
          <w:color w:val="auto"/>
        </w:rPr>
        <w:t>Timothy G. McEvoy</w:t>
      </w:r>
      <w:r>
        <w:rPr>
          <w:rFonts w:ascii="Arial" w:cs="Arial" w:eastAsia="Arial" w:hAnsi="Arial"/>
          <w:sz w:val="17"/>
          <w:szCs w:val="17"/>
          <w:color w:val="auto"/>
        </w:rPr>
        <w:t>, age 58, is Senior Vice President, General Counsel &amp; Secretary, and has served in that office since joining our Company in February</w:t>
      </w:r>
      <w:r>
        <w:rPr>
          <w:rFonts w:ascii="Arial" w:cs="Arial" w:eastAsia="Arial" w:hAnsi="Arial"/>
          <w:sz w:val="17"/>
          <w:szCs w:val="17"/>
          <w:b w:val="1"/>
          <w:bCs w:val="1"/>
          <w:color w:val="auto"/>
        </w:rPr>
        <w:t xml:space="preserve"> </w:t>
      </w:r>
      <w:r>
        <w:rPr>
          <w:rFonts w:ascii="Arial" w:cs="Arial" w:eastAsia="Arial" w:hAnsi="Arial"/>
          <w:sz w:val="17"/>
          <w:szCs w:val="17"/>
          <w:color w:val="auto"/>
        </w:rPr>
        <w:t>2007. From 1992 until January 2007, he was employed in a variety of legal roles by Manufacturers and Traders Trust Company.</w:t>
      </w:r>
    </w:p>
    <w:p>
      <w:pPr>
        <w:spacing w:after="0" w:line="138" w:lineRule="exact"/>
        <w:rPr>
          <w:sz w:val="20"/>
          <w:szCs w:val="20"/>
          <w:color w:val="auto"/>
        </w:rPr>
      </w:pPr>
    </w:p>
    <w:p>
      <w:pPr>
        <w:ind w:right="460"/>
        <w:spacing w:after="0" w:line="281" w:lineRule="auto"/>
        <w:rPr>
          <w:sz w:val="20"/>
          <w:szCs w:val="20"/>
          <w:color w:val="auto"/>
        </w:rPr>
      </w:pPr>
      <w:r>
        <w:rPr>
          <w:rFonts w:ascii="Arial" w:cs="Arial" w:eastAsia="Arial" w:hAnsi="Arial"/>
          <w:sz w:val="17"/>
          <w:szCs w:val="17"/>
          <w:b w:val="1"/>
          <w:bCs w:val="1"/>
          <w:color w:val="auto"/>
        </w:rPr>
        <w:t>Declan Smyth</w:t>
      </w:r>
      <w:r>
        <w:rPr>
          <w:rFonts w:ascii="Arial" w:cs="Arial" w:eastAsia="Arial" w:hAnsi="Arial"/>
          <w:sz w:val="17"/>
          <w:szCs w:val="17"/>
          <w:color w:val="auto"/>
        </w:rPr>
        <w:t>, age 45, is President, Advanced Surgical &amp; Orthopaedics, having served in that office since the Company’s acquisition of Lake Region</w:t>
      </w:r>
      <w:r>
        <w:rPr>
          <w:rFonts w:ascii="Arial" w:cs="Arial" w:eastAsia="Arial" w:hAnsi="Arial"/>
          <w:sz w:val="17"/>
          <w:szCs w:val="17"/>
          <w:b w:val="1"/>
          <w:bCs w:val="1"/>
          <w:color w:val="auto"/>
        </w:rPr>
        <w:t xml:space="preserve"> </w:t>
      </w:r>
      <w:r>
        <w:rPr>
          <w:rFonts w:ascii="Arial" w:cs="Arial" w:eastAsia="Arial" w:hAnsi="Arial"/>
          <w:sz w:val="17"/>
          <w:szCs w:val="17"/>
          <w:color w:val="auto"/>
        </w:rPr>
        <w:t>Medical in October 2015. From January 2013 to the Company’s acquisition of Lake Region Medical in October 2015, he was President of Lake Region Medical’s Advanced Surgical Business. From January 2012 to January 2013, he was Strategic Product Leader of Surgical Devices and Diagnostics at Accellent, Inc. and prior to that served as Senior Director of Engineering at Accellent, Inc. from August 2009 to January 2012.</w:t>
      </w:r>
    </w:p>
    <w:p>
      <w:pPr>
        <w:spacing w:after="0" w:line="165" w:lineRule="exact"/>
        <w:rPr>
          <w:sz w:val="20"/>
          <w:szCs w:val="20"/>
          <w:color w:val="auto"/>
        </w:rPr>
      </w:pPr>
    </w:p>
    <w:p>
      <w:pPr>
        <w:ind w:right="20"/>
        <w:spacing w:after="0" w:line="266" w:lineRule="auto"/>
        <w:rPr>
          <w:sz w:val="20"/>
          <w:szCs w:val="20"/>
          <w:color w:val="auto"/>
        </w:rPr>
      </w:pPr>
      <w:r>
        <w:rPr>
          <w:rFonts w:ascii="Arial" w:cs="Arial" w:eastAsia="Arial" w:hAnsi="Arial"/>
          <w:sz w:val="18"/>
          <w:szCs w:val="18"/>
          <w:b w:val="1"/>
          <w:bCs w:val="1"/>
          <w:color w:val="auto"/>
        </w:rPr>
        <w:t>Kristin Trecker</w:t>
      </w:r>
      <w:r>
        <w:rPr>
          <w:rFonts w:ascii="Arial" w:cs="Arial" w:eastAsia="Arial" w:hAnsi="Arial"/>
          <w:sz w:val="18"/>
          <w:szCs w:val="18"/>
          <w:color w:val="auto"/>
        </w:rPr>
        <w:t>, age 50, is Executive Vice President and Chief Human Resources Officer. Prior to joining the Company in November 2015, she served as</w:t>
      </w:r>
      <w:r>
        <w:rPr>
          <w:rFonts w:ascii="Arial" w:cs="Arial" w:eastAsia="Arial" w:hAnsi="Arial"/>
          <w:sz w:val="18"/>
          <w:szCs w:val="18"/>
          <w:b w:val="1"/>
          <w:bCs w:val="1"/>
          <w:color w:val="auto"/>
        </w:rPr>
        <w:t xml:space="preserve"> </w:t>
      </w:r>
      <w:r>
        <w:rPr>
          <w:rFonts w:ascii="Arial" w:cs="Arial" w:eastAsia="Arial" w:hAnsi="Arial"/>
          <w:sz w:val="18"/>
          <w:szCs w:val="18"/>
          <w:color w:val="auto"/>
        </w:rPr>
        <w:t>Senior Vice President and Chief Human Resources Officer for MTS Systems in Minneapolis, Minnesota from February 2012 until October 2015. From April 2006 to July 2011, she was Senior Vice President Human Resources at Lawson Software.</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AVAILABLE INFORMATION</w:t>
      </w:r>
    </w:p>
    <w:p>
      <w:pPr>
        <w:spacing w:after="0" w:line="229" w:lineRule="exact"/>
        <w:rPr>
          <w:sz w:val="20"/>
          <w:szCs w:val="20"/>
          <w:color w:val="auto"/>
        </w:rPr>
      </w:pPr>
    </w:p>
    <w:p>
      <w:pPr>
        <w:ind w:right="40"/>
        <w:spacing w:after="0" w:line="255" w:lineRule="auto"/>
        <w:rPr>
          <w:sz w:val="20"/>
          <w:szCs w:val="20"/>
          <w:color w:val="auto"/>
        </w:rPr>
      </w:pPr>
      <w:r>
        <w:rPr>
          <w:rFonts w:ascii="Arial" w:cs="Arial" w:eastAsia="Arial" w:hAnsi="Arial"/>
          <w:sz w:val="18"/>
          <w:szCs w:val="18"/>
          <w:color w:val="auto"/>
        </w:rPr>
        <w:t xml:space="preserve">We make available free of charge through our Internet website our annual report on Form 10-K, quarterly reports on Form 10-Q, current reports on Form 8-K and amendments to those reports filed or furnished pursuant to Section 13(a) or 15(d) of the Securities Exchange Act of 1934 as soon as reasonably practicable after we electronically file those reports with, or furnish them to, the SEC. Our Internet address is </w:t>
      </w:r>
      <w:r>
        <w:rPr>
          <w:rFonts w:ascii="Arial" w:cs="Arial" w:eastAsia="Arial" w:hAnsi="Arial"/>
          <w:sz w:val="18"/>
          <w:szCs w:val="18"/>
          <w:u w:val="single" w:color="auto"/>
          <w:color w:val="auto"/>
        </w:rPr>
        <w:t>www.greatbatch.com</w:t>
      </w:r>
      <w:r>
        <w:rPr>
          <w:rFonts w:ascii="Arial" w:cs="Arial" w:eastAsia="Arial" w:hAnsi="Arial"/>
          <w:sz w:val="18"/>
          <w:szCs w:val="18"/>
          <w:color w:val="auto"/>
        </w:rPr>
        <w:t>. The information contained on our website is not incorporated by reference in this annual report on Form 10-K and should not be considered a part of this report. These items may also be obtained free of charge by written request made to Christopher J. Thome, Assistant Corporate Controller – Reporting and Shared Services, Greatbatch, Inc., 10000 Wehrle Drive, Clarence, New York 14031.</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CAUTIONARY FACTORS THAT MAY AFFECT FUTURE RESULTS</w:t>
      </w:r>
    </w:p>
    <w:p>
      <w:pPr>
        <w:spacing w:after="0" w:line="229" w:lineRule="exact"/>
        <w:rPr>
          <w:sz w:val="20"/>
          <w:szCs w:val="20"/>
          <w:color w:val="auto"/>
        </w:rPr>
      </w:pPr>
    </w:p>
    <w:p>
      <w:pPr>
        <w:ind w:right="160"/>
        <w:spacing w:after="0" w:line="257" w:lineRule="auto"/>
        <w:rPr>
          <w:sz w:val="20"/>
          <w:szCs w:val="20"/>
          <w:color w:val="auto"/>
        </w:rPr>
      </w:pPr>
      <w:r>
        <w:rPr>
          <w:rFonts w:ascii="Arial" w:cs="Arial" w:eastAsia="Arial" w:hAnsi="Arial"/>
          <w:sz w:val="18"/>
          <w:szCs w:val="18"/>
          <w:color w:val="auto"/>
        </w:rPr>
        <w:t>Some of the statements contained in this annual report on Form 10-K and other written and oral statements made from time to time by us and our representatives are not statements of historical or current fact. As such, they are “forward-looking statements” within the meaning of Section 27A of the Securities Act of 1933, as amended, and Section 21E of the Securities Exchange Act of 1934, as amended. We have based these forward-looking statements on our current expectations, and these statements are subject to known and unknown risks, uncertainties and assumptions. Forward-looking statements include statements relating to:</w:t>
      </w:r>
    </w:p>
    <w:p>
      <w:pPr>
        <w:spacing w:after="0" w:line="188" w:lineRule="exact"/>
        <w:rPr>
          <w:sz w:val="20"/>
          <w:szCs w:val="20"/>
          <w:color w:val="auto"/>
        </w:rPr>
      </w:pPr>
    </w:p>
    <w:p>
      <w:pPr>
        <w:ind w:left="340" w:hanging="332"/>
        <w:spacing w:after="0"/>
        <w:tabs>
          <w:tab w:leader="none" w:pos="340" w:val="left"/>
        </w:tabs>
        <w:numPr>
          <w:ilvl w:val="0"/>
          <w:numId w:val="8"/>
        </w:numPr>
        <w:rPr>
          <w:rFonts w:ascii="Arial" w:cs="Arial" w:eastAsia="Arial" w:hAnsi="Arial"/>
          <w:sz w:val="18"/>
          <w:szCs w:val="18"/>
          <w:color w:val="auto"/>
        </w:rPr>
      </w:pPr>
      <w:r>
        <w:rPr>
          <w:rFonts w:ascii="Arial" w:cs="Arial" w:eastAsia="Arial" w:hAnsi="Arial"/>
          <w:sz w:val="18"/>
          <w:szCs w:val="18"/>
          <w:color w:val="auto"/>
        </w:rPr>
        <w:t>future sales, expenses and profitability;</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8"/>
        </w:numPr>
        <w:rPr>
          <w:rFonts w:ascii="Arial" w:cs="Arial" w:eastAsia="Arial" w:hAnsi="Arial"/>
          <w:sz w:val="18"/>
          <w:szCs w:val="18"/>
          <w:color w:val="auto"/>
        </w:rPr>
      </w:pPr>
      <w:r>
        <w:rPr>
          <w:rFonts w:ascii="Arial" w:cs="Arial" w:eastAsia="Arial" w:hAnsi="Arial"/>
          <w:sz w:val="18"/>
          <w:szCs w:val="18"/>
          <w:color w:val="auto"/>
        </w:rPr>
        <w:t>future development and expected growth of our business and industry;</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8"/>
        </w:numPr>
        <w:rPr>
          <w:rFonts w:ascii="Arial" w:cs="Arial" w:eastAsia="Arial" w:hAnsi="Arial"/>
          <w:sz w:val="18"/>
          <w:szCs w:val="18"/>
          <w:color w:val="auto"/>
        </w:rPr>
      </w:pPr>
      <w:r>
        <w:rPr>
          <w:rFonts w:ascii="Arial" w:cs="Arial" w:eastAsia="Arial" w:hAnsi="Arial"/>
          <w:sz w:val="18"/>
          <w:szCs w:val="18"/>
          <w:color w:val="auto"/>
        </w:rPr>
        <w:t>our ability to execute our business model and our business strategy;</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8"/>
        </w:numPr>
        <w:rPr>
          <w:rFonts w:ascii="Arial" w:cs="Arial" w:eastAsia="Arial" w:hAnsi="Arial"/>
          <w:sz w:val="18"/>
          <w:szCs w:val="18"/>
          <w:color w:val="auto"/>
        </w:rPr>
      </w:pPr>
      <w:r>
        <w:rPr>
          <w:rFonts w:ascii="Arial" w:cs="Arial" w:eastAsia="Arial" w:hAnsi="Arial"/>
          <w:sz w:val="18"/>
          <w:szCs w:val="18"/>
          <w:color w:val="auto"/>
        </w:rPr>
        <w:t>our ability to identify trends within our industries and to offer products and services that meet the changing needs of those markets; and</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8"/>
        </w:numPr>
        <w:rPr>
          <w:rFonts w:ascii="Arial" w:cs="Arial" w:eastAsia="Arial" w:hAnsi="Arial"/>
          <w:sz w:val="18"/>
          <w:szCs w:val="18"/>
          <w:color w:val="auto"/>
        </w:rPr>
      </w:pPr>
      <w:r>
        <w:rPr>
          <w:rFonts w:ascii="Arial" w:cs="Arial" w:eastAsia="Arial" w:hAnsi="Arial"/>
          <w:sz w:val="18"/>
          <w:szCs w:val="18"/>
          <w:color w:val="auto"/>
        </w:rPr>
        <w:t>projected capital expenditures.</w:t>
      </w:r>
    </w:p>
    <w:p>
      <w:pPr>
        <w:spacing w:after="0" w:line="225" w:lineRule="exact"/>
        <w:rPr>
          <w:sz w:val="20"/>
          <w:szCs w:val="20"/>
          <w:color w:val="auto"/>
        </w:rPr>
      </w:pPr>
    </w:p>
    <w:p>
      <w:pPr>
        <w:spacing w:after="0" w:line="273" w:lineRule="auto"/>
        <w:rPr>
          <w:sz w:val="20"/>
          <w:szCs w:val="20"/>
          <w:color w:val="auto"/>
        </w:rPr>
      </w:pPr>
      <w:r>
        <w:rPr>
          <w:rFonts w:ascii="Arial" w:cs="Arial" w:eastAsia="Arial" w:hAnsi="Arial"/>
          <w:sz w:val="17"/>
          <w:szCs w:val="17"/>
          <w:color w:val="auto"/>
        </w:rPr>
        <w:t>You can identify forward-looking statements by terminology such as “may,” “will,” “should,” “could,” “expects,” “intends,” “plans,” “anticipates,” “believes,” “estimates,” “predicts,” “potential” or “continue” or “variations” or the negative of these terms or other comparable terminology. These statements are only predictions. Actual events or results may differ materially from those stated or implied by these forward-looking statements. In evaluating these statements and our prospects, you should carefully consider the factors set forth below. All forward-looking statements attributable to us or persons acting on our behalf are expressly qualified in their entirety by these cautionary factors and to others contained throughout this report. We are under no duty to update any of the forward-looking statements after the date of this report or to conform these statements to actual results.</w:t>
      </w:r>
    </w:p>
    <w:p>
      <w:pPr>
        <w:spacing w:after="0" w:line="178"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Although it is not possible to create a comprehensive list of all factors that may cause actual results to differ from the results expressed or implied by our forward-looking statements or that may affect our future results, some of these factors include the following: our dependence upon a limited number of customers; customer ordering patterns; product obsolescence; our inability to market current or future products; pricing pressure from customers; our ability to timely and successfully implement cost reduction and plant consolidation initiatives; our reliance on third party suppliers for raw materials, products and subcomponents; fluctuating operating results; our inability to maintain high quality standards for our products; challenges to our intellectual property rights; product liability claims; product field actions or recalls; our inability to successfully consummate and integrate acquisitions and to realize synergies and to operate these acquired businesses, including Lake Region</w:t>
      </w:r>
    </w:p>
    <w:p>
      <w:pPr>
        <w:sectPr>
          <w:pgSz w:w="11900" w:h="16838" w:orient="portrait"/>
          <w:cols w:equalWidth="0" w:num="1">
            <w:col w:w="11400"/>
          </w:cols>
          <w:pgMar w:left="240" w:top="904" w:right="259" w:bottom="1440" w:gutter="0" w:footer="0" w:header="0"/>
        </w:sectPr>
      </w:pPr>
    </w:p>
    <w:p>
      <w:pPr>
        <w:spacing w:after="0" w:line="313"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- 21 -</w:t>
      </w:r>
    </w:p>
    <w:p>
      <w:pPr>
        <w:sectPr>
          <w:pgSz w:w="11900" w:h="16838" w:orient="portrait"/>
          <w:cols w:equalWidth="0" w:num="1">
            <w:col w:w="11400"/>
          </w:cols>
          <w:pgMar w:left="240" w:top="904" w:right="259" w:bottom="1440" w:gutter="0" w:footer="0" w:header="0"/>
          <w:type w:val="continuous"/>
        </w:sectPr>
      </w:pPr>
    </w:p>
    <w:bookmarkStart w:id="22" w:name="page23"/>
    <w:bookmarkEnd w:id="22"/>
    <w:p>
      <w:pPr>
        <w:ind w:right="80"/>
        <w:spacing w:after="0" w:line="257" w:lineRule="auto"/>
        <w:rPr>
          <w:sz w:val="20"/>
          <w:szCs w:val="20"/>
          <w:color w:val="auto"/>
        </w:rPr>
      </w:pPr>
      <w:r>
        <w:rPr>
          <w:rFonts w:ascii="Arial" w:cs="Arial" w:eastAsia="Arial" w:hAnsi="Arial"/>
          <w:sz w:val="18"/>
          <w:szCs w:val="18"/>
          <w:color w:val="auto"/>
        </w:rPr>
        <w:t>Medical, in accordance with expectations; our unsuccessful expansion into new markets; our failure to develop new products including system and device products; the timing, progress and ultimate success of pending regulatory actions and approvals; our inability to obtain licenses to key technology; regulatory changes, including Health Care Reform, or consolidation in the healthcare industry; global economic factors including currency exchange rates and interest rates; the resolution of various legal actions brought against the Company; and other risks and uncertainties that arise from time to time and are described in Item 1A “Risk Factors” of this report.</w:t>
      </w:r>
    </w:p>
    <w:p>
      <w:pPr>
        <w:spacing w:after="0" w:line="238" w:lineRule="exact"/>
        <w:rPr>
          <w:sz w:val="20"/>
          <w:szCs w:val="20"/>
          <w:color w:val="auto"/>
        </w:rPr>
      </w:pPr>
    </w:p>
    <w:p>
      <w:pPr>
        <w:ind w:left="40"/>
        <w:spacing w:after="0"/>
        <w:tabs>
          <w:tab w:leader="none" w:pos="100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7"/>
          <w:szCs w:val="17"/>
          <w:b w:val="1"/>
          <w:bCs w:val="1"/>
          <w:color w:val="auto"/>
        </w:rPr>
        <w:t>RISK FACTORS</w:t>
      </w:r>
    </w:p>
    <w:p>
      <w:pPr>
        <w:spacing w:after="0" w:line="148"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Our business faces many risks. Any of the risks discussed below, or elsewhere in this report or in our other SEC filings, could have a material impact on our business, financial condition or results of operations.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Business</w:t>
      </w:r>
    </w:p>
    <w:p>
      <w:pPr>
        <w:spacing w:after="0" w:line="225" w:lineRule="exact"/>
        <w:rPr>
          <w:sz w:val="20"/>
          <w:szCs w:val="20"/>
          <w:color w:val="auto"/>
        </w:rPr>
      </w:pPr>
    </w:p>
    <w:p>
      <w:pPr>
        <w:ind w:right="220"/>
        <w:spacing w:after="0" w:line="282" w:lineRule="auto"/>
        <w:rPr>
          <w:sz w:val="20"/>
          <w:szCs w:val="20"/>
          <w:color w:val="auto"/>
        </w:rPr>
      </w:pPr>
      <w:r>
        <w:rPr>
          <w:rFonts w:ascii="Arial" w:cs="Arial" w:eastAsia="Arial" w:hAnsi="Arial"/>
          <w:sz w:val="18"/>
          <w:szCs w:val="18"/>
          <w:b w:val="1"/>
          <w:bCs w:val="1"/>
          <w:color w:val="auto"/>
        </w:rPr>
        <w:t>We depend heavily on a limited number of customers, and if we lose any of them or they reduce their business with us, we would lose a substantial portion of our revenues.</w:t>
      </w:r>
    </w:p>
    <w:p>
      <w:pPr>
        <w:spacing w:after="0" w:line="166" w:lineRule="exact"/>
        <w:rPr>
          <w:sz w:val="20"/>
          <w:szCs w:val="20"/>
          <w:color w:val="auto"/>
        </w:rPr>
      </w:pPr>
    </w:p>
    <w:p>
      <w:pPr>
        <w:spacing w:after="0" w:line="302" w:lineRule="auto"/>
        <w:rPr>
          <w:sz w:val="20"/>
          <w:szCs w:val="20"/>
          <w:color w:val="auto"/>
        </w:rPr>
      </w:pPr>
      <w:r>
        <w:rPr>
          <w:rFonts w:ascii="Arial" w:cs="Arial" w:eastAsia="Arial" w:hAnsi="Arial"/>
          <w:sz w:val="16"/>
          <w:szCs w:val="16"/>
          <w:color w:val="auto"/>
        </w:rPr>
        <w:t>In 2015, Biotronik, Johnson &amp; Johnson, Medtronic and St. Jude Medical collectively accounted for approximately 52% of our revenues. Our supply agreements with these customers may not be renewed. Furthermore, many of our supply agreements do not contain minimum purchase level requirements and therefore there is no guaranteed source of revenue that we can depend upon under these agreements. The loss of any large customer, a reduction of business with that customer, or a delay or failure by that customer to make payments due to us, would harm our business, financial condition and results of operations.</w:t>
      </w:r>
    </w:p>
    <w:p>
      <w:pPr>
        <w:spacing w:after="0" w:line="150"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If we do not respond to changes in technology, our products may become obsolete and we may experience a loss of customers and lower revenues.</w:t>
      </w:r>
    </w:p>
    <w:p>
      <w:pPr>
        <w:spacing w:after="0" w:line="252"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We sell our products to customers in several industries that experience rapid technological changes, new product introductions and evolving industry standards. Without the timely introduction of new products and enhancements, our products and services will likely become technologically obsolete over time and we may lose a significant number of our customers. We dedicate a significant amount of resources to the development of our products and technologies. Our product development efforts may be affected by a number of factors, including our ability to anticipate customer needs, develop new products, secure intellectual property protection for our product, and manufacture products in a cost effective manner. We would be harmed if we did not meet customer requirements and expectations. Our inability, for technological or other reasons, to successfully develop and introduce new and innovative products and enhancements could result in a loss of customers and lower revenues.</w:t>
      </w:r>
    </w:p>
    <w:p>
      <w:pPr>
        <w:spacing w:after="0" w:line="174" w:lineRule="exact"/>
        <w:rPr>
          <w:sz w:val="20"/>
          <w:szCs w:val="20"/>
          <w:color w:val="auto"/>
        </w:rPr>
      </w:pPr>
    </w:p>
    <w:p>
      <w:pPr>
        <w:ind w:right="200"/>
        <w:spacing w:after="0" w:line="282" w:lineRule="auto"/>
        <w:rPr>
          <w:sz w:val="20"/>
          <w:szCs w:val="20"/>
          <w:color w:val="auto"/>
        </w:rPr>
      </w:pPr>
      <w:r>
        <w:rPr>
          <w:rFonts w:ascii="Arial" w:cs="Arial" w:eastAsia="Arial" w:hAnsi="Arial"/>
          <w:sz w:val="18"/>
          <w:szCs w:val="18"/>
          <w:b w:val="1"/>
          <w:bCs w:val="1"/>
          <w:color w:val="auto"/>
        </w:rPr>
        <w:t>If we are unable to successfully market our current or future products, our business will be harmed and our revenues and operating results will be adversely affected.</w:t>
      </w:r>
    </w:p>
    <w:p>
      <w:pPr>
        <w:spacing w:after="0" w:line="166" w:lineRule="exact"/>
        <w:rPr>
          <w:sz w:val="20"/>
          <w:szCs w:val="20"/>
          <w:color w:val="auto"/>
        </w:rPr>
      </w:pPr>
    </w:p>
    <w:p>
      <w:pPr>
        <w:ind w:right="180"/>
        <w:spacing w:after="0" w:line="297" w:lineRule="auto"/>
        <w:rPr>
          <w:sz w:val="20"/>
          <w:szCs w:val="20"/>
          <w:color w:val="auto"/>
        </w:rPr>
      </w:pPr>
      <w:r>
        <w:rPr>
          <w:rFonts w:ascii="Arial" w:cs="Arial" w:eastAsia="Arial" w:hAnsi="Arial"/>
          <w:sz w:val="16"/>
          <w:szCs w:val="16"/>
          <w:color w:val="auto"/>
        </w:rPr>
        <w:t>The markets for our products have been growing in recent years. If the markets for our products do not grow as forecasted by industry experts, our revenues could be less than expected. In addition, it is difficult to predict the rate at which the markets for our products will grow or at which new and increased competition will result in market saturation. Slower growth in the cardiac, neuromodulation, advanced surgical, orthopaedic, portable medical, cardio and vascular, environmental, military or energy markets in particular would negatively impact our revenues. In addition, we face the risk that our products will lose widespread market acceptance. Our customers may not continue to utilize the products we offer and a market may not develop for our future products.</w:t>
      </w:r>
    </w:p>
    <w:p>
      <w:pPr>
        <w:spacing w:after="0" w:line="158"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We may at times determine that it is not technically or economically feasible for us to continue to manufacture certain products and we may not be successful in developing or marketing them. Additionally, new technologies that we develop may not be rapidly accepted because of industry-specific factors, including the need for regulatory clearance, entrenched patterns of clinical practice and uncertainty over third party reimbursement. If this occurs, our business will be harmed and our operating results will be adversely affected.</w:t>
      </w:r>
    </w:p>
    <w:p>
      <w:pPr>
        <w:spacing w:after="0" w:line="183" w:lineRule="exact"/>
        <w:rPr>
          <w:sz w:val="20"/>
          <w:szCs w:val="20"/>
          <w:color w:val="auto"/>
        </w:rPr>
      </w:pPr>
    </w:p>
    <w:p>
      <w:pPr>
        <w:ind w:right="740"/>
        <w:spacing w:after="0" w:line="282" w:lineRule="auto"/>
        <w:rPr>
          <w:sz w:val="20"/>
          <w:szCs w:val="20"/>
          <w:color w:val="auto"/>
        </w:rPr>
      </w:pPr>
      <w:r>
        <w:rPr>
          <w:rFonts w:ascii="Arial" w:cs="Arial" w:eastAsia="Arial" w:hAnsi="Arial"/>
          <w:sz w:val="18"/>
          <w:szCs w:val="18"/>
          <w:b w:val="1"/>
          <w:bCs w:val="1"/>
          <w:color w:val="auto"/>
        </w:rPr>
        <w:t>We may face competition that could harm our business and we may be unable to compete successfully against new entrants and established companies with greater resources.</w:t>
      </w:r>
    </w:p>
    <w:p>
      <w:pPr>
        <w:spacing w:after="0" w:line="166" w:lineRule="exact"/>
        <w:rPr>
          <w:sz w:val="20"/>
          <w:szCs w:val="20"/>
          <w:color w:val="auto"/>
        </w:rPr>
      </w:pPr>
    </w:p>
    <w:p>
      <w:pPr>
        <w:ind w:right="80"/>
        <w:spacing w:after="0" w:line="255" w:lineRule="auto"/>
        <w:rPr>
          <w:sz w:val="20"/>
          <w:szCs w:val="20"/>
          <w:color w:val="auto"/>
        </w:rPr>
      </w:pPr>
      <w:r>
        <w:rPr>
          <w:rFonts w:ascii="Arial" w:cs="Arial" w:eastAsia="Arial" w:hAnsi="Arial"/>
          <w:sz w:val="18"/>
          <w:szCs w:val="18"/>
          <w:color w:val="auto"/>
        </w:rPr>
        <w:t>Competition in connection with the manufacturing of our medical products may intensify in the future. One or more of our medical customers may undertake additional vertical integration and/or supplier diversification initiatives and begin to manufacture or dual-source some or all of their components that we currently supply them which could cause our operating results to suffer. The market for commercial power sources is competitive, fragmented and subject to rapid technological change. Many other commercial power source suppliers are larger and have greater financial, operational, economies of scale, personnel, sales, technical and marketing resources than us. These and other companies may develop products that are superior or more cost effective to ours, which could result in lower revenues and operating results.</w:t>
      </w:r>
    </w:p>
    <w:p>
      <w:pPr>
        <w:spacing w:after="0" w:line="32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- 22 -</w:t>
      </w:r>
    </w:p>
    <w:p>
      <w:pPr>
        <w:sectPr>
          <w:pgSz w:w="11900" w:h="16838" w:orient="portrait"/>
          <w:cols w:equalWidth="0" w:num="1">
            <w:col w:w="11420"/>
          </w:cols>
          <w:pgMar w:left="240" w:top="908" w:right="239" w:bottom="1440" w:gutter="0" w:footer="0" w:header="0"/>
        </w:sectPr>
      </w:pPr>
    </w:p>
    <w:bookmarkStart w:id="23" w:name="page24"/>
    <w:bookmarkEnd w:id="23"/>
    <w:p>
      <w:pPr>
        <w:spacing w:after="0"/>
        <w:rPr>
          <w:sz w:val="20"/>
          <w:szCs w:val="20"/>
          <w:color w:val="auto"/>
        </w:rPr>
      </w:pPr>
      <w:r>
        <w:rPr>
          <w:rFonts w:ascii="Arial" w:cs="Arial" w:eastAsia="Arial" w:hAnsi="Arial"/>
          <w:sz w:val="17"/>
          <w:szCs w:val="17"/>
          <w:b w:val="1"/>
          <w:bCs w:val="1"/>
          <w:color w:val="auto"/>
        </w:rPr>
        <w:t>We intend to develop new products and expand into new markets, which may not be successful and could harm our operating results.</w:t>
      </w:r>
    </w:p>
    <w:p>
      <w:pPr>
        <w:spacing w:after="0" w:line="241" w:lineRule="exact"/>
        <w:rPr>
          <w:sz w:val="20"/>
          <w:szCs w:val="20"/>
          <w:color w:val="auto"/>
        </w:rPr>
      </w:pPr>
    </w:p>
    <w:p>
      <w:pPr>
        <w:ind w:right="80"/>
        <w:spacing w:after="0" w:line="257" w:lineRule="auto"/>
        <w:rPr>
          <w:sz w:val="20"/>
          <w:szCs w:val="20"/>
          <w:color w:val="auto"/>
        </w:rPr>
      </w:pPr>
      <w:r>
        <w:rPr>
          <w:rFonts w:ascii="Arial" w:cs="Arial" w:eastAsia="Arial" w:hAnsi="Arial"/>
          <w:sz w:val="18"/>
          <w:szCs w:val="18"/>
          <w:color w:val="auto"/>
        </w:rPr>
        <w:t>We intend to expand into new markets and develop new and modified products based on our existing technologies and engineering capabilities, including the development of complete medical device systems. These efforts have required and will continue to require us to make substantial investments, including significant research, development and engineering expenditures and capital expenditures for new, expanded or improved manufacturing facilities. Additionally, many of the new products we are working on take longer and more resources to develop and commercialize, including obtaining regulatory approval.</w:t>
      </w:r>
    </w:p>
    <w:p>
      <w:pPr>
        <w:spacing w:after="0" w:line="188" w:lineRule="exact"/>
        <w:rPr>
          <w:sz w:val="20"/>
          <w:szCs w:val="20"/>
          <w:color w:val="auto"/>
        </w:rPr>
      </w:pPr>
    </w:p>
    <w:p>
      <w:pPr>
        <w:ind w:right="240"/>
        <w:spacing w:after="0" w:line="264" w:lineRule="auto"/>
        <w:rPr>
          <w:sz w:val="20"/>
          <w:szCs w:val="20"/>
          <w:color w:val="auto"/>
        </w:rPr>
      </w:pPr>
      <w:r>
        <w:rPr>
          <w:rFonts w:ascii="Arial" w:cs="Arial" w:eastAsia="Arial" w:hAnsi="Arial"/>
          <w:sz w:val="18"/>
          <w:szCs w:val="18"/>
          <w:color w:val="auto"/>
        </w:rPr>
        <w:t>Specific risks in connection with expanding into new products and markets include: longer product development cycles, the inability to transfer our quality standards and technology into new products, the failure to receive or delay in receipt of regulatory approval for new products or modifications to existing products, and the failure of our customers to accept the new or modified products.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We are subject to pricing pressures from customers, which could harm our operating results.</w:t>
      </w:r>
    </w:p>
    <w:p>
      <w:pPr>
        <w:spacing w:after="0" w:line="229"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We have made price concessions to some of our larger customers in recent years and we expect customer pressure for price concessions will continue. Price concessions or reductions may cause our operating results to suffer.</w:t>
      </w:r>
    </w:p>
    <w:p>
      <w:pPr>
        <w:spacing w:after="0" w:line="166" w:lineRule="exact"/>
        <w:rPr>
          <w:sz w:val="20"/>
          <w:szCs w:val="20"/>
          <w:color w:val="auto"/>
        </w:rPr>
      </w:pPr>
    </w:p>
    <w:p>
      <w:pPr>
        <w:spacing w:after="0" w:line="282" w:lineRule="auto"/>
        <w:rPr>
          <w:sz w:val="20"/>
          <w:szCs w:val="20"/>
          <w:color w:val="auto"/>
        </w:rPr>
      </w:pPr>
      <w:r>
        <w:rPr>
          <w:rFonts w:ascii="Arial" w:cs="Arial" w:eastAsia="Arial" w:hAnsi="Arial"/>
          <w:sz w:val="18"/>
          <w:szCs w:val="18"/>
          <w:b w:val="1"/>
          <w:bCs w:val="1"/>
          <w:color w:val="auto"/>
        </w:rPr>
        <w:t>We rely on third party suppliers for raw materials, key products and subcomponents, and if we are unable to obtain these materials, products and/or subcomponents on a timely basis or on terms acceptable to us, our ability to manufacture products will suffer.</w:t>
      </w:r>
    </w:p>
    <w:p>
      <w:pPr>
        <w:spacing w:after="0" w:line="166" w:lineRule="exact"/>
        <w:rPr>
          <w:sz w:val="20"/>
          <w:szCs w:val="20"/>
          <w:color w:val="auto"/>
        </w:rPr>
      </w:pPr>
    </w:p>
    <w:p>
      <w:pPr>
        <w:ind w:right="20"/>
        <w:spacing w:after="0" w:line="254" w:lineRule="auto"/>
        <w:rPr>
          <w:sz w:val="20"/>
          <w:szCs w:val="20"/>
          <w:color w:val="auto"/>
        </w:rPr>
      </w:pPr>
      <w:r>
        <w:rPr>
          <w:rFonts w:ascii="Arial" w:cs="Arial" w:eastAsia="Arial" w:hAnsi="Arial"/>
          <w:sz w:val="18"/>
          <w:szCs w:val="18"/>
          <w:color w:val="auto"/>
        </w:rPr>
        <w:t>Our business depends on a continuous supply of raw materials. The principal raw materials used in our business include lithium, iodine, gold, CFx, palladium, stainless steel, aluminum, cobalt chrome, tantalum, platinum, ruthenium, gallium trichloride, vanadium oxide, iridium, titanium and plastics. The supply and price of these raw materials are susceptible to fluctuations due to transportation issues, government regulations, price controls, foreign civil unrest, worldwide economic conditions or other unforeseen circumstances. Increasing global demand for these raw materials has caused prices of these materials to increase significantly. In addition, there are a limited number of worldwide suppliers of several raw materials needed to manufacture our products. In addition, for reasons of quality, cost effectiveness or availability, we obtain some raw materials from a sole supplier. Although we work closely with our suppliers to ensure continuity of supply, we may not be able to continue to procure raw materials critical to our business at all or to procure them at acceptable price levels.</w:t>
      </w:r>
    </w:p>
    <w:p>
      <w:pPr>
        <w:spacing w:after="0" w:line="192" w:lineRule="exact"/>
        <w:rPr>
          <w:sz w:val="20"/>
          <w:szCs w:val="20"/>
          <w:color w:val="auto"/>
        </w:rPr>
      </w:pPr>
    </w:p>
    <w:p>
      <w:pPr>
        <w:ind w:right="40"/>
        <w:spacing w:after="0" w:line="273" w:lineRule="auto"/>
        <w:rPr>
          <w:sz w:val="20"/>
          <w:szCs w:val="20"/>
          <w:color w:val="auto"/>
        </w:rPr>
      </w:pPr>
      <w:r>
        <w:rPr>
          <w:rFonts w:ascii="Arial" w:cs="Arial" w:eastAsia="Arial" w:hAnsi="Arial"/>
          <w:sz w:val="17"/>
          <w:szCs w:val="17"/>
          <w:color w:val="auto"/>
        </w:rPr>
        <w:t>In addition, we rely on third party manufacturers to supply many of our products and subcomponents. Manufacturing problems may occur with these and other outside sources, as a supplier may fail to develop and supply products and subcomponents to us on a timely basis, or may supply us with products and subcomponents that do not meet our quality, quantity and cost requirements. If any of these problems occur, we may be unable to obtain substitute sources for these products and subcomponents on a timely basis or on terms acceptable to us, which could harm our ability to manufacture our own products and components profitably or on time. In addition, to the extent the processes our suppliers use to manufacture products and subcomponents are proprietary, we may be unable to obtain comparable products and subcomponents from alternative suppliers.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We may never realize the full value of our intangible assets, which represent a significant portion of our total assets.</w:t>
      </w:r>
    </w:p>
    <w:p>
      <w:pPr>
        <w:spacing w:after="0" w:line="229" w:lineRule="exact"/>
        <w:rPr>
          <w:sz w:val="20"/>
          <w:szCs w:val="20"/>
          <w:color w:val="auto"/>
        </w:rPr>
      </w:pPr>
    </w:p>
    <w:p>
      <w:pPr>
        <w:ind w:right="20"/>
        <w:spacing w:after="0" w:line="289" w:lineRule="auto"/>
        <w:rPr>
          <w:sz w:val="20"/>
          <w:szCs w:val="20"/>
          <w:color w:val="auto"/>
        </w:rPr>
      </w:pPr>
      <w:r>
        <w:rPr>
          <w:rFonts w:ascii="Arial" w:cs="Arial" w:eastAsia="Arial" w:hAnsi="Arial"/>
          <w:sz w:val="16"/>
          <w:szCs w:val="16"/>
          <w:color w:val="auto"/>
        </w:rPr>
        <w:t>At January 1, 2016, we had $2.0 billion of intangible assets, representing 67% of our total assets. These intangible assets consist primarily of goodwill, trademarks, tradenames, customer lists and patented technology arising from our acquisitions. Goodwill and other intangible assets with indefinite lives are not amortized, but are tested annually or upon the occurrence of certain events that indicate that the assets may be impaired. Definite lived intangible assets are amortized over their estimated useful lives and are tested for impairment upon the occurrence of certain events that indicate that the assets may be impaired. We may not receive the recorded value for our intangible assets if we sell or liquidate our business or assets. In addition, this significant amount of intangible assets increases the risk of a large charge to earnings in the event that the recoverability of these intangible assets is impaired. In the event of such a charge to earnings, the market price of our common stock could be affected. In addition, intangible assets with definite lives, which represent $894.0 million of our net intangible assets at January 1, 2016, will continue to be amortized. We incurred total amortization expenses relating to these intangible assets of $17.5 million in 2015. These expenses will reduce our future earnings or increase our future losses.</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Quality problems with our products could harm our reputation and erode our competitive advantage.</w:t>
      </w:r>
    </w:p>
    <w:p>
      <w:pPr>
        <w:spacing w:after="0" w:line="229" w:lineRule="exact"/>
        <w:rPr>
          <w:sz w:val="20"/>
          <w:szCs w:val="20"/>
          <w:color w:val="auto"/>
        </w:rPr>
      </w:pPr>
    </w:p>
    <w:p>
      <w:pPr>
        <w:ind w:right="40"/>
        <w:spacing w:after="0" w:line="264" w:lineRule="auto"/>
        <w:rPr>
          <w:sz w:val="20"/>
          <w:szCs w:val="20"/>
          <w:color w:val="auto"/>
        </w:rPr>
      </w:pPr>
      <w:r>
        <w:rPr>
          <w:rFonts w:ascii="Arial" w:cs="Arial" w:eastAsia="Arial" w:hAnsi="Arial"/>
          <w:sz w:val="18"/>
          <w:szCs w:val="18"/>
          <w:color w:val="auto"/>
        </w:rPr>
        <w:t>Quality is important to us and our customers, and our products are held to high quality and performance standards. In the event our products fail to meet these standards, our reputation could be harmed, which could erode our competitive advantage over competitors, causing us to lose customers and resulting in lower revenues.</w:t>
      </w: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- 23 -</w:t>
      </w:r>
    </w:p>
    <w:p>
      <w:pPr>
        <w:sectPr>
          <w:pgSz w:w="11900" w:h="16838" w:orient="portrait"/>
          <w:cols w:equalWidth="0" w:num="1">
            <w:col w:w="11420"/>
          </w:cols>
          <w:pgMar w:left="240" w:top="904" w:right="239" w:bottom="1440" w:gutter="0" w:footer="0" w:header="0"/>
        </w:sectPr>
      </w:pPr>
    </w:p>
    <w:bookmarkStart w:id="24" w:name="page25"/>
    <w:bookmarkEnd w:id="24"/>
    <w:p>
      <w:pPr>
        <w:spacing w:after="0"/>
        <w:rPr>
          <w:sz w:val="20"/>
          <w:szCs w:val="20"/>
          <w:color w:val="auto"/>
        </w:rPr>
      </w:pPr>
      <w:r>
        <w:rPr>
          <w:rFonts w:ascii="Arial" w:cs="Arial" w:eastAsia="Arial" w:hAnsi="Arial"/>
          <w:sz w:val="18"/>
          <w:szCs w:val="18"/>
          <w:b w:val="1"/>
          <w:bCs w:val="1"/>
          <w:color w:val="auto"/>
        </w:rPr>
        <w:t>Quality problems with our products could result in warranty claims and additional costs.</w:t>
      </w:r>
    </w:p>
    <w:p>
      <w:pPr>
        <w:spacing w:after="0" w:line="229" w:lineRule="exact"/>
        <w:rPr>
          <w:sz w:val="20"/>
          <w:szCs w:val="20"/>
          <w:color w:val="auto"/>
        </w:rPr>
      </w:pPr>
    </w:p>
    <w:p>
      <w:pPr>
        <w:ind w:right="80"/>
        <w:spacing w:after="0" w:line="276" w:lineRule="auto"/>
        <w:rPr>
          <w:sz w:val="20"/>
          <w:szCs w:val="20"/>
          <w:color w:val="auto"/>
        </w:rPr>
      </w:pPr>
      <w:r>
        <w:rPr>
          <w:rFonts w:ascii="Arial" w:cs="Arial" w:eastAsia="Arial" w:hAnsi="Arial"/>
          <w:sz w:val="17"/>
          <w:szCs w:val="17"/>
          <w:color w:val="auto"/>
        </w:rPr>
        <w:t>We generally allow customers to return defective or damaged products for credit, replacement or exchange. We generally warrant that our products will meet customer specifications and will be free from defects in materials and workmanship. Additionally, we carry a safety stock of inventory for our customers that may be impacted by warranty claims. We reserve for our exposure to warranty claims based upon recent historical experience and other specific information as it becomes available. However, these reserves may not be adequate to cover future warranty claims. If these reserves are inadequate, additional warranty costs or inventory write-offs may need to be incurred in the future, which could harm our operating results.</w:t>
      </w:r>
    </w:p>
    <w:p>
      <w:pPr>
        <w:spacing w:after="0" w:line="169" w:lineRule="exact"/>
        <w:rPr>
          <w:sz w:val="20"/>
          <w:szCs w:val="20"/>
          <w:color w:val="auto"/>
        </w:rPr>
      </w:pPr>
    </w:p>
    <w:p>
      <w:pPr>
        <w:spacing w:after="0" w:line="282" w:lineRule="auto"/>
        <w:rPr>
          <w:sz w:val="20"/>
          <w:szCs w:val="20"/>
          <w:color w:val="auto"/>
        </w:rPr>
      </w:pPr>
      <w:r>
        <w:rPr>
          <w:rFonts w:ascii="Arial" w:cs="Arial" w:eastAsia="Arial" w:hAnsi="Arial"/>
          <w:sz w:val="18"/>
          <w:szCs w:val="18"/>
          <w:b w:val="1"/>
          <w:bCs w:val="1"/>
          <w:color w:val="auto"/>
        </w:rPr>
        <w:t>Regulatory issues resulting from product complaints, or recalls, or regulatory audits could harm our ability to produce and supply products or bring new products to market.</w:t>
      </w:r>
    </w:p>
    <w:p>
      <w:pPr>
        <w:spacing w:after="0" w:line="166"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Our products are designed, manufactured and distributed globally in compliance with applicable regulations and standards. However, a product complaint, recall or negative regulatory audit may cause our products to be removed from the market and harm our operating results or financial condition. In addition, during the period in which corrective action is being taken by us to remedy a complaint, recall or negative audit, regulators may not allow our new products to be cleared for marketing and sale.</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If we become subject to product liability claims, our operating results and financial condition could suffer.</w:t>
      </w:r>
    </w:p>
    <w:p>
      <w:pPr>
        <w:spacing w:after="0" w:line="229" w:lineRule="exact"/>
        <w:rPr>
          <w:sz w:val="20"/>
          <w:szCs w:val="20"/>
          <w:color w:val="auto"/>
        </w:rPr>
      </w:pPr>
    </w:p>
    <w:p>
      <w:pPr>
        <w:spacing w:after="0" w:line="288" w:lineRule="auto"/>
        <w:rPr>
          <w:sz w:val="20"/>
          <w:szCs w:val="20"/>
          <w:color w:val="auto"/>
        </w:rPr>
      </w:pPr>
      <w:r>
        <w:rPr>
          <w:rFonts w:ascii="Arial" w:cs="Arial" w:eastAsia="Arial" w:hAnsi="Arial"/>
          <w:sz w:val="16"/>
          <w:szCs w:val="16"/>
          <w:color w:val="auto"/>
        </w:rPr>
        <w:t>Our business exposes us to potential product liability claims that are inherent in the design, manufacture and sales of our products. Product failures, including those that arise from the failure to meet product specifications, misuse or malfunction, or design flaws, or the use of our products with components or systems not manufactured or sold by us could result in product liability claims or a recall. Many of our products are components and function in interaction with our customers’ medical devices. For example, our batteries are produced to meet electrical performance, longevity and other specifications, but the actual performance of those products is dependent on how they are utilized as part of our customers’ devices over the lifetime of their products. Product performance and device interaction from time to time have been, and may in the future be, different than expected for a number of reasons. Consequently, it is possible that customers may experience problems with their medical devices that could require device recall or other corrective action, where our batteries met the specification at delivery, and for reasons that are not related primarily or at all to any failure by our product to perform in accordance with specifications. It is possible that our customers (or end-users) may in the future assert that our products caused or contributed to device failure. Even if these assertions do not lead to product liability or contract claims, they could harm our reputation and our customer relationships.</w:t>
      </w:r>
    </w:p>
    <w:p>
      <w:pPr>
        <w:spacing w:after="0" w:line="169"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Provisions contained in our agreements with key customers attempting to limit our damages, including provisions to limit damages to liability for negligence, may not be enforceable in all instances or may otherwise fail to protect us from liability for damages. Product liability claims or product recalls, regardless of their ultimate outcome, could require us to spend significant time and money in litigation and require us to pay significant damages. The occurrence of product liability claims or product recalls could affect our operating results and financial condition.</w:t>
      </w:r>
    </w:p>
    <w:p>
      <w:pPr>
        <w:spacing w:after="0" w:line="187" w:lineRule="exact"/>
        <w:rPr>
          <w:sz w:val="20"/>
          <w:szCs w:val="20"/>
          <w:color w:val="auto"/>
        </w:rPr>
      </w:pPr>
    </w:p>
    <w:p>
      <w:pPr>
        <w:ind w:right="120"/>
        <w:spacing w:after="0" w:line="308" w:lineRule="auto"/>
        <w:rPr>
          <w:sz w:val="20"/>
          <w:szCs w:val="20"/>
          <w:color w:val="auto"/>
        </w:rPr>
      </w:pPr>
      <w:r>
        <w:rPr>
          <w:rFonts w:ascii="Arial" w:cs="Arial" w:eastAsia="Arial" w:hAnsi="Arial"/>
          <w:sz w:val="17"/>
          <w:szCs w:val="17"/>
          <w:color w:val="auto"/>
        </w:rPr>
        <w:t>We carry product liability insurance with coverage that is limited in scope and amount. We may not be able to maintain this insurance at a reasonable cost or on reasonable terms, or at all. This insurance may not be adequate to protect us against a product liability claim that arises in the future.</w:t>
      </w:r>
    </w:p>
    <w:p>
      <w:pPr>
        <w:spacing w:after="0" w:line="143"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Our operating results may fluctuate, which may make it difficult to forecast our future performance and may result in volatility in our stock price.</w:t>
      </w:r>
    </w:p>
    <w:p>
      <w:pPr>
        <w:spacing w:after="0" w:line="252" w:lineRule="exact"/>
        <w:rPr>
          <w:sz w:val="20"/>
          <w:szCs w:val="20"/>
          <w:color w:val="auto"/>
        </w:rPr>
      </w:pPr>
    </w:p>
    <w:p>
      <w:pPr>
        <w:ind w:right="500"/>
        <w:spacing w:after="0" w:line="277" w:lineRule="auto"/>
        <w:rPr>
          <w:sz w:val="20"/>
          <w:szCs w:val="20"/>
          <w:color w:val="auto"/>
        </w:rPr>
      </w:pPr>
      <w:r>
        <w:rPr>
          <w:rFonts w:ascii="Arial" w:cs="Arial" w:eastAsia="Arial" w:hAnsi="Arial"/>
          <w:sz w:val="18"/>
          <w:szCs w:val="18"/>
          <w:color w:val="auto"/>
        </w:rPr>
        <w:t>Our operating results have fluctuated in the past and are likely to fluctuate significantly from quarter to quarter due to a variety of factors, including the following:</w:t>
      </w:r>
    </w:p>
    <w:p>
      <w:pPr>
        <w:spacing w:after="0" w:line="170" w:lineRule="exact"/>
        <w:rPr>
          <w:sz w:val="20"/>
          <w:szCs w:val="20"/>
          <w:color w:val="auto"/>
        </w:rPr>
      </w:pPr>
    </w:p>
    <w:p>
      <w:pPr>
        <w:ind w:left="340" w:hanging="332"/>
        <w:spacing w:after="0"/>
        <w:tabs>
          <w:tab w:leader="none" w:pos="340" w:val="left"/>
        </w:tabs>
        <w:numPr>
          <w:ilvl w:val="0"/>
          <w:numId w:val="9"/>
        </w:numPr>
        <w:rPr>
          <w:rFonts w:ascii="Arial" w:cs="Arial" w:eastAsia="Arial" w:hAnsi="Arial"/>
          <w:sz w:val="16"/>
          <w:szCs w:val="16"/>
          <w:color w:val="auto"/>
        </w:rPr>
      </w:pPr>
      <w:r>
        <w:rPr>
          <w:rFonts w:ascii="Arial" w:cs="Arial" w:eastAsia="Arial" w:hAnsi="Arial"/>
          <w:sz w:val="16"/>
          <w:szCs w:val="16"/>
          <w:color w:val="auto"/>
        </w:rPr>
        <w:t>a substantial percentage of our costs are fixed in nature, which results in our operations being particularly sensitive to fluctuations in production volumes;</w:t>
      </w:r>
    </w:p>
    <w:p>
      <w:pPr>
        <w:spacing w:after="0" w:line="248" w:lineRule="exact"/>
        <w:rPr>
          <w:rFonts w:ascii="Arial" w:cs="Arial" w:eastAsia="Arial" w:hAnsi="Arial"/>
          <w:sz w:val="16"/>
          <w:szCs w:val="16"/>
          <w:color w:val="auto"/>
        </w:rPr>
      </w:pPr>
    </w:p>
    <w:p>
      <w:pPr>
        <w:ind w:left="340" w:right="220" w:hanging="332"/>
        <w:spacing w:after="0" w:line="277" w:lineRule="auto"/>
        <w:tabs>
          <w:tab w:leader="none" w:pos="340" w:val="left"/>
        </w:tabs>
        <w:numPr>
          <w:ilvl w:val="0"/>
          <w:numId w:val="9"/>
        </w:numPr>
        <w:rPr>
          <w:rFonts w:ascii="Arial" w:cs="Arial" w:eastAsia="Arial" w:hAnsi="Arial"/>
          <w:sz w:val="18"/>
          <w:szCs w:val="18"/>
          <w:color w:val="auto"/>
        </w:rPr>
      </w:pPr>
      <w:r>
        <w:rPr>
          <w:rFonts w:ascii="Arial" w:cs="Arial" w:eastAsia="Arial" w:hAnsi="Arial"/>
          <w:sz w:val="18"/>
          <w:szCs w:val="18"/>
          <w:color w:val="auto"/>
        </w:rPr>
        <w:t>changes in the mix of our revenue represented by our various products and customers could result in reductions in our profits if the mix of our revenue represented by lower margin products increases;</w:t>
      </w:r>
    </w:p>
    <w:p>
      <w:pPr>
        <w:spacing w:after="0" w:line="170" w:lineRule="exact"/>
        <w:rPr>
          <w:rFonts w:ascii="Arial" w:cs="Arial" w:eastAsia="Arial" w:hAnsi="Arial"/>
          <w:sz w:val="18"/>
          <w:szCs w:val="18"/>
          <w:color w:val="auto"/>
        </w:rPr>
      </w:pPr>
    </w:p>
    <w:p>
      <w:pPr>
        <w:ind w:left="340" w:hanging="332"/>
        <w:spacing w:after="0"/>
        <w:tabs>
          <w:tab w:leader="none" w:pos="340" w:val="left"/>
        </w:tabs>
        <w:numPr>
          <w:ilvl w:val="0"/>
          <w:numId w:val="9"/>
        </w:numPr>
        <w:rPr>
          <w:rFonts w:ascii="Arial" w:cs="Arial" w:eastAsia="Arial" w:hAnsi="Arial"/>
          <w:sz w:val="18"/>
          <w:szCs w:val="18"/>
          <w:color w:val="auto"/>
        </w:rPr>
      </w:pPr>
      <w:r>
        <w:rPr>
          <w:rFonts w:ascii="Arial" w:cs="Arial" w:eastAsia="Arial" w:hAnsi="Arial"/>
          <w:sz w:val="18"/>
          <w:szCs w:val="18"/>
          <w:color w:val="auto"/>
        </w:rPr>
        <w:t>timing of orders placed by our principal customers who account for a significant portion of our revenues; and</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9"/>
        </w:numPr>
        <w:rPr>
          <w:rFonts w:ascii="Arial" w:cs="Arial" w:eastAsia="Arial" w:hAnsi="Arial"/>
          <w:sz w:val="18"/>
          <w:szCs w:val="18"/>
          <w:color w:val="auto"/>
        </w:rPr>
      </w:pPr>
      <w:r>
        <w:rPr>
          <w:rFonts w:ascii="Arial" w:cs="Arial" w:eastAsia="Arial" w:hAnsi="Arial"/>
          <w:sz w:val="18"/>
          <w:szCs w:val="18"/>
          <w:color w:val="auto"/>
        </w:rPr>
        <w:t>increased costs of raw materials or supplies.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If we are unable to protect our intellectual property and proprietary rights, our business could be harmed.</w:t>
      </w:r>
    </w:p>
    <w:p>
      <w:pPr>
        <w:spacing w:after="0" w:line="229" w:lineRule="exact"/>
        <w:rPr>
          <w:sz w:val="20"/>
          <w:szCs w:val="20"/>
          <w:color w:val="auto"/>
        </w:rPr>
      </w:pPr>
    </w:p>
    <w:p>
      <w:pPr>
        <w:ind w:right="80"/>
        <w:spacing w:after="0" w:line="257" w:lineRule="auto"/>
        <w:rPr>
          <w:sz w:val="20"/>
          <w:szCs w:val="20"/>
          <w:color w:val="auto"/>
        </w:rPr>
      </w:pPr>
      <w:r>
        <w:rPr>
          <w:rFonts w:ascii="Arial" w:cs="Arial" w:eastAsia="Arial" w:hAnsi="Arial"/>
          <w:sz w:val="18"/>
          <w:szCs w:val="18"/>
          <w:color w:val="auto"/>
        </w:rPr>
        <w:t>We rely on a combination of patents, licenses, trade secrets and know-how to establish and protect our rights to our technologies and products. As of January 1, 2016, we have 1,209 active patents filed. However, the steps we have taken and will take in the future to protect the intellectual property rights to our technologies and products may not be adequate to deter misappropriation of our intellectual property. In addition to seeking formal patent protection whenever possible, we attempt to protect our proprietary rights and trade secrets by entering into confidentiality and non-compete agreements with employees,</w:t>
      </w:r>
    </w:p>
    <w:p>
      <w:pPr>
        <w:sectPr>
          <w:pgSz w:w="11900" w:h="16838" w:orient="portrait"/>
          <w:cols w:equalWidth="0" w:num="1">
            <w:col w:w="11400"/>
          </w:cols>
          <w:pgMar w:left="240" w:top="904" w:right="259" w:bottom="1440" w:gutter="0" w:footer="0" w:header="0"/>
        </w:sectPr>
      </w:pPr>
    </w:p>
    <w:p>
      <w:pPr>
        <w:spacing w:after="0" w:line="323"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- 24 -</w:t>
      </w:r>
    </w:p>
    <w:p>
      <w:pPr>
        <w:sectPr>
          <w:pgSz w:w="11900" w:h="16838" w:orient="portrait"/>
          <w:cols w:equalWidth="0" w:num="1">
            <w:col w:w="11400"/>
          </w:cols>
          <w:pgMar w:left="240" w:top="904" w:right="259" w:bottom="1440" w:gutter="0" w:footer="0" w:header="0"/>
          <w:type w:val="continuous"/>
        </w:sectPr>
      </w:pPr>
    </w:p>
    <w:bookmarkStart w:id="25" w:name="page26"/>
    <w:bookmarkEnd w:id="25"/>
    <w:p>
      <w:pPr>
        <w:ind w:right="260"/>
        <w:spacing w:after="0" w:line="259" w:lineRule="auto"/>
        <w:rPr>
          <w:sz w:val="20"/>
          <w:szCs w:val="20"/>
          <w:color w:val="auto"/>
        </w:rPr>
      </w:pPr>
      <w:r>
        <w:rPr>
          <w:rFonts w:ascii="Arial" w:cs="Arial" w:eastAsia="Arial" w:hAnsi="Arial"/>
          <w:sz w:val="18"/>
          <w:szCs w:val="18"/>
          <w:color w:val="auto"/>
        </w:rPr>
        <w:t>consultants and third parties with which we do business. However, these agreements may be breached and, if breached, there may be no adequate remedy available to us and we may be unable to prevent the unauthorized disclosure or use of our technical knowledge, practices and/or procedures. If our trade secrets become known, we may lose our competitive advantages. Additionally, as patents and other intellectual property protection expire we may lose our competitive advantage.</w:t>
      </w:r>
    </w:p>
    <w:p>
      <w:pPr>
        <w:spacing w:after="0" w:line="187"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If third parties infringe or misappropriate our patents or other proprietary rights, our business could be seriously harmed. We may be required to spend significant resources to monitor our intellectual property rights, or we may not be able to detect infringement of these rights and may lose our competitive advantages associated with our intellectual property rights before we do so. In addition, competitors may design around our technology or develop competing technologies that do not infringe our proprietary rights.</w:t>
      </w:r>
    </w:p>
    <w:p>
      <w:pPr>
        <w:spacing w:after="0" w:line="183" w:lineRule="exact"/>
        <w:rPr>
          <w:sz w:val="20"/>
          <w:szCs w:val="20"/>
          <w:color w:val="auto"/>
        </w:rPr>
      </w:pPr>
    </w:p>
    <w:p>
      <w:pPr>
        <w:ind w:right="220"/>
        <w:spacing w:after="0" w:line="282" w:lineRule="auto"/>
        <w:rPr>
          <w:sz w:val="20"/>
          <w:szCs w:val="20"/>
          <w:color w:val="auto"/>
        </w:rPr>
      </w:pPr>
      <w:r>
        <w:rPr>
          <w:rFonts w:ascii="Arial" w:cs="Arial" w:eastAsia="Arial" w:hAnsi="Arial"/>
          <w:sz w:val="18"/>
          <w:szCs w:val="18"/>
          <w:b w:val="1"/>
          <w:bCs w:val="1"/>
          <w:color w:val="auto"/>
        </w:rPr>
        <w:t>We may be subject to intellectual property claims, which could be costly and time consuming and could divert our management from our business operations.</w:t>
      </w:r>
    </w:p>
    <w:p>
      <w:pPr>
        <w:spacing w:after="0" w:line="166" w:lineRule="exact"/>
        <w:rPr>
          <w:sz w:val="20"/>
          <w:szCs w:val="20"/>
          <w:color w:val="auto"/>
        </w:rPr>
      </w:pPr>
    </w:p>
    <w:p>
      <w:pPr>
        <w:ind w:right="60"/>
        <w:spacing w:after="0" w:line="255" w:lineRule="auto"/>
        <w:rPr>
          <w:sz w:val="20"/>
          <w:szCs w:val="20"/>
          <w:color w:val="auto"/>
        </w:rPr>
      </w:pPr>
      <w:r>
        <w:rPr>
          <w:rFonts w:ascii="Arial" w:cs="Arial" w:eastAsia="Arial" w:hAnsi="Arial"/>
          <w:sz w:val="18"/>
          <w:szCs w:val="18"/>
          <w:color w:val="auto"/>
        </w:rPr>
        <w:t>In producing our products, third parties may claim that we are infringing on their intellectual property rights, and we may be found to have infringed on those intellectual property rights. We may be unaware of intellectual property rights of others that may be used in our technology and products. In addition, third parties may claim that our patents have been improperly granted and may seek to invalidate our existing or future patents. If any claim for invalidation prevailed, third parties may manufacture and sell products that compete with our products and our revenues from any related license agreements would decrease accordingly. We also typically do not receive significant indemnification from parties that license technology to us against third party claims of intellectual property infringement.</w:t>
      </w:r>
    </w:p>
    <w:p>
      <w:pPr>
        <w:spacing w:after="0" w:line="193" w:lineRule="exact"/>
        <w:rPr>
          <w:sz w:val="20"/>
          <w:szCs w:val="20"/>
          <w:color w:val="auto"/>
        </w:rPr>
      </w:pPr>
    </w:p>
    <w:p>
      <w:pPr>
        <w:ind w:right="40"/>
        <w:spacing w:after="0" w:line="257" w:lineRule="auto"/>
        <w:rPr>
          <w:sz w:val="20"/>
          <w:szCs w:val="20"/>
          <w:color w:val="auto"/>
        </w:rPr>
      </w:pPr>
      <w:r>
        <w:rPr>
          <w:rFonts w:ascii="Arial" w:cs="Arial" w:eastAsia="Arial" w:hAnsi="Arial"/>
          <w:sz w:val="18"/>
          <w:szCs w:val="18"/>
          <w:color w:val="auto"/>
        </w:rPr>
        <w:t>Any litigation or other challenges regarding our patents or other intellectual property could be costly and time consuming and could divert the attention of our management and key personnel from our business operations. The complexity of the technology involved in producing our products, and the uncertainty of intellectual property litigation increases these risks. Claims of intellectual property infringement may also require us to enter into costly royalty or license agreements. However, we may not be able to obtain royalty or license agreements on terms acceptable to us, or at all. We also may be made subject to significant damages or injunctions against development and sale of our products.</w:t>
      </w:r>
    </w:p>
    <w:p>
      <w:pPr>
        <w:spacing w:after="0" w:line="184" w:lineRule="exact"/>
        <w:rPr>
          <w:sz w:val="20"/>
          <w:szCs w:val="20"/>
          <w:color w:val="auto"/>
        </w:rPr>
      </w:pPr>
    </w:p>
    <w:p>
      <w:pPr>
        <w:ind w:right="80"/>
        <w:spacing w:after="0" w:line="282" w:lineRule="auto"/>
        <w:rPr>
          <w:sz w:val="20"/>
          <w:szCs w:val="20"/>
          <w:color w:val="auto"/>
        </w:rPr>
      </w:pPr>
      <w:r>
        <w:rPr>
          <w:rFonts w:ascii="Arial" w:cs="Arial" w:eastAsia="Arial" w:hAnsi="Arial"/>
          <w:sz w:val="18"/>
          <w:szCs w:val="18"/>
          <w:b w:val="1"/>
          <w:bCs w:val="1"/>
          <w:color w:val="auto"/>
        </w:rPr>
        <w:t>Our failure to obtain licenses from third parties for new technologies or the loss of these licenses could impair our ability to design and manufacture new products and reduce our revenues.</w:t>
      </w:r>
    </w:p>
    <w:p>
      <w:pPr>
        <w:spacing w:after="0" w:line="166" w:lineRule="exact"/>
        <w:rPr>
          <w:sz w:val="20"/>
          <w:szCs w:val="20"/>
          <w:color w:val="auto"/>
        </w:rPr>
      </w:pPr>
    </w:p>
    <w:p>
      <w:pPr>
        <w:ind w:right="160"/>
        <w:spacing w:after="0" w:line="279" w:lineRule="auto"/>
        <w:rPr>
          <w:sz w:val="20"/>
          <w:szCs w:val="20"/>
          <w:color w:val="auto"/>
        </w:rPr>
      </w:pPr>
      <w:r>
        <w:rPr>
          <w:rFonts w:ascii="Arial" w:cs="Arial" w:eastAsia="Arial" w:hAnsi="Arial"/>
          <w:sz w:val="17"/>
          <w:szCs w:val="17"/>
          <w:color w:val="auto"/>
        </w:rPr>
        <w:t>We occasionally license technologies from third parties rather than depending exclusively on our own proprietary technology and developments. Our ability to license new technologies from third parties is and will continue to be critical to our ability to offer new and improved products. We may not be able to continue to identify new technologies developed by others and even if we are able to identify new technologies, we may not be able to negotiate licenses on favorable terms, or at all. Additionally, we could lose rights granted under licenses for reasons beyond our control.</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We may not be able to attract, train and retain a sufficient number of qualified employees to maintain and grow our business.</w:t>
      </w:r>
    </w:p>
    <w:p>
      <w:pPr>
        <w:spacing w:after="0" w:line="229" w:lineRule="exact"/>
        <w:rPr>
          <w:sz w:val="20"/>
          <w:szCs w:val="20"/>
          <w:color w:val="auto"/>
        </w:rPr>
      </w:pPr>
    </w:p>
    <w:p>
      <w:pPr>
        <w:ind w:right="140"/>
        <w:spacing w:after="0" w:line="273" w:lineRule="auto"/>
        <w:rPr>
          <w:sz w:val="20"/>
          <w:szCs w:val="20"/>
          <w:color w:val="auto"/>
        </w:rPr>
      </w:pPr>
      <w:r>
        <w:rPr>
          <w:rFonts w:ascii="Arial" w:cs="Arial" w:eastAsia="Arial" w:hAnsi="Arial"/>
          <w:sz w:val="17"/>
          <w:szCs w:val="17"/>
          <w:color w:val="auto"/>
        </w:rPr>
        <w:t>We monitor the markets in which we compete and assess opportunities to better align expenses with revenues, while preserving our ability to make needed investments in research and development projects, capital and our people that we believe are critical to our long-term success. Our success will depend in large part upon our ability to attract, train, retain and motivate highly skilled employees. There is currently aggressive competition for employees who have experience in technology and engineering. We compete intensely with other companies to recruit and hire from this limited pool. The industries in which we compete for employees are characterized by high levels of employee attrition. Although we believe we offer competitive salaries and benefits, we may have to increase spending in order to attract, train and retain qualified personnel.</w:t>
      </w:r>
    </w:p>
    <w:p>
      <w:pPr>
        <w:spacing w:after="0" w:line="17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We are dependent upon our senior management team and key technical personnel and the loss of any of them could significantly harm us.</w:t>
      </w:r>
    </w:p>
    <w:p>
      <w:pPr>
        <w:spacing w:after="0" w:line="241"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Our future performance depends to a significant degree upon the continued contributions of our senior management team and key technical personnel. Our products are highly technical in nature. In general, only highly qualified and trained scientists have the necessary skills to develop our products. The loss or unavailability to us of any member of our senior management team or a key technical employee could significantly harm us. We face intense competition for these professionals from our competitors, customers and companies operating in our industry. To the extent that the services of members of our senior management team and key technical personnel would be unavailable to us for any reason, we would be required to hire other personnel to manage and operate our Company and to develop our products and technology, which could negatively impact our business. We may not be able to locate or employ these qualified personnel on acceptable terms.</w:t>
      </w:r>
    </w:p>
    <w:p>
      <w:pPr>
        <w:spacing w:after="0" w:line="200" w:lineRule="exact"/>
        <w:rPr>
          <w:sz w:val="20"/>
          <w:szCs w:val="20"/>
          <w:color w:val="auto"/>
        </w:rPr>
      </w:pPr>
    </w:p>
    <w:p>
      <w:pPr>
        <w:spacing w:after="0" w:line="200" w:lineRule="exact"/>
        <w:rPr>
          <w:sz w:val="20"/>
          <w:szCs w:val="20"/>
          <w:color w:val="auto"/>
        </w:rPr>
      </w:pPr>
    </w:p>
    <w:p>
      <w:pPr>
        <w:spacing w:after="0" w:line="34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- 25 -</w:t>
      </w:r>
    </w:p>
    <w:p>
      <w:pPr>
        <w:sectPr>
          <w:pgSz w:w="11900" w:h="16838" w:orient="portrait"/>
          <w:cols w:equalWidth="0" w:num="1">
            <w:col w:w="11420"/>
          </w:cols>
          <w:pgMar w:left="240" w:top="908" w:right="239" w:bottom="1440" w:gutter="0" w:footer="0" w:header="0"/>
        </w:sectPr>
      </w:pPr>
    </w:p>
    <w:bookmarkStart w:id="26" w:name="page27"/>
    <w:bookmarkEnd w:id="26"/>
    <w:p>
      <w:pPr>
        <w:ind w:right="100"/>
        <w:spacing w:after="0" w:line="282" w:lineRule="auto"/>
        <w:rPr>
          <w:sz w:val="20"/>
          <w:szCs w:val="20"/>
          <w:color w:val="auto"/>
        </w:rPr>
      </w:pPr>
      <w:r>
        <w:rPr>
          <w:rFonts w:ascii="Arial" w:cs="Arial" w:eastAsia="Arial" w:hAnsi="Arial"/>
          <w:sz w:val="18"/>
          <w:szCs w:val="18"/>
          <w:b w:val="1"/>
          <w:bCs w:val="1"/>
          <w:color w:val="auto"/>
        </w:rPr>
        <w:t>We may not realize the expected benefits from our cost savings and consolidation initiatives or those initiatives may have unintended consequences, which may harm our business.</w:t>
      </w:r>
    </w:p>
    <w:p>
      <w:pPr>
        <w:spacing w:after="0" w:line="166" w:lineRule="exact"/>
        <w:rPr>
          <w:sz w:val="20"/>
          <w:szCs w:val="20"/>
          <w:color w:val="auto"/>
        </w:rPr>
      </w:pPr>
    </w:p>
    <w:p>
      <w:pPr>
        <w:ind w:right="120"/>
        <w:spacing w:after="0" w:line="288" w:lineRule="auto"/>
        <w:rPr>
          <w:sz w:val="20"/>
          <w:szCs w:val="20"/>
          <w:color w:val="auto"/>
        </w:rPr>
      </w:pPr>
      <w:r>
        <w:rPr>
          <w:rFonts w:ascii="Arial" w:cs="Arial" w:eastAsia="Arial" w:hAnsi="Arial"/>
          <w:sz w:val="16"/>
          <w:szCs w:val="16"/>
          <w:color w:val="auto"/>
        </w:rPr>
        <w:t>We have incurred significant charges related to various cost savings and consolidation initiatives. These initiatives were undertaken to improve our operational effectiveness, efficiencies and profitability. Information regarding some of these initiatives is discussed in Note 13 “Other Operating Expenses, Net” of the Notes to Consolidated Financial Statements contained in Item 8 of this report. Cost reduction efforts under these initiatives include various cost and efficiency improvement measures, such as headcount reductions, the relocation of resources and administrative and functional activities, the closure of facilities, the transfer of production lines, the sale of non-strategic assets and other efforts to streamline our business, among other actions. These measures could yield unintended consequences, such as distraction of our management and employees, business disruption, disputes with customers, attrition beyond our planned reduction in workforce and reduced employee productivity. If any of these unintended consequences were to occur, they could negatively affect our business, financial condition and results of operations. In addition, headcount reductions and customer disputes may subject us to the risk of litigation, which could result in substantial cost. Moreover, our cost reduction efforts result in charges and expenses that impact our operating results. Our cost savings and consolidation initiatives, or other expense reduction measures we take in the future, may not result in the expected cost savings.</w:t>
      </w:r>
    </w:p>
    <w:p>
      <w:pPr>
        <w:spacing w:after="0" w:line="165" w:lineRule="exact"/>
        <w:rPr>
          <w:sz w:val="20"/>
          <w:szCs w:val="20"/>
          <w:color w:val="auto"/>
        </w:rPr>
      </w:pPr>
    </w:p>
    <w:p>
      <w:pPr>
        <w:ind w:right="220"/>
        <w:spacing w:after="0" w:line="266" w:lineRule="auto"/>
        <w:rPr>
          <w:sz w:val="20"/>
          <w:szCs w:val="20"/>
          <w:color w:val="auto"/>
        </w:rPr>
      </w:pPr>
      <w:r>
        <w:rPr>
          <w:rFonts w:ascii="Arial" w:cs="Arial" w:eastAsia="Arial" w:hAnsi="Arial"/>
          <w:sz w:val="18"/>
          <w:szCs w:val="18"/>
          <w:b w:val="1"/>
          <w:bCs w:val="1"/>
          <w:color w:val="auto"/>
        </w:rPr>
        <w:t>Successful integration of Lake Region Medical and anticipated benefits of the Lake Region Medical acquisition cannot be assured and integration matters could divert attention of management away from operations. The Lake Region Medical acquisition could have an adverse effect on our business relationships.</w:t>
      </w:r>
    </w:p>
    <w:p>
      <w:pPr>
        <w:spacing w:after="0" w:line="180"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There can be no assurance that Lake Region Medical will be able to maintain and grow its business and operations. In addition, the market segments in which Lake Region Medical operates may experience declines in customer demand and/or the entrance of new competitors. Customers, suppliers and other third parties with business relationships with us or Lake Region Medical may decide not to renew or may decide to seek to terminate, change or renegotiate their relationships with us and/or Lake Region Medical as a result of the Lake Region Medical acquisition, whether pursuant to the terms of their existing agreements with us, Lake Region Medical or otherwise.</w:t>
      </w:r>
    </w:p>
    <w:p>
      <w:pPr>
        <w:spacing w:after="0" w:line="188" w:lineRule="exact"/>
        <w:rPr>
          <w:sz w:val="20"/>
          <w:szCs w:val="20"/>
          <w:color w:val="auto"/>
        </w:rPr>
      </w:pPr>
    </w:p>
    <w:p>
      <w:pPr>
        <w:ind w:right="60"/>
        <w:spacing w:after="0" w:line="257" w:lineRule="auto"/>
        <w:rPr>
          <w:sz w:val="20"/>
          <w:szCs w:val="20"/>
          <w:color w:val="auto"/>
        </w:rPr>
      </w:pPr>
      <w:r>
        <w:rPr>
          <w:rFonts w:ascii="Arial" w:cs="Arial" w:eastAsia="Arial" w:hAnsi="Arial"/>
          <w:sz w:val="18"/>
          <w:szCs w:val="18"/>
          <w:color w:val="auto"/>
        </w:rPr>
        <w:t>Our ability to realize the anticipated benefits of the Lake Region Medical acquisition will depend, to a large extent, on our ability to integrate the legacy businesses. Integrating and coordinating aspects of the operations and personnel of Lake Region Medical with ours involves complex operational, technological and personnel-related challenges. This process is time-consuming and expensive, disrupts the businesses of both companies and may not result in the full benefits expected by us, including cost synergies expected to arise from supply chain efficiencies and overlapping general and administrative functions.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color w:val="auto"/>
        </w:rPr>
        <w:t>The potential difficulties, and resulting costs and delays, include:</w:t>
      </w:r>
    </w:p>
    <w:p>
      <w:pPr>
        <w:spacing w:after="0" w:line="225" w:lineRule="exact"/>
        <w:rPr>
          <w:sz w:val="20"/>
          <w:szCs w:val="20"/>
          <w:color w:val="auto"/>
        </w:rPr>
      </w:pPr>
    </w:p>
    <w:p>
      <w:pPr>
        <w:ind w:left="340" w:hanging="332"/>
        <w:spacing w:after="0"/>
        <w:tabs>
          <w:tab w:leader="none" w:pos="3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managing a larger combined company;</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consolidating corporate and administrative infrastructures;</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issues in integrating manufacturing, warehouse and distribution facilities, research and development and sales forces;</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difficulties attracting and retaining key personnel;</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loss of customers and suppliers and inability to attract new customers and suppliers;</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unanticipated issues in integrating information technology, communications and other systems;</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incompatibility of purchasing, logistics, marketing, administration and other systems and processes; and</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unforeseen and unexpected liabilities related to the acquisition or Lake Region Medical’s business.</w:t>
      </w:r>
    </w:p>
    <w:p>
      <w:pPr>
        <w:spacing w:after="0" w:line="225" w:lineRule="exact"/>
        <w:rPr>
          <w:sz w:val="20"/>
          <w:szCs w:val="20"/>
          <w:color w:val="auto"/>
        </w:rPr>
      </w:pPr>
    </w:p>
    <w:p>
      <w:pPr>
        <w:ind w:right="120"/>
        <w:spacing w:after="0" w:line="276" w:lineRule="auto"/>
        <w:rPr>
          <w:sz w:val="20"/>
          <w:szCs w:val="20"/>
          <w:color w:val="auto"/>
        </w:rPr>
      </w:pPr>
      <w:r>
        <w:rPr>
          <w:rFonts w:ascii="Arial" w:cs="Arial" w:eastAsia="Arial" w:hAnsi="Arial"/>
          <w:sz w:val="17"/>
          <w:szCs w:val="17"/>
          <w:color w:val="auto"/>
        </w:rPr>
        <w:t>Additionally, the integration of our and Lake Region Medical’s operations, products and personnel may place a significant burden on management and other internal resources. The attention of our management may be directed towards integration considerations and may be diverted from our day-to-day business operations, and matters related to the integration may require commitments of time and resources that could otherwise have been devoted to other opportunities that might have been beneficial to us and our business. The diversion of management’s attention, and any difficulties encountered in the transition and integration process, could harm our business, financial condition and operating results.</w:t>
      </w:r>
    </w:p>
    <w:p>
      <w:pPr>
        <w:spacing w:after="0" w:line="173" w:lineRule="exact"/>
        <w:rPr>
          <w:sz w:val="20"/>
          <w:szCs w:val="20"/>
          <w:color w:val="auto"/>
        </w:rPr>
      </w:pPr>
    </w:p>
    <w:p>
      <w:pPr>
        <w:ind w:right="240"/>
        <w:spacing w:after="0" w:line="297" w:lineRule="auto"/>
        <w:rPr>
          <w:sz w:val="20"/>
          <w:szCs w:val="20"/>
          <w:color w:val="auto"/>
        </w:rPr>
      </w:pPr>
      <w:r>
        <w:rPr>
          <w:rFonts w:ascii="Arial" w:cs="Arial" w:eastAsia="Arial" w:hAnsi="Arial"/>
          <w:sz w:val="16"/>
          <w:szCs w:val="16"/>
          <w:color w:val="auto"/>
        </w:rPr>
        <w:t>Even if our businesses are successfully integrated, we may not realize the full benefits of the Lake Region Medical acquisition, including anticipated synergies, cost savings or growth opportunities, within the expected timeframe or at all. In addition, we expect to incur significant integration and restructuring expenses to realize synergies. However, many of the expenses that will be incurred are, by their nature, difficult to estimate accurately. These expenses could, particularly in the near term, exceed the savings that we expect to achieve from elimination of duplicative expenses and the realization of economies of scale and cost savings. Although we expect that the realization of efficiencies related to the integration of the businesses may offset</w:t>
      </w:r>
    </w:p>
    <w:p>
      <w:pPr>
        <w:sectPr>
          <w:pgSz w:w="11900" w:h="16838" w:orient="portrait"/>
          <w:cols w:equalWidth="0" w:num="1">
            <w:col w:w="11380"/>
          </w:cols>
          <w:pgMar w:left="240" w:top="904" w:right="279" w:bottom="1440" w:gutter="0" w:footer="0" w:header="0"/>
        </w:sectPr>
      </w:pPr>
    </w:p>
    <w:p>
      <w:pPr>
        <w:spacing w:after="0" w:line="293" w:lineRule="exact"/>
        <w:rPr>
          <w:sz w:val="20"/>
          <w:szCs w:val="20"/>
          <w:color w:val="auto"/>
        </w:rPr>
      </w:pPr>
    </w:p>
    <w:p>
      <w:pPr>
        <w:jc w:val="center"/>
        <w:ind w:right="-39"/>
        <w:spacing w:after="0"/>
        <w:rPr>
          <w:sz w:val="20"/>
          <w:szCs w:val="20"/>
          <w:color w:val="auto"/>
        </w:rPr>
      </w:pPr>
      <w:r>
        <w:rPr>
          <w:rFonts w:ascii="Arial" w:cs="Arial" w:eastAsia="Arial" w:hAnsi="Arial"/>
          <w:sz w:val="16"/>
          <w:szCs w:val="16"/>
          <w:color w:val="auto"/>
        </w:rPr>
        <w:t>- 26 -</w:t>
      </w:r>
    </w:p>
    <w:p>
      <w:pPr>
        <w:sectPr>
          <w:pgSz w:w="11900" w:h="16838" w:orient="portrait"/>
          <w:cols w:equalWidth="0" w:num="1">
            <w:col w:w="11380"/>
          </w:cols>
          <w:pgMar w:left="240" w:top="904" w:right="279" w:bottom="1440" w:gutter="0" w:footer="0" w:header="0"/>
          <w:type w:val="continuous"/>
        </w:sectPr>
      </w:pPr>
    </w:p>
    <w:bookmarkStart w:id="27" w:name="page28"/>
    <w:bookmarkEnd w:id="27"/>
    <w:p>
      <w:pPr>
        <w:ind w:right="200"/>
        <w:spacing w:after="0" w:line="277" w:lineRule="auto"/>
        <w:rPr>
          <w:sz w:val="20"/>
          <w:szCs w:val="20"/>
          <w:color w:val="auto"/>
        </w:rPr>
      </w:pPr>
      <w:r>
        <w:rPr>
          <w:rFonts w:ascii="Arial" w:cs="Arial" w:eastAsia="Arial" w:hAnsi="Arial"/>
          <w:sz w:val="18"/>
          <w:szCs w:val="18"/>
          <w:color w:val="auto"/>
        </w:rPr>
        <w:t>incremental transaction, acquisition-related and restructuring costs over time, we cannot give any assurance that this net benefit will be achieved in the near term, or at all.</w:t>
      </w:r>
    </w:p>
    <w:p>
      <w:pPr>
        <w:spacing w:after="0" w:line="170" w:lineRule="exact"/>
        <w:rPr>
          <w:sz w:val="20"/>
          <w:szCs w:val="20"/>
          <w:color w:val="auto"/>
        </w:rPr>
      </w:pPr>
    </w:p>
    <w:p>
      <w:pPr>
        <w:spacing w:after="0"/>
        <w:rPr>
          <w:sz w:val="20"/>
          <w:szCs w:val="20"/>
          <w:color w:val="auto"/>
        </w:rPr>
      </w:pPr>
      <w:r>
        <w:rPr>
          <w:rFonts w:ascii="Arial" w:cs="Arial" w:eastAsia="Arial" w:hAnsi="Arial"/>
          <w:sz w:val="17"/>
          <w:szCs w:val="17"/>
          <w:color w:val="auto"/>
        </w:rPr>
        <w:t>Any of the matters described above could adversely affect our business or harm our financial condition, results of operations or business prospects.</w:t>
      </w:r>
    </w:p>
    <w:p>
      <w:pPr>
        <w:spacing w:after="0" w:line="233" w:lineRule="exact"/>
        <w:rPr>
          <w:sz w:val="20"/>
          <w:szCs w:val="20"/>
          <w:color w:val="auto"/>
        </w:rPr>
      </w:pPr>
    </w:p>
    <w:p>
      <w:pPr>
        <w:ind w:right="60"/>
        <w:spacing w:after="0" w:line="282" w:lineRule="auto"/>
        <w:rPr>
          <w:sz w:val="20"/>
          <w:szCs w:val="20"/>
          <w:color w:val="auto"/>
        </w:rPr>
      </w:pPr>
      <w:r>
        <w:rPr>
          <w:rFonts w:ascii="Arial" w:cs="Arial" w:eastAsia="Arial" w:hAnsi="Arial"/>
          <w:sz w:val="18"/>
          <w:szCs w:val="18"/>
          <w:b w:val="1"/>
          <w:bCs w:val="1"/>
          <w:color w:val="auto"/>
        </w:rPr>
        <w:t>We incurred substantial additional indebtedness in connection with the Lake Region Medical acquisition and may not be able to meet all of our debt obligations.</w:t>
      </w:r>
    </w:p>
    <w:p>
      <w:pPr>
        <w:spacing w:after="0" w:line="166"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We incurred substantial additional indebtedness in connection with the Lake Region Medical acquisition. At January 1, 2016, our total indebtedness was $1.7 billion as compared to $187 million at January 2, 2015. We funded the cash portion of the Lake Region Medical acquisition consideration, the pay-off of certain outstanding indebtedness of ours and of Lake Region Medical and the payment of transaction-related expenses through a combination of available cash-on-hand and proceeds from debt financings, which financings consisted of the issuance of $360 million of 9.125% senior notes due 2023 and borrowings of $1.4 billion under our Senior Secured Credit Facility. As of January 1, 2016, our debt service obligations, comprised of principal and interest, during the following 12 months are estimated to be approximately $130 million. As a result of the increase in our outstanding indebtedness, demands on our cash resources have increased. The increased amount of outstanding indebtedness could, among other things:</w:t>
      </w:r>
    </w:p>
    <w:p>
      <w:pPr>
        <w:spacing w:after="0" w:line="178" w:lineRule="exact"/>
        <w:rPr>
          <w:sz w:val="20"/>
          <w:szCs w:val="20"/>
          <w:color w:val="auto"/>
        </w:rPr>
      </w:pPr>
    </w:p>
    <w:p>
      <w:pPr>
        <w:ind w:left="340" w:right="140" w:hanging="332"/>
        <w:spacing w:after="0" w:line="342" w:lineRule="auto"/>
        <w:tabs>
          <w:tab w:leader="none" w:pos="340" w:val="left"/>
        </w:tabs>
        <w:numPr>
          <w:ilvl w:val="0"/>
          <w:numId w:val="11"/>
        </w:numPr>
        <w:rPr>
          <w:rFonts w:ascii="Arial" w:cs="Arial" w:eastAsia="Arial" w:hAnsi="Arial"/>
          <w:sz w:val="16"/>
          <w:szCs w:val="16"/>
          <w:color w:val="auto"/>
        </w:rPr>
      </w:pPr>
      <w:r>
        <w:rPr>
          <w:rFonts w:ascii="Arial" w:cs="Arial" w:eastAsia="Arial" w:hAnsi="Arial"/>
          <w:sz w:val="16"/>
          <w:szCs w:val="16"/>
          <w:color w:val="auto"/>
        </w:rPr>
        <w:t>require us to dedicate a large portion of our cash flow from operations to the servicing and repayment of our outstanding indebtedness, thereby reducing funds available for working capital, capital expenditures, research and development expenditures and other general corporate requirements;</w:t>
      </w:r>
    </w:p>
    <w:p>
      <w:pPr>
        <w:spacing w:after="0" w:line="123" w:lineRule="exact"/>
        <w:rPr>
          <w:rFonts w:ascii="Arial" w:cs="Arial" w:eastAsia="Arial" w:hAnsi="Arial"/>
          <w:sz w:val="16"/>
          <w:szCs w:val="16"/>
          <w:color w:val="auto"/>
        </w:rPr>
      </w:pPr>
    </w:p>
    <w:p>
      <w:pPr>
        <w:ind w:left="340" w:right="400" w:hanging="332"/>
        <w:spacing w:after="0" w:line="277" w:lineRule="auto"/>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limit our ability to obtain additional financing to fund future working capital, capital expenditures, research and development expenditures and other general corporate requirements in the future;</w:t>
      </w:r>
    </w:p>
    <w:p>
      <w:pPr>
        <w:spacing w:after="0" w:line="170" w:lineRule="exact"/>
        <w:rPr>
          <w:rFonts w:ascii="Arial" w:cs="Arial" w:eastAsia="Arial" w:hAnsi="Arial"/>
          <w:sz w:val="18"/>
          <w:szCs w:val="18"/>
          <w:color w:val="auto"/>
        </w:rPr>
      </w:pPr>
    </w:p>
    <w:p>
      <w:pPr>
        <w:ind w:left="340" w:hanging="332"/>
        <w:spacing w:after="0"/>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limit our flexibility in planning for, or reacting to, changes in our business and the industry in which we operate;</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restrict our ability to make strategic acquisitions or dispositions or to exploit business opportunities;</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place us at a competitive disadvantage compared to our competitors that have less outstanding indebtedness; and</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adversely affect the market price of our common stock.</w:t>
      </w:r>
    </w:p>
    <w:p>
      <w:pPr>
        <w:spacing w:after="0" w:line="221" w:lineRule="exact"/>
        <w:rPr>
          <w:sz w:val="20"/>
          <w:szCs w:val="20"/>
          <w:color w:val="auto"/>
        </w:rPr>
      </w:pPr>
    </w:p>
    <w:p>
      <w:pPr>
        <w:spacing w:after="0" w:line="282" w:lineRule="auto"/>
        <w:rPr>
          <w:sz w:val="20"/>
          <w:szCs w:val="20"/>
          <w:color w:val="auto"/>
        </w:rPr>
      </w:pPr>
      <w:r>
        <w:rPr>
          <w:rFonts w:ascii="Arial" w:cs="Arial" w:eastAsia="Arial" w:hAnsi="Arial"/>
          <w:sz w:val="18"/>
          <w:szCs w:val="18"/>
          <w:b w:val="1"/>
          <w:bCs w:val="1"/>
          <w:color w:val="auto"/>
        </w:rPr>
        <w:t>We incurred substantial expenses related to the acquisition of Lake Region Medical and expect to continue to incur substantial expenses related to its integration.</w:t>
      </w:r>
    </w:p>
    <w:p>
      <w:pPr>
        <w:spacing w:after="0" w:line="166" w:lineRule="exact"/>
        <w:rPr>
          <w:sz w:val="20"/>
          <w:szCs w:val="20"/>
          <w:color w:val="auto"/>
        </w:rPr>
      </w:pPr>
    </w:p>
    <w:p>
      <w:pPr>
        <w:ind w:right="40"/>
        <w:spacing w:after="0" w:line="289" w:lineRule="auto"/>
        <w:rPr>
          <w:sz w:val="20"/>
          <w:szCs w:val="20"/>
          <w:color w:val="auto"/>
        </w:rPr>
      </w:pPr>
      <w:r>
        <w:rPr>
          <w:rFonts w:ascii="Arial" w:cs="Arial" w:eastAsia="Arial" w:hAnsi="Arial"/>
          <w:sz w:val="16"/>
          <w:szCs w:val="16"/>
          <w:color w:val="auto"/>
        </w:rPr>
        <w:t>We have incurred substantial expenses in connection with the acquisition of Lake Region Medical and expect to continue to incur substantial expenses in connection with its integration. Specifically, we incurred approximately $32 million of transaction and integration costs related to the acquisition of Lake Region Medical during 2015. In addition, we have estimated the amount of investment necessary to achieve the projected annual pre-tax operating synergies from the acquisition of Lake Region Medical (which synergies are projected to be $25 million in 2016 and increase to at least $60 million in 2018), to be $69 million, which consists of $22 million in capital expenditures and $47 million of operating expenses, during the three-year period after the completion of the acquisition. However, many of the expenses that will be incurred are, by their nature, difficult to estimate accurately. These expenses could, particularly in the near term, exceed the savings that we expect to achieve from elimination of duplicative expenses and the realization of economies of scale and cost savings. Although we expect that the realization of efficiencies related to the integration of Lake Region Medical’s business will offset incremental transaction, acquisition-related and restructuring costs over time, this net benefit may not be achieved in the near term, or at all.</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If we are not successful in making acquisitions to expand and develop our business, our operating results may suffer.</w:t>
      </w:r>
    </w:p>
    <w:p>
      <w:pPr>
        <w:spacing w:after="0" w:line="229"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One facet of our growth strategy is to make acquisitions that complement our core competencies in technology and manufacturing to enable us to manufacture and sell additional products to our existing customers and to expand our business into related markets. Our continued growth may depend on our ability to identify and acquire companies that complement or enhance our business on acceptable terms. We may not be able to identify or complete future acquisitions. In addition, even if we are able to identify future acquisitions, we may not be able to effect such acquisitions under the terms of the indenture governing our 9.125% senior notes due 2023 or our Senior Secured Credit Facility. Some of the risks that we may encounter include expenses associated with and difficulties in identifying potential targets, the costs associated with unsuccessful acquisitions, and higher prices for acquired companies because of competition for attractive acquisition targets.</w:t>
      </w:r>
    </w:p>
    <w:p>
      <w:pPr>
        <w:spacing w:after="0" w:line="185" w:lineRule="exact"/>
        <w:rPr>
          <w:sz w:val="20"/>
          <w:szCs w:val="20"/>
          <w:color w:val="auto"/>
        </w:rPr>
      </w:pPr>
    </w:p>
    <w:p>
      <w:pPr>
        <w:ind w:right="460"/>
        <w:spacing w:after="0" w:line="282" w:lineRule="auto"/>
        <w:rPr>
          <w:sz w:val="20"/>
          <w:szCs w:val="20"/>
          <w:color w:val="auto"/>
        </w:rPr>
      </w:pPr>
      <w:r>
        <w:rPr>
          <w:rFonts w:ascii="Arial" w:cs="Arial" w:eastAsia="Arial" w:hAnsi="Arial"/>
          <w:sz w:val="18"/>
          <w:szCs w:val="18"/>
          <w:b w:val="1"/>
          <w:bCs w:val="1"/>
          <w:color w:val="auto"/>
        </w:rPr>
        <w:t>Lake Region Medical was previously a private company and has not been required to comply with the Sarbanes-Oxley Act of 2002 (“Sarbanes-Oxley”).</w:t>
      </w:r>
    </w:p>
    <w:p>
      <w:pPr>
        <w:spacing w:after="0" w:line="166" w:lineRule="exact"/>
        <w:rPr>
          <w:sz w:val="20"/>
          <w:szCs w:val="20"/>
          <w:color w:val="auto"/>
        </w:rPr>
      </w:pPr>
    </w:p>
    <w:p>
      <w:pPr>
        <w:ind w:right="40"/>
        <w:spacing w:after="0" w:line="264" w:lineRule="auto"/>
        <w:rPr>
          <w:sz w:val="20"/>
          <w:szCs w:val="20"/>
          <w:color w:val="auto"/>
        </w:rPr>
      </w:pPr>
      <w:r>
        <w:rPr>
          <w:rFonts w:ascii="Arial" w:cs="Arial" w:eastAsia="Arial" w:hAnsi="Arial"/>
          <w:sz w:val="18"/>
          <w:szCs w:val="18"/>
          <w:color w:val="auto"/>
        </w:rPr>
        <w:t>Sarbanes-Oxley requires public companies to have and maintain effective internal control over financial reporting to provide reasonable assurance regarding the reliability of financial reporting and preparation of financial statements and to have management report on the effectiveness of those controls on an annual basis (and have its independent public accountants attest</w:t>
      </w:r>
    </w:p>
    <w:p>
      <w:pPr>
        <w:sectPr>
          <w:pgSz w:w="11900" w:h="16838" w:orient="portrait"/>
          <w:cols w:equalWidth="0" w:num="1">
            <w:col w:w="11420"/>
          </w:cols>
          <w:pgMar w:left="240" w:top="908" w:right="239" w:bottom="1440" w:gutter="0" w:footer="0" w:header="0"/>
        </w:sectPr>
      </w:pPr>
    </w:p>
    <w:p>
      <w:pPr>
        <w:spacing w:after="0" w:line="31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- 27 -</w:t>
      </w:r>
    </w:p>
    <w:p>
      <w:pPr>
        <w:sectPr>
          <w:pgSz w:w="11900" w:h="16838" w:orient="portrait"/>
          <w:cols w:equalWidth="0" w:num="1">
            <w:col w:w="11420"/>
          </w:cols>
          <w:pgMar w:left="240" w:top="908" w:right="239" w:bottom="1440" w:gutter="0" w:footer="0" w:header="0"/>
          <w:type w:val="continuous"/>
        </w:sectPr>
      </w:pPr>
    </w:p>
    <w:bookmarkStart w:id="28" w:name="page29"/>
    <w:bookmarkEnd w:id="28"/>
    <w:p>
      <w:pPr>
        <w:ind w:right="380"/>
        <w:spacing w:after="0" w:line="277" w:lineRule="auto"/>
        <w:rPr>
          <w:sz w:val="20"/>
          <w:szCs w:val="20"/>
          <w:color w:val="auto"/>
        </w:rPr>
      </w:pPr>
      <w:r>
        <w:rPr>
          <w:rFonts w:ascii="Arial" w:cs="Arial" w:eastAsia="Arial" w:hAnsi="Arial"/>
          <w:sz w:val="18"/>
          <w:szCs w:val="18"/>
          <w:color w:val="auto"/>
        </w:rPr>
        <w:t>annually to the effectiveness of such internal controls). As a private company, Lake Region Medical was not required to comply with the requirements of Sarbanes-Oxley.</w:t>
      </w:r>
    </w:p>
    <w:p>
      <w:pPr>
        <w:spacing w:after="0" w:line="170"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In connection with the completion of the Lake Region Medical acquisition, we are beginning to apply our Sarbanes-Oxley procedures regarding internal controls over financial reporting with respect to Lake Region Medical. This process will require a significant amount of time from our management and other personnel and will require us to expend a significant amount of financial resources, which is likely to increase our compliance costs. We will be required to assess Lake Region Medical’s internal controls over financial reporting at the end of 2016.</w:t>
      </w:r>
    </w:p>
    <w:p>
      <w:pPr>
        <w:spacing w:after="0" w:line="75" w:lineRule="exact"/>
        <w:rPr>
          <w:sz w:val="20"/>
          <w:szCs w:val="20"/>
          <w:color w:val="auto"/>
        </w:rPr>
      </w:pPr>
    </w:p>
    <w:p>
      <w:pPr>
        <w:ind w:right="40"/>
        <w:spacing w:after="0" w:line="282" w:lineRule="auto"/>
        <w:rPr>
          <w:sz w:val="20"/>
          <w:szCs w:val="20"/>
          <w:color w:val="auto"/>
        </w:rPr>
      </w:pPr>
      <w:r>
        <w:rPr>
          <w:rFonts w:ascii="Arial" w:cs="Arial" w:eastAsia="Arial" w:hAnsi="Arial"/>
          <w:sz w:val="18"/>
          <w:szCs w:val="18"/>
          <w:b w:val="1"/>
          <w:bCs w:val="1"/>
          <w:color w:val="auto"/>
        </w:rPr>
        <w:t>The Spin-off of Nuvectra may not be completed in accordance with the expected plans or anticipated timeline and, if completed, may not achieve the intended results.</w:t>
      </w:r>
    </w:p>
    <w:p>
      <w:pPr>
        <w:spacing w:after="0" w:line="166" w:lineRule="exact"/>
        <w:rPr>
          <w:sz w:val="20"/>
          <w:szCs w:val="20"/>
          <w:color w:val="auto"/>
        </w:rPr>
      </w:pPr>
    </w:p>
    <w:p>
      <w:pPr>
        <w:spacing w:after="0" w:line="269" w:lineRule="auto"/>
        <w:rPr>
          <w:sz w:val="20"/>
          <w:szCs w:val="20"/>
          <w:color w:val="auto"/>
        </w:rPr>
      </w:pPr>
      <w:r>
        <w:rPr>
          <w:rFonts w:ascii="Arial" w:cs="Arial" w:eastAsia="Arial" w:hAnsi="Arial"/>
          <w:sz w:val="17"/>
          <w:szCs w:val="17"/>
          <w:color w:val="auto"/>
        </w:rPr>
        <w:t>On July 30, 2015, Greatbatch announced the Spin-off of a portion of its QiG reporting segment through a tax-free distribution of Nuvectra to the stockholders of Greatbatch on a pro rata basis. In February 2016, the Board of Directors of Greatbatch approved the Spin-off with a distribution ratio whereby Greatbatch stockholders will receive one share of Nuvectra common stock for every three shares of Greatbatch common stock held. The Spin-off is expected to be completed in March 2016, however, we could be delayed or prevented from completing the Spin-off, or be forced to complete it on terms or conditions that are less favorable or different than currently expected, for a variety of reasons, including unanticipated developments, such as uncertainty of the financial markets, or other legal or regulatory developments. Therefore, we cannot assure you that we will be able to complete the Spin-off under the expected plans or anticipated timeline, if at all. Even if the Spin-off is completed, we may not be able to realize some or all of the anticipated benefits from the Spin-off. Moreover, following the completion of the Spin-off, the combined value of the common stock of the two publicly-traded companies may not be equal to or greater than what the value of the Greatbatch common stock would have been had the Spin-off not occurred. In addition, we have spent, and, prior to completion of the Spin-off, we expect to continue to spend substantial time, money and effort on completing the Spin-off, without any assurance that it will be completed. Our investments in the Spin-off, in terms of financial and management resources, may limit our ability to pursue other business opportunities and distract us from operating our businesses as currently conducted.</w:t>
      </w:r>
    </w:p>
    <w:p>
      <w:pPr>
        <w:spacing w:after="0" w:line="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Interruptions of our manufacturing operations could delay production and affect our operations.</w:t>
      </w:r>
    </w:p>
    <w:p>
      <w:pPr>
        <w:spacing w:after="0" w:line="229"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Our products are designed and manufactured in facilities located around the world. In most cases, the manufacturing of specific product lines is concentrated in one or a few locations. Our business involves complex manufacturing processes and hazardous materials that can be dangerous to our employees. Although we employ safety procedures in the design and operation of our facilities, there is a risk that an accident or death could occur. Any accident, such as a chemical spill or fire, could result in significant manufacturing delays or claims for damages resulting from injuries, which would harm our operations and financial condition. The potential liability resulting from any such accident or death, to the extent not covered by insurance, could harm our financial condition or operating results. Any disruption of operations at any of our facilities, and in particular our larger facilities, could result in production delays, which could affect our operations and harm our business.</w:t>
      </w:r>
    </w:p>
    <w:p>
      <w:pPr>
        <w:spacing w:after="0" w:line="185" w:lineRule="exact"/>
        <w:rPr>
          <w:sz w:val="20"/>
          <w:szCs w:val="20"/>
          <w:color w:val="auto"/>
        </w:rPr>
      </w:pPr>
    </w:p>
    <w:p>
      <w:pPr>
        <w:ind w:right="720"/>
        <w:spacing w:after="0" w:line="282" w:lineRule="auto"/>
        <w:rPr>
          <w:sz w:val="20"/>
          <w:szCs w:val="20"/>
          <w:color w:val="auto"/>
        </w:rPr>
      </w:pPr>
      <w:r>
        <w:rPr>
          <w:rFonts w:ascii="Arial" w:cs="Arial" w:eastAsia="Arial" w:hAnsi="Arial"/>
          <w:sz w:val="18"/>
          <w:szCs w:val="18"/>
          <w:b w:val="1"/>
          <w:bCs w:val="1"/>
          <w:color w:val="auto"/>
        </w:rPr>
        <w:t>Our international sales and operations are subject to a variety of market and financial risks and costs that could affect our profitability and operating results.</w:t>
      </w:r>
    </w:p>
    <w:p>
      <w:pPr>
        <w:spacing w:after="0" w:line="166" w:lineRule="exact"/>
        <w:rPr>
          <w:sz w:val="20"/>
          <w:szCs w:val="20"/>
          <w:color w:val="auto"/>
        </w:rPr>
      </w:pPr>
    </w:p>
    <w:p>
      <w:pPr>
        <w:ind w:right="500"/>
        <w:spacing w:after="0" w:line="277" w:lineRule="auto"/>
        <w:rPr>
          <w:sz w:val="20"/>
          <w:szCs w:val="20"/>
          <w:color w:val="auto"/>
        </w:rPr>
      </w:pPr>
      <w:r>
        <w:rPr>
          <w:rFonts w:ascii="Arial" w:cs="Arial" w:eastAsia="Arial" w:hAnsi="Arial"/>
          <w:sz w:val="18"/>
          <w:szCs w:val="18"/>
          <w:color w:val="auto"/>
        </w:rPr>
        <w:t>Our sales outside the U.S., which accounted for 50% of sales for 2015, and our operations in Europe, Asia, and Central and South America are and will continue to be subject to a number of risks and potential costs, including:</w:t>
      </w:r>
    </w:p>
    <w:p>
      <w:pPr>
        <w:spacing w:after="0" w:line="170" w:lineRule="exact"/>
        <w:rPr>
          <w:sz w:val="20"/>
          <w:szCs w:val="20"/>
          <w:color w:val="auto"/>
        </w:rPr>
      </w:pPr>
    </w:p>
    <w:p>
      <w:pPr>
        <w:ind w:left="340" w:hanging="332"/>
        <w:spacing w:after="0"/>
        <w:tabs>
          <w:tab w:leader="none" w:pos="3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changes in foreign economic conditions and/or regulatory requirements;</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local product preferences and product requirements;</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outstanding accounts receivables that take longer to collect than is typical in the U.S.;</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difficulties in enforcing agreements through foreign legal systems;</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less protection of intellectual property in some countries outside of the U.S.;</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trade protection measures and import and export licensing requirements;</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work force instability;</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political and economic instability; and</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complex tax and cash management issues.</w:t>
      </w:r>
    </w:p>
    <w:p>
      <w:pPr>
        <w:spacing w:after="0" w:line="225" w:lineRule="exact"/>
        <w:rPr>
          <w:sz w:val="20"/>
          <w:szCs w:val="20"/>
          <w:color w:val="auto"/>
        </w:rPr>
      </w:pPr>
    </w:p>
    <w:p>
      <w:pPr>
        <w:jc w:val="both"/>
        <w:ind w:right="420"/>
        <w:spacing w:after="0" w:line="264" w:lineRule="auto"/>
        <w:rPr>
          <w:sz w:val="20"/>
          <w:szCs w:val="20"/>
          <w:color w:val="auto"/>
        </w:rPr>
      </w:pPr>
      <w:r>
        <w:rPr>
          <w:rFonts w:ascii="Arial" w:cs="Arial" w:eastAsia="Arial" w:hAnsi="Arial"/>
          <w:sz w:val="18"/>
          <w:szCs w:val="18"/>
          <w:color w:val="auto"/>
        </w:rPr>
        <w:t>We earn revenue and incur expenses related to our foreign sales and operations that are denominated in a foreign currency. Historically, foreign currency fluctuations have not had a material effect on our net financial results. However, fluctuations in foreign currency exchange rates could have a significant negative impact on our financial results in the future.</w:t>
      </w:r>
    </w:p>
    <w:p>
      <w:pPr>
        <w:sectPr>
          <w:pgSz w:w="11900" w:h="16838" w:orient="portrait"/>
          <w:cols w:equalWidth="0" w:num="1">
            <w:col w:w="11420"/>
          </w:cols>
          <w:pgMar w:left="240" w:top="908" w:right="239" w:bottom="1440" w:gutter="0" w:footer="0" w:header="0"/>
        </w:sectPr>
      </w:pPr>
    </w:p>
    <w:p>
      <w:pPr>
        <w:spacing w:after="0" w:line="31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- 28 -</w:t>
      </w:r>
    </w:p>
    <w:p>
      <w:pPr>
        <w:sectPr>
          <w:pgSz w:w="11900" w:h="16838" w:orient="portrait"/>
          <w:cols w:equalWidth="0" w:num="1">
            <w:col w:w="11420"/>
          </w:cols>
          <w:pgMar w:left="240" w:top="908" w:right="239" w:bottom="1440" w:gutter="0" w:footer="0" w:header="0"/>
          <w:type w:val="continuous"/>
        </w:sectPr>
      </w:pPr>
    </w:p>
    <w:bookmarkStart w:id="29" w:name="page30"/>
    <w:bookmarkEnd w:id="29"/>
    <w:p>
      <w:pPr>
        <w:ind w:right="140"/>
        <w:spacing w:after="0" w:line="282" w:lineRule="auto"/>
        <w:rPr>
          <w:sz w:val="20"/>
          <w:szCs w:val="20"/>
          <w:color w:val="auto"/>
        </w:rPr>
      </w:pPr>
      <w:r>
        <w:rPr>
          <w:rFonts w:ascii="Arial" w:cs="Arial" w:eastAsia="Arial" w:hAnsi="Arial"/>
          <w:sz w:val="18"/>
          <w:szCs w:val="18"/>
          <w:b w:val="1"/>
          <w:bCs w:val="1"/>
          <w:color w:val="auto"/>
        </w:rPr>
        <w:t>Economic and credit market uncertainty could interrupt our access to capital markets, borrowings, or financial transactions to hedge certain risks, which could adversely affect our financial condition.</w:t>
      </w:r>
    </w:p>
    <w:p>
      <w:pPr>
        <w:spacing w:after="0" w:line="166" w:lineRule="exact"/>
        <w:rPr>
          <w:sz w:val="20"/>
          <w:szCs w:val="20"/>
          <w:color w:val="auto"/>
        </w:rPr>
      </w:pPr>
    </w:p>
    <w:p>
      <w:pPr>
        <w:ind w:right="60"/>
        <w:spacing w:after="0" w:line="255" w:lineRule="auto"/>
        <w:rPr>
          <w:sz w:val="20"/>
          <w:szCs w:val="20"/>
          <w:color w:val="auto"/>
        </w:rPr>
      </w:pPr>
      <w:r>
        <w:rPr>
          <w:rFonts w:ascii="Arial" w:cs="Arial" w:eastAsia="Arial" w:hAnsi="Arial"/>
          <w:sz w:val="18"/>
          <w:szCs w:val="18"/>
          <w:color w:val="auto"/>
        </w:rPr>
        <w:t>To date, we have been able to access debt and equity financing that has allowed us to complete acquisitions, make investments in growth opportunities and fund working capital requirements. In addition, we enter into financial transactions to hedge certain risks, including foreign exchange and interest rate risk. Our continued access to capital markets, the stability of our lenders under our Senior Secured Credit Facility and their willingness to support our needs, and the stability of the parties to our financial transactions that hedge risks are essential for us to meet our current and long-term obligations, fund operations, and fund our strategic initiatives. An interruption in our access to external financing or financial transactions to hedge risk could affect our business prospects and financial condition.</w:t>
      </w:r>
    </w:p>
    <w:p>
      <w:pPr>
        <w:spacing w:after="0" w:line="18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The failure of our information technology systems to perform as anticipated could disrupt our business and affect our financial condition.</w:t>
      </w:r>
    </w:p>
    <w:p>
      <w:pPr>
        <w:spacing w:after="0" w:line="241" w:lineRule="exact"/>
        <w:rPr>
          <w:sz w:val="20"/>
          <w:szCs w:val="20"/>
          <w:color w:val="auto"/>
        </w:rPr>
      </w:pPr>
    </w:p>
    <w:p>
      <w:pPr>
        <w:ind w:right="40"/>
        <w:spacing w:after="0" w:line="271" w:lineRule="auto"/>
        <w:rPr>
          <w:sz w:val="20"/>
          <w:szCs w:val="20"/>
          <w:color w:val="auto"/>
        </w:rPr>
      </w:pPr>
      <w:r>
        <w:rPr>
          <w:rFonts w:ascii="Arial" w:cs="Arial" w:eastAsia="Arial" w:hAnsi="Arial"/>
          <w:sz w:val="17"/>
          <w:szCs w:val="17"/>
          <w:color w:val="auto"/>
        </w:rPr>
        <w:t>The efficient operation of our business is dependent on our information technology (“IT”) systems. Accordingly, we rely upon the capacity, reliability and security of our IT hardware and software infrastructure and our ability to expand and update this infrastructure in response to our changing needs. Despite our implementation of security measures, our systems are vulnerable to damages from computer viruses, natural disasters, incursions by intruders or hackers, failures in hardware or software, power fluctuations, cyber terrorists and other similar disruptions. The failure of our IT systems to perform as anticipated for any reason or any significant breach of security could disrupt our business and result in numerous consequences, including reduced effectiveness and efficiency of operations, inappropriate disclosure of confidential information, increased overhead costs and loss of important information, which could have a material effect on our business and results of operations. In addition, we may be required to incur significant costs to protect against damage caused by these disruptions or security breaches in the future.</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Industries</w:t>
      </w:r>
    </w:p>
    <w:p>
      <w:pPr>
        <w:spacing w:after="0" w:line="225" w:lineRule="exact"/>
        <w:rPr>
          <w:sz w:val="20"/>
          <w:szCs w:val="20"/>
          <w:color w:val="auto"/>
        </w:rPr>
      </w:pPr>
    </w:p>
    <w:p>
      <w:pPr>
        <w:ind w:right="320"/>
        <w:spacing w:after="0" w:line="282" w:lineRule="auto"/>
        <w:rPr>
          <w:sz w:val="20"/>
          <w:szCs w:val="20"/>
          <w:color w:val="auto"/>
        </w:rPr>
      </w:pPr>
      <w:r>
        <w:rPr>
          <w:rFonts w:ascii="Arial" w:cs="Arial" w:eastAsia="Arial" w:hAnsi="Arial"/>
          <w:sz w:val="18"/>
          <w:szCs w:val="18"/>
          <w:b w:val="1"/>
          <w:bCs w:val="1"/>
          <w:color w:val="auto"/>
        </w:rPr>
        <w:t>The healthcare industry is highly regulated and subject to various political, economic and regulatory changes that could increase our compliance costs and force us to modify how we develop and price our products.</w:t>
      </w:r>
    </w:p>
    <w:p>
      <w:pPr>
        <w:spacing w:after="0" w:line="166" w:lineRule="exact"/>
        <w:rPr>
          <w:sz w:val="20"/>
          <w:szCs w:val="20"/>
          <w:color w:val="auto"/>
        </w:rPr>
      </w:pPr>
    </w:p>
    <w:p>
      <w:pPr>
        <w:ind w:right="80"/>
        <w:spacing w:after="0" w:line="276" w:lineRule="auto"/>
        <w:rPr>
          <w:sz w:val="20"/>
          <w:szCs w:val="20"/>
          <w:color w:val="auto"/>
        </w:rPr>
      </w:pPr>
      <w:r>
        <w:rPr>
          <w:rFonts w:ascii="Arial" w:cs="Arial" w:eastAsia="Arial" w:hAnsi="Arial"/>
          <w:sz w:val="17"/>
          <w:szCs w:val="17"/>
          <w:color w:val="auto"/>
        </w:rPr>
        <w:t>The healthcare industry is highly regulated and is influenced by changing political, economic and regulatory factors. Several of our product lines are subject to international, federal, state and local health and safety, packaging and product content regulations. In addition, medical devices are subject to regulation by the FDA and similar governmental agencies. These regulations cover a wide variety of product activities from design and development to labeling, manufacturing, promotion, sales and distribution. Compliance with these regulations may be time consuming, burdensome and expensive and could negatively affect our ability to sell products. This may result in higher than anticipated costs or lower than anticipated revenues.</w:t>
      </w:r>
    </w:p>
    <w:p>
      <w:pPr>
        <w:spacing w:after="0" w:line="173"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Furthermore, healthcare industry regulations are complex, change frequently and have tended to become more stringent over time. Federal and state legislatures have periodically considered programs to reform or amend the U.S. healthcare system at both the federal and state levels. In addition, these regulations may contain proposals to increase governmental involvement in healthcare, lower reimbursement rates or otherwise change the environment in which healthcare industry participants operate. We may be required to incur significant expenses to comply with these regulations or remedy past violations of these regulations. Our failure to comply with applicable government regulations could also result in cessation of portions or all of our operations, impositions of fines and restrictions on our ability to carry on or expand our operations. In addition, because many of our products are sold into regulated industries, we must comply with additional regulations in marketing our products.</w:t>
      </w:r>
    </w:p>
    <w:p>
      <w:pPr>
        <w:spacing w:after="0" w:line="178" w:lineRule="exact"/>
        <w:rPr>
          <w:sz w:val="20"/>
          <w:szCs w:val="20"/>
          <w:color w:val="auto"/>
        </w:rPr>
      </w:pPr>
    </w:p>
    <w:p>
      <w:pPr>
        <w:ind w:right="80"/>
        <w:spacing w:after="0" w:line="270" w:lineRule="auto"/>
        <w:rPr>
          <w:sz w:val="20"/>
          <w:szCs w:val="20"/>
          <w:color w:val="auto"/>
        </w:rPr>
      </w:pPr>
      <w:r>
        <w:rPr>
          <w:rFonts w:ascii="Arial" w:cs="Arial" w:eastAsia="Arial" w:hAnsi="Arial"/>
          <w:sz w:val="17"/>
          <w:szCs w:val="17"/>
          <w:color w:val="auto"/>
        </w:rPr>
        <w:t>In response to perceived increases in healthcare costs in recent years, there have been and continue to be proposals by the Obama administration, members of Congress, state governments, regulators and third-party payors to control these costs and, more generally, to reform the U.S. healthcare system. Health Care Reform imposes significant new taxes on medical device manufacturers. In 2015, the medical device tax increased our cost of sales by $0.6 million. Beginning on January 1, 2016, the medical device excise tax will be suspended through December 31, 2017, but if this suspension is not continued or made permanent thereafter, the medical device excise tax will be automatically reinstated starting on January 1, 2018 and would result in a significant increase in the tax burden on our industry and which could have a material negative impact on our financial condition, results of operations and our cash flows. Other elements of Health Care Reform such as comparative effectiveness research, an independent payment advisory board, payment system reforms including shared savings pilots and other provisions could meaningfully change the way healthcare is developed and delivered, and may materially adversely impact numerous aspects of our business, results of operations and financial condition.</w:t>
      </w:r>
    </w:p>
    <w:p>
      <w:pPr>
        <w:spacing w:after="0" w:line="182" w:lineRule="exact"/>
        <w:rPr>
          <w:sz w:val="20"/>
          <w:szCs w:val="20"/>
          <w:color w:val="auto"/>
        </w:rPr>
      </w:pPr>
    </w:p>
    <w:p>
      <w:pPr>
        <w:spacing w:after="0" w:line="342" w:lineRule="auto"/>
        <w:rPr>
          <w:sz w:val="20"/>
          <w:szCs w:val="20"/>
          <w:color w:val="auto"/>
        </w:rPr>
      </w:pPr>
      <w:r>
        <w:rPr>
          <w:rFonts w:ascii="Arial" w:cs="Arial" w:eastAsia="Arial" w:hAnsi="Arial"/>
          <w:sz w:val="16"/>
          <w:szCs w:val="16"/>
          <w:color w:val="auto"/>
        </w:rPr>
        <w:t>Many significant parts of Health Care Reform will be phased in over time and require further guidance and clarification in the form of regulations. As a result, many of the impacts of Health Care Reform will not be known until those regulations are enacted, which we expect to occur over the next several years.</w:t>
      </w:r>
    </w:p>
    <w:p>
      <w:pPr>
        <w:spacing w:after="0" w:line="25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- 29 -</w:t>
      </w:r>
    </w:p>
    <w:p>
      <w:pPr>
        <w:sectPr>
          <w:pgSz w:w="11900" w:h="16838" w:orient="portrait"/>
          <w:cols w:equalWidth="0" w:num="1">
            <w:col w:w="11420"/>
          </w:cols>
          <w:pgMar w:left="240" w:top="904" w:right="239" w:bottom="1440" w:gutter="0" w:footer="0" w:header="0"/>
        </w:sectPr>
      </w:pPr>
    </w:p>
    <w:bookmarkStart w:id="30" w:name="page31"/>
    <w:bookmarkEnd w:id="30"/>
    <w:p>
      <w:pPr>
        <w:spacing w:after="0"/>
        <w:rPr>
          <w:sz w:val="20"/>
          <w:szCs w:val="20"/>
          <w:color w:val="auto"/>
        </w:rPr>
      </w:pPr>
      <w:r>
        <w:rPr>
          <w:rFonts w:ascii="Arial" w:cs="Arial" w:eastAsia="Arial" w:hAnsi="Arial"/>
          <w:sz w:val="18"/>
          <w:szCs w:val="18"/>
          <w:b w:val="1"/>
          <w:bCs w:val="1"/>
          <w:color w:val="auto"/>
        </w:rPr>
        <w:t>Our business is subject to environmental regulations that could be costly to comply with.</w:t>
      </w:r>
    </w:p>
    <w:p>
      <w:pPr>
        <w:spacing w:after="0" w:line="229" w:lineRule="exact"/>
        <w:rPr>
          <w:sz w:val="20"/>
          <w:szCs w:val="20"/>
          <w:color w:val="auto"/>
        </w:rPr>
      </w:pPr>
    </w:p>
    <w:p>
      <w:pPr>
        <w:ind w:right="40"/>
        <w:spacing w:after="0" w:line="293" w:lineRule="auto"/>
        <w:rPr>
          <w:sz w:val="20"/>
          <w:szCs w:val="20"/>
          <w:color w:val="auto"/>
        </w:rPr>
      </w:pPr>
      <w:r>
        <w:rPr>
          <w:rFonts w:ascii="Arial" w:cs="Arial" w:eastAsia="Arial" w:hAnsi="Arial"/>
          <w:sz w:val="16"/>
          <w:szCs w:val="16"/>
          <w:color w:val="auto"/>
        </w:rPr>
        <w:t>Federal, state and local regulations impose various environmental controls on the manufacturing, transportation, storage, use and disposal of batteries and hazardous chemicals and other materials used in, and hazardous waste produced by the manufacturing of our products. Conditions relating to our historical operations may require expenditures for clean-up in the future and changes in environmental laws and regulations may impose costly compliance requirements on us or otherwise subject us to future liabilities. Additional or modified regulations relating to the manufacture, transportation, storage, use and disposal of materials used to manufacture our products or restricting disposal or transportation of batteries may be imposed that may result in higher costs or lower operating results. In addition, we cannot predict the effect that additional or modified environmental regulations may have on us or our customers.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international operations expose us to legal and regulatory risks, which could have a material effect on our business.</w:t>
      </w:r>
    </w:p>
    <w:p>
      <w:pPr>
        <w:spacing w:after="0" w:line="229"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Our profitability and international operations are, and will continue to be, subject to risks relating to changes in foreign legal and regulatory requirements. In addition, our international operations are governed by various U.S. laws and regulations, including the Foreign Corrupt Practices Act (“FCPA”) and other similar laws that prohibit us and our business partners from making improper payments or offers of payment to foreign governments and their officials and political parties for the purpose of obtaining or retaining business. Any alleged or actual violations of these regulations may subject us to government scrutiny, severe criminal or civil sanctions and other liabilities and could negatively affect our business, reputation, operating results, and financial condition.</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Consolidation in the healthcare industry could result in greater competition and reduce our revenues and harm our business.</w:t>
      </w:r>
    </w:p>
    <w:p>
      <w:pPr>
        <w:spacing w:after="0" w:line="229"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Many healthcare industry companies are consolidating to create new companies with greater market power. As the healthcare industry consolidates, competition to provide products and services to industry participants will become more intense. These industry participants may try to use their market power to negotiate price concessions or reductions for our products. If we are forced to reduce our prices, our revenues would decrease and our operating results would suffer.</w:t>
      </w:r>
    </w:p>
    <w:p>
      <w:pPr>
        <w:spacing w:after="0" w:line="18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Our business is indirectly subject to healthcare industry cost containment measures that could result in reduced sales of our products.</w:t>
      </w:r>
    </w:p>
    <w:p>
      <w:pPr>
        <w:spacing w:after="0" w:line="241" w:lineRule="exact"/>
        <w:rPr>
          <w:sz w:val="20"/>
          <w:szCs w:val="20"/>
          <w:color w:val="auto"/>
        </w:rPr>
      </w:pPr>
    </w:p>
    <w:p>
      <w:pPr>
        <w:ind w:right="120"/>
        <w:spacing w:after="0" w:line="297" w:lineRule="auto"/>
        <w:rPr>
          <w:sz w:val="20"/>
          <w:szCs w:val="20"/>
          <w:color w:val="auto"/>
        </w:rPr>
      </w:pPr>
      <w:r>
        <w:rPr>
          <w:rFonts w:ascii="Arial" w:cs="Arial" w:eastAsia="Arial" w:hAnsi="Arial"/>
          <w:sz w:val="16"/>
          <w:szCs w:val="16"/>
          <w:color w:val="auto"/>
        </w:rPr>
        <w:t>Several of our customers rely on third party payors, such as government programs and private health insurance plans, to reimburse some or all of the cost of the procedures in which our products are used. The continuing efforts of government, insurance companies and other payors of healthcare costs to contain or reduce those costs could lead to patients being unable to obtain approval for payment from these third party payors. If that occurred, sales of medical devices may decline significantly and our customers may reduce or eliminate purchases of our products. The cost containment measures that healthcare payors are instituting, both in the U.S. and internationally, could reduce our revenues and harm our operating results.</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energy market revenues are dependent on conditions in the oil and natural gas industry, which historically have been volatile.</w:t>
      </w:r>
    </w:p>
    <w:p>
      <w:pPr>
        <w:spacing w:after="0" w:line="229" w:lineRule="exact"/>
        <w:rPr>
          <w:sz w:val="20"/>
          <w:szCs w:val="20"/>
          <w:color w:val="auto"/>
        </w:rPr>
      </w:pPr>
    </w:p>
    <w:p>
      <w:pPr>
        <w:ind w:right="20"/>
        <w:spacing w:after="0" w:line="253" w:lineRule="auto"/>
        <w:rPr>
          <w:sz w:val="20"/>
          <w:szCs w:val="20"/>
          <w:color w:val="auto"/>
        </w:rPr>
      </w:pPr>
      <w:r>
        <w:rPr>
          <w:rFonts w:ascii="Arial" w:cs="Arial" w:eastAsia="Arial" w:hAnsi="Arial"/>
          <w:sz w:val="18"/>
          <w:szCs w:val="18"/>
          <w:color w:val="auto"/>
        </w:rPr>
        <w:t>Sales of our products into the energy market depends upon the condition of the oil and gas industry. Currently, oil and natural gas prices have been subject to significant fluctuation and the oil and gas exploration and production industry has historically been cyclical, and it is likely that oil and natural gas prices will continue to fluctuate in the future. The current and anticipated prices of oil and natural gas influence the oil and gas exploration and production business and are affected by a variety of political and economic factors, including worldwide demand for oil and natural gas, worldwide and domestic supplies of oil and natural gas, the ability of the Organization of Petroleum Exporting Countries (“OPEC”) to set and maintain production levels and pricing, the level of production of non-OPEC countries, the price and availability of alternative fuels, political stability in oil producing regions and the policies of the various governments regarding exploration and development of their oil and natural gas reserves. A change in the oil and gas exploration and production industry or a reduction in the exploration and production expenditures of oil and gas companies, such as has occurred during 2015, could cause our energy market revenues to decline.</w:t>
      </w: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- 30 -</w:t>
      </w:r>
    </w:p>
    <w:p>
      <w:pPr>
        <w:sectPr>
          <w:pgSz w:w="11900" w:h="16838" w:orient="portrait"/>
          <w:cols w:equalWidth="0" w:num="1">
            <w:col w:w="11420"/>
          </w:cols>
          <w:pgMar w:left="240" w:top="904" w:right="239" w:bottom="1440" w:gutter="0" w:footer="0" w:header="0"/>
        </w:sectPr>
      </w:pPr>
    </w:p>
    <w:bookmarkStart w:id="31" w:name="page32"/>
    <w:bookmarkEnd w:id="31"/>
    <w:p>
      <w:pPr>
        <w:ind w:left="40"/>
        <w:spacing w:after="0"/>
        <w:tabs>
          <w:tab w:leader="none" w:pos="1000" w:val="left"/>
        </w:tabs>
        <w:rPr>
          <w:sz w:val="20"/>
          <w:szCs w:val="20"/>
          <w:color w:val="auto"/>
        </w:rPr>
      </w:pPr>
      <w:r>
        <w:rPr>
          <w:rFonts w:ascii="Arial" w:cs="Arial" w:eastAsia="Arial" w:hAnsi="Arial"/>
          <w:sz w:val="18"/>
          <w:szCs w:val="18"/>
          <w:b w:val="1"/>
          <w:bCs w:val="1"/>
          <w:color w:val="auto"/>
        </w:rPr>
        <w:t>ITEM 1B.</w:t>
      </w:r>
      <w:r>
        <w:rPr>
          <w:sz w:val="20"/>
          <w:szCs w:val="20"/>
          <w:color w:val="auto"/>
        </w:rPr>
        <w:tab/>
      </w:r>
      <w:r>
        <w:rPr>
          <w:rFonts w:ascii="Arial" w:cs="Arial" w:eastAsia="Arial" w:hAnsi="Arial"/>
          <w:sz w:val="17"/>
          <w:szCs w:val="17"/>
          <w:b w:val="1"/>
          <w:bCs w:val="1"/>
          <w:color w:val="auto"/>
        </w:rPr>
        <w:t>UNRESOLVED STAFF COMMENTS</w:t>
      </w:r>
    </w:p>
    <w:p>
      <w:pPr>
        <w:spacing w:after="0" w:line="148"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75" w:lineRule="exact"/>
        <w:rPr>
          <w:sz w:val="20"/>
          <w:szCs w:val="20"/>
          <w:color w:val="auto"/>
        </w:rPr>
      </w:pPr>
    </w:p>
    <w:p>
      <w:pPr>
        <w:ind w:left="40"/>
        <w:spacing w:after="0"/>
        <w:tabs>
          <w:tab w:leader="none" w:pos="100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7"/>
          <w:szCs w:val="17"/>
          <w:b w:val="1"/>
          <w:bCs w:val="1"/>
          <w:color w:val="auto"/>
        </w:rPr>
        <w:t>PROPERTIES</w:t>
      </w:r>
    </w:p>
    <w:p>
      <w:pPr>
        <w:spacing w:after="0" w:line="148"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Our principal executive office and headquarters is located in Frisco, Texas, in a leased facility. As of January 1, 2016, we operated 35 facilities in the U.S., 7 in Europe, 4 in Central and South America, and 2 in Asia. Of this amount, 33 were leased and 15 were owned. We occupy over 2.5 million square feet of manufacturing and research, development, and engineering space worldwide. We believe the facilities we operate and their equipment are effectively utilized, well maintained, generally are in good condition, and will be able to accommodate our capacity needs to meet current levels of demand. We continuously review our anticipated requirements for facilities and, on the basis of that review, may from time to time acquire additional facilities and/or dispose of existing facilities. The acquisition of Lake Region Medical has significantly expanded our global manufacturing footprint. This increased scope and scale presents a tremendous opportunity to rationalize our manufacturing footprint across both the legacy Greatbatch and legacy Lake Region Medical facilities to achieve our cost savings and synergies.</w:t>
      </w:r>
    </w:p>
    <w:p>
      <w:pPr>
        <w:spacing w:after="0" w:line="242" w:lineRule="exact"/>
        <w:rPr>
          <w:sz w:val="20"/>
          <w:szCs w:val="20"/>
          <w:color w:val="auto"/>
        </w:rPr>
      </w:pPr>
    </w:p>
    <w:p>
      <w:pPr>
        <w:ind w:left="40"/>
        <w:spacing w:after="0"/>
        <w:tabs>
          <w:tab w:leader="none" w:pos="100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8"/>
          <w:szCs w:val="18"/>
          <w:b w:val="1"/>
          <w:bCs w:val="1"/>
          <w:color w:val="auto"/>
        </w:rPr>
        <w:t>LEGAL PROCEEDINGS</w:t>
      </w:r>
    </w:p>
    <w:p>
      <w:pPr>
        <w:spacing w:after="0" w:line="148" w:lineRule="exact"/>
        <w:rPr>
          <w:sz w:val="20"/>
          <w:szCs w:val="20"/>
          <w:color w:val="auto"/>
        </w:rPr>
      </w:pPr>
    </w:p>
    <w:p>
      <w:pPr>
        <w:ind w:right="40"/>
        <w:spacing w:after="0" w:line="257" w:lineRule="auto"/>
        <w:rPr>
          <w:sz w:val="20"/>
          <w:szCs w:val="20"/>
          <w:color w:val="auto"/>
        </w:rPr>
      </w:pPr>
      <w:r>
        <w:rPr>
          <w:rFonts w:ascii="Arial" w:cs="Arial" w:eastAsia="Arial" w:hAnsi="Arial"/>
          <w:sz w:val="18"/>
          <w:szCs w:val="18"/>
          <w:color w:val="auto"/>
        </w:rPr>
        <w:t>In April 2013, the Company commenced an action against AVX Corporation and AVX Filters Corporation (collectively “AVX”) alleging that AVX had infringed the Company’s patents by manufacturing and selling filtered feedthrough assemblies used in implantable pacemakers and cardioverter defibrillators that incorporate the Company’s patented technology. On January 26, 2016, a jury in the United States District Court for the District of Delaware returned a verdict finding that AVX infringed two Greatbatch patents and awarded Greatbatch $37.5 million in damages. The finding is subject to post-trial proceedings, including a possible appeal by AVX.</w:t>
      </w:r>
    </w:p>
    <w:p>
      <w:pPr>
        <w:spacing w:after="0" w:line="188" w:lineRule="exact"/>
        <w:rPr>
          <w:sz w:val="20"/>
          <w:szCs w:val="20"/>
          <w:color w:val="auto"/>
        </w:rPr>
      </w:pPr>
    </w:p>
    <w:p>
      <w:pPr>
        <w:ind w:right="20"/>
        <w:spacing w:after="0" w:line="293" w:lineRule="auto"/>
        <w:rPr>
          <w:sz w:val="20"/>
          <w:szCs w:val="20"/>
          <w:color w:val="auto"/>
        </w:rPr>
      </w:pPr>
      <w:r>
        <w:rPr>
          <w:rFonts w:ascii="Arial" w:cs="Arial" w:eastAsia="Arial" w:hAnsi="Arial"/>
          <w:sz w:val="16"/>
          <w:szCs w:val="16"/>
          <w:color w:val="auto"/>
        </w:rPr>
        <w:t>In January 2015, Lake Region Medical was notified by the New Jersey Department of Environmental Protection (“NJDEP”) of the NJDEP’s intent to revoke a no further action determination made by the NJDEP in favor of Lake Region Medical in 2002 pertaining to a property on which a subsidiary of Lake Region Medical operated a manufacturing facility in South Plainfield, New Jersey beginning in 1971. Lake Region Medical sold the property in 2004 and vacated the facility in 2007. We are cooperating with the NJDEP and believe the NJDEP’s notice of intent to revoke is unwarranted. In December 2014, the current owner of the property commenced litigation against Lake Region Medical, one of its executive officers and other unrelated third parties, alleging that the defendants caused or contributed to alleged groundwater contamination beneath the property. The Company believes these allegations are without merit.</w:t>
      </w:r>
    </w:p>
    <w:p>
      <w:pPr>
        <w:spacing w:after="0" w:line="165" w:lineRule="exact"/>
        <w:rPr>
          <w:sz w:val="20"/>
          <w:szCs w:val="20"/>
          <w:color w:val="auto"/>
        </w:rPr>
      </w:pPr>
    </w:p>
    <w:p>
      <w:pPr>
        <w:ind w:right="60"/>
        <w:spacing w:after="0" w:line="257" w:lineRule="auto"/>
        <w:rPr>
          <w:sz w:val="20"/>
          <w:szCs w:val="20"/>
          <w:color w:val="auto"/>
        </w:rPr>
      </w:pPr>
      <w:r>
        <w:rPr>
          <w:rFonts w:ascii="Arial" w:cs="Arial" w:eastAsia="Arial" w:hAnsi="Arial"/>
          <w:sz w:val="18"/>
          <w:szCs w:val="18"/>
          <w:color w:val="auto"/>
        </w:rPr>
        <w:t>We are party to various other legal actions arising in the normal course of business. A description of pending legal actions against the Company is set forth in Note 15 “Commitments and Contingencies” of the Notes to Consolidated Financial Statements contained in Item 8 of this report. Other than as discussed in Note 15, we do not believe that the ultimate resolution of any pending legal actions will have a material effect on our consolidated results of operations, financial position or cash flows. However, litigation is subject to inherent uncertainties and there can be no assurance that any pending legal action, which we currently believe to be immaterial, does not become material in the future.</w:t>
      </w:r>
    </w:p>
    <w:p>
      <w:pPr>
        <w:spacing w:after="0" w:line="238" w:lineRule="exact"/>
        <w:rPr>
          <w:sz w:val="20"/>
          <w:szCs w:val="20"/>
          <w:color w:val="auto"/>
        </w:rPr>
      </w:pPr>
    </w:p>
    <w:p>
      <w:pPr>
        <w:ind w:left="40"/>
        <w:spacing w:after="0"/>
        <w:tabs>
          <w:tab w:leader="none" w:pos="100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7"/>
          <w:szCs w:val="17"/>
          <w:b w:val="1"/>
          <w:bCs w:val="1"/>
          <w:color w:val="auto"/>
        </w:rPr>
        <w:t>MINE SAFETY DISCLOSURES</w:t>
      </w:r>
    </w:p>
    <w:p>
      <w:pPr>
        <w:spacing w:after="0" w:line="148"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- 31 -</w:t>
      </w:r>
    </w:p>
    <w:p>
      <w:pPr>
        <w:sectPr>
          <w:pgSz w:w="11900" w:h="16838" w:orient="portrait"/>
          <w:cols w:equalWidth="0" w:num="1">
            <w:col w:w="11420"/>
          </w:cols>
          <w:pgMar w:left="240" w:top="958" w:right="239" w:bottom="1440" w:gutter="0" w:footer="0" w:header="0"/>
        </w:sectPr>
      </w:pPr>
    </w:p>
    <w:bookmarkStart w:id="32" w:name="page33"/>
    <w:bookmarkEnd w:id="32"/>
    <w:p>
      <w:pPr>
        <w:jc w:val="center"/>
        <w:ind w:right="-79"/>
        <w:spacing w:after="0"/>
        <w:rPr>
          <w:sz w:val="20"/>
          <w:szCs w:val="20"/>
          <w:color w:val="auto"/>
        </w:rPr>
      </w:pPr>
      <w:r>
        <w:rPr>
          <w:rFonts w:ascii="Arial" w:cs="Arial" w:eastAsia="Arial" w:hAnsi="Arial"/>
          <w:sz w:val="18"/>
          <w:szCs w:val="18"/>
          <w:b w:val="1"/>
          <w:bCs w:val="1"/>
          <w:color w:val="auto"/>
        </w:rPr>
        <w:t>PART II</w:t>
      </w:r>
    </w:p>
    <w:p>
      <w:pPr>
        <w:spacing w:after="0" w:line="360" w:lineRule="exact"/>
        <w:rPr>
          <w:sz w:val="20"/>
          <w:szCs w:val="20"/>
          <w:color w:val="auto"/>
        </w:rPr>
      </w:pPr>
    </w:p>
    <w:p>
      <w:pPr>
        <w:ind w:left="1040" w:right="2280" w:hanging="998"/>
        <w:spacing w:after="0" w:line="282" w:lineRule="auto"/>
        <w:tabs>
          <w:tab w:leader="none" w:pos="102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8"/>
          <w:szCs w:val="18"/>
          <w:b w:val="1"/>
          <w:bCs w:val="1"/>
          <w:color w:val="auto"/>
        </w:rPr>
        <w:t>MARKET FOR REGISTRANT’S COMMON EQUITY, RELATED STOCKHOLDER MATTERS AND ISSUER PURCHASES OF EQUITY SECURITIES</w:t>
      </w:r>
    </w:p>
    <w:p>
      <w:pPr>
        <w:spacing w:after="0" w:line="85"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 Company’s common stock trades on the New York Stock Exchange (“NYSE”) under the symbol “GB.” The following table sets forth information on the prices of our common stock as reported by the NYSE:</w:t>
      </w:r>
    </w:p>
    <w:p>
      <w:pPr>
        <w:spacing w:after="0" w:line="28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522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4"/>
                <w:szCs w:val="14"/>
                <w:b w:val="1"/>
                <w:bCs w:val="1"/>
                <w:color w:val="auto"/>
              </w:rPr>
              <w:t>High</w:t>
            </w:r>
          </w:p>
        </w:tc>
        <w:tc>
          <w:tcPr>
            <w:tcW w:w="5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180" w:type="dxa"/>
            <w:vAlign w:val="bottom"/>
            <w:gridSpan w:val="2"/>
          </w:tcPr>
          <w:p>
            <w:pPr>
              <w:ind w:left="220"/>
              <w:spacing w:after="0"/>
              <w:rPr>
                <w:sz w:val="20"/>
                <w:szCs w:val="20"/>
                <w:color w:val="auto"/>
              </w:rPr>
            </w:pPr>
            <w:r>
              <w:rPr>
                <w:rFonts w:ascii="Arial" w:cs="Arial" w:eastAsia="Arial" w:hAnsi="Arial"/>
                <w:sz w:val="14"/>
                <w:szCs w:val="14"/>
                <w:b w:val="1"/>
                <w:bCs w:val="1"/>
                <w:color w:val="auto"/>
              </w:rPr>
              <w:t>Low</w:t>
            </w:r>
          </w:p>
        </w:tc>
        <w:tc>
          <w:tcPr>
            <w:tcW w:w="320" w:type="dxa"/>
            <w:vAlign w:val="bottom"/>
          </w:tcPr>
          <w:p>
            <w:pPr>
              <w:spacing w:after="0"/>
              <w:rPr>
                <w:sz w:val="16"/>
                <w:szCs w:val="16"/>
                <w:color w:val="auto"/>
              </w:rPr>
            </w:pPr>
          </w:p>
        </w:tc>
        <w:tc>
          <w:tcPr>
            <w:tcW w:w="1100" w:type="dxa"/>
            <w:vAlign w:val="bottom"/>
          </w:tcPr>
          <w:p>
            <w:pPr>
              <w:jc w:val="right"/>
              <w:ind w:right="452"/>
              <w:spacing w:after="0"/>
              <w:rPr>
                <w:sz w:val="20"/>
                <w:szCs w:val="20"/>
                <w:color w:val="auto"/>
              </w:rPr>
            </w:pPr>
            <w:r>
              <w:rPr>
                <w:rFonts w:ascii="Arial" w:cs="Arial" w:eastAsia="Arial" w:hAnsi="Arial"/>
                <w:sz w:val="14"/>
                <w:szCs w:val="14"/>
                <w:b w:val="1"/>
                <w:bCs w:val="1"/>
                <w:color w:val="auto"/>
              </w:rPr>
              <w:t>Close</w:t>
            </w:r>
          </w:p>
        </w:tc>
      </w:tr>
      <w:tr>
        <w:trPr>
          <w:trHeight w:val="202"/>
        </w:trPr>
        <w:tc>
          <w:tcPr>
            <w:tcW w:w="400" w:type="dxa"/>
            <w:vAlign w:val="bottom"/>
            <w:tcBorders>
              <w:top w:val="single" w:sz="8" w:color="CCEEFF"/>
            </w:tcBorders>
            <w:gridSpan w:val="2"/>
            <w:shd w:val="clear" w:color="auto" w:fill="CCEEFF"/>
          </w:tcPr>
          <w:p>
            <w:pPr>
              <w:ind w:left="40"/>
              <w:spacing w:after="0" w:line="202" w:lineRule="exact"/>
              <w:rPr>
                <w:sz w:val="20"/>
                <w:szCs w:val="20"/>
                <w:color w:val="auto"/>
              </w:rPr>
            </w:pPr>
            <w:r>
              <w:rPr>
                <w:rFonts w:ascii="Arial" w:cs="Arial" w:eastAsia="Arial" w:hAnsi="Arial"/>
                <w:sz w:val="18"/>
                <w:szCs w:val="18"/>
                <w:b w:val="1"/>
                <w:bCs w:val="1"/>
                <w:color w:val="auto"/>
                <w:w w:val="84"/>
              </w:rPr>
              <w:t>2014</w:t>
            </w:r>
          </w:p>
        </w:tc>
        <w:tc>
          <w:tcPr>
            <w:tcW w:w="5220" w:type="dxa"/>
            <w:vAlign w:val="bottom"/>
            <w:tcBorders>
              <w:top w:val="single" w:sz="8" w:color="CCEEFF"/>
            </w:tcBorders>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52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340" w:type="dxa"/>
            <w:vAlign w:val="bottom"/>
            <w:tcBorders>
              <w:top w:val="single" w:sz="8" w:color="auto"/>
            </w:tcBorders>
            <w:shd w:val="clear" w:color="auto" w:fill="CCEEFF"/>
          </w:tcPr>
          <w:p>
            <w:pPr>
              <w:spacing w:after="0"/>
              <w:rPr>
                <w:sz w:val="17"/>
                <w:szCs w:val="17"/>
                <w:color w:val="auto"/>
              </w:rPr>
            </w:pPr>
          </w:p>
        </w:tc>
        <w:tc>
          <w:tcPr>
            <w:tcW w:w="108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320" w:type="dxa"/>
            <w:vAlign w:val="bottom"/>
            <w:tcBorders>
              <w:top w:val="single" w:sz="8" w:color="auto"/>
            </w:tcBorders>
            <w:shd w:val="clear" w:color="auto" w:fill="CCEEFF"/>
          </w:tcPr>
          <w:p>
            <w:pPr>
              <w:spacing w:after="0"/>
              <w:rPr>
                <w:sz w:val="17"/>
                <w:szCs w:val="17"/>
                <w:color w:val="auto"/>
              </w:rPr>
            </w:pPr>
          </w:p>
        </w:tc>
        <w:tc>
          <w:tcPr>
            <w:tcW w:w="1100" w:type="dxa"/>
            <w:vAlign w:val="bottom"/>
            <w:tcBorders>
              <w:top w:val="single" w:sz="8" w:color="auto"/>
            </w:tcBorders>
            <w:shd w:val="clear" w:color="auto" w:fill="CCEEFF"/>
          </w:tcPr>
          <w:p>
            <w:pPr>
              <w:spacing w:after="0"/>
              <w:rPr>
                <w:sz w:val="17"/>
                <w:szCs w:val="17"/>
                <w:color w:val="auto"/>
              </w:rPr>
            </w:pPr>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360" w:type="dxa"/>
            <w:vAlign w:val="bottom"/>
            <w:tcBorders>
              <w:top w:val="single" w:sz="8" w:color="auto"/>
            </w:tcBorders>
            <w:shd w:val="clear" w:color="auto" w:fill="CCEEFF"/>
          </w:tcPr>
          <w:p>
            <w:pPr>
              <w:spacing w:after="0"/>
              <w:rPr>
                <w:sz w:val="4"/>
                <w:szCs w:val="4"/>
                <w:color w:val="auto"/>
              </w:rPr>
            </w:pPr>
          </w:p>
        </w:tc>
        <w:tc>
          <w:tcPr>
            <w:tcW w:w="5220" w:type="dxa"/>
            <w:vAlign w:val="bottom"/>
            <w:tcBorders>
              <w:top w:val="single" w:sz="8" w:color="CCEEFF"/>
            </w:tcBorders>
            <w:shd w:val="clear" w:color="auto" w:fill="CCEEFF"/>
          </w:tcPr>
          <w:p>
            <w:pPr>
              <w:spacing w:after="0"/>
              <w:rPr>
                <w:sz w:val="4"/>
                <w:szCs w:val="4"/>
                <w:color w:val="auto"/>
              </w:rPr>
            </w:pPr>
          </w:p>
        </w:tc>
        <w:tc>
          <w:tcPr>
            <w:tcW w:w="900" w:type="dxa"/>
            <w:vAlign w:val="bottom"/>
            <w:tcBorders>
              <w:top w:val="single" w:sz="8" w:color="CCEEFF"/>
            </w:tcBorders>
            <w:shd w:val="clear" w:color="auto" w:fill="CCEEFF"/>
          </w:tcPr>
          <w:p>
            <w:pPr>
              <w:spacing w:after="0"/>
              <w:rPr>
                <w:sz w:val="4"/>
                <w:szCs w:val="4"/>
                <w:color w:val="auto"/>
              </w:rPr>
            </w:pPr>
          </w:p>
        </w:tc>
        <w:tc>
          <w:tcPr>
            <w:tcW w:w="520" w:type="dxa"/>
            <w:vAlign w:val="bottom"/>
            <w:tcBorders>
              <w:top w:val="single" w:sz="8" w:color="CCEEFF"/>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340" w:type="dxa"/>
            <w:vAlign w:val="bottom"/>
            <w:tcBorders>
              <w:top w:val="single" w:sz="8" w:color="CCEEFF"/>
            </w:tcBorders>
            <w:shd w:val="clear" w:color="auto" w:fill="CCEEFF"/>
          </w:tcPr>
          <w:p>
            <w:pPr>
              <w:spacing w:after="0"/>
              <w:rPr>
                <w:sz w:val="4"/>
                <w:szCs w:val="4"/>
                <w:color w:val="auto"/>
              </w:rPr>
            </w:pPr>
          </w:p>
        </w:tc>
        <w:tc>
          <w:tcPr>
            <w:tcW w:w="108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320" w:type="dxa"/>
            <w:vAlign w:val="bottom"/>
            <w:tcBorders>
              <w:top w:val="single" w:sz="8" w:color="CCEEFF"/>
            </w:tcBorders>
            <w:shd w:val="clear" w:color="auto" w:fill="CCEEFF"/>
          </w:tcPr>
          <w:p>
            <w:pPr>
              <w:spacing w:after="0"/>
              <w:rPr>
                <w:sz w:val="4"/>
                <w:szCs w:val="4"/>
                <w:color w:val="auto"/>
              </w:rPr>
            </w:pPr>
          </w:p>
        </w:tc>
        <w:tc>
          <w:tcPr>
            <w:tcW w:w="1100" w:type="dxa"/>
            <w:vAlign w:val="bottom"/>
            <w:tcBorders>
              <w:top w:val="single" w:sz="8" w:color="CCEEFF"/>
            </w:tcBorders>
            <w:shd w:val="clear" w:color="auto" w:fill="CCEEFF"/>
          </w:tcPr>
          <w:p>
            <w:pPr>
              <w:spacing w:after="0"/>
              <w:rPr>
                <w:sz w:val="4"/>
                <w:szCs w:val="4"/>
                <w:color w:val="auto"/>
              </w:rPr>
            </w:pPr>
          </w:p>
        </w:tc>
      </w:tr>
      <w:tr>
        <w:trPr>
          <w:trHeight w:val="243"/>
        </w:trPr>
        <w:tc>
          <w:tcPr>
            <w:tcW w:w="5620" w:type="dxa"/>
            <w:vAlign w:val="bottom"/>
            <w:gridSpan w:val="3"/>
          </w:tcPr>
          <w:p>
            <w:pPr>
              <w:ind w:left="40"/>
              <w:spacing w:after="0"/>
              <w:rPr>
                <w:sz w:val="20"/>
                <w:szCs w:val="20"/>
                <w:color w:val="auto"/>
              </w:rPr>
            </w:pPr>
            <w:r>
              <w:rPr>
                <w:rFonts w:ascii="Arial" w:cs="Arial" w:eastAsia="Arial" w:hAnsi="Arial"/>
                <w:sz w:val="18"/>
                <w:szCs w:val="18"/>
                <w:color w:val="auto"/>
              </w:rPr>
              <w:t>First Quarter</w:t>
            </w:r>
          </w:p>
        </w:tc>
        <w:tc>
          <w:tcPr>
            <w:tcW w:w="900" w:type="dxa"/>
            <w:vAlign w:val="bottom"/>
          </w:tcPr>
          <w:p>
            <w:pPr>
              <w:jc w:val="right"/>
              <w:ind w:right="696"/>
              <w:spacing w:after="0"/>
              <w:rPr>
                <w:sz w:val="20"/>
                <w:szCs w:val="20"/>
                <w:color w:val="auto"/>
              </w:rPr>
            </w:pPr>
            <w:r>
              <w:rPr>
                <w:rFonts w:ascii="Arial" w:cs="Arial" w:eastAsia="Arial" w:hAnsi="Arial"/>
                <w:sz w:val="18"/>
                <w:szCs w:val="18"/>
                <w:color w:val="auto"/>
                <w:w w:val="99"/>
              </w:rPr>
              <w:t>$</w:t>
            </w:r>
          </w:p>
        </w:tc>
        <w:tc>
          <w:tcPr>
            <w:tcW w:w="520" w:type="dxa"/>
            <w:vAlign w:val="bottom"/>
          </w:tcPr>
          <w:p>
            <w:pPr>
              <w:jc w:val="right"/>
              <w:ind w:right="10"/>
              <w:spacing w:after="0"/>
              <w:rPr>
                <w:sz w:val="20"/>
                <w:szCs w:val="20"/>
                <w:color w:val="auto"/>
              </w:rPr>
            </w:pPr>
            <w:r>
              <w:rPr>
                <w:rFonts w:ascii="Arial" w:cs="Arial" w:eastAsia="Arial" w:hAnsi="Arial"/>
                <w:sz w:val="18"/>
                <w:szCs w:val="18"/>
                <w:color w:val="auto"/>
                <w:w w:val="88"/>
              </w:rPr>
              <w:t>47.78</w:t>
            </w:r>
          </w:p>
        </w:tc>
        <w:tc>
          <w:tcPr>
            <w:tcW w:w="120" w:type="dxa"/>
            <w:vAlign w:val="bottom"/>
          </w:tcPr>
          <w:p>
            <w:pPr>
              <w:spacing w:after="0"/>
              <w:rPr>
                <w:sz w:val="21"/>
                <w:szCs w:val="21"/>
                <w:color w:val="auto"/>
              </w:rPr>
            </w:pP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40.02</w:t>
            </w:r>
          </w:p>
        </w:tc>
        <w:tc>
          <w:tcPr>
            <w:tcW w:w="100" w:type="dxa"/>
            <w:vAlign w:val="bottom"/>
          </w:tcPr>
          <w:p>
            <w:pPr>
              <w:spacing w:after="0"/>
              <w:rPr>
                <w:sz w:val="21"/>
                <w:szCs w:val="21"/>
                <w:color w:val="auto"/>
              </w:rPr>
            </w:pP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12"/>
              <w:spacing w:after="0"/>
              <w:rPr>
                <w:sz w:val="20"/>
                <w:szCs w:val="20"/>
                <w:color w:val="auto"/>
              </w:rPr>
            </w:pPr>
            <w:r>
              <w:rPr>
                <w:rFonts w:ascii="Arial" w:cs="Arial" w:eastAsia="Arial" w:hAnsi="Arial"/>
                <w:sz w:val="18"/>
                <w:szCs w:val="18"/>
                <w:color w:val="auto"/>
              </w:rPr>
              <w:t>44.85</w:t>
            </w:r>
          </w:p>
        </w:tc>
      </w:tr>
      <w:tr>
        <w:trPr>
          <w:trHeight w:val="27"/>
        </w:trPr>
        <w:tc>
          <w:tcPr>
            <w:tcW w:w="40" w:type="dxa"/>
            <w:vAlign w:val="bottom"/>
          </w:tcPr>
          <w:p>
            <w:pPr>
              <w:spacing w:after="0"/>
              <w:rPr>
                <w:sz w:val="2"/>
                <w:szCs w:val="2"/>
                <w:color w:val="auto"/>
              </w:rPr>
            </w:pPr>
          </w:p>
        </w:tc>
        <w:tc>
          <w:tcPr>
            <w:tcW w:w="360" w:type="dxa"/>
            <w:vAlign w:val="bottom"/>
          </w:tcPr>
          <w:p>
            <w:pPr>
              <w:spacing w:after="0"/>
              <w:rPr>
                <w:sz w:val="2"/>
                <w:szCs w:val="2"/>
                <w:color w:val="auto"/>
              </w:rPr>
            </w:pPr>
          </w:p>
        </w:tc>
        <w:tc>
          <w:tcPr>
            <w:tcW w:w="5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562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Second Quarter</w:t>
            </w:r>
          </w:p>
        </w:tc>
        <w:tc>
          <w:tcPr>
            <w:tcW w:w="90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88"/>
              </w:rPr>
              <w:t>50.65</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43.65</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49.58</w:t>
            </w:r>
          </w:p>
        </w:tc>
      </w:tr>
      <w:tr>
        <w:trPr>
          <w:trHeight w:val="243"/>
        </w:trPr>
        <w:tc>
          <w:tcPr>
            <w:tcW w:w="5620" w:type="dxa"/>
            <w:vAlign w:val="bottom"/>
            <w:gridSpan w:val="3"/>
          </w:tcPr>
          <w:p>
            <w:pPr>
              <w:ind w:left="40"/>
              <w:spacing w:after="0"/>
              <w:rPr>
                <w:sz w:val="20"/>
                <w:szCs w:val="20"/>
                <w:color w:val="auto"/>
              </w:rPr>
            </w:pPr>
            <w:r>
              <w:rPr>
                <w:rFonts w:ascii="Arial" w:cs="Arial" w:eastAsia="Arial" w:hAnsi="Arial"/>
                <w:sz w:val="18"/>
                <w:szCs w:val="18"/>
                <w:color w:val="auto"/>
              </w:rPr>
              <w:t>Third Quarter</w:t>
            </w:r>
          </w:p>
        </w:tc>
        <w:tc>
          <w:tcPr>
            <w:tcW w:w="900" w:type="dxa"/>
            <w:vAlign w:val="bottom"/>
          </w:tcPr>
          <w:p>
            <w:pPr>
              <w:spacing w:after="0"/>
              <w:rPr>
                <w:sz w:val="21"/>
                <w:szCs w:val="21"/>
                <w:color w:val="auto"/>
              </w:rPr>
            </w:pPr>
          </w:p>
        </w:tc>
        <w:tc>
          <w:tcPr>
            <w:tcW w:w="520" w:type="dxa"/>
            <w:vAlign w:val="bottom"/>
          </w:tcPr>
          <w:p>
            <w:pPr>
              <w:jc w:val="right"/>
              <w:ind w:right="10"/>
              <w:spacing w:after="0"/>
              <w:rPr>
                <w:sz w:val="20"/>
                <w:szCs w:val="20"/>
                <w:color w:val="auto"/>
              </w:rPr>
            </w:pPr>
            <w:r>
              <w:rPr>
                <w:rFonts w:ascii="Arial" w:cs="Arial" w:eastAsia="Arial" w:hAnsi="Arial"/>
                <w:sz w:val="18"/>
                <w:szCs w:val="18"/>
                <w:color w:val="auto"/>
                <w:w w:val="88"/>
              </w:rPr>
              <w:t>51.64</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42.23</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00" w:type="dxa"/>
            <w:vAlign w:val="bottom"/>
          </w:tcPr>
          <w:p>
            <w:pPr>
              <w:jc w:val="right"/>
              <w:ind w:right="12"/>
              <w:spacing w:after="0"/>
              <w:rPr>
                <w:sz w:val="20"/>
                <w:szCs w:val="20"/>
                <w:color w:val="auto"/>
              </w:rPr>
            </w:pPr>
            <w:r>
              <w:rPr>
                <w:rFonts w:ascii="Arial" w:cs="Arial" w:eastAsia="Arial" w:hAnsi="Arial"/>
                <w:sz w:val="18"/>
                <w:szCs w:val="18"/>
                <w:color w:val="auto"/>
              </w:rPr>
              <w:t>43.56</w:t>
            </w:r>
          </w:p>
        </w:tc>
      </w:tr>
      <w:tr>
        <w:trPr>
          <w:trHeight w:val="27"/>
        </w:trPr>
        <w:tc>
          <w:tcPr>
            <w:tcW w:w="40" w:type="dxa"/>
            <w:vAlign w:val="bottom"/>
          </w:tcPr>
          <w:p>
            <w:pPr>
              <w:spacing w:after="0"/>
              <w:rPr>
                <w:sz w:val="2"/>
                <w:szCs w:val="2"/>
                <w:color w:val="auto"/>
              </w:rPr>
            </w:pPr>
          </w:p>
        </w:tc>
        <w:tc>
          <w:tcPr>
            <w:tcW w:w="360" w:type="dxa"/>
            <w:vAlign w:val="bottom"/>
          </w:tcPr>
          <w:p>
            <w:pPr>
              <w:spacing w:after="0"/>
              <w:rPr>
                <w:sz w:val="2"/>
                <w:szCs w:val="2"/>
                <w:color w:val="auto"/>
              </w:rPr>
            </w:pPr>
          </w:p>
        </w:tc>
        <w:tc>
          <w:tcPr>
            <w:tcW w:w="5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562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Fourth Quarter</w:t>
            </w:r>
          </w:p>
        </w:tc>
        <w:tc>
          <w:tcPr>
            <w:tcW w:w="90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88"/>
              </w:rPr>
              <w:t>50.69</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43.42</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48.66</w:t>
            </w:r>
          </w:p>
        </w:tc>
      </w:tr>
      <w:tr>
        <w:trPr>
          <w:trHeight w:val="203"/>
        </w:trPr>
        <w:tc>
          <w:tcPr>
            <w:tcW w:w="400" w:type="dxa"/>
            <w:vAlign w:val="bottom"/>
            <w:gridSpan w:val="2"/>
          </w:tcPr>
          <w:p>
            <w:pPr>
              <w:ind w:left="40"/>
              <w:spacing w:after="0" w:line="202" w:lineRule="exact"/>
              <w:rPr>
                <w:sz w:val="20"/>
                <w:szCs w:val="20"/>
                <w:color w:val="auto"/>
              </w:rPr>
            </w:pPr>
            <w:r>
              <w:rPr>
                <w:rFonts w:ascii="Arial" w:cs="Arial" w:eastAsia="Arial" w:hAnsi="Arial"/>
                <w:sz w:val="18"/>
                <w:szCs w:val="18"/>
                <w:b w:val="1"/>
                <w:bCs w:val="1"/>
                <w:color w:val="auto"/>
                <w:w w:val="84"/>
              </w:rPr>
              <w:t>2015</w:t>
            </w:r>
          </w:p>
        </w:tc>
        <w:tc>
          <w:tcPr>
            <w:tcW w:w="522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48"/>
        </w:trPr>
        <w:tc>
          <w:tcPr>
            <w:tcW w:w="4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5220" w:type="dxa"/>
            <w:vAlign w:val="bottom"/>
          </w:tcPr>
          <w:p>
            <w:pPr>
              <w:spacing w:after="0"/>
              <w:rPr>
                <w:sz w:val="4"/>
                <w:szCs w:val="4"/>
                <w:color w:val="auto"/>
              </w:rPr>
            </w:pPr>
          </w:p>
        </w:tc>
        <w:tc>
          <w:tcPr>
            <w:tcW w:w="900" w:type="dxa"/>
            <w:vAlign w:val="bottom"/>
          </w:tcPr>
          <w:p>
            <w:pPr>
              <w:spacing w:after="0"/>
              <w:rPr>
                <w:sz w:val="4"/>
                <w:szCs w:val="4"/>
                <w:color w:val="auto"/>
              </w:rPr>
            </w:pPr>
          </w:p>
        </w:tc>
        <w:tc>
          <w:tcPr>
            <w:tcW w:w="520" w:type="dxa"/>
            <w:vAlign w:val="bottom"/>
          </w:tcPr>
          <w:p>
            <w:pPr>
              <w:spacing w:after="0"/>
              <w:rPr>
                <w:sz w:val="4"/>
                <w:szCs w:val="4"/>
                <w:color w:val="auto"/>
              </w:rPr>
            </w:pPr>
          </w:p>
        </w:tc>
        <w:tc>
          <w:tcPr>
            <w:tcW w:w="120" w:type="dxa"/>
            <w:vAlign w:val="bottom"/>
          </w:tcPr>
          <w:p>
            <w:pPr>
              <w:spacing w:after="0"/>
              <w:rPr>
                <w:sz w:val="4"/>
                <w:szCs w:val="4"/>
                <w:color w:val="auto"/>
              </w:rPr>
            </w:pPr>
          </w:p>
        </w:tc>
        <w:tc>
          <w:tcPr>
            <w:tcW w:w="34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00" w:type="dxa"/>
            <w:vAlign w:val="bottom"/>
          </w:tcPr>
          <w:p>
            <w:pPr>
              <w:spacing w:after="0"/>
              <w:rPr>
                <w:sz w:val="4"/>
                <w:szCs w:val="4"/>
                <w:color w:val="auto"/>
              </w:rPr>
            </w:pPr>
          </w:p>
        </w:tc>
        <w:tc>
          <w:tcPr>
            <w:tcW w:w="320" w:type="dxa"/>
            <w:vAlign w:val="bottom"/>
          </w:tcPr>
          <w:p>
            <w:pPr>
              <w:spacing w:after="0"/>
              <w:rPr>
                <w:sz w:val="4"/>
                <w:szCs w:val="4"/>
                <w:color w:val="auto"/>
              </w:rPr>
            </w:pPr>
          </w:p>
        </w:tc>
        <w:tc>
          <w:tcPr>
            <w:tcW w:w="1100" w:type="dxa"/>
            <w:vAlign w:val="bottom"/>
          </w:tcPr>
          <w:p>
            <w:pPr>
              <w:spacing w:after="0"/>
              <w:rPr>
                <w:sz w:val="4"/>
                <w:szCs w:val="4"/>
                <w:color w:val="auto"/>
              </w:rPr>
            </w:pPr>
          </w:p>
        </w:tc>
      </w:tr>
      <w:tr>
        <w:trPr>
          <w:trHeight w:val="250"/>
        </w:trPr>
        <w:tc>
          <w:tcPr>
            <w:tcW w:w="562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First Quarter</w:t>
            </w:r>
          </w:p>
        </w:tc>
        <w:tc>
          <w:tcPr>
            <w:tcW w:w="900" w:type="dxa"/>
            <w:vAlign w:val="bottom"/>
            <w:tcBorders>
              <w:bottom w:val="single" w:sz="8" w:color="CCEEFF"/>
            </w:tcBorders>
            <w:shd w:val="clear" w:color="auto" w:fill="CCEEFF"/>
          </w:tcPr>
          <w:p>
            <w:pPr>
              <w:jc w:val="right"/>
              <w:ind w:right="696"/>
              <w:spacing w:after="0"/>
              <w:rPr>
                <w:sz w:val="20"/>
                <w:szCs w:val="20"/>
                <w:color w:val="auto"/>
              </w:rPr>
            </w:pPr>
            <w:r>
              <w:rPr>
                <w:rFonts w:ascii="Arial" w:cs="Arial" w:eastAsia="Arial" w:hAnsi="Arial"/>
                <w:sz w:val="18"/>
                <w:szCs w:val="18"/>
                <w:color w:val="auto"/>
                <w:w w:val="99"/>
              </w:rPr>
              <w:t>$</w:t>
            </w:r>
          </w:p>
        </w:tc>
        <w:tc>
          <w:tcPr>
            <w:tcW w:w="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88"/>
              </w:rPr>
              <w:t>58.18</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47.36</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56.72</w:t>
            </w:r>
          </w:p>
        </w:tc>
      </w:tr>
      <w:tr>
        <w:trPr>
          <w:trHeight w:val="243"/>
        </w:trPr>
        <w:tc>
          <w:tcPr>
            <w:tcW w:w="5620" w:type="dxa"/>
            <w:vAlign w:val="bottom"/>
            <w:gridSpan w:val="3"/>
          </w:tcPr>
          <w:p>
            <w:pPr>
              <w:ind w:left="40"/>
              <w:spacing w:after="0"/>
              <w:rPr>
                <w:sz w:val="20"/>
                <w:szCs w:val="20"/>
                <w:color w:val="auto"/>
              </w:rPr>
            </w:pPr>
            <w:r>
              <w:rPr>
                <w:rFonts w:ascii="Arial" w:cs="Arial" w:eastAsia="Arial" w:hAnsi="Arial"/>
                <w:sz w:val="18"/>
                <w:szCs w:val="18"/>
                <w:color w:val="auto"/>
              </w:rPr>
              <w:t>Second Quarter</w:t>
            </w:r>
          </w:p>
        </w:tc>
        <w:tc>
          <w:tcPr>
            <w:tcW w:w="900" w:type="dxa"/>
            <w:vAlign w:val="bottom"/>
          </w:tcPr>
          <w:p>
            <w:pPr>
              <w:spacing w:after="0"/>
              <w:rPr>
                <w:sz w:val="21"/>
                <w:szCs w:val="21"/>
                <w:color w:val="auto"/>
              </w:rPr>
            </w:pPr>
          </w:p>
        </w:tc>
        <w:tc>
          <w:tcPr>
            <w:tcW w:w="520" w:type="dxa"/>
            <w:vAlign w:val="bottom"/>
          </w:tcPr>
          <w:p>
            <w:pPr>
              <w:jc w:val="right"/>
              <w:ind w:right="10"/>
              <w:spacing w:after="0"/>
              <w:rPr>
                <w:sz w:val="20"/>
                <w:szCs w:val="20"/>
                <w:color w:val="auto"/>
              </w:rPr>
            </w:pPr>
            <w:r>
              <w:rPr>
                <w:rFonts w:ascii="Arial" w:cs="Arial" w:eastAsia="Arial" w:hAnsi="Arial"/>
                <w:sz w:val="18"/>
                <w:szCs w:val="18"/>
                <w:color w:val="auto"/>
                <w:w w:val="88"/>
              </w:rPr>
              <w:t>56.86</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50.57</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00" w:type="dxa"/>
            <w:vAlign w:val="bottom"/>
          </w:tcPr>
          <w:p>
            <w:pPr>
              <w:jc w:val="right"/>
              <w:ind w:right="12"/>
              <w:spacing w:after="0"/>
              <w:rPr>
                <w:sz w:val="20"/>
                <w:szCs w:val="20"/>
                <w:color w:val="auto"/>
              </w:rPr>
            </w:pPr>
            <w:r>
              <w:rPr>
                <w:rFonts w:ascii="Arial" w:cs="Arial" w:eastAsia="Arial" w:hAnsi="Arial"/>
                <w:sz w:val="18"/>
                <w:szCs w:val="18"/>
                <w:color w:val="auto"/>
              </w:rPr>
              <w:t>53.50</w:t>
            </w:r>
          </w:p>
        </w:tc>
      </w:tr>
      <w:tr>
        <w:trPr>
          <w:trHeight w:val="27"/>
        </w:trPr>
        <w:tc>
          <w:tcPr>
            <w:tcW w:w="40" w:type="dxa"/>
            <w:vAlign w:val="bottom"/>
          </w:tcPr>
          <w:p>
            <w:pPr>
              <w:spacing w:after="0"/>
              <w:rPr>
                <w:sz w:val="2"/>
                <w:szCs w:val="2"/>
                <w:color w:val="auto"/>
              </w:rPr>
            </w:pPr>
          </w:p>
        </w:tc>
        <w:tc>
          <w:tcPr>
            <w:tcW w:w="360" w:type="dxa"/>
            <w:vAlign w:val="bottom"/>
          </w:tcPr>
          <w:p>
            <w:pPr>
              <w:spacing w:after="0"/>
              <w:rPr>
                <w:sz w:val="2"/>
                <w:szCs w:val="2"/>
                <w:color w:val="auto"/>
              </w:rPr>
            </w:pPr>
          </w:p>
        </w:tc>
        <w:tc>
          <w:tcPr>
            <w:tcW w:w="5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562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Third Quarter</w:t>
            </w:r>
          </w:p>
        </w:tc>
        <w:tc>
          <w:tcPr>
            <w:tcW w:w="90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88"/>
              </w:rPr>
              <w:t>63.19</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47.85</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58.43</w:t>
            </w:r>
          </w:p>
        </w:tc>
      </w:tr>
      <w:tr>
        <w:trPr>
          <w:trHeight w:val="243"/>
        </w:trPr>
        <w:tc>
          <w:tcPr>
            <w:tcW w:w="5620" w:type="dxa"/>
            <w:vAlign w:val="bottom"/>
            <w:gridSpan w:val="3"/>
          </w:tcPr>
          <w:p>
            <w:pPr>
              <w:ind w:left="40"/>
              <w:spacing w:after="0"/>
              <w:rPr>
                <w:sz w:val="20"/>
                <w:szCs w:val="20"/>
                <w:color w:val="auto"/>
              </w:rPr>
            </w:pPr>
            <w:r>
              <w:rPr>
                <w:rFonts w:ascii="Arial" w:cs="Arial" w:eastAsia="Arial" w:hAnsi="Arial"/>
                <w:sz w:val="18"/>
                <w:szCs w:val="18"/>
                <w:color w:val="auto"/>
              </w:rPr>
              <w:t>Fourth Quarter</w:t>
            </w:r>
          </w:p>
        </w:tc>
        <w:tc>
          <w:tcPr>
            <w:tcW w:w="900" w:type="dxa"/>
            <w:vAlign w:val="bottom"/>
          </w:tcPr>
          <w:p>
            <w:pPr>
              <w:spacing w:after="0"/>
              <w:rPr>
                <w:sz w:val="21"/>
                <w:szCs w:val="21"/>
                <w:color w:val="auto"/>
              </w:rPr>
            </w:pPr>
          </w:p>
        </w:tc>
        <w:tc>
          <w:tcPr>
            <w:tcW w:w="520" w:type="dxa"/>
            <w:vAlign w:val="bottom"/>
          </w:tcPr>
          <w:p>
            <w:pPr>
              <w:jc w:val="right"/>
              <w:ind w:right="10"/>
              <w:spacing w:after="0"/>
              <w:rPr>
                <w:sz w:val="20"/>
                <w:szCs w:val="20"/>
                <w:color w:val="auto"/>
              </w:rPr>
            </w:pPr>
            <w:r>
              <w:rPr>
                <w:rFonts w:ascii="Arial" w:cs="Arial" w:eastAsia="Arial" w:hAnsi="Arial"/>
                <w:sz w:val="18"/>
                <w:szCs w:val="18"/>
                <w:color w:val="auto"/>
                <w:w w:val="88"/>
              </w:rPr>
              <w:t>61.06</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49.00</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00" w:type="dxa"/>
            <w:vAlign w:val="bottom"/>
          </w:tcPr>
          <w:p>
            <w:pPr>
              <w:jc w:val="right"/>
              <w:ind w:right="12"/>
              <w:spacing w:after="0"/>
              <w:rPr>
                <w:sz w:val="20"/>
                <w:szCs w:val="20"/>
                <w:color w:val="auto"/>
              </w:rPr>
            </w:pPr>
            <w:r>
              <w:rPr>
                <w:rFonts w:ascii="Arial" w:cs="Arial" w:eastAsia="Arial" w:hAnsi="Arial"/>
                <w:sz w:val="18"/>
                <w:szCs w:val="18"/>
                <w:color w:val="auto"/>
              </w:rPr>
              <w:t>52.50</w:t>
            </w:r>
          </w:p>
        </w:tc>
      </w:tr>
    </w:tbl>
    <w:p>
      <w:pPr>
        <w:spacing w:after="0" w:line="121" w:lineRule="exact"/>
        <w:rPr>
          <w:sz w:val="20"/>
          <w:szCs w:val="20"/>
          <w:color w:val="auto"/>
        </w:rPr>
      </w:pPr>
    </w:p>
    <w:p>
      <w:pPr>
        <w:ind w:right="120"/>
        <w:spacing w:after="0" w:line="264" w:lineRule="auto"/>
        <w:rPr>
          <w:sz w:val="20"/>
          <w:szCs w:val="20"/>
          <w:color w:val="auto"/>
        </w:rPr>
      </w:pPr>
      <w:r>
        <w:rPr>
          <w:rFonts w:ascii="Arial" w:cs="Arial" w:eastAsia="Arial" w:hAnsi="Arial"/>
          <w:sz w:val="18"/>
          <w:szCs w:val="18"/>
          <w:color w:val="auto"/>
        </w:rPr>
        <w:t>As of March 1, 2016, there were approximately 168 record holders of the Company’s common stock. The Company stock account within our 401(k) plan is considered one record holder for the purposes of this calculation. We have not paid cash dividends and currently intend to retain any earnings to further develop and grow our business.</w:t>
      </w: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- 32 -</w:t>
      </w:r>
    </w:p>
    <w:p>
      <w:pPr>
        <w:sectPr>
          <w:pgSz w:w="11900" w:h="16838" w:orient="portrait"/>
          <w:cols w:equalWidth="0" w:num="1">
            <w:col w:w="11360"/>
          </w:cols>
          <w:pgMar w:left="240" w:top="796" w:right="299" w:bottom="1440" w:gutter="0" w:footer="0" w:header="0"/>
        </w:sectPr>
      </w:pPr>
    </w:p>
    <w:bookmarkStart w:id="33" w:name="page34"/>
    <w:bookmarkEnd w:id="33"/>
    <w:p>
      <w:pPr>
        <w:spacing w:after="0"/>
        <w:rPr>
          <w:sz w:val="20"/>
          <w:szCs w:val="20"/>
          <w:color w:val="auto"/>
        </w:rPr>
      </w:pPr>
      <w:r>
        <w:rPr>
          <w:rFonts w:ascii="Arial" w:cs="Arial" w:eastAsia="Arial" w:hAnsi="Arial"/>
          <w:sz w:val="18"/>
          <w:szCs w:val="18"/>
          <w:b w:val="1"/>
          <w:bCs w:val="1"/>
          <w:color w:val="auto"/>
        </w:rPr>
        <w:t>PERFORMANCE GRAPH</w:t>
      </w:r>
    </w:p>
    <w:p>
      <w:pPr>
        <w:spacing w:after="0" w:line="229"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 xml:space="preserve">The following graph compares, for the five year period ended January 1, 2016, the cumulative total stockholder return for Greatbatch, Inc., the S&amp;P SmallCap 600 Index, and the Hemscott Peer Group Index. The Hemscott Peer Group Index includes approximately 133 comparable companies included in the Hemscott Industry Group 520 </w:t>
      </w:r>
      <w:r>
        <w:rPr>
          <w:rFonts w:ascii="Arial" w:cs="Arial" w:eastAsia="Arial" w:hAnsi="Arial"/>
          <w:sz w:val="18"/>
          <w:szCs w:val="18"/>
          <w:i w:val="1"/>
          <w:iCs w:val="1"/>
          <w:color w:val="auto"/>
        </w:rPr>
        <w:t>Medical Instruments &amp; Supplies</w:t>
      </w:r>
      <w:r>
        <w:rPr>
          <w:rFonts w:ascii="Arial" w:cs="Arial" w:eastAsia="Arial" w:hAnsi="Arial"/>
          <w:sz w:val="18"/>
          <w:szCs w:val="18"/>
          <w:color w:val="auto"/>
        </w:rPr>
        <w:t xml:space="preserve"> and 521 </w:t>
      </w:r>
      <w:r>
        <w:rPr>
          <w:rFonts w:ascii="Arial" w:cs="Arial" w:eastAsia="Arial" w:hAnsi="Arial"/>
          <w:sz w:val="18"/>
          <w:szCs w:val="18"/>
          <w:i w:val="1"/>
          <w:iCs w:val="1"/>
          <w:color w:val="auto"/>
        </w:rPr>
        <w:t>Medical Appliances &amp; Equipment</w:t>
      </w:r>
      <w:r>
        <w:rPr>
          <w:rFonts w:ascii="Arial" w:cs="Arial" w:eastAsia="Arial" w:hAnsi="Arial"/>
          <w:sz w:val="18"/>
          <w:szCs w:val="18"/>
          <w:color w:val="auto"/>
        </w:rPr>
        <w:t>. The graph assumes that $100 was invested on December 31, 2010 and assumes reinvestment of dividends. The stock price performance shown on the following graph is not necessarily indicative of future price performance.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300355</wp:posOffset>
            </wp:positionV>
            <wp:extent cx="5866130" cy="319849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866130" cy="319849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880" w:type="dxa"/>
            <w:vAlign w:val="bottom"/>
            <w:gridSpan w:val="2"/>
          </w:tcPr>
          <w:p>
            <w:pPr>
              <w:ind w:left="40"/>
              <w:spacing w:after="0"/>
              <w:rPr>
                <w:sz w:val="20"/>
                <w:szCs w:val="20"/>
                <w:color w:val="auto"/>
              </w:rPr>
            </w:pPr>
            <w:r>
              <w:rPr>
                <w:rFonts w:ascii="Arial" w:cs="Arial" w:eastAsia="Arial" w:hAnsi="Arial"/>
                <w:sz w:val="18"/>
                <w:szCs w:val="18"/>
                <w:b w:val="1"/>
                <w:bCs w:val="1"/>
                <w:color w:val="auto"/>
              </w:rPr>
              <w:t>Company/Index</w:t>
            </w:r>
          </w:p>
        </w:tc>
        <w:tc>
          <w:tcPr>
            <w:tcW w:w="180" w:type="dxa"/>
            <w:vAlign w:val="bottom"/>
          </w:tcPr>
          <w:p>
            <w:pPr>
              <w:spacing w:after="0"/>
              <w:rPr>
                <w:sz w:val="20"/>
                <w:szCs w:val="20"/>
                <w:color w:val="auto"/>
              </w:rPr>
            </w:pPr>
          </w:p>
        </w:tc>
        <w:tc>
          <w:tcPr>
            <w:tcW w:w="1040" w:type="dxa"/>
            <w:vAlign w:val="bottom"/>
          </w:tcPr>
          <w:p>
            <w:pPr>
              <w:jc w:val="right"/>
              <w:ind w:right="90"/>
              <w:spacing w:after="0"/>
              <w:rPr>
                <w:sz w:val="20"/>
                <w:szCs w:val="20"/>
                <w:color w:val="auto"/>
              </w:rPr>
            </w:pPr>
            <w:r>
              <w:rPr>
                <w:rFonts w:ascii="Arial" w:cs="Arial" w:eastAsia="Arial" w:hAnsi="Arial"/>
                <w:sz w:val="18"/>
                <w:szCs w:val="18"/>
                <w:b w:val="1"/>
                <w:bCs w:val="1"/>
                <w:color w:val="auto"/>
                <w:w w:val="93"/>
              </w:rPr>
              <w:t>12/31/2010</w:t>
            </w:r>
          </w:p>
        </w:tc>
        <w:tc>
          <w:tcPr>
            <w:tcW w:w="220" w:type="dxa"/>
            <w:vAlign w:val="bottom"/>
          </w:tcPr>
          <w:p>
            <w:pPr>
              <w:spacing w:after="0"/>
              <w:rPr>
                <w:sz w:val="20"/>
                <w:szCs w:val="20"/>
                <w:color w:val="auto"/>
              </w:rPr>
            </w:pPr>
          </w:p>
        </w:tc>
        <w:tc>
          <w:tcPr>
            <w:tcW w:w="1040" w:type="dxa"/>
            <w:vAlign w:val="bottom"/>
          </w:tcPr>
          <w:p>
            <w:pPr>
              <w:jc w:val="right"/>
              <w:ind w:right="90"/>
              <w:spacing w:after="0"/>
              <w:rPr>
                <w:sz w:val="20"/>
                <w:szCs w:val="20"/>
                <w:color w:val="auto"/>
              </w:rPr>
            </w:pPr>
            <w:r>
              <w:rPr>
                <w:rFonts w:ascii="Arial" w:cs="Arial" w:eastAsia="Arial" w:hAnsi="Arial"/>
                <w:sz w:val="18"/>
                <w:szCs w:val="18"/>
                <w:b w:val="1"/>
                <w:bCs w:val="1"/>
                <w:color w:val="auto"/>
                <w:w w:val="93"/>
              </w:rPr>
              <w:t>12/30/2011</w:t>
            </w:r>
          </w:p>
        </w:tc>
        <w:tc>
          <w:tcPr>
            <w:tcW w:w="200" w:type="dxa"/>
            <w:vAlign w:val="bottom"/>
          </w:tcPr>
          <w:p>
            <w:pPr>
              <w:spacing w:after="0"/>
              <w:rPr>
                <w:sz w:val="20"/>
                <w:szCs w:val="20"/>
                <w:color w:val="auto"/>
              </w:rPr>
            </w:pPr>
          </w:p>
        </w:tc>
        <w:tc>
          <w:tcPr>
            <w:tcW w:w="1060" w:type="dxa"/>
            <w:vAlign w:val="bottom"/>
          </w:tcPr>
          <w:p>
            <w:pPr>
              <w:jc w:val="right"/>
              <w:ind w:right="90"/>
              <w:spacing w:after="0"/>
              <w:rPr>
                <w:sz w:val="20"/>
                <w:szCs w:val="20"/>
                <w:color w:val="auto"/>
              </w:rPr>
            </w:pPr>
            <w:r>
              <w:rPr>
                <w:rFonts w:ascii="Arial" w:cs="Arial" w:eastAsia="Arial" w:hAnsi="Arial"/>
                <w:sz w:val="18"/>
                <w:szCs w:val="18"/>
                <w:b w:val="1"/>
                <w:bCs w:val="1"/>
                <w:color w:val="auto"/>
                <w:w w:val="95"/>
              </w:rPr>
              <w:t>12/28/2012</w:t>
            </w:r>
          </w:p>
        </w:tc>
        <w:tc>
          <w:tcPr>
            <w:tcW w:w="240" w:type="dxa"/>
            <w:vAlign w:val="bottom"/>
          </w:tcPr>
          <w:p>
            <w:pPr>
              <w:spacing w:after="0"/>
              <w:rPr>
                <w:sz w:val="20"/>
                <w:szCs w:val="20"/>
                <w:color w:val="auto"/>
              </w:rPr>
            </w:pPr>
          </w:p>
        </w:tc>
        <w:tc>
          <w:tcPr>
            <w:tcW w:w="1000" w:type="dxa"/>
            <w:vAlign w:val="bottom"/>
          </w:tcPr>
          <w:p>
            <w:pPr>
              <w:jc w:val="right"/>
              <w:ind w:right="170"/>
              <w:spacing w:after="0"/>
              <w:rPr>
                <w:sz w:val="20"/>
                <w:szCs w:val="20"/>
                <w:color w:val="auto"/>
              </w:rPr>
            </w:pPr>
            <w:r>
              <w:rPr>
                <w:rFonts w:ascii="Arial" w:cs="Arial" w:eastAsia="Arial" w:hAnsi="Arial"/>
                <w:sz w:val="18"/>
                <w:szCs w:val="18"/>
                <w:b w:val="1"/>
                <w:bCs w:val="1"/>
                <w:color w:val="auto"/>
              </w:rPr>
              <w:t>1/3/2014</w:t>
            </w:r>
          </w:p>
        </w:tc>
        <w:tc>
          <w:tcPr>
            <w:tcW w:w="260" w:type="dxa"/>
            <w:vAlign w:val="bottom"/>
          </w:tcPr>
          <w:p>
            <w:pPr>
              <w:spacing w:after="0"/>
              <w:rPr>
                <w:sz w:val="20"/>
                <w:szCs w:val="20"/>
                <w:color w:val="auto"/>
              </w:rPr>
            </w:pPr>
          </w:p>
        </w:tc>
        <w:tc>
          <w:tcPr>
            <w:tcW w:w="1000" w:type="dxa"/>
            <w:vAlign w:val="bottom"/>
          </w:tcPr>
          <w:p>
            <w:pPr>
              <w:jc w:val="right"/>
              <w:ind w:right="170"/>
              <w:spacing w:after="0"/>
              <w:rPr>
                <w:sz w:val="20"/>
                <w:szCs w:val="20"/>
                <w:color w:val="auto"/>
              </w:rPr>
            </w:pPr>
            <w:r>
              <w:rPr>
                <w:rFonts w:ascii="Arial" w:cs="Arial" w:eastAsia="Arial" w:hAnsi="Arial"/>
                <w:sz w:val="18"/>
                <w:szCs w:val="18"/>
                <w:b w:val="1"/>
                <w:bCs w:val="1"/>
                <w:color w:val="auto"/>
              </w:rPr>
              <w:t>1/2/2015</w:t>
            </w:r>
          </w:p>
        </w:tc>
        <w:tc>
          <w:tcPr>
            <w:tcW w:w="260" w:type="dxa"/>
            <w:vAlign w:val="bottom"/>
          </w:tcPr>
          <w:p>
            <w:pPr>
              <w:spacing w:after="0"/>
              <w:rPr>
                <w:sz w:val="20"/>
                <w:szCs w:val="20"/>
                <w:color w:val="auto"/>
              </w:rPr>
            </w:pPr>
          </w:p>
        </w:tc>
        <w:tc>
          <w:tcPr>
            <w:tcW w:w="1040" w:type="dxa"/>
            <w:vAlign w:val="bottom"/>
          </w:tcPr>
          <w:p>
            <w:pPr>
              <w:jc w:val="right"/>
              <w:ind w:right="210"/>
              <w:spacing w:after="0"/>
              <w:rPr>
                <w:sz w:val="20"/>
                <w:szCs w:val="20"/>
                <w:color w:val="auto"/>
              </w:rPr>
            </w:pPr>
            <w:r>
              <w:rPr>
                <w:rFonts w:ascii="Arial" w:cs="Arial" w:eastAsia="Arial" w:hAnsi="Arial"/>
                <w:sz w:val="18"/>
                <w:szCs w:val="18"/>
                <w:b w:val="1"/>
                <w:bCs w:val="1"/>
                <w:color w:val="auto"/>
              </w:rPr>
              <w:t>1/1/2016</w:t>
            </w:r>
          </w:p>
        </w:tc>
      </w:tr>
      <w:tr>
        <w:trPr>
          <w:trHeight w:val="27"/>
        </w:trPr>
        <w:tc>
          <w:tcPr>
            <w:tcW w:w="366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115"/>
        </w:trPr>
        <w:tc>
          <w:tcPr>
            <w:tcW w:w="36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1040" w:type="dxa"/>
            <w:vAlign w:val="bottom"/>
          </w:tcPr>
          <w:p>
            <w:pPr>
              <w:spacing w:after="0"/>
              <w:rPr>
                <w:sz w:val="10"/>
                <w:szCs w:val="10"/>
                <w:color w:val="auto"/>
              </w:rPr>
            </w:pPr>
          </w:p>
        </w:tc>
      </w:tr>
      <w:tr>
        <w:trPr>
          <w:trHeight w:val="250"/>
        </w:trPr>
        <w:tc>
          <w:tcPr>
            <w:tcW w:w="38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Greatbatch, Inc.</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100.00</w:t>
            </w:r>
          </w:p>
        </w:tc>
        <w:tc>
          <w:tcPr>
            <w:tcW w:w="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91.51</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94.78</w:t>
            </w:r>
          </w:p>
        </w:tc>
        <w:tc>
          <w:tcPr>
            <w:tcW w:w="2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181.37</w:t>
            </w:r>
          </w:p>
        </w:tc>
        <w:tc>
          <w:tcPr>
            <w:tcW w:w="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201.49</w:t>
            </w:r>
          </w:p>
        </w:tc>
        <w:tc>
          <w:tcPr>
            <w:tcW w:w="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217.39</w:t>
            </w:r>
          </w:p>
        </w:tc>
      </w:tr>
      <w:tr>
        <w:trPr>
          <w:trHeight w:val="243"/>
        </w:trPr>
        <w:tc>
          <w:tcPr>
            <w:tcW w:w="3880" w:type="dxa"/>
            <w:vAlign w:val="bottom"/>
            <w:gridSpan w:val="2"/>
          </w:tcPr>
          <w:p>
            <w:pPr>
              <w:ind w:left="40"/>
              <w:spacing w:after="0"/>
              <w:rPr>
                <w:sz w:val="20"/>
                <w:szCs w:val="20"/>
                <w:color w:val="auto"/>
              </w:rPr>
            </w:pPr>
            <w:r>
              <w:rPr>
                <w:rFonts w:ascii="Arial" w:cs="Arial" w:eastAsia="Arial" w:hAnsi="Arial"/>
                <w:sz w:val="18"/>
                <w:szCs w:val="18"/>
                <w:b w:val="1"/>
                <w:bCs w:val="1"/>
                <w:color w:val="auto"/>
              </w:rPr>
              <w:t>S&amp;P Smallcap 600</w:t>
            </w:r>
          </w:p>
        </w:tc>
        <w:tc>
          <w:tcPr>
            <w:tcW w:w="18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100.00</w:t>
            </w:r>
          </w:p>
        </w:tc>
        <w:tc>
          <w:tcPr>
            <w:tcW w:w="2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101.02</w:t>
            </w:r>
          </w:p>
        </w:tc>
        <w:tc>
          <w:tcPr>
            <w:tcW w:w="2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117.51</w:t>
            </w:r>
          </w:p>
        </w:tc>
        <w:tc>
          <w:tcPr>
            <w:tcW w:w="24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166.05</w:t>
            </w:r>
          </w:p>
        </w:tc>
        <w:tc>
          <w:tcPr>
            <w:tcW w:w="26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175.61</w:t>
            </w:r>
          </w:p>
        </w:tc>
        <w:tc>
          <w:tcPr>
            <w:tcW w:w="260" w:type="dxa"/>
            <w:vAlign w:val="bottom"/>
          </w:tcPr>
          <w:p>
            <w:pPr>
              <w:spacing w:after="0"/>
              <w:rPr>
                <w:sz w:val="21"/>
                <w:szCs w:val="21"/>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172.14</w:t>
            </w:r>
          </w:p>
        </w:tc>
      </w:tr>
      <w:tr>
        <w:trPr>
          <w:trHeight w:val="27"/>
        </w:trPr>
        <w:tc>
          <w:tcPr>
            <w:tcW w:w="36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38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Hemscott Peer Group Index</w:t>
            </w: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100.00</w:t>
            </w:r>
          </w:p>
        </w:tc>
        <w:tc>
          <w:tcPr>
            <w:tcW w:w="2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103.76</w:t>
            </w: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119.22</w:t>
            </w:r>
          </w:p>
        </w:tc>
        <w:tc>
          <w:tcPr>
            <w:tcW w:w="2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156.42</w:t>
            </w:r>
          </w:p>
        </w:tc>
        <w:tc>
          <w:tcPr>
            <w:tcW w:w="26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187.48</w:t>
            </w:r>
          </w:p>
        </w:tc>
        <w:tc>
          <w:tcPr>
            <w:tcW w:w="26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200.34</w:t>
            </w:r>
          </w:p>
        </w:tc>
      </w:tr>
      <w:tr>
        <w:trPr>
          <w:trHeight w:val="756"/>
        </w:trPr>
        <w:tc>
          <w:tcPr>
            <w:tcW w:w="36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40" w:type="dxa"/>
            <w:vAlign w:val="bottom"/>
          </w:tcPr>
          <w:p>
            <w:pPr>
              <w:jc w:val="right"/>
              <w:ind w:right="370"/>
              <w:spacing w:after="0"/>
              <w:rPr>
                <w:sz w:val="20"/>
                <w:szCs w:val="20"/>
                <w:color w:val="auto"/>
              </w:rPr>
            </w:pPr>
            <w:r>
              <w:rPr>
                <w:rFonts w:ascii="Arial" w:cs="Arial" w:eastAsia="Arial" w:hAnsi="Arial"/>
                <w:sz w:val="18"/>
                <w:szCs w:val="18"/>
                <w:color w:val="auto"/>
              </w:rPr>
              <w:t>- 33 -</w:t>
            </w:r>
          </w:p>
        </w:tc>
        <w:tc>
          <w:tcPr>
            <w:tcW w:w="2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40" w:type="dxa"/>
            <w:vAlign w:val="bottom"/>
          </w:tcPr>
          <w:p>
            <w:pPr>
              <w:spacing w:after="0"/>
              <w:rPr>
                <w:sz w:val="24"/>
                <w:szCs w:val="24"/>
                <w:color w:val="auto"/>
              </w:rPr>
            </w:pPr>
          </w:p>
        </w:tc>
      </w:tr>
    </w:tbl>
    <w:p>
      <w:pPr>
        <w:sectPr>
          <w:pgSz w:w="11900" w:h="16838" w:orient="portrait"/>
          <w:cols w:equalWidth="0" w:num="1">
            <w:col w:w="11420"/>
          </w:cols>
          <w:pgMar w:left="240" w:top="904" w:right="239" w:bottom="1440" w:gutter="0" w:footer="0" w:header="0"/>
        </w:sectPr>
      </w:pPr>
    </w:p>
    <w:bookmarkStart w:id="34" w:name="page35"/>
    <w:bookmarkEnd w:id="34"/>
    <w:p>
      <w:pPr>
        <w:ind w:left="40"/>
        <w:spacing w:after="0"/>
        <w:tabs>
          <w:tab w:leader="none" w:pos="100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8"/>
          <w:szCs w:val="18"/>
          <w:b w:val="1"/>
          <w:bCs w:val="1"/>
          <w:color w:val="auto"/>
        </w:rPr>
        <w:t>SELECTED FINANCIAL DATA</w:t>
      </w:r>
    </w:p>
    <w:p>
      <w:pPr>
        <w:spacing w:after="0" w:line="148" w:lineRule="exact"/>
        <w:rPr>
          <w:sz w:val="20"/>
          <w:szCs w:val="20"/>
          <w:color w:val="auto"/>
        </w:rPr>
      </w:pPr>
    </w:p>
    <w:p>
      <w:pPr>
        <w:jc w:val="both"/>
        <w:ind w:right="140"/>
        <w:spacing w:after="0" w:line="259" w:lineRule="auto"/>
        <w:rPr>
          <w:sz w:val="20"/>
          <w:szCs w:val="20"/>
          <w:color w:val="auto"/>
        </w:rPr>
      </w:pPr>
      <w:r>
        <w:rPr>
          <w:rFonts w:ascii="Arial" w:cs="Arial" w:eastAsia="Arial" w:hAnsi="Arial"/>
          <w:sz w:val="18"/>
          <w:szCs w:val="18"/>
          <w:color w:val="auto"/>
        </w:rPr>
        <w:t>The following table provides selected financial data for the periods indicated. You should read this data along with Item 7 “Management’s Discussion and Analysis of Financial Condition and Results of Operations” and Item 8 “Financial Statements and Supplementary Data” appearing elsewhere in this report. The consolidated statement of operations data and the consolidated balance sheet data for the fiscal years indicated have been derived from our consolidated financial statements and related notes (in thousands, except per share amounts):</w:t>
      </w:r>
    </w:p>
    <w:p>
      <w:pPr>
        <w:spacing w:after="0" w:line="233" w:lineRule="exact"/>
        <w:rPr>
          <w:sz w:val="20"/>
          <w:szCs w:val="20"/>
          <w:color w:val="auto"/>
        </w:rPr>
      </w:pPr>
    </w:p>
    <w:tbl>
      <w:tblPr>
        <w:tblLayout w:type="fixed"/>
        <w:tblInd w:w="400" w:type="dxa"/>
        <w:tblCellMar>
          <w:top w:w="0" w:type="dxa"/>
          <w:left w:w="0" w:type="dxa"/>
          <w:bottom w:w="0" w:type="dxa"/>
          <w:right w:w="0" w:type="dxa"/>
        </w:tblCellMar>
      </w:tblPr>
      <w:tr>
        <w:trPr>
          <w:trHeight w:val="192"/>
        </w:trPr>
        <w:tc>
          <w:tcPr>
            <w:tcW w:w="20" w:type="dxa"/>
            <w:vAlign w:val="bottom"/>
          </w:tcPr>
          <w:p>
            <w:pPr>
              <w:spacing w:after="0"/>
              <w:rPr>
                <w:sz w:val="16"/>
                <w:szCs w:val="16"/>
                <w:color w:val="auto"/>
              </w:rPr>
            </w:pPr>
          </w:p>
        </w:tc>
        <w:tc>
          <w:tcPr>
            <w:tcW w:w="14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18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gridSpan w:val="2"/>
          </w:tcPr>
          <w:p>
            <w:pPr>
              <w:jc w:val="center"/>
              <w:ind w:right="280"/>
              <w:spacing w:after="0"/>
              <w:rPr>
                <w:sz w:val="20"/>
                <w:szCs w:val="20"/>
                <w:color w:val="auto"/>
              </w:rPr>
            </w:pPr>
            <w:r>
              <w:rPr>
                <w:rFonts w:ascii="Arial" w:cs="Arial" w:eastAsia="Arial" w:hAnsi="Arial"/>
                <w:sz w:val="14"/>
                <w:szCs w:val="14"/>
                <w:b w:val="1"/>
                <w:bCs w:val="1"/>
                <w:color w:val="auto"/>
                <w:w w:val="91"/>
              </w:rPr>
              <w:t>Years Ended</w:t>
            </w:r>
          </w:p>
        </w:tc>
        <w:tc>
          <w:tcPr>
            <w:tcW w:w="1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r>
      <w:tr>
        <w:trPr>
          <w:trHeight w:val="215"/>
        </w:trPr>
        <w:tc>
          <w:tcPr>
            <w:tcW w:w="2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00" w:type="dxa"/>
            <w:vAlign w:val="bottom"/>
            <w:gridSpan w:val="2"/>
          </w:tcPr>
          <w:p>
            <w:pPr>
              <w:ind w:left="180"/>
              <w:spacing w:after="0"/>
              <w:rPr>
                <w:sz w:val="20"/>
                <w:szCs w:val="20"/>
                <w:color w:val="auto"/>
              </w:rPr>
            </w:pPr>
            <w:r>
              <w:rPr>
                <w:rFonts w:ascii="Arial" w:cs="Arial" w:eastAsia="Arial" w:hAnsi="Arial"/>
                <w:sz w:val="16"/>
                <w:szCs w:val="16"/>
                <w:b w:val="1"/>
                <w:bCs w:val="1"/>
                <w:color w:val="auto"/>
              </w:rPr>
              <w:t>Jan. 1</w:t>
            </w:r>
          </w:p>
        </w:tc>
        <w:tc>
          <w:tcPr>
            <w:tcW w:w="180" w:type="dxa"/>
            <w:vAlign w:val="bottom"/>
          </w:tcPr>
          <w:p>
            <w:pPr>
              <w:spacing w:after="0"/>
              <w:rPr>
                <w:sz w:val="18"/>
                <w:szCs w:val="18"/>
                <w:color w:val="auto"/>
              </w:rPr>
            </w:pPr>
          </w:p>
        </w:tc>
        <w:tc>
          <w:tcPr>
            <w:tcW w:w="1080" w:type="dxa"/>
            <w:vAlign w:val="bottom"/>
            <w:gridSpan w:val="2"/>
          </w:tcPr>
          <w:p>
            <w:pPr>
              <w:ind w:left="180"/>
              <w:spacing w:after="0"/>
              <w:rPr>
                <w:sz w:val="20"/>
                <w:szCs w:val="20"/>
                <w:color w:val="auto"/>
              </w:rPr>
            </w:pPr>
            <w:r>
              <w:rPr>
                <w:rFonts w:ascii="Arial" w:cs="Arial" w:eastAsia="Arial" w:hAnsi="Arial"/>
                <w:sz w:val="16"/>
                <w:szCs w:val="16"/>
                <w:b w:val="1"/>
                <w:bCs w:val="1"/>
                <w:color w:val="auto"/>
              </w:rPr>
              <w:t>Jan. 2</w:t>
            </w:r>
          </w:p>
        </w:tc>
        <w:tc>
          <w:tcPr>
            <w:tcW w:w="140" w:type="dxa"/>
            <w:vAlign w:val="bottom"/>
          </w:tcPr>
          <w:p>
            <w:pPr>
              <w:spacing w:after="0"/>
              <w:rPr>
                <w:sz w:val="18"/>
                <w:szCs w:val="18"/>
                <w:color w:val="auto"/>
              </w:rPr>
            </w:pPr>
          </w:p>
        </w:tc>
        <w:tc>
          <w:tcPr>
            <w:tcW w:w="1140" w:type="dxa"/>
            <w:vAlign w:val="bottom"/>
            <w:gridSpan w:val="2"/>
          </w:tcPr>
          <w:p>
            <w:pPr>
              <w:jc w:val="center"/>
              <w:ind w:right="280"/>
              <w:spacing w:after="0"/>
              <w:rPr>
                <w:sz w:val="20"/>
                <w:szCs w:val="20"/>
                <w:color w:val="auto"/>
              </w:rPr>
            </w:pPr>
            <w:r>
              <w:rPr>
                <w:rFonts w:ascii="Arial" w:cs="Arial" w:eastAsia="Arial" w:hAnsi="Arial"/>
                <w:sz w:val="16"/>
                <w:szCs w:val="16"/>
                <w:b w:val="1"/>
                <w:bCs w:val="1"/>
                <w:color w:val="auto"/>
                <w:w w:val="92"/>
              </w:rPr>
              <w:t>Jan. 3,</w:t>
            </w:r>
          </w:p>
        </w:tc>
        <w:tc>
          <w:tcPr>
            <w:tcW w:w="180" w:type="dxa"/>
            <w:vAlign w:val="bottom"/>
          </w:tcPr>
          <w:p>
            <w:pPr>
              <w:spacing w:after="0"/>
              <w:rPr>
                <w:sz w:val="18"/>
                <w:szCs w:val="18"/>
                <w:color w:val="auto"/>
              </w:rPr>
            </w:pPr>
          </w:p>
        </w:tc>
        <w:tc>
          <w:tcPr>
            <w:tcW w:w="1080" w:type="dxa"/>
            <w:vAlign w:val="bottom"/>
            <w:gridSpan w:val="2"/>
          </w:tcPr>
          <w:p>
            <w:pPr>
              <w:ind w:left="120"/>
              <w:spacing w:after="0"/>
              <w:rPr>
                <w:sz w:val="20"/>
                <w:szCs w:val="20"/>
                <w:color w:val="auto"/>
              </w:rPr>
            </w:pPr>
            <w:r>
              <w:rPr>
                <w:rFonts w:ascii="Arial" w:cs="Arial" w:eastAsia="Arial" w:hAnsi="Arial"/>
                <w:sz w:val="16"/>
                <w:szCs w:val="16"/>
                <w:b w:val="1"/>
                <w:bCs w:val="1"/>
                <w:color w:val="auto"/>
              </w:rPr>
              <w:t>Dec. 28,</w:t>
            </w:r>
          </w:p>
        </w:tc>
        <w:tc>
          <w:tcPr>
            <w:tcW w:w="200" w:type="dxa"/>
            <w:vAlign w:val="bottom"/>
          </w:tcPr>
          <w:p>
            <w:pPr>
              <w:spacing w:after="0"/>
              <w:rPr>
                <w:sz w:val="18"/>
                <w:szCs w:val="18"/>
                <w:color w:val="auto"/>
              </w:rPr>
            </w:pPr>
          </w:p>
        </w:tc>
        <w:tc>
          <w:tcPr>
            <w:tcW w:w="960" w:type="dxa"/>
            <w:vAlign w:val="bottom"/>
          </w:tcPr>
          <w:p>
            <w:pPr>
              <w:jc w:val="right"/>
              <w:ind w:right="235"/>
              <w:spacing w:after="0"/>
              <w:rPr>
                <w:sz w:val="20"/>
                <w:szCs w:val="20"/>
                <w:color w:val="auto"/>
              </w:rPr>
            </w:pPr>
            <w:r>
              <w:rPr>
                <w:rFonts w:ascii="Arial" w:cs="Arial" w:eastAsia="Arial" w:hAnsi="Arial"/>
                <w:sz w:val="16"/>
                <w:szCs w:val="16"/>
                <w:b w:val="1"/>
                <w:bCs w:val="1"/>
                <w:color w:val="auto"/>
              </w:rPr>
              <w:t>Dec. 30,</w:t>
            </w:r>
          </w:p>
        </w:tc>
      </w:tr>
      <w:tr>
        <w:trPr>
          <w:trHeight w:val="243"/>
        </w:trPr>
        <w:tc>
          <w:tcPr>
            <w:tcW w:w="20" w:type="dxa"/>
            <w:vAlign w:val="bottom"/>
            <w:tcBorders>
              <w:bottom w:val="single" w:sz="8" w:color="CCEEFF"/>
            </w:tcBorders>
          </w:tcPr>
          <w:p>
            <w:pPr>
              <w:spacing w:after="0"/>
              <w:rPr>
                <w:sz w:val="21"/>
                <w:szCs w:val="21"/>
                <w:color w:val="auto"/>
              </w:rPr>
            </w:pPr>
          </w:p>
        </w:tc>
        <w:tc>
          <w:tcPr>
            <w:tcW w:w="1460" w:type="dxa"/>
            <w:vAlign w:val="bottom"/>
            <w:tcBorders>
              <w:bottom w:val="single" w:sz="8" w:color="CCEEFF"/>
            </w:tcBorders>
          </w:tcPr>
          <w:p>
            <w:pPr>
              <w:spacing w:after="0"/>
              <w:rPr>
                <w:sz w:val="21"/>
                <w:szCs w:val="21"/>
                <w:color w:val="auto"/>
              </w:rPr>
            </w:pPr>
          </w:p>
        </w:tc>
        <w:tc>
          <w:tcPr>
            <w:tcW w:w="720" w:type="dxa"/>
            <w:vAlign w:val="bottom"/>
            <w:tcBorders>
              <w:bottom w:val="single" w:sz="8" w:color="CCEEFF"/>
            </w:tcBorders>
          </w:tcPr>
          <w:p>
            <w:pPr>
              <w:spacing w:after="0"/>
              <w:rPr>
                <w:sz w:val="21"/>
                <w:szCs w:val="21"/>
                <w:color w:val="auto"/>
              </w:rPr>
            </w:pPr>
          </w:p>
        </w:tc>
        <w:tc>
          <w:tcPr>
            <w:tcW w:w="218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980" w:type="dxa"/>
            <w:vAlign w:val="bottom"/>
            <w:tcBorders>
              <w:bottom w:val="single" w:sz="8" w:color="auto"/>
            </w:tcBorders>
          </w:tcPr>
          <w:p>
            <w:pPr>
              <w:jc w:val="right"/>
              <w:ind w:right="175"/>
              <w:spacing w:after="0" w:line="243" w:lineRule="exact"/>
              <w:rPr>
                <w:sz w:val="20"/>
                <w:szCs w:val="20"/>
                <w:color w:val="auto"/>
              </w:rPr>
            </w:pPr>
            <w:r>
              <w:rPr>
                <w:rFonts w:ascii="Arial" w:cs="Arial" w:eastAsia="Arial" w:hAnsi="Arial"/>
                <w:sz w:val="28"/>
                <w:szCs w:val="28"/>
                <w:b w:val="1"/>
                <w:bCs w:val="1"/>
                <w:color w:val="auto"/>
                <w:vertAlign w:val="subscript"/>
              </w:rPr>
              <w:t>2016</w:t>
            </w:r>
            <w:r>
              <w:rPr>
                <w:rFonts w:ascii="Arial" w:cs="Arial" w:eastAsia="Arial" w:hAnsi="Arial"/>
                <w:sz w:val="10"/>
                <w:szCs w:val="10"/>
                <w:color w:val="auto"/>
              </w:rPr>
              <w:t xml:space="preserve"> (1)(2)</w:t>
            </w:r>
          </w:p>
        </w:tc>
        <w:tc>
          <w:tcPr>
            <w:tcW w:w="120" w:type="dxa"/>
            <w:vAlign w:val="bottom"/>
            <w:tcBorders>
              <w:bottom w:val="single" w:sz="8" w:color="CCEEFF"/>
            </w:tcBorders>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980" w:type="dxa"/>
            <w:vAlign w:val="bottom"/>
            <w:tcBorders>
              <w:bottom w:val="single" w:sz="8" w:color="auto"/>
            </w:tcBorders>
          </w:tcPr>
          <w:p>
            <w:pPr>
              <w:jc w:val="right"/>
              <w:ind w:right="195"/>
              <w:spacing w:after="0" w:line="243" w:lineRule="exact"/>
              <w:rPr>
                <w:sz w:val="20"/>
                <w:szCs w:val="20"/>
                <w:color w:val="auto"/>
              </w:rPr>
            </w:pPr>
            <w:r>
              <w:rPr>
                <w:rFonts w:ascii="Arial" w:cs="Arial" w:eastAsia="Arial" w:hAnsi="Arial"/>
                <w:sz w:val="28"/>
                <w:szCs w:val="28"/>
                <w:b w:val="1"/>
                <w:bCs w:val="1"/>
                <w:color w:val="auto"/>
                <w:w w:val="95"/>
                <w:vertAlign w:val="subscript"/>
              </w:rPr>
              <w:t>2015</w:t>
            </w:r>
            <w:r>
              <w:rPr>
                <w:rFonts w:ascii="Arial" w:cs="Arial" w:eastAsia="Arial" w:hAnsi="Arial"/>
                <w:sz w:val="10"/>
                <w:szCs w:val="10"/>
                <w:color w:val="auto"/>
                <w:w w:val="95"/>
              </w:rPr>
              <w:t xml:space="preserve"> (1) (2)</w:t>
            </w:r>
          </w:p>
        </w:tc>
        <w:tc>
          <w:tcPr>
            <w:tcW w:w="100" w:type="dxa"/>
            <w:vAlign w:val="bottom"/>
            <w:tcBorders>
              <w:bottom w:val="single" w:sz="8" w:color="CCEEFF"/>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jc w:val="center"/>
              <w:ind w:right="54"/>
              <w:spacing w:after="0"/>
              <w:rPr>
                <w:sz w:val="20"/>
                <w:szCs w:val="20"/>
                <w:color w:val="auto"/>
              </w:rPr>
            </w:pPr>
            <w:r>
              <w:rPr>
                <w:rFonts w:ascii="Arial" w:cs="Arial" w:eastAsia="Arial" w:hAnsi="Arial"/>
                <w:sz w:val="16"/>
                <w:szCs w:val="16"/>
                <w:b w:val="1"/>
                <w:bCs w:val="1"/>
                <w:color w:val="auto"/>
                <w:w w:val="83"/>
              </w:rPr>
              <w:t xml:space="preserve">2014 </w:t>
            </w:r>
            <w:r>
              <w:rPr>
                <w:rFonts w:ascii="Arial" w:cs="Arial" w:eastAsia="Arial" w:hAnsi="Arial"/>
                <w:sz w:val="21"/>
                <w:szCs w:val="21"/>
                <w:color w:val="auto"/>
                <w:w w:val="83"/>
                <w:vertAlign w:val="superscript"/>
              </w:rPr>
              <w:t>(1)</w:t>
            </w:r>
          </w:p>
        </w:tc>
        <w:tc>
          <w:tcPr>
            <w:tcW w:w="120" w:type="dxa"/>
            <w:vAlign w:val="bottom"/>
            <w:tcBorders>
              <w:bottom w:val="single" w:sz="8" w:color="CCEEFF"/>
            </w:tcBorders>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980" w:type="dxa"/>
            <w:vAlign w:val="bottom"/>
            <w:tcBorders>
              <w:bottom w:val="single" w:sz="8" w:color="auto"/>
            </w:tcBorders>
          </w:tcPr>
          <w:p>
            <w:pPr>
              <w:jc w:val="right"/>
              <w:ind w:right="195"/>
              <w:spacing w:after="0" w:line="243" w:lineRule="exact"/>
              <w:rPr>
                <w:sz w:val="20"/>
                <w:szCs w:val="20"/>
                <w:color w:val="auto"/>
              </w:rPr>
            </w:pPr>
            <w:r>
              <w:rPr>
                <w:rFonts w:ascii="Arial" w:cs="Arial" w:eastAsia="Arial" w:hAnsi="Arial"/>
                <w:sz w:val="28"/>
                <w:szCs w:val="28"/>
                <w:b w:val="1"/>
                <w:bCs w:val="1"/>
                <w:color w:val="auto"/>
                <w:w w:val="98"/>
                <w:vertAlign w:val="subscript"/>
              </w:rPr>
              <w:t>2012</w:t>
            </w:r>
            <w:r>
              <w:rPr>
                <w:rFonts w:ascii="Arial" w:cs="Arial" w:eastAsia="Arial" w:hAnsi="Arial"/>
                <w:sz w:val="10"/>
                <w:szCs w:val="10"/>
                <w:color w:val="auto"/>
                <w:w w:val="98"/>
              </w:rPr>
              <w:t xml:space="preserve"> (1)(2)</w:t>
            </w:r>
          </w:p>
        </w:tc>
        <w:tc>
          <w:tcPr>
            <w:tcW w:w="10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960" w:type="dxa"/>
            <w:vAlign w:val="bottom"/>
            <w:tcBorders>
              <w:bottom w:val="single" w:sz="8" w:color="auto"/>
            </w:tcBorders>
          </w:tcPr>
          <w:p>
            <w:pPr>
              <w:jc w:val="right"/>
              <w:ind w:right="195"/>
              <w:spacing w:after="0" w:line="243" w:lineRule="exact"/>
              <w:rPr>
                <w:sz w:val="20"/>
                <w:szCs w:val="20"/>
                <w:color w:val="auto"/>
              </w:rPr>
            </w:pPr>
            <w:r>
              <w:rPr>
                <w:rFonts w:ascii="Arial" w:cs="Arial" w:eastAsia="Arial" w:hAnsi="Arial"/>
                <w:sz w:val="28"/>
                <w:szCs w:val="28"/>
                <w:b w:val="1"/>
                <w:bCs w:val="1"/>
                <w:color w:val="auto"/>
                <w:w w:val="95"/>
                <w:vertAlign w:val="subscript"/>
              </w:rPr>
              <w:t>2011</w:t>
            </w:r>
            <w:r>
              <w:rPr>
                <w:rFonts w:ascii="Arial" w:cs="Arial" w:eastAsia="Arial" w:hAnsi="Arial"/>
                <w:sz w:val="10"/>
                <w:szCs w:val="10"/>
                <w:color w:val="auto"/>
                <w:w w:val="95"/>
              </w:rPr>
              <w:t xml:space="preserve"> (1)(2)</w:t>
            </w:r>
          </w:p>
        </w:tc>
      </w:tr>
      <w:tr>
        <w:trPr>
          <w:trHeight w:val="244"/>
        </w:trPr>
        <w:tc>
          <w:tcPr>
            <w:tcW w:w="20" w:type="dxa"/>
            <w:vAlign w:val="bottom"/>
            <w:shd w:val="clear" w:color="auto" w:fill="CCEEFF"/>
          </w:tcPr>
          <w:p>
            <w:pPr>
              <w:spacing w:after="0"/>
              <w:rPr>
                <w:sz w:val="21"/>
                <w:szCs w:val="21"/>
                <w:color w:val="auto"/>
              </w:rPr>
            </w:pPr>
          </w:p>
        </w:tc>
        <w:tc>
          <w:tcPr>
            <w:tcW w:w="4360" w:type="dxa"/>
            <w:vAlign w:val="bottom"/>
            <w:gridSpan w:val="3"/>
            <w:shd w:val="clear" w:color="auto" w:fill="CCEEFF"/>
          </w:tcPr>
          <w:p>
            <w:pPr>
              <w:spacing w:after="0" w:line="196" w:lineRule="exact"/>
              <w:rPr>
                <w:sz w:val="20"/>
                <w:szCs w:val="20"/>
                <w:color w:val="auto"/>
              </w:rPr>
            </w:pPr>
            <w:r>
              <w:rPr>
                <w:rFonts w:ascii="Arial" w:cs="Arial" w:eastAsia="Arial" w:hAnsi="Arial"/>
                <w:sz w:val="18"/>
                <w:szCs w:val="18"/>
                <w:color w:val="auto"/>
              </w:rPr>
              <w:t>Statement of Operations Data:</w:t>
            </w:r>
          </w:p>
        </w:tc>
        <w:tc>
          <w:tcPr>
            <w:tcW w:w="200" w:type="dxa"/>
            <w:vAlign w:val="bottom"/>
            <w:shd w:val="clear" w:color="auto" w:fill="CCEEFF"/>
          </w:tcPr>
          <w:p>
            <w:pPr>
              <w:spacing w:after="0"/>
              <w:rPr>
                <w:sz w:val="21"/>
                <w:szCs w:val="21"/>
                <w:color w:val="auto"/>
              </w:rPr>
            </w:pPr>
          </w:p>
        </w:tc>
        <w:tc>
          <w:tcPr>
            <w:tcW w:w="98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80" w:type="dxa"/>
            <w:vAlign w:val="bottom"/>
            <w:shd w:val="clear" w:color="auto" w:fill="CCEEFF"/>
          </w:tcPr>
          <w:p>
            <w:pPr>
              <w:spacing w:after="0"/>
              <w:rPr>
                <w:sz w:val="21"/>
                <w:szCs w:val="21"/>
                <w:color w:val="auto"/>
              </w:rPr>
            </w:pPr>
          </w:p>
        </w:tc>
        <w:tc>
          <w:tcPr>
            <w:tcW w:w="98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102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80" w:type="dxa"/>
            <w:vAlign w:val="bottom"/>
            <w:shd w:val="clear" w:color="auto" w:fill="CCEEFF"/>
          </w:tcPr>
          <w:p>
            <w:pPr>
              <w:spacing w:after="0"/>
              <w:rPr>
                <w:sz w:val="21"/>
                <w:szCs w:val="21"/>
                <w:color w:val="auto"/>
              </w:rPr>
            </w:pPr>
          </w:p>
        </w:tc>
        <w:tc>
          <w:tcPr>
            <w:tcW w:w="98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960" w:type="dxa"/>
            <w:vAlign w:val="bottom"/>
            <w:shd w:val="clear" w:color="auto" w:fill="CCEEFF"/>
          </w:tcPr>
          <w:p>
            <w:pPr>
              <w:spacing w:after="0"/>
              <w:rPr>
                <w:sz w:val="21"/>
                <w:szCs w:val="21"/>
                <w:color w:val="auto"/>
              </w:rPr>
            </w:pPr>
          </w:p>
        </w:tc>
      </w:tr>
      <w:tr>
        <w:trPr>
          <w:trHeight w:val="243"/>
        </w:trPr>
        <w:tc>
          <w:tcPr>
            <w:tcW w:w="20" w:type="dxa"/>
            <w:vAlign w:val="bottom"/>
            <w:tcBorders>
              <w:top w:val="single" w:sz="8" w:color="CCEEFF"/>
            </w:tcBorders>
          </w:tcPr>
          <w:p>
            <w:pPr>
              <w:spacing w:after="0"/>
              <w:rPr>
                <w:sz w:val="21"/>
                <w:szCs w:val="21"/>
                <w:color w:val="auto"/>
              </w:rPr>
            </w:pPr>
          </w:p>
        </w:tc>
        <w:tc>
          <w:tcPr>
            <w:tcW w:w="2180" w:type="dxa"/>
            <w:vAlign w:val="bottom"/>
            <w:tcBorders>
              <w:top w:val="single" w:sz="8" w:color="auto"/>
            </w:tcBorders>
            <w:gridSpan w:val="2"/>
          </w:tcPr>
          <w:p>
            <w:pPr>
              <w:spacing w:after="0"/>
              <w:rPr>
                <w:sz w:val="20"/>
                <w:szCs w:val="20"/>
                <w:color w:val="auto"/>
              </w:rPr>
            </w:pPr>
            <w:r>
              <w:rPr>
                <w:rFonts w:ascii="Arial" w:cs="Arial" w:eastAsia="Arial" w:hAnsi="Arial"/>
                <w:sz w:val="18"/>
                <w:szCs w:val="18"/>
                <w:color w:val="auto"/>
              </w:rPr>
              <w:t>Sales</w:t>
            </w:r>
          </w:p>
        </w:tc>
        <w:tc>
          <w:tcPr>
            <w:tcW w:w="2180" w:type="dxa"/>
            <w:vAlign w:val="bottom"/>
            <w:tcBorders>
              <w:top w:val="single" w:sz="8" w:color="CCEEFF"/>
            </w:tcBorders>
          </w:tcPr>
          <w:p>
            <w:pPr>
              <w:spacing w:after="0"/>
              <w:rPr>
                <w:sz w:val="21"/>
                <w:szCs w:val="21"/>
                <w:color w:val="auto"/>
              </w:rPr>
            </w:pPr>
          </w:p>
        </w:tc>
        <w:tc>
          <w:tcPr>
            <w:tcW w:w="200" w:type="dxa"/>
            <w:vAlign w:val="bottom"/>
            <w:tcBorders>
              <w:top w:val="single" w:sz="8" w:color="CCEEFF"/>
            </w:tcBorders>
          </w:tcPr>
          <w:p>
            <w:pPr>
              <w:jc w:val="right"/>
              <w:ind w:right="10"/>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CCEEFF"/>
            </w:tcBorders>
          </w:tcPr>
          <w:p>
            <w:pPr>
              <w:jc w:val="right"/>
              <w:ind w:right="15"/>
              <w:spacing w:after="0"/>
              <w:rPr>
                <w:sz w:val="20"/>
                <w:szCs w:val="20"/>
                <w:color w:val="auto"/>
              </w:rPr>
            </w:pPr>
            <w:r>
              <w:rPr>
                <w:rFonts w:ascii="Arial" w:cs="Arial" w:eastAsia="Arial" w:hAnsi="Arial"/>
                <w:sz w:val="18"/>
                <w:szCs w:val="18"/>
                <w:color w:val="auto"/>
              </w:rPr>
              <w:t>800,414</w:t>
            </w:r>
          </w:p>
        </w:tc>
        <w:tc>
          <w:tcPr>
            <w:tcW w:w="120" w:type="dxa"/>
            <w:vAlign w:val="bottom"/>
            <w:tcBorders>
              <w:top w:val="single" w:sz="8" w:color="CCEEFF"/>
            </w:tcBorders>
          </w:tcPr>
          <w:p>
            <w:pPr>
              <w:spacing w:after="0"/>
              <w:rPr>
                <w:sz w:val="21"/>
                <w:szCs w:val="21"/>
                <w:color w:val="auto"/>
              </w:rPr>
            </w:pPr>
          </w:p>
        </w:tc>
        <w:tc>
          <w:tcPr>
            <w:tcW w:w="180" w:type="dxa"/>
            <w:vAlign w:val="bottom"/>
            <w:tcBorders>
              <w:top w:val="single" w:sz="8" w:color="CCEEFF"/>
            </w:tcBorders>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CCEEFF"/>
            </w:tcBorders>
          </w:tcPr>
          <w:p>
            <w:pPr>
              <w:jc w:val="right"/>
              <w:ind w:right="15"/>
              <w:spacing w:after="0"/>
              <w:rPr>
                <w:sz w:val="20"/>
                <w:szCs w:val="20"/>
                <w:color w:val="auto"/>
              </w:rPr>
            </w:pPr>
            <w:r>
              <w:rPr>
                <w:rFonts w:ascii="Arial" w:cs="Arial" w:eastAsia="Arial" w:hAnsi="Arial"/>
                <w:sz w:val="18"/>
                <w:szCs w:val="18"/>
                <w:color w:val="auto"/>
              </w:rPr>
              <w:t>687,787</w:t>
            </w:r>
          </w:p>
        </w:tc>
        <w:tc>
          <w:tcPr>
            <w:tcW w:w="100" w:type="dxa"/>
            <w:vAlign w:val="bottom"/>
            <w:tcBorders>
              <w:top w:val="single" w:sz="8" w:color="CCEEFF"/>
            </w:tcBorders>
          </w:tcPr>
          <w:p>
            <w:pPr>
              <w:spacing w:after="0"/>
              <w:rPr>
                <w:sz w:val="21"/>
                <w:szCs w:val="21"/>
                <w:color w:val="auto"/>
              </w:rPr>
            </w:pPr>
          </w:p>
        </w:tc>
        <w:tc>
          <w:tcPr>
            <w:tcW w:w="140" w:type="dxa"/>
            <w:vAlign w:val="bottom"/>
            <w:tcBorders>
              <w:top w:val="single" w:sz="8" w:color="CCEEFF"/>
            </w:tcBorders>
          </w:tcPr>
          <w:p>
            <w:pPr>
              <w:jc w:val="right"/>
              <w:spacing w:after="0"/>
              <w:rPr>
                <w:sz w:val="20"/>
                <w:szCs w:val="20"/>
                <w:color w:val="auto"/>
              </w:rPr>
            </w:pPr>
            <w:r>
              <w:rPr>
                <w:rFonts w:ascii="Arial" w:cs="Arial" w:eastAsia="Arial" w:hAnsi="Arial"/>
                <w:sz w:val="18"/>
                <w:szCs w:val="18"/>
                <w:color w:val="auto"/>
                <w:w w:val="99"/>
              </w:rPr>
              <w:t>$</w:t>
            </w:r>
          </w:p>
        </w:tc>
        <w:tc>
          <w:tcPr>
            <w:tcW w:w="1020" w:type="dxa"/>
            <w:vAlign w:val="bottom"/>
            <w:tcBorders>
              <w:top w:val="single" w:sz="8" w:color="CCEEFF"/>
            </w:tcBorders>
          </w:tcPr>
          <w:p>
            <w:pPr>
              <w:jc w:val="right"/>
              <w:ind w:right="14"/>
              <w:spacing w:after="0"/>
              <w:rPr>
                <w:sz w:val="20"/>
                <w:szCs w:val="20"/>
                <w:color w:val="auto"/>
              </w:rPr>
            </w:pPr>
            <w:r>
              <w:rPr>
                <w:rFonts w:ascii="Arial" w:cs="Arial" w:eastAsia="Arial" w:hAnsi="Arial"/>
                <w:sz w:val="18"/>
                <w:szCs w:val="18"/>
                <w:color w:val="auto"/>
              </w:rPr>
              <w:t>663,945</w:t>
            </w:r>
          </w:p>
        </w:tc>
        <w:tc>
          <w:tcPr>
            <w:tcW w:w="120" w:type="dxa"/>
            <w:vAlign w:val="bottom"/>
            <w:tcBorders>
              <w:top w:val="single" w:sz="8" w:color="CCEEFF"/>
            </w:tcBorders>
          </w:tcPr>
          <w:p>
            <w:pPr>
              <w:spacing w:after="0"/>
              <w:rPr>
                <w:sz w:val="21"/>
                <w:szCs w:val="21"/>
                <w:color w:val="auto"/>
              </w:rPr>
            </w:pPr>
          </w:p>
        </w:tc>
        <w:tc>
          <w:tcPr>
            <w:tcW w:w="180" w:type="dxa"/>
            <w:vAlign w:val="bottom"/>
            <w:tcBorders>
              <w:top w:val="single" w:sz="8" w:color="CCEEFF"/>
            </w:tcBorders>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CCEEFF"/>
            </w:tcBorders>
          </w:tcPr>
          <w:p>
            <w:pPr>
              <w:jc w:val="right"/>
              <w:ind w:right="15"/>
              <w:spacing w:after="0"/>
              <w:rPr>
                <w:sz w:val="20"/>
                <w:szCs w:val="20"/>
                <w:color w:val="auto"/>
              </w:rPr>
            </w:pPr>
            <w:r>
              <w:rPr>
                <w:rFonts w:ascii="Arial" w:cs="Arial" w:eastAsia="Arial" w:hAnsi="Arial"/>
                <w:sz w:val="18"/>
                <w:szCs w:val="18"/>
                <w:color w:val="auto"/>
              </w:rPr>
              <w:t>646,177</w:t>
            </w:r>
          </w:p>
        </w:tc>
        <w:tc>
          <w:tcPr>
            <w:tcW w:w="100" w:type="dxa"/>
            <w:vAlign w:val="bottom"/>
            <w:tcBorders>
              <w:top w:val="single" w:sz="8" w:color="CCEEFF"/>
            </w:tcBorders>
          </w:tcPr>
          <w:p>
            <w:pPr>
              <w:spacing w:after="0"/>
              <w:rPr>
                <w:sz w:val="21"/>
                <w:szCs w:val="21"/>
                <w:color w:val="auto"/>
              </w:rPr>
            </w:pPr>
          </w:p>
        </w:tc>
        <w:tc>
          <w:tcPr>
            <w:tcW w:w="200" w:type="dxa"/>
            <w:vAlign w:val="bottom"/>
            <w:tcBorders>
              <w:top w:val="single" w:sz="8" w:color="CCEEFF"/>
            </w:tcBorders>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top w:val="single" w:sz="8" w:color="CCEEFF"/>
            </w:tcBorders>
          </w:tcPr>
          <w:p>
            <w:pPr>
              <w:jc w:val="right"/>
              <w:ind w:right="15"/>
              <w:spacing w:after="0"/>
              <w:rPr>
                <w:sz w:val="20"/>
                <w:szCs w:val="20"/>
                <w:color w:val="auto"/>
              </w:rPr>
            </w:pPr>
            <w:r>
              <w:rPr>
                <w:rFonts w:ascii="Arial" w:cs="Arial" w:eastAsia="Arial" w:hAnsi="Arial"/>
                <w:sz w:val="18"/>
                <w:szCs w:val="18"/>
                <w:color w:val="auto"/>
              </w:rPr>
              <w:t>568,822</w:t>
            </w:r>
          </w:p>
        </w:tc>
      </w:tr>
      <w:tr>
        <w:trPr>
          <w:trHeight w:val="27"/>
        </w:trPr>
        <w:tc>
          <w:tcPr>
            <w:tcW w:w="20" w:type="dxa"/>
            <w:vAlign w:val="bottom"/>
          </w:tcPr>
          <w:p>
            <w:pPr>
              <w:spacing w:after="0"/>
              <w:rPr>
                <w:sz w:val="2"/>
                <w:szCs w:val="2"/>
                <w:color w:val="auto"/>
              </w:rPr>
            </w:pPr>
          </w:p>
        </w:tc>
        <w:tc>
          <w:tcPr>
            <w:tcW w:w="1460" w:type="dxa"/>
            <w:vAlign w:val="bottom"/>
          </w:tcPr>
          <w:p>
            <w:pPr>
              <w:spacing w:after="0"/>
              <w:rPr>
                <w:sz w:val="2"/>
                <w:szCs w:val="2"/>
                <w:color w:val="auto"/>
              </w:rPr>
            </w:pPr>
          </w:p>
        </w:tc>
        <w:tc>
          <w:tcPr>
            <w:tcW w:w="720" w:type="dxa"/>
            <w:vAlign w:val="bottom"/>
          </w:tcPr>
          <w:p>
            <w:pPr>
              <w:spacing w:after="0"/>
              <w:rPr>
                <w:sz w:val="2"/>
                <w:szCs w:val="2"/>
                <w:color w:val="auto"/>
              </w:rPr>
            </w:pPr>
          </w:p>
        </w:tc>
        <w:tc>
          <w:tcPr>
            <w:tcW w:w="2180" w:type="dxa"/>
            <w:vAlign w:val="bottom"/>
          </w:tcPr>
          <w:p>
            <w:pPr>
              <w:spacing w:after="0"/>
              <w:rPr>
                <w:sz w:val="2"/>
                <w:szCs w:val="2"/>
                <w:color w:val="auto"/>
              </w:rPr>
            </w:pPr>
          </w:p>
        </w:tc>
        <w:tc>
          <w:tcPr>
            <w:tcW w:w="2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4360" w:type="dxa"/>
            <w:vAlign w:val="bottom"/>
            <w:tcBorders>
              <w:bottom w:val="single" w:sz="8" w:color="CCEEFF"/>
            </w:tcBorders>
            <w:gridSpan w:val="3"/>
            <w:shd w:val="clear" w:color="auto" w:fill="CCEEFF"/>
          </w:tcPr>
          <w:p>
            <w:pPr>
              <w:spacing w:after="0"/>
              <w:rPr>
                <w:sz w:val="20"/>
                <w:szCs w:val="20"/>
                <w:color w:val="auto"/>
              </w:rPr>
            </w:pPr>
            <w:r>
              <w:rPr>
                <w:rFonts w:ascii="Arial" w:cs="Arial" w:eastAsia="Arial" w:hAnsi="Arial"/>
                <w:sz w:val="18"/>
                <w:szCs w:val="18"/>
                <w:color w:val="auto"/>
              </w:rPr>
              <w:t>Net income (loss)</w:t>
            </w:r>
          </w:p>
        </w:tc>
        <w:tc>
          <w:tcPr>
            <w:tcW w:w="2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(7,594)</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55,458</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36,267</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(4,799)</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33,122</w:t>
            </w:r>
          </w:p>
        </w:tc>
      </w:tr>
      <w:tr>
        <w:trPr>
          <w:trHeight w:val="243"/>
        </w:trPr>
        <w:tc>
          <w:tcPr>
            <w:tcW w:w="20" w:type="dxa"/>
            <w:vAlign w:val="bottom"/>
          </w:tcPr>
          <w:p>
            <w:pPr>
              <w:spacing w:after="0"/>
              <w:rPr>
                <w:sz w:val="21"/>
                <w:szCs w:val="21"/>
                <w:color w:val="auto"/>
              </w:rPr>
            </w:pPr>
          </w:p>
        </w:tc>
        <w:tc>
          <w:tcPr>
            <w:tcW w:w="4360" w:type="dxa"/>
            <w:vAlign w:val="bottom"/>
            <w:gridSpan w:val="3"/>
          </w:tcPr>
          <w:p>
            <w:pPr>
              <w:spacing w:after="0"/>
              <w:rPr>
                <w:sz w:val="20"/>
                <w:szCs w:val="20"/>
                <w:color w:val="auto"/>
              </w:rPr>
            </w:pPr>
            <w:r>
              <w:rPr>
                <w:rFonts w:ascii="Arial" w:cs="Arial" w:eastAsia="Arial" w:hAnsi="Arial"/>
                <w:sz w:val="18"/>
                <w:szCs w:val="18"/>
                <w:color w:val="auto"/>
              </w:rPr>
              <w:t>Earnings (loss) per share</w:t>
            </w:r>
          </w:p>
        </w:tc>
        <w:tc>
          <w:tcPr>
            <w:tcW w:w="20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60" w:type="dxa"/>
            <w:vAlign w:val="bottom"/>
          </w:tcPr>
          <w:p>
            <w:pPr>
              <w:spacing w:after="0"/>
              <w:rPr>
                <w:sz w:val="21"/>
                <w:szCs w:val="21"/>
                <w:color w:val="auto"/>
              </w:rPr>
            </w:pPr>
          </w:p>
        </w:tc>
      </w:tr>
      <w:tr>
        <w:trPr>
          <w:trHeight w:val="27"/>
        </w:trPr>
        <w:tc>
          <w:tcPr>
            <w:tcW w:w="20" w:type="dxa"/>
            <w:vAlign w:val="bottom"/>
          </w:tcPr>
          <w:p>
            <w:pPr>
              <w:spacing w:after="0"/>
              <w:rPr>
                <w:sz w:val="2"/>
                <w:szCs w:val="2"/>
                <w:color w:val="auto"/>
              </w:rPr>
            </w:pPr>
          </w:p>
        </w:tc>
        <w:tc>
          <w:tcPr>
            <w:tcW w:w="1460" w:type="dxa"/>
            <w:vAlign w:val="bottom"/>
          </w:tcPr>
          <w:p>
            <w:pPr>
              <w:spacing w:after="0"/>
              <w:rPr>
                <w:sz w:val="2"/>
                <w:szCs w:val="2"/>
                <w:color w:val="auto"/>
              </w:rPr>
            </w:pPr>
          </w:p>
        </w:tc>
        <w:tc>
          <w:tcPr>
            <w:tcW w:w="720" w:type="dxa"/>
            <w:vAlign w:val="bottom"/>
          </w:tcPr>
          <w:p>
            <w:pPr>
              <w:spacing w:after="0"/>
              <w:rPr>
                <w:sz w:val="2"/>
                <w:szCs w:val="2"/>
                <w:color w:val="auto"/>
              </w:rPr>
            </w:pPr>
          </w:p>
        </w:tc>
        <w:tc>
          <w:tcPr>
            <w:tcW w:w="2180" w:type="dxa"/>
            <w:vAlign w:val="bottom"/>
          </w:tcPr>
          <w:p>
            <w:pPr>
              <w:spacing w:after="0"/>
              <w:rPr>
                <w:sz w:val="2"/>
                <w:szCs w:val="2"/>
                <w:color w:val="auto"/>
              </w:rPr>
            </w:pPr>
          </w:p>
        </w:tc>
        <w:tc>
          <w:tcPr>
            <w:tcW w:w="2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4360" w:type="dxa"/>
            <w:vAlign w:val="bottom"/>
            <w:tcBorders>
              <w:bottom w:val="single" w:sz="8" w:color="CCEEFF"/>
            </w:tcBorders>
            <w:gridSpan w:val="3"/>
            <w:shd w:val="clear" w:color="auto" w:fill="CCEEFF"/>
          </w:tcPr>
          <w:p>
            <w:pPr>
              <w:ind w:left="360"/>
              <w:spacing w:after="0"/>
              <w:rPr>
                <w:sz w:val="20"/>
                <w:szCs w:val="20"/>
                <w:color w:val="auto"/>
              </w:rPr>
            </w:pPr>
            <w:r>
              <w:rPr>
                <w:rFonts w:ascii="Arial" w:cs="Arial" w:eastAsia="Arial" w:hAnsi="Arial"/>
                <w:sz w:val="18"/>
                <w:szCs w:val="18"/>
                <w:color w:val="auto"/>
              </w:rPr>
              <w:t>Basic</w:t>
            </w: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(0.29)</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2.23</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1.51</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(0.20)</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1.42</w:t>
            </w:r>
          </w:p>
        </w:tc>
      </w:tr>
      <w:tr>
        <w:trPr>
          <w:trHeight w:val="243"/>
        </w:trPr>
        <w:tc>
          <w:tcPr>
            <w:tcW w:w="20" w:type="dxa"/>
            <w:vAlign w:val="bottom"/>
          </w:tcPr>
          <w:p>
            <w:pPr>
              <w:spacing w:after="0"/>
              <w:rPr>
                <w:sz w:val="21"/>
                <w:szCs w:val="21"/>
                <w:color w:val="auto"/>
              </w:rPr>
            </w:pPr>
          </w:p>
        </w:tc>
        <w:tc>
          <w:tcPr>
            <w:tcW w:w="4360" w:type="dxa"/>
            <w:vAlign w:val="bottom"/>
            <w:gridSpan w:val="3"/>
          </w:tcPr>
          <w:p>
            <w:pPr>
              <w:ind w:left="360"/>
              <w:spacing w:after="0"/>
              <w:rPr>
                <w:sz w:val="20"/>
                <w:szCs w:val="20"/>
                <w:color w:val="auto"/>
              </w:rPr>
            </w:pPr>
            <w:r>
              <w:rPr>
                <w:rFonts w:ascii="Arial" w:cs="Arial" w:eastAsia="Arial" w:hAnsi="Arial"/>
                <w:sz w:val="18"/>
                <w:szCs w:val="18"/>
                <w:color w:val="auto"/>
              </w:rPr>
              <w:t>Diluted</w:t>
            </w:r>
          </w:p>
        </w:tc>
        <w:tc>
          <w:tcPr>
            <w:tcW w:w="20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(0.29)</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80" w:type="dxa"/>
            <w:vAlign w:val="bottom"/>
          </w:tcPr>
          <w:p>
            <w:pPr>
              <w:jc w:val="right"/>
              <w:ind w:right="15"/>
              <w:spacing w:after="0"/>
              <w:rPr>
                <w:sz w:val="20"/>
                <w:szCs w:val="20"/>
                <w:color w:val="auto"/>
              </w:rPr>
            </w:pPr>
            <w:r>
              <w:rPr>
                <w:rFonts w:ascii="Arial" w:cs="Arial" w:eastAsia="Arial" w:hAnsi="Arial"/>
                <w:sz w:val="18"/>
                <w:szCs w:val="18"/>
                <w:color w:val="auto"/>
              </w:rPr>
              <w:t>2.14</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20" w:type="dxa"/>
            <w:vAlign w:val="bottom"/>
          </w:tcPr>
          <w:p>
            <w:pPr>
              <w:jc w:val="right"/>
              <w:ind w:right="14"/>
              <w:spacing w:after="0"/>
              <w:rPr>
                <w:sz w:val="20"/>
                <w:szCs w:val="20"/>
                <w:color w:val="auto"/>
              </w:rPr>
            </w:pPr>
            <w:r>
              <w:rPr>
                <w:rFonts w:ascii="Arial" w:cs="Arial" w:eastAsia="Arial" w:hAnsi="Arial"/>
                <w:sz w:val="18"/>
                <w:szCs w:val="18"/>
                <w:color w:val="auto"/>
              </w:rPr>
              <w:t>1.43</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(0.20)</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60" w:type="dxa"/>
            <w:vAlign w:val="bottom"/>
          </w:tcPr>
          <w:p>
            <w:pPr>
              <w:jc w:val="right"/>
              <w:ind w:right="15"/>
              <w:spacing w:after="0"/>
              <w:rPr>
                <w:sz w:val="20"/>
                <w:szCs w:val="20"/>
                <w:color w:val="auto"/>
              </w:rPr>
            </w:pPr>
            <w:r>
              <w:rPr>
                <w:rFonts w:ascii="Arial" w:cs="Arial" w:eastAsia="Arial" w:hAnsi="Arial"/>
                <w:sz w:val="18"/>
                <w:szCs w:val="18"/>
                <w:color w:val="auto"/>
              </w:rPr>
              <w:t>1.40</w:t>
            </w:r>
          </w:p>
        </w:tc>
      </w:tr>
      <w:tr>
        <w:trPr>
          <w:trHeight w:val="27"/>
        </w:trPr>
        <w:tc>
          <w:tcPr>
            <w:tcW w:w="20" w:type="dxa"/>
            <w:vAlign w:val="bottom"/>
          </w:tcPr>
          <w:p>
            <w:pPr>
              <w:spacing w:after="0"/>
              <w:rPr>
                <w:sz w:val="2"/>
                <w:szCs w:val="2"/>
                <w:color w:val="auto"/>
              </w:rPr>
            </w:pPr>
          </w:p>
        </w:tc>
        <w:tc>
          <w:tcPr>
            <w:tcW w:w="1460" w:type="dxa"/>
            <w:vAlign w:val="bottom"/>
          </w:tcPr>
          <w:p>
            <w:pPr>
              <w:spacing w:after="0"/>
              <w:rPr>
                <w:sz w:val="2"/>
                <w:szCs w:val="2"/>
                <w:color w:val="auto"/>
              </w:rPr>
            </w:pPr>
          </w:p>
        </w:tc>
        <w:tc>
          <w:tcPr>
            <w:tcW w:w="720" w:type="dxa"/>
            <w:vAlign w:val="bottom"/>
          </w:tcPr>
          <w:p>
            <w:pPr>
              <w:spacing w:after="0"/>
              <w:rPr>
                <w:sz w:val="2"/>
                <w:szCs w:val="2"/>
                <w:color w:val="auto"/>
              </w:rPr>
            </w:pPr>
          </w:p>
        </w:tc>
        <w:tc>
          <w:tcPr>
            <w:tcW w:w="2180" w:type="dxa"/>
            <w:vAlign w:val="bottom"/>
          </w:tcPr>
          <w:p>
            <w:pPr>
              <w:spacing w:after="0"/>
              <w:rPr>
                <w:sz w:val="2"/>
                <w:szCs w:val="2"/>
                <w:color w:val="auto"/>
              </w:rPr>
            </w:pPr>
          </w:p>
        </w:tc>
        <w:tc>
          <w:tcPr>
            <w:tcW w:w="2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auto"/>
            </w:tcBorders>
            <w:shd w:val="clear" w:color="auto" w:fill="CCEEFF"/>
          </w:tcPr>
          <w:p>
            <w:pPr>
              <w:spacing w:after="0" w:line="202" w:lineRule="exact"/>
              <w:rPr>
                <w:sz w:val="20"/>
                <w:szCs w:val="20"/>
                <w:color w:val="auto"/>
              </w:rPr>
            </w:pPr>
            <w:r>
              <w:rPr>
                <w:rFonts w:ascii="Arial" w:cs="Arial" w:eastAsia="Arial" w:hAnsi="Arial"/>
                <w:sz w:val="18"/>
                <w:szCs w:val="18"/>
                <w:color w:val="auto"/>
                <w:w w:val="87"/>
              </w:rPr>
              <w:t>Balance Sheet Data:</w:t>
            </w:r>
          </w:p>
        </w:tc>
        <w:tc>
          <w:tcPr>
            <w:tcW w:w="2900" w:type="dxa"/>
            <w:vAlign w:val="bottom"/>
            <w:tcBorders>
              <w:bottom w:val="single" w:sz="8" w:color="CCEEFF"/>
            </w:tcBorders>
            <w:gridSpan w:val="2"/>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r>
      <w:tr>
        <w:trPr>
          <w:trHeight w:val="243"/>
        </w:trPr>
        <w:tc>
          <w:tcPr>
            <w:tcW w:w="20" w:type="dxa"/>
            <w:vAlign w:val="bottom"/>
          </w:tcPr>
          <w:p>
            <w:pPr>
              <w:spacing w:after="0"/>
              <w:rPr>
                <w:sz w:val="21"/>
                <w:szCs w:val="21"/>
                <w:color w:val="auto"/>
              </w:rPr>
            </w:pPr>
          </w:p>
        </w:tc>
        <w:tc>
          <w:tcPr>
            <w:tcW w:w="4360" w:type="dxa"/>
            <w:vAlign w:val="bottom"/>
            <w:gridSpan w:val="3"/>
          </w:tcPr>
          <w:p>
            <w:pPr>
              <w:spacing w:after="0"/>
              <w:rPr>
                <w:sz w:val="20"/>
                <w:szCs w:val="20"/>
                <w:color w:val="auto"/>
              </w:rPr>
            </w:pPr>
            <w:r>
              <w:rPr>
                <w:rFonts w:ascii="Arial" w:cs="Arial" w:eastAsia="Arial" w:hAnsi="Arial"/>
                <w:sz w:val="18"/>
                <w:szCs w:val="18"/>
                <w:color w:val="auto"/>
              </w:rPr>
              <w:t>Working capital</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980" w:type="dxa"/>
            <w:vAlign w:val="bottom"/>
          </w:tcPr>
          <w:p>
            <w:pPr>
              <w:jc w:val="right"/>
              <w:ind w:right="15"/>
              <w:spacing w:after="0"/>
              <w:rPr>
                <w:sz w:val="20"/>
                <w:szCs w:val="20"/>
                <w:color w:val="auto"/>
              </w:rPr>
            </w:pPr>
            <w:r>
              <w:rPr>
                <w:rFonts w:ascii="Arial" w:cs="Arial" w:eastAsia="Arial" w:hAnsi="Arial"/>
                <w:sz w:val="18"/>
                <w:szCs w:val="18"/>
                <w:color w:val="auto"/>
              </w:rPr>
              <w:t>360,764</w:t>
            </w:r>
          </w:p>
        </w:tc>
        <w:tc>
          <w:tcPr>
            <w:tcW w:w="12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tcPr>
          <w:p>
            <w:pPr>
              <w:jc w:val="right"/>
              <w:ind w:right="15"/>
              <w:spacing w:after="0"/>
              <w:rPr>
                <w:sz w:val="20"/>
                <w:szCs w:val="20"/>
                <w:color w:val="auto"/>
              </w:rPr>
            </w:pPr>
            <w:r>
              <w:rPr>
                <w:rFonts w:ascii="Arial" w:cs="Arial" w:eastAsia="Arial" w:hAnsi="Arial"/>
                <w:sz w:val="18"/>
                <w:szCs w:val="18"/>
                <w:color w:val="auto"/>
              </w:rPr>
              <w:t>242,022</w:t>
            </w:r>
          </w:p>
        </w:tc>
        <w:tc>
          <w:tcPr>
            <w:tcW w:w="10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20" w:type="dxa"/>
            <w:vAlign w:val="bottom"/>
          </w:tcPr>
          <w:p>
            <w:pPr>
              <w:jc w:val="right"/>
              <w:ind w:right="14"/>
              <w:spacing w:after="0"/>
              <w:rPr>
                <w:sz w:val="20"/>
                <w:szCs w:val="20"/>
                <w:color w:val="auto"/>
              </w:rPr>
            </w:pPr>
            <w:r>
              <w:rPr>
                <w:rFonts w:ascii="Arial" w:cs="Arial" w:eastAsia="Arial" w:hAnsi="Arial"/>
                <w:sz w:val="18"/>
                <w:szCs w:val="18"/>
                <w:color w:val="auto"/>
              </w:rPr>
              <w:t>190,731</w:t>
            </w:r>
          </w:p>
        </w:tc>
        <w:tc>
          <w:tcPr>
            <w:tcW w:w="12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tcPr>
          <w:p>
            <w:pPr>
              <w:jc w:val="right"/>
              <w:ind w:right="15"/>
              <w:spacing w:after="0"/>
              <w:rPr>
                <w:sz w:val="20"/>
                <w:szCs w:val="20"/>
                <w:color w:val="auto"/>
              </w:rPr>
            </w:pPr>
            <w:r>
              <w:rPr>
                <w:rFonts w:ascii="Arial" w:cs="Arial" w:eastAsia="Arial" w:hAnsi="Arial"/>
                <w:sz w:val="18"/>
                <w:szCs w:val="18"/>
                <w:color w:val="auto"/>
              </w:rPr>
              <w:t>176,376</w:t>
            </w:r>
          </w:p>
        </w:tc>
        <w:tc>
          <w:tcPr>
            <w:tcW w:w="10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Pr>
          <w:p>
            <w:pPr>
              <w:jc w:val="right"/>
              <w:ind w:right="15"/>
              <w:spacing w:after="0"/>
              <w:rPr>
                <w:sz w:val="20"/>
                <w:szCs w:val="20"/>
                <w:color w:val="auto"/>
              </w:rPr>
            </w:pPr>
            <w:r>
              <w:rPr>
                <w:rFonts w:ascii="Arial" w:cs="Arial" w:eastAsia="Arial" w:hAnsi="Arial"/>
                <w:sz w:val="18"/>
                <w:szCs w:val="18"/>
                <w:color w:val="auto"/>
              </w:rPr>
              <w:t>170,907</w:t>
            </w:r>
          </w:p>
        </w:tc>
      </w:tr>
      <w:tr>
        <w:trPr>
          <w:trHeight w:val="27"/>
        </w:trPr>
        <w:tc>
          <w:tcPr>
            <w:tcW w:w="20" w:type="dxa"/>
            <w:vAlign w:val="bottom"/>
          </w:tcPr>
          <w:p>
            <w:pPr>
              <w:spacing w:after="0"/>
              <w:rPr>
                <w:sz w:val="2"/>
                <w:szCs w:val="2"/>
                <w:color w:val="auto"/>
              </w:rPr>
            </w:pPr>
          </w:p>
        </w:tc>
        <w:tc>
          <w:tcPr>
            <w:tcW w:w="1460" w:type="dxa"/>
            <w:vAlign w:val="bottom"/>
          </w:tcPr>
          <w:p>
            <w:pPr>
              <w:spacing w:after="0"/>
              <w:rPr>
                <w:sz w:val="2"/>
                <w:szCs w:val="2"/>
                <w:color w:val="auto"/>
              </w:rPr>
            </w:pPr>
          </w:p>
        </w:tc>
        <w:tc>
          <w:tcPr>
            <w:tcW w:w="720" w:type="dxa"/>
            <w:vAlign w:val="bottom"/>
          </w:tcPr>
          <w:p>
            <w:pPr>
              <w:spacing w:after="0"/>
              <w:rPr>
                <w:sz w:val="2"/>
                <w:szCs w:val="2"/>
                <w:color w:val="auto"/>
              </w:rPr>
            </w:pPr>
          </w:p>
        </w:tc>
        <w:tc>
          <w:tcPr>
            <w:tcW w:w="2180" w:type="dxa"/>
            <w:vAlign w:val="bottom"/>
          </w:tcPr>
          <w:p>
            <w:pPr>
              <w:spacing w:after="0"/>
              <w:rPr>
                <w:sz w:val="2"/>
                <w:szCs w:val="2"/>
                <w:color w:val="auto"/>
              </w:rPr>
            </w:pPr>
          </w:p>
        </w:tc>
        <w:tc>
          <w:tcPr>
            <w:tcW w:w="2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70"/>
        </w:trPr>
        <w:tc>
          <w:tcPr>
            <w:tcW w:w="20" w:type="dxa"/>
            <w:vAlign w:val="bottom"/>
            <w:shd w:val="clear" w:color="auto" w:fill="CCEEFF"/>
          </w:tcPr>
          <w:p>
            <w:pPr>
              <w:spacing w:after="0"/>
              <w:rPr>
                <w:sz w:val="23"/>
                <w:szCs w:val="23"/>
                <w:color w:val="auto"/>
              </w:rPr>
            </w:pPr>
          </w:p>
        </w:tc>
        <w:tc>
          <w:tcPr>
            <w:tcW w:w="4360" w:type="dxa"/>
            <w:vAlign w:val="bottom"/>
            <w:gridSpan w:val="3"/>
            <w:shd w:val="clear" w:color="auto" w:fill="CCEEFF"/>
          </w:tcPr>
          <w:p>
            <w:pPr>
              <w:spacing w:after="0" w:line="270" w:lineRule="exact"/>
              <w:rPr>
                <w:sz w:val="20"/>
                <w:szCs w:val="20"/>
                <w:color w:val="auto"/>
              </w:rPr>
            </w:pPr>
            <w:r>
              <w:rPr>
                <w:rFonts w:ascii="Arial" w:cs="Arial" w:eastAsia="Arial" w:hAnsi="Arial"/>
                <w:sz w:val="18"/>
                <w:szCs w:val="18"/>
                <w:color w:val="auto"/>
              </w:rPr>
              <w:t>Total assets</w:t>
            </w:r>
            <w:r>
              <w:rPr>
                <w:rFonts w:ascii="Arial" w:cs="Arial" w:eastAsia="Arial" w:hAnsi="Arial"/>
                <w:sz w:val="25"/>
                <w:szCs w:val="25"/>
                <w:color w:val="auto"/>
                <w:vertAlign w:val="superscript"/>
              </w:rPr>
              <w:t>(3)</w:t>
            </w:r>
          </w:p>
        </w:tc>
        <w:tc>
          <w:tcPr>
            <w:tcW w:w="200" w:type="dxa"/>
            <w:vAlign w:val="bottom"/>
            <w:shd w:val="clear" w:color="auto" w:fill="CCEEFF"/>
          </w:tcPr>
          <w:p>
            <w:pPr>
              <w:spacing w:after="0"/>
              <w:rPr>
                <w:sz w:val="23"/>
                <w:szCs w:val="23"/>
                <w:color w:val="auto"/>
              </w:rPr>
            </w:pPr>
          </w:p>
        </w:tc>
        <w:tc>
          <w:tcPr>
            <w:tcW w:w="98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2,982,136</w:t>
            </w: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98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955,122</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02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889,629</w:t>
            </w:r>
          </w:p>
        </w:tc>
        <w:tc>
          <w:tcPr>
            <w:tcW w:w="12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98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889,611</w:t>
            </w: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96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880,502</w:t>
            </w:r>
          </w:p>
        </w:tc>
      </w:tr>
      <w:tr>
        <w:trPr>
          <w:trHeight w:val="341"/>
        </w:trPr>
        <w:tc>
          <w:tcPr>
            <w:tcW w:w="20" w:type="dxa"/>
            <w:vAlign w:val="bottom"/>
          </w:tcPr>
          <w:p>
            <w:pPr>
              <w:spacing w:after="0"/>
              <w:rPr>
                <w:sz w:val="24"/>
                <w:szCs w:val="24"/>
                <w:color w:val="auto"/>
              </w:rPr>
            </w:pPr>
          </w:p>
        </w:tc>
        <w:tc>
          <w:tcPr>
            <w:tcW w:w="4360" w:type="dxa"/>
            <w:vAlign w:val="bottom"/>
            <w:gridSpan w:val="3"/>
          </w:tcPr>
          <w:p>
            <w:pPr>
              <w:spacing w:after="0"/>
              <w:rPr>
                <w:sz w:val="20"/>
                <w:szCs w:val="20"/>
                <w:color w:val="auto"/>
              </w:rPr>
            </w:pPr>
            <w:r>
              <w:rPr>
                <w:rFonts w:ascii="Arial" w:cs="Arial" w:eastAsia="Arial" w:hAnsi="Arial"/>
                <w:sz w:val="18"/>
                <w:szCs w:val="18"/>
                <w:color w:val="auto"/>
              </w:rPr>
              <w:t>Long-term obligations</w:t>
            </w:r>
            <w:r>
              <w:rPr>
                <w:rFonts w:ascii="Arial" w:cs="Arial" w:eastAsia="Arial" w:hAnsi="Arial"/>
                <w:sz w:val="25"/>
                <w:szCs w:val="25"/>
                <w:color w:val="auto"/>
                <w:vertAlign w:val="superscript"/>
              </w:rPr>
              <w:t>(3)</w:t>
            </w:r>
          </w:p>
        </w:tc>
        <w:tc>
          <w:tcPr>
            <w:tcW w:w="200" w:type="dxa"/>
            <w:vAlign w:val="bottom"/>
          </w:tcPr>
          <w:p>
            <w:pPr>
              <w:spacing w:after="0"/>
              <w:rPr>
                <w:sz w:val="24"/>
                <w:szCs w:val="24"/>
                <w:color w:val="auto"/>
              </w:rPr>
            </w:pPr>
          </w:p>
        </w:tc>
        <w:tc>
          <w:tcPr>
            <w:tcW w:w="980" w:type="dxa"/>
            <w:vAlign w:val="bottom"/>
          </w:tcPr>
          <w:p>
            <w:pPr>
              <w:jc w:val="right"/>
              <w:ind w:right="15"/>
              <w:spacing w:after="0"/>
              <w:rPr>
                <w:sz w:val="20"/>
                <w:szCs w:val="20"/>
                <w:color w:val="auto"/>
              </w:rPr>
            </w:pPr>
            <w:r>
              <w:rPr>
                <w:rFonts w:ascii="Arial" w:cs="Arial" w:eastAsia="Arial" w:hAnsi="Arial"/>
                <w:sz w:val="18"/>
                <w:szCs w:val="18"/>
                <w:color w:val="auto"/>
              </w:rPr>
              <w:t>1,917,671</w:t>
            </w: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80" w:type="dxa"/>
            <w:vAlign w:val="bottom"/>
          </w:tcPr>
          <w:p>
            <w:pPr>
              <w:jc w:val="right"/>
              <w:ind w:right="15"/>
              <w:spacing w:after="0"/>
              <w:rPr>
                <w:sz w:val="20"/>
                <w:szCs w:val="20"/>
                <w:color w:val="auto"/>
              </w:rPr>
            </w:pPr>
            <w:r>
              <w:rPr>
                <w:rFonts w:ascii="Arial" w:cs="Arial" w:eastAsia="Arial" w:hAnsi="Arial"/>
                <w:sz w:val="18"/>
                <w:szCs w:val="18"/>
                <w:color w:val="auto"/>
              </w:rPr>
              <w:t>233,099</w:t>
            </w: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20" w:type="dxa"/>
            <w:vAlign w:val="bottom"/>
          </w:tcPr>
          <w:p>
            <w:pPr>
              <w:jc w:val="right"/>
              <w:ind w:right="14"/>
              <w:spacing w:after="0"/>
              <w:rPr>
                <w:sz w:val="20"/>
                <w:szCs w:val="20"/>
                <w:color w:val="auto"/>
              </w:rPr>
            </w:pPr>
            <w:r>
              <w:rPr>
                <w:rFonts w:ascii="Arial" w:cs="Arial" w:eastAsia="Arial" w:hAnsi="Arial"/>
                <w:sz w:val="18"/>
                <w:szCs w:val="18"/>
                <w:color w:val="auto"/>
              </w:rPr>
              <w:t>255,772</w:t>
            </w: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80" w:type="dxa"/>
            <w:vAlign w:val="bottom"/>
          </w:tcPr>
          <w:p>
            <w:pPr>
              <w:jc w:val="right"/>
              <w:ind w:right="15"/>
              <w:spacing w:after="0"/>
              <w:rPr>
                <w:sz w:val="20"/>
                <w:szCs w:val="20"/>
                <w:color w:val="auto"/>
              </w:rPr>
            </w:pPr>
            <w:r>
              <w:rPr>
                <w:rFonts w:ascii="Arial" w:cs="Arial" w:eastAsia="Arial" w:hAnsi="Arial"/>
                <w:sz w:val="18"/>
                <w:szCs w:val="18"/>
                <w:color w:val="auto"/>
              </w:rPr>
              <w:t>316,994</w:t>
            </w: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60" w:type="dxa"/>
            <w:vAlign w:val="bottom"/>
          </w:tcPr>
          <w:p>
            <w:pPr>
              <w:jc w:val="right"/>
              <w:ind w:right="15"/>
              <w:spacing w:after="0"/>
              <w:rPr>
                <w:sz w:val="20"/>
                <w:szCs w:val="20"/>
                <w:color w:val="auto"/>
              </w:rPr>
            </w:pPr>
            <w:r>
              <w:rPr>
                <w:rFonts w:ascii="Arial" w:cs="Arial" w:eastAsia="Arial" w:hAnsi="Arial"/>
                <w:sz w:val="18"/>
                <w:szCs w:val="18"/>
                <w:color w:val="auto"/>
              </w:rPr>
              <w:t>319,170</w:t>
            </w:r>
          </w:p>
        </w:tc>
      </w:tr>
    </w:tbl>
    <w:p>
      <w:pPr>
        <w:spacing w:after="0" w:line="238" w:lineRule="exact"/>
        <w:rPr>
          <w:sz w:val="20"/>
          <w:szCs w:val="20"/>
          <w:color w:val="auto"/>
        </w:rPr>
      </w:pPr>
    </w:p>
    <w:p>
      <w:pPr>
        <w:ind w:left="340" w:right="140" w:hanging="332"/>
        <w:spacing w:after="0" w:line="264" w:lineRule="auto"/>
        <w:tabs>
          <w:tab w:leader="none" w:pos="3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From 2011 to 2015, we recorded material charges in Other Operating Expenses, Net, primarily related to our cost savings and consolidation initiatives and our acquisitions. Additional information is set forth in Note 13 “Other Operating Expenses, Net” of the Notes to Consolidated Financial Statements contained in Item 8 of this report.</w:t>
      </w:r>
    </w:p>
    <w:p>
      <w:pPr>
        <w:spacing w:after="0" w:line="181" w:lineRule="exact"/>
        <w:rPr>
          <w:rFonts w:ascii="Arial" w:cs="Arial" w:eastAsia="Arial" w:hAnsi="Arial"/>
          <w:sz w:val="18"/>
          <w:szCs w:val="18"/>
          <w:color w:val="auto"/>
        </w:rPr>
      </w:pPr>
    </w:p>
    <w:p>
      <w:pPr>
        <w:ind w:left="340" w:right="60" w:hanging="332"/>
        <w:spacing w:after="0" w:line="255" w:lineRule="auto"/>
        <w:tabs>
          <w:tab w:leader="none" w:pos="3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On October 27, 2015, August 12, 2014, February 16, 2012, and December 15, 2011, we acquired Lake Region Medical Holdings, Inc., Centro de Construcción de Cardioestimuladores del Uruguay, NeuroNexus Technologies, Inc., and Micro Power Electronics, Inc., respectively. This data includes the results of operations of these companies subsequent to their acquisition. Additional information is set forth in Note 2 “Acquisitions” of the Notes to Consolidated Financial Statements contained in Item 8 of this report. Additionally, in connection with our acquisition of Lake Region Medical we issued approximately $1.8 billion of long-term debt. Additional information is set forth in Note 9 “Debt” of the Notes to Consolidated Financial Statements contained in Item 8 of this report.</w:t>
      </w:r>
    </w:p>
    <w:p>
      <w:pPr>
        <w:spacing w:after="0" w:line="193" w:lineRule="exact"/>
        <w:rPr>
          <w:rFonts w:ascii="Arial" w:cs="Arial" w:eastAsia="Arial" w:hAnsi="Arial"/>
          <w:sz w:val="18"/>
          <w:szCs w:val="18"/>
          <w:color w:val="auto"/>
        </w:rPr>
      </w:pPr>
    </w:p>
    <w:p>
      <w:pPr>
        <w:ind w:left="340" w:hanging="332"/>
        <w:spacing w:after="0" w:line="254" w:lineRule="auto"/>
        <w:tabs>
          <w:tab w:leader="none" w:pos="3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In April 2015, the Financial Accounting Standards Board issued Accounting Standards Update (“ASU”) 2015-03, “Interest - Imputation of Interest (Subtopic 835-30): Simplifying the Presentation of Debt Issuance Costs.” This ASU requires that debt issuance costs be presented as a direct reduction to the carrying amount of the related debt in the balance sheet rather than as a deferred charge, consistent with the presentation of discounts on debt. ASU 2015-15, “Interest - Imputation of Interest (Subtopic 835-30): Presentation and Subsequent Measurement of Debt Issuance Costs associated with Line-of-Credit Arrangements,” was issued in August 2015 to clarify that the U.S. Securities and Exchange Commission staff would not object to an entity deferring and presenting debt issuance costs related to a line-of-credit arrangement as an asset and subsequently amortizing the deferred debt issuance costs ratably over the term of the line-of-credit arrangement, regardless of whether there are any outstanding borrowings on the line-of-credit arrangement.</w:t>
      </w:r>
    </w:p>
    <w:p>
      <w:pPr>
        <w:spacing w:after="0" w:line="192" w:lineRule="exact"/>
        <w:rPr>
          <w:rFonts w:ascii="Arial" w:cs="Arial" w:eastAsia="Arial" w:hAnsi="Arial"/>
          <w:sz w:val="18"/>
          <w:szCs w:val="18"/>
          <w:color w:val="auto"/>
        </w:rPr>
      </w:pPr>
    </w:p>
    <w:p>
      <w:pPr>
        <w:ind w:left="340" w:right="120"/>
        <w:spacing w:after="0" w:line="259" w:lineRule="auto"/>
        <w:rPr>
          <w:rFonts w:ascii="Arial" w:cs="Arial" w:eastAsia="Arial" w:hAnsi="Arial"/>
          <w:sz w:val="18"/>
          <w:szCs w:val="18"/>
          <w:color w:val="auto"/>
        </w:rPr>
      </w:pPr>
      <w:r>
        <w:rPr>
          <w:rFonts w:ascii="Arial" w:cs="Arial" w:eastAsia="Arial" w:hAnsi="Arial"/>
          <w:sz w:val="18"/>
          <w:szCs w:val="18"/>
          <w:color w:val="auto"/>
        </w:rPr>
        <w:t>As permitted, during the fourth quarter of 2015, we elected to early adopt these ASUs and elected to retrospectively apply this guidance. As a result, the Company has reclassified all deferred debt issuance costs associated with our term-debt from Other Assets to Long-Term Debt in the Consolidated Balance Sheets. Additional information is set forth in Note 1 “Summary of Significant Accounting Policies” of the Notes to Consolidated Financial Statements contained in Item 8 of this report.</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62" w:lineRule="exact"/>
        <w:rPr>
          <w:rFonts w:ascii="Arial" w:cs="Arial" w:eastAsia="Arial" w:hAnsi="Arial"/>
          <w:sz w:val="18"/>
          <w:szCs w:val="18"/>
          <w:color w:val="auto"/>
        </w:rPr>
      </w:pPr>
    </w:p>
    <w:p>
      <w:pPr>
        <w:ind w:left="5620" w:hanging="101"/>
        <w:spacing w:after="0"/>
        <w:tabs>
          <w:tab w:leader="none" w:pos="5620" w:val="left"/>
        </w:tabs>
        <w:numPr>
          <w:ilvl w:val="1"/>
          <w:numId w:val="13"/>
        </w:numPr>
        <w:rPr>
          <w:rFonts w:ascii="Arial" w:cs="Arial" w:eastAsia="Arial" w:hAnsi="Arial"/>
          <w:sz w:val="18"/>
          <w:szCs w:val="18"/>
          <w:color w:val="auto"/>
        </w:rPr>
      </w:pPr>
      <w:r>
        <w:rPr>
          <w:rFonts w:ascii="Arial" w:cs="Arial" w:eastAsia="Arial" w:hAnsi="Arial"/>
          <w:sz w:val="18"/>
          <w:szCs w:val="18"/>
          <w:color w:val="auto"/>
        </w:rPr>
        <w:t>34 -</w:t>
      </w:r>
    </w:p>
    <w:p>
      <w:pPr>
        <w:sectPr>
          <w:pgSz w:w="11900" w:h="16838" w:orient="portrait"/>
          <w:cols w:equalWidth="0" w:num="1">
            <w:col w:w="11400"/>
          </w:cols>
          <w:pgMar w:left="240" w:top="959" w:right="259" w:bottom="1440" w:gutter="0" w:footer="0" w:header="0"/>
        </w:sectPr>
      </w:pPr>
    </w:p>
    <w:bookmarkStart w:id="35" w:name="page36"/>
    <w:bookmarkEnd w:id="35"/>
    <w:p>
      <w:pPr>
        <w:ind w:left="1040" w:right="2300" w:hanging="998"/>
        <w:spacing w:after="0" w:line="282" w:lineRule="auto"/>
        <w:tabs>
          <w:tab w:leader="none" w:pos="1020" w:val="left"/>
        </w:tabs>
        <w:rPr>
          <w:sz w:val="20"/>
          <w:szCs w:val="20"/>
          <w:color w:val="auto"/>
        </w:rPr>
      </w:pPr>
      <w:r>
        <w:rPr>
          <w:rFonts w:ascii="Arial" w:cs="Arial" w:eastAsia="Arial" w:hAnsi="Arial"/>
          <w:sz w:val="18"/>
          <w:szCs w:val="18"/>
          <w:b w:val="1"/>
          <w:bCs w:val="1"/>
          <w:color w:val="auto"/>
        </w:rPr>
        <w:t>ITEM 7.</w:t>
      </w:r>
      <w:r>
        <w:rPr>
          <w:sz w:val="20"/>
          <w:szCs w:val="20"/>
          <w:color w:val="auto"/>
        </w:rPr>
        <w:tab/>
      </w:r>
      <w:r>
        <w:rPr>
          <w:rFonts w:ascii="Arial" w:cs="Arial" w:eastAsia="Arial" w:hAnsi="Arial"/>
          <w:sz w:val="18"/>
          <w:szCs w:val="18"/>
          <w:b w:val="1"/>
          <w:bCs w:val="1"/>
          <w:color w:val="auto"/>
        </w:rPr>
        <w:t>MANAGEMENT’S DISCUSSION AND ANALYSIS OF FINANCIAL CONDITION AND RESULTS OF OPERATIONS</w:t>
      </w:r>
    </w:p>
    <w:p>
      <w:pPr>
        <w:spacing w:after="0" w:line="58" w:lineRule="exact"/>
        <w:rPr>
          <w:sz w:val="20"/>
          <w:szCs w:val="20"/>
          <w:color w:val="auto"/>
        </w:rPr>
      </w:pPr>
    </w:p>
    <w:p>
      <w:pPr>
        <w:ind w:right="80"/>
        <w:spacing w:after="0" w:line="264" w:lineRule="auto"/>
        <w:rPr>
          <w:sz w:val="20"/>
          <w:szCs w:val="20"/>
          <w:color w:val="auto"/>
        </w:rPr>
      </w:pPr>
      <w:r>
        <w:rPr>
          <w:rFonts w:ascii="Arial" w:cs="Arial" w:eastAsia="Arial" w:hAnsi="Arial"/>
          <w:sz w:val="18"/>
          <w:szCs w:val="18"/>
          <w:color w:val="auto"/>
        </w:rPr>
        <w:t>YOU SHOULD READ THE FOLLOWING DISCUSSION AND ANALYSIS OF OUR FINANCIAL CONDITION AND RESULTS OF OPERATIONS IN CONJUNCTION WITH OUR FINANCIAL STATEMENTS AND RELATED NOTES INCLUDED IN PART II, ITEM 8 “FINANCIAL STATEMENTS AND SUPPLEMENTARY DATA” OF THIS REPORT.</w:t>
      </w: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Our Business</w:t>
      </w:r>
    </w:p>
    <w:p>
      <w:pPr>
        <w:spacing w:after="0" w:line="121" w:lineRule="exact"/>
        <w:rPr>
          <w:sz w:val="20"/>
          <w:szCs w:val="20"/>
          <w:color w:val="auto"/>
        </w:rPr>
      </w:pPr>
    </w:p>
    <w:p>
      <w:pPr>
        <w:ind w:left="1300" w:hanging="320"/>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Our business</w:t>
      </w:r>
    </w:p>
    <w:p>
      <w:pPr>
        <w:spacing w:after="0" w:line="23" w:lineRule="exact"/>
        <w:rPr>
          <w:rFonts w:ascii="Arial" w:cs="Arial" w:eastAsia="Arial" w:hAnsi="Arial"/>
          <w:sz w:val="18"/>
          <w:szCs w:val="18"/>
          <w:color w:val="auto"/>
        </w:rPr>
      </w:pPr>
    </w:p>
    <w:p>
      <w:pPr>
        <w:ind w:left="1300" w:hanging="320"/>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Our acquisitions</w:t>
      </w:r>
    </w:p>
    <w:p>
      <w:pPr>
        <w:spacing w:after="0" w:line="9" w:lineRule="exact"/>
        <w:rPr>
          <w:rFonts w:ascii="Arial" w:cs="Arial" w:eastAsia="Arial" w:hAnsi="Arial"/>
          <w:sz w:val="18"/>
          <w:szCs w:val="18"/>
          <w:color w:val="auto"/>
        </w:rPr>
      </w:pPr>
    </w:p>
    <w:p>
      <w:pPr>
        <w:ind w:left="1300" w:hanging="320"/>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Our customers</w:t>
      </w:r>
    </w:p>
    <w:p>
      <w:pPr>
        <w:spacing w:after="0" w:line="9" w:lineRule="exact"/>
        <w:rPr>
          <w:rFonts w:ascii="Arial" w:cs="Arial" w:eastAsia="Arial" w:hAnsi="Arial"/>
          <w:sz w:val="18"/>
          <w:szCs w:val="18"/>
          <w:color w:val="auto"/>
        </w:rPr>
      </w:pPr>
    </w:p>
    <w:p>
      <w:pPr>
        <w:ind w:left="1300" w:hanging="320"/>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Use of non-GAAP financial information</w:t>
      </w:r>
    </w:p>
    <w:p>
      <w:pPr>
        <w:spacing w:after="0" w:line="9" w:lineRule="exact"/>
        <w:rPr>
          <w:rFonts w:ascii="Arial" w:cs="Arial" w:eastAsia="Arial" w:hAnsi="Arial"/>
          <w:sz w:val="18"/>
          <w:szCs w:val="18"/>
          <w:color w:val="auto"/>
        </w:rPr>
      </w:pPr>
    </w:p>
    <w:p>
      <w:pPr>
        <w:ind w:left="1300" w:hanging="320"/>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CEO view</w:t>
      </w:r>
    </w:p>
    <w:p>
      <w:pPr>
        <w:spacing w:after="0" w:line="9" w:lineRule="exact"/>
        <w:rPr>
          <w:rFonts w:ascii="Arial" w:cs="Arial" w:eastAsia="Arial" w:hAnsi="Arial"/>
          <w:sz w:val="18"/>
          <w:szCs w:val="18"/>
          <w:color w:val="auto"/>
        </w:rPr>
      </w:pPr>
    </w:p>
    <w:p>
      <w:pPr>
        <w:ind w:left="1300" w:hanging="320"/>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Strategic and financial overview</w:t>
      </w:r>
    </w:p>
    <w:p>
      <w:pPr>
        <w:spacing w:after="0" w:line="9" w:lineRule="exact"/>
        <w:rPr>
          <w:rFonts w:ascii="Arial" w:cs="Arial" w:eastAsia="Arial" w:hAnsi="Arial"/>
          <w:sz w:val="18"/>
          <w:szCs w:val="18"/>
          <w:color w:val="auto"/>
        </w:rPr>
      </w:pPr>
    </w:p>
    <w:p>
      <w:pPr>
        <w:ind w:left="1300" w:hanging="320"/>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Cost savings and consolidation efforts</w:t>
      </w:r>
    </w:p>
    <w:p>
      <w:pPr>
        <w:spacing w:after="0" w:line="9" w:lineRule="exact"/>
        <w:rPr>
          <w:rFonts w:ascii="Arial" w:cs="Arial" w:eastAsia="Arial" w:hAnsi="Arial"/>
          <w:sz w:val="18"/>
          <w:szCs w:val="18"/>
          <w:color w:val="auto"/>
        </w:rPr>
      </w:pPr>
    </w:p>
    <w:p>
      <w:pPr>
        <w:ind w:left="1300" w:hanging="320"/>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Product development</w:t>
      </w:r>
    </w:p>
    <w:p>
      <w:pPr>
        <w:spacing w:after="0" w:line="9" w:lineRule="exact"/>
        <w:rPr>
          <w:rFonts w:ascii="Arial" w:cs="Arial" w:eastAsia="Arial" w:hAnsi="Arial"/>
          <w:sz w:val="18"/>
          <w:szCs w:val="18"/>
          <w:color w:val="auto"/>
        </w:rPr>
      </w:pPr>
    </w:p>
    <w:p>
      <w:pPr>
        <w:ind w:left="1300" w:hanging="320"/>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Government regulation</w:t>
      </w:r>
    </w:p>
    <w:p>
      <w:pPr>
        <w:spacing w:after="0" w:line="234"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Our Critical Accounting Estimates</w:t>
      </w:r>
    </w:p>
    <w:p>
      <w:pPr>
        <w:spacing w:after="0" w:line="121" w:lineRule="exact"/>
        <w:rPr>
          <w:sz w:val="20"/>
          <w:szCs w:val="20"/>
          <w:color w:val="auto"/>
        </w:rPr>
      </w:pPr>
    </w:p>
    <w:p>
      <w:pPr>
        <w:ind w:left="1300" w:hanging="320"/>
        <w:spacing w:after="0"/>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Business acquisitions and intangible assets</w:t>
      </w:r>
    </w:p>
    <w:p>
      <w:pPr>
        <w:spacing w:after="0" w:line="23" w:lineRule="exact"/>
        <w:rPr>
          <w:rFonts w:ascii="Arial" w:cs="Arial" w:eastAsia="Arial" w:hAnsi="Arial"/>
          <w:sz w:val="18"/>
          <w:szCs w:val="18"/>
          <w:color w:val="auto"/>
        </w:rPr>
      </w:pPr>
    </w:p>
    <w:p>
      <w:pPr>
        <w:ind w:left="1300" w:hanging="320"/>
        <w:spacing w:after="0"/>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Stock-based compensation</w:t>
      </w:r>
    </w:p>
    <w:p>
      <w:pPr>
        <w:spacing w:after="0" w:line="9" w:lineRule="exact"/>
        <w:rPr>
          <w:rFonts w:ascii="Arial" w:cs="Arial" w:eastAsia="Arial" w:hAnsi="Arial"/>
          <w:sz w:val="18"/>
          <w:szCs w:val="18"/>
          <w:color w:val="auto"/>
        </w:rPr>
      </w:pPr>
    </w:p>
    <w:p>
      <w:pPr>
        <w:ind w:left="1300" w:hanging="320"/>
        <w:spacing w:after="0"/>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Inventories</w:t>
      </w:r>
    </w:p>
    <w:p>
      <w:pPr>
        <w:spacing w:after="0" w:line="9" w:lineRule="exact"/>
        <w:rPr>
          <w:rFonts w:ascii="Arial" w:cs="Arial" w:eastAsia="Arial" w:hAnsi="Arial"/>
          <w:sz w:val="18"/>
          <w:szCs w:val="18"/>
          <w:color w:val="auto"/>
        </w:rPr>
      </w:pPr>
    </w:p>
    <w:p>
      <w:pPr>
        <w:ind w:left="1300" w:hanging="320"/>
        <w:spacing w:after="0"/>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Tangible long-lived assets</w:t>
      </w:r>
    </w:p>
    <w:p>
      <w:pPr>
        <w:spacing w:after="0" w:line="9" w:lineRule="exact"/>
        <w:rPr>
          <w:rFonts w:ascii="Arial" w:cs="Arial" w:eastAsia="Arial" w:hAnsi="Arial"/>
          <w:sz w:val="18"/>
          <w:szCs w:val="18"/>
          <w:color w:val="auto"/>
        </w:rPr>
      </w:pPr>
    </w:p>
    <w:p>
      <w:pPr>
        <w:ind w:left="1300" w:hanging="320"/>
        <w:spacing w:after="0"/>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Provision for income taxes</w:t>
      </w:r>
    </w:p>
    <w:p>
      <w:pPr>
        <w:spacing w:after="0" w:line="234"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Our Financial Results</w:t>
      </w:r>
    </w:p>
    <w:p>
      <w:pPr>
        <w:spacing w:after="0" w:line="121" w:lineRule="exact"/>
        <w:rPr>
          <w:sz w:val="20"/>
          <w:szCs w:val="20"/>
          <w:color w:val="auto"/>
        </w:rPr>
      </w:pPr>
    </w:p>
    <w:p>
      <w:pPr>
        <w:ind w:left="1300" w:hanging="320"/>
        <w:spacing w:after="0"/>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Fiscal 2015 compared with fiscal 2014</w:t>
      </w:r>
    </w:p>
    <w:p>
      <w:pPr>
        <w:spacing w:after="0" w:line="23" w:lineRule="exact"/>
        <w:rPr>
          <w:rFonts w:ascii="Arial" w:cs="Arial" w:eastAsia="Arial" w:hAnsi="Arial"/>
          <w:sz w:val="18"/>
          <w:szCs w:val="18"/>
          <w:color w:val="auto"/>
        </w:rPr>
      </w:pPr>
    </w:p>
    <w:p>
      <w:pPr>
        <w:ind w:left="1300" w:hanging="320"/>
        <w:spacing w:after="0"/>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Fiscal 2014 compared with fiscal 2013</w:t>
      </w:r>
    </w:p>
    <w:p>
      <w:pPr>
        <w:spacing w:after="0" w:line="9" w:lineRule="exact"/>
        <w:rPr>
          <w:rFonts w:ascii="Arial" w:cs="Arial" w:eastAsia="Arial" w:hAnsi="Arial"/>
          <w:sz w:val="18"/>
          <w:szCs w:val="18"/>
          <w:color w:val="auto"/>
        </w:rPr>
      </w:pPr>
    </w:p>
    <w:p>
      <w:pPr>
        <w:ind w:left="1300" w:hanging="320"/>
        <w:spacing w:after="0"/>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Liquidity and capital resources</w:t>
      </w:r>
    </w:p>
    <w:p>
      <w:pPr>
        <w:spacing w:after="0" w:line="9" w:lineRule="exact"/>
        <w:rPr>
          <w:rFonts w:ascii="Arial" w:cs="Arial" w:eastAsia="Arial" w:hAnsi="Arial"/>
          <w:sz w:val="18"/>
          <w:szCs w:val="18"/>
          <w:color w:val="auto"/>
        </w:rPr>
      </w:pPr>
    </w:p>
    <w:p>
      <w:pPr>
        <w:ind w:left="1300" w:hanging="320"/>
        <w:spacing w:after="0"/>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Off-balance sheet arrangements</w:t>
      </w:r>
    </w:p>
    <w:p>
      <w:pPr>
        <w:spacing w:after="0" w:line="9" w:lineRule="exact"/>
        <w:rPr>
          <w:rFonts w:ascii="Arial" w:cs="Arial" w:eastAsia="Arial" w:hAnsi="Arial"/>
          <w:sz w:val="18"/>
          <w:szCs w:val="18"/>
          <w:color w:val="auto"/>
        </w:rPr>
      </w:pPr>
    </w:p>
    <w:p>
      <w:pPr>
        <w:ind w:left="1300" w:hanging="320"/>
        <w:spacing w:after="0"/>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Litigation</w:t>
      </w:r>
    </w:p>
    <w:p>
      <w:pPr>
        <w:spacing w:after="0" w:line="9" w:lineRule="exact"/>
        <w:rPr>
          <w:rFonts w:ascii="Arial" w:cs="Arial" w:eastAsia="Arial" w:hAnsi="Arial"/>
          <w:sz w:val="18"/>
          <w:szCs w:val="18"/>
          <w:color w:val="auto"/>
        </w:rPr>
      </w:pPr>
    </w:p>
    <w:p>
      <w:pPr>
        <w:ind w:left="1300" w:hanging="320"/>
        <w:spacing w:after="0"/>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Contractual obligations</w:t>
      </w:r>
    </w:p>
    <w:p>
      <w:pPr>
        <w:spacing w:after="0" w:line="9" w:lineRule="exact"/>
        <w:rPr>
          <w:rFonts w:ascii="Arial" w:cs="Arial" w:eastAsia="Arial" w:hAnsi="Arial"/>
          <w:sz w:val="18"/>
          <w:szCs w:val="18"/>
          <w:color w:val="auto"/>
        </w:rPr>
      </w:pPr>
    </w:p>
    <w:p>
      <w:pPr>
        <w:ind w:left="1300" w:hanging="320"/>
        <w:spacing w:after="0"/>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Inflation</w:t>
      </w:r>
    </w:p>
    <w:p>
      <w:pPr>
        <w:spacing w:after="0" w:line="9" w:lineRule="exact"/>
        <w:rPr>
          <w:rFonts w:ascii="Arial" w:cs="Arial" w:eastAsia="Arial" w:hAnsi="Arial"/>
          <w:sz w:val="18"/>
          <w:szCs w:val="18"/>
          <w:color w:val="auto"/>
        </w:rPr>
      </w:pPr>
    </w:p>
    <w:p>
      <w:pPr>
        <w:ind w:left="1300" w:hanging="320"/>
        <w:spacing w:after="0"/>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Impact of recently issued accounting standards</w:t>
      </w:r>
    </w:p>
    <w:p>
      <w:pPr>
        <w:spacing w:after="0" w:line="99"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Our Business</w:t>
      </w:r>
    </w:p>
    <w:p>
      <w:pPr>
        <w:spacing w:after="0" w:line="229" w:lineRule="exact"/>
        <w:rPr>
          <w:sz w:val="20"/>
          <w:szCs w:val="20"/>
          <w:color w:val="auto"/>
        </w:rPr>
      </w:pPr>
    </w:p>
    <w:p>
      <w:pPr>
        <w:spacing w:after="0" w:line="293" w:lineRule="auto"/>
        <w:rPr>
          <w:sz w:val="20"/>
          <w:szCs w:val="20"/>
          <w:color w:val="auto"/>
        </w:rPr>
      </w:pPr>
      <w:r>
        <w:rPr>
          <w:rFonts w:ascii="Arial" w:cs="Arial" w:eastAsia="Arial" w:hAnsi="Arial"/>
          <w:sz w:val="16"/>
          <w:szCs w:val="16"/>
          <w:color w:val="auto"/>
        </w:rPr>
        <w:t>In the fourth quarter of 2015, we acquired all of the outstanding common stock of Lake Region Medical Holdings, Inc. (“Lake Region Medical”). As a result, we now have three reportable segments: Greatbatch Medical, QiG Group (“QiG”), and Lake Region Medical. In February 2016, we announced that our Board of Directors has approved the spin-off of a portion of our QiG segment (the “Spin-off”). The Spin-off is expected to be completed in March 2016. As a result of the Lake Region Medical acquisition and the pending Spin-off, we are reevaluating our operating and reporting segments, which is expected to be finalized in 2016 once our corporate and management reporting structure realignment is completed. Additional information is set forth in Note 19 “Business Segment, Geographic and Concentration Risk Information” of the Notes to Consolidated Financial Statements contained in Item 8 of this report.</w:t>
      </w:r>
    </w:p>
    <w:p>
      <w:pPr>
        <w:spacing w:after="0" w:line="165"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Simultaneous with the close of the Lake Region Medical acquisition, we also announced our intention to rename the combined entity Integer Holdings Corporation (“Integer”). Integer is defined as complete, whole, and comprehensive, and represents the joining of Greatbatch and Lake Region Medical as well as the combined company’s product and service offerings provided to customers. The new name is subject to Greatbatch stockholder approval at our May 2016 annual meeting.</w:t>
      </w:r>
    </w:p>
    <w:p>
      <w:pPr>
        <w:spacing w:after="0" w:line="187" w:lineRule="exact"/>
        <w:rPr>
          <w:sz w:val="20"/>
          <w:szCs w:val="20"/>
          <w:color w:val="auto"/>
        </w:rPr>
      </w:pPr>
    </w:p>
    <w:p>
      <w:pPr>
        <w:ind w:right="140"/>
        <w:spacing w:after="0" w:line="259" w:lineRule="auto"/>
        <w:rPr>
          <w:sz w:val="20"/>
          <w:szCs w:val="20"/>
          <w:color w:val="auto"/>
        </w:rPr>
      </w:pPr>
      <w:r>
        <w:rPr>
          <w:rFonts w:ascii="Arial" w:cs="Arial" w:eastAsia="Arial" w:hAnsi="Arial"/>
          <w:sz w:val="18"/>
          <w:szCs w:val="18"/>
          <w:color w:val="auto"/>
        </w:rPr>
        <w:t>Greatbatch Medical designs and manufactures products where we either own the intellectual property or have unique manufacturing and assembly expertise. These products include medical devices and components for the cardiac, neuromodulation, orthopaedics, portable medical, vascular and energy markets among others. The Greatbatch Medical segment also offers value-added assembly and design engineering services for medical devices that utilize its component products.</w:t>
      </w:r>
    </w:p>
    <w:p>
      <w:pPr>
        <w:spacing w:after="0" w:line="187" w:lineRule="exact"/>
        <w:rPr>
          <w:sz w:val="20"/>
          <w:szCs w:val="20"/>
          <w:color w:val="auto"/>
        </w:rPr>
      </w:pPr>
    </w:p>
    <w:p>
      <w:pPr>
        <w:ind w:right="80"/>
        <w:spacing w:after="0" w:line="264" w:lineRule="auto"/>
        <w:rPr>
          <w:sz w:val="20"/>
          <w:szCs w:val="20"/>
          <w:color w:val="auto"/>
        </w:rPr>
      </w:pPr>
      <w:r>
        <w:rPr>
          <w:rFonts w:ascii="Arial" w:cs="Arial" w:eastAsia="Arial" w:hAnsi="Arial"/>
          <w:sz w:val="18"/>
          <w:szCs w:val="18"/>
          <w:color w:val="auto"/>
        </w:rPr>
        <w:t>The QiG segment focuses on the design and development of medical device systems and components. QiG is in the process of developing applications for its neurostimulation technology platform for emerging indications such as spinal cord stimulation (“SCS”), sacral nerve stimulation (“SNS”), and deep brain stimulation (“DBS”), among others. QiG’s Algostim, LLC</w:t>
      </w:r>
    </w:p>
    <w:p>
      <w:pPr>
        <w:sectPr>
          <w:pgSz w:w="11900" w:h="16838" w:orient="portrait"/>
          <w:cols w:equalWidth="0" w:num="1">
            <w:col w:w="11420"/>
          </w:cols>
          <w:pgMar w:left="240" w:top="958" w:right="239" w:bottom="1440" w:gutter="0" w:footer="0" w:header="0"/>
        </w:sectPr>
      </w:pPr>
    </w:p>
    <w:p>
      <w:pPr>
        <w:spacing w:after="0" w:line="31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- 35 -</w:t>
      </w:r>
    </w:p>
    <w:p>
      <w:pPr>
        <w:sectPr>
          <w:pgSz w:w="11900" w:h="16838" w:orient="portrait"/>
          <w:cols w:equalWidth="0" w:num="1">
            <w:col w:w="11420"/>
          </w:cols>
          <w:pgMar w:left="240" w:top="958" w:right="239" w:bottom="1440" w:gutter="0" w:footer="0" w:header="0"/>
          <w:type w:val="continuous"/>
        </w:sectPr>
      </w:pPr>
    </w:p>
    <w:bookmarkStart w:id="36" w:name="page37"/>
    <w:bookmarkEnd w:id="36"/>
    <w:p>
      <w:pPr>
        <w:ind w:right="20"/>
        <w:spacing w:after="0" w:line="255" w:lineRule="auto"/>
        <w:rPr>
          <w:sz w:val="20"/>
          <w:szCs w:val="20"/>
          <w:color w:val="auto"/>
        </w:rPr>
      </w:pPr>
      <w:r>
        <w:rPr>
          <w:rFonts w:ascii="Arial" w:cs="Arial" w:eastAsia="Arial" w:hAnsi="Arial"/>
          <w:sz w:val="18"/>
          <w:szCs w:val="18"/>
          <w:color w:val="auto"/>
        </w:rPr>
        <w:t>(“Algostim”) subsidiary is focused on the development and commercialization of its Algovita SCS system (“Algovita”), the first application of its neurostimulation technology platform, which received PMA approval in the fourth quarter of 2015. QiG’s PelviStim LLC (“PelviStim”) subsidiary is focused on the commercialization of QiG’s neurostimulation technology platform for SNS. The QiG segment also includes NeuroNexus Technologies, Inc. (“NeuroNexus”), and Centro de Construcción de Cardioestimuladores del Uruguay (“CCC”). The Spin-off is expected to consist of QiG Group LLC and its subsidiaries Algostim, PelviStim and NeuroNexus. The operations of CCC and certain other existing QiG research and development capabilities will be retained and not included as part of the Spin-off.</w:t>
      </w:r>
    </w:p>
    <w:p>
      <w:pPr>
        <w:spacing w:after="0" w:line="193" w:lineRule="exact"/>
        <w:rPr>
          <w:sz w:val="20"/>
          <w:szCs w:val="20"/>
          <w:color w:val="auto"/>
        </w:rPr>
      </w:pPr>
    </w:p>
    <w:p>
      <w:pPr>
        <w:spacing w:after="0" w:line="297" w:lineRule="auto"/>
        <w:rPr>
          <w:sz w:val="20"/>
          <w:szCs w:val="20"/>
          <w:color w:val="auto"/>
        </w:rPr>
      </w:pPr>
      <w:r>
        <w:rPr>
          <w:rFonts w:ascii="Arial" w:cs="Arial" w:eastAsia="Arial" w:hAnsi="Arial"/>
          <w:sz w:val="16"/>
          <w:szCs w:val="16"/>
          <w:color w:val="auto"/>
        </w:rPr>
        <w:t>QiG revenue includes sales of neural interface technology, components and systems to the neuroscience and clinical markets from NeuroNexus, a limited release of Algovita in Europe, and CCC sales of various medical device products such as implantable pulse generators, programmer systems, battery chargers, patient wands and leads to medical device companies. Once the medical devices developed by CCC reach significant production levels, the responsibility for manufacturing these products may be transferred to Greatbatch Medical. After the pending Spin-off is completed, our design and development of complete medical device systems will be completed by our combined teams in Greatbatch Medical, Lake Region Medical, and CCC.</w:t>
      </w:r>
    </w:p>
    <w:p>
      <w:pPr>
        <w:spacing w:after="0" w:line="158" w:lineRule="exact"/>
        <w:rPr>
          <w:sz w:val="20"/>
          <w:szCs w:val="20"/>
          <w:color w:val="auto"/>
        </w:rPr>
      </w:pPr>
    </w:p>
    <w:p>
      <w:pPr>
        <w:ind w:right="40"/>
        <w:spacing w:after="0" w:line="297" w:lineRule="auto"/>
        <w:rPr>
          <w:sz w:val="20"/>
          <w:szCs w:val="20"/>
          <w:color w:val="auto"/>
        </w:rPr>
      </w:pPr>
      <w:r>
        <w:rPr>
          <w:rFonts w:ascii="Arial" w:cs="Arial" w:eastAsia="Arial" w:hAnsi="Arial"/>
          <w:sz w:val="16"/>
          <w:szCs w:val="16"/>
          <w:color w:val="auto"/>
        </w:rPr>
        <w:t>Lake Region Medical has operated as a segment for Greatbatch since it was acquired during the fourth quarter of 2015. This segment specializes in the design, development, and manufacturing of products across the medical component and device spectrum, primarily serving the cardio, vascular and advanced surgical markets. Lake Region Medical offers fully integrated outsourced manufacturing, regulatory and engineering services, contract manufacturing, finished device assembly services, original device development, and supply chain management to its customers, who are located worldwide. This segment is dedicated to providing our customers with reliable, high-quality, cost-efficient, integrated outsourced solutions in the medical device space.</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Our Acquisitions</w:t>
      </w:r>
    </w:p>
    <w:p>
      <w:pPr>
        <w:spacing w:after="0" w:line="229" w:lineRule="exact"/>
        <w:rPr>
          <w:sz w:val="20"/>
          <w:szCs w:val="20"/>
          <w:color w:val="auto"/>
        </w:rPr>
      </w:pPr>
    </w:p>
    <w:p>
      <w:pPr>
        <w:ind w:right="40"/>
        <w:spacing w:after="0" w:line="254" w:lineRule="auto"/>
        <w:rPr>
          <w:sz w:val="20"/>
          <w:szCs w:val="20"/>
          <w:color w:val="auto"/>
        </w:rPr>
      </w:pPr>
      <w:r>
        <w:rPr>
          <w:rFonts w:ascii="Arial" w:cs="Arial" w:eastAsia="Arial" w:hAnsi="Arial"/>
          <w:sz w:val="18"/>
          <w:szCs w:val="18"/>
          <w:color w:val="auto"/>
        </w:rPr>
        <w:t>On October 27, 2015, we acquired all of the outstanding common stock of Lake Region Medical, headquartered in Wilmington, MA. Lake Region Medical is a manufacturer of interventional and diagnostic wire-formed medical devices and components specializing in minimally invasive devices for cardiovascular, endovascular, and neurovascular applications. This acquisition has added scale and diversification to enhance customer access and experience by providing a comprehensive portfolio of technologies. The operating results of Lake Region Medical were included in our Lake Region Medical segment from the date of acquisition. The aggregate purchase price of Lake Region Medical including debt assumed was $1.77 billion, which was funded primarily through a new senior secured credit facility and the issuance of senior notes. Total assets acquired from Lake Region Medical were $2.1 billion. Total liabilities assumed from Lake Region Medical were $1.3 billion. For 2015, Lake Region Medical added approximately $138.6 million to our revenue and increased our net loss by $17.4 million.</w:t>
      </w:r>
    </w:p>
    <w:p>
      <w:pPr>
        <w:spacing w:after="0" w:line="192"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On August 12, 2014, we purchased all of the outstanding common stock of CCC, headquartered in Montevideo, Uruguay. CCC is an active implantable neuromodulation medical device systems developer and manufacturer that produces a range of medical devices including implantable pulse generators, programmer systems, battery chargers, patient wands and leads. This acquisition allows us to more broadly partner with medical device companies, complements our core discrete technology offerings, and enhances our medical device innovation efforts. The operating results of CCC were included in our QiG segment from the date of acquisition. The aggregate purchase price of CCC was $19.8 million, which we funded with cash on hand. Total assets acquired from CCC were $26.2 million. Total liabilities assumed from CCC were $6.4 million. For 2014, CCC added approximately $5.8 million to our revenue and increased our net income by $1.2 million.</w:t>
      </w:r>
    </w:p>
    <w:p>
      <w:pPr>
        <w:spacing w:after="0" w:line="189" w:lineRule="exact"/>
        <w:rPr>
          <w:sz w:val="20"/>
          <w:szCs w:val="20"/>
          <w:color w:val="auto"/>
        </w:rPr>
      </w:pPr>
    </w:p>
    <w:p>
      <w:pPr>
        <w:jc w:val="both"/>
        <w:ind w:right="160"/>
        <w:spacing w:after="0" w:line="312" w:lineRule="auto"/>
        <w:rPr>
          <w:sz w:val="20"/>
          <w:szCs w:val="20"/>
          <w:color w:val="auto"/>
        </w:rPr>
      </w:pPr>
      <w:r>
        <w:rPr>
          <w:rFonts w:ascii="Arial" w:cs="Arial" w:eastAsia="Arial" w:hAnsi="Arial"/>
          <w:sz w:val="16"/>
          <w:szCs w:val="16"/>
          <w:color w:val="auto"/>
        </w:rPr>
        <w:t>Going forward, we will continue to evaluate certain acquisition opportunities to either enhance our top and bottom line growth trajectory, and/or expand our pipeline technologies. Our strategic criteria for these acquisitions is that they should drive expansion in our core markets, allow us to enter adjacent growth markets, are focused on proprietary technology, can be tightly integrated into our operating base, and will enhance our return on invested capital.</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Our Customers</w:t>
      </w:r>
    </w:p>
    <w:p>
      <w:pPr>
        <w:spacing w:after="0" w:line="229"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Our products are designed to provide reliable, long-lasting solutions that meet the evolving requirements and needs of our customers. The nature and extent of our selling relationships with each customer are different in terms of breadth of products purchased, purchased product volumes, length of contractual commitment, ordering patterns, inventory management, and selling prices.</w:t>
      </w:r>
    </w:p>
    <w:p>
      <w:pPr>
        <w:spacing w:after="0" w:line="181"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Our Greatbatch Medical and Lake Region Medical customers include large multi-national original equipment manufacturers (“OEMs”) and their subsidiaries such as Abbott Labs, Biotronik, Boehringer Ingelheim, Boston Scientific, Cyberonics, Halliburton Company, Johnson &amp; Johnson, Medtronic, Nevro Corp., Philips Healthcare, Smith &amp; Nephew, Sorin Group, St. Jude Medical, Stryker, and Zimmer Biomet. During 2015, Biotronik, Johnson &amp; Johnson, Medtronic, and St. Jude Medical collectively accounted for 52% of our total sales.</w:t>
      </w:r>
    </w:p>
    <w:p>
      <w:pPr>
        <w:spacing w:after="0" w:line="32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- 36 -</w:t>
      </w:r>
    </w:p>
    <w:p>
      <w:pPr>
        <w:sectPr>
          <w:pgSz w:w="11900" w:h="16838" w:orient="portrait"/>
          <w:cols w:equalWidth="0" w:num="1">
            <w:col w:w="11400"/>
          </w:cols>
          <w:pgMar w:left="240" w:top="908" w:right="259" w:bottom="1440" w:gutter="0" w:footer="0" w:header="0"/>
        </w:sectPr>
      </w:pPr>
    </w:p>
    <w:bookmarkStart w:id="37" w:name="page38"/>
    <w:bookmarkEnd w:id="37"/>
    <w:p>
      <w:pPr>
        <w:ind w:right="140"/>
        <w:spacing w:after="0" w:line="264" w:lineRule="auto"/>
        <w:rPr>
          <w:sz w:val="20"/>
          <w:szCs w:val="20"/>
          <w:color w:val="auto"/>
        </w:rPr>
      </w:pPr>
      <w:r>
        <w:rPr>
          <w:rFonts w:ascii="Arial" w:cs="Arial" w:eastAsia="Arial" w:hAnsi="Arial"/>
          <w:sz w:val="18"/>
          <w:szCs w:val="18"/>
          <w:color w:val="auto"/>
        </w:rPr>
        <w:t>QiG customers include numerous scientists, hospitals, and universities throughout the world who perform research for the neuroscience and clinical markets and a limited distributor in Europe. Additionally, CCC’s customers include various research companies and institutes and early stage medical device companies.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Use of Non-GAAP Financial Information</w:t>
      </w:r>
    </w:p>
    <w:p>
      <w:pPr>
        <w:spacing w:after="0" w:line="121" w:lineRule="exact"/>
        <w:rPr>
          <w:sz w:val="20"/>
          <w:szCs w:val="20"/>
          <w:color w:val="auto"/>
        </w:rPr>
      </w:pPr>
    </w:p>
    <w:p>
      <w:pPr>
        <w:ind w:right="60"/>
        <w:spacing w:after="0" w:line="285" w:lineRule="auto"/>
        <w:rPr>
          <w:sz w:val="20"/>
          <w:szCs w:val="20"/>
          <w:color w:val="auto"/>
        </w:rPr>
      </w:pPr>
      <w:r>
        <w:rPr>
          <w:rFonts w:ascii="Arial" w:cs="Arial" w:eastAsia="Arial" w:hAnsi="Arial"/>
          <w:sz w:val="16"/>
          <w:szCs w:val="16"/>
          <w:color w:val="auto"/>
        </w:rPr>
        <w:t>In addition to our results reported in accordance with generally accepted accounting principles (“GAAP”), we provide adjusted net income, adjusted earnings per diluted share, earnings before interest taxes depreciation and amortization (“EBITDA”), adjusted EBITDA and organic constant currency sales growth rates. Adjusted net income and adjusted earnings per diluted share consist of GAAP amounts adjusted for the following to the extent occurring during the period: (i) acquisition-related charges, (ii) amortization of intangible assets (iii) facility consolidation, optimization, manufacturing transfer and system integration charges, (iv) asset write-down and disposition charges, (v) charges in connection with corporate realignments or a reduction in force, (vi) certain litigation expenses, charges and gains, (vii) unusual or infrequently occurring items, (viii) gain/loss on cost and equity method investments, (ix) for 2013, design verification testing (“DVT”) expenses in connection with developing our neuromodulation platform; (x) the income tax (benefit) related to these adjustments and (xi) certain tax items related to the Federal research and development tax credit which are outside the normal benefit received for the period. Adjusted earnings per diluted share are calculated by dividing adjusted net income by diluted weighted average shares outstanding. Adjusted EBITDA consists of GAAP net income (loss) plus (i) the same adjustments as listed above except for items (x), and (xi), (ii) GAAP stock-based compensation, interest expense, and depreciation, (iii) GAAP provision (benefit) for income taxes and (iv) cash gains received from cost and equity method investments. To calculate organic constant currency sales growth rates, which exclude the impact of changes in foreign currency exchange rates, as well as the impact of any acquisitions or divestitures of product lines on sales growth rates, we convert current period sales from local currency to U.S. dollars using the previous periods’ foreign currency exchange rates and exclude the amount of sales acquired/divested during the period from the current/previous period amounts, respectively. We believe that the presentation of adjusted net income, adjusted diluted earnings per share, EBITDA, adjusted EBITDA and organic constant currency sales growth rates provides important supplemental information to management and investors seeking to understand the financial and business trends relating to our financial condition and results of operations.</w:t>
      </w:r>
    </w:p>
    <w:p>
      <w:pPr>
        <w:spacing w:after="0" w:line="282"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CEO View</w:t>
      </w:r>
    </w:p>
    <w:p>
      <w:pPr>
        <w:spacing w:after="0" w:line="121" w:lineRule="exact"/>
        <w:rPr>
          <w:sz w:val="20"/>
          <w:szCs w:val="20"/>
          <w:color w:val="auto"/>
        </w:rPr>
      </w:pPr>
    </w:p>
    <w:p>
      <w:pPr>
        <w:ind w:right="60"/>
        <w:spacing w:after="0" w:line="269" w:lineRule="auto"/>
        <w:rPr>
          <w:sz w:val="20"/>
          <w:szCs w:val="20"/>
          <w:color w:val="auto"/>
        </w:rPr>
      </w:pPr>
      <w:r>
        <w:rPr>
          <w:rFonts w:ascii="Arial" w:cs="Arial" w:eastAsia="Arial" w:hAnsi="Arial"/>
          <w:sz w:val="17"/>
          <w:szCs w:val="17"/>
          <w:color w:val="auto"/>
        </w:rPr>
        <w:t>2015 marked the completion of three major strategic initiatives for the Company. First, we received PMA approval from the FDA for our Algovita SCS system. This is the first ever PMA device developed at Greatbatch, demonstrating our extensive capabilities in bringing critical medical device technology to the market addressing the needs of patients worldwide. The FDA approval of the Algovita device will facilitate the pending spin-off of Nuvectra, which is targeted for completion in March, 2016. Second, we completed the integration of CCC Medical Devices, which has provided a considerable return since being acquired. Third, we closed on the acquisition of Lake Region Medical on October 27. The deal significantly expands our capabilities in the Cardiac, Vascular and Orthopaedic markets and also extends our reach into the Advanced Surgical market with a portfolio of minimally invasive devices used in laparoscopic and drug delivery applications. Completing the Lake Region acquisition marked the achievement of a key strategic milestone. The combination of the two companies under the new Integer brand establishes the Company as the premier global Medical Device Outsource partner, with the scale and breadth of capabilities to meet the demands of our customers and the patients they serve. Our primary focus in 2016 will be to integrate our cultures and operations into one single integrated entity. Thus far the merger of the two organizations has gone extremely well and we are confident that we will be able to leverage the combined expertise to accelerate our growth over the long term.</w:t>
      </w:r>
    </w:p>
    <w:p>
      <w:pPr>
        <w:spacing w:after="0" w:line="71"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Strategic and Financial Overview</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 overriding long-term strategic objectives that we have been operating under are centered around four strategic imperatives: 1) Organic Growth; 2) Margin Expansion; 3) Medical Device Systems; and 4) Targeted Acquisitions.</w:t>
      </w:r>
    </w:p>
    <w:p>
      <w:pPr>
        <w:spacing w:after="0" w:line="17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Organic Growth</w:t>
      </w:r>
      <w:r>
        <w:rPr>
          <w:rFonts w:ascii="Arial" w:cs="Arial" w:eastAsia="Arial" w:hAnsi="Arial"/>
          <w:sz w:val="17"/>
          <w:szCs w:val="17"/>
          <w:color w:val="auto"/>
        </w:rPr>
        <w:t xml:space="preserve"> – One of our overriding long-term strategic objectives is to profitably grow our company organically. Fiscal year 2015 sales of $800.4</w:t>
      </w:r>
    </w:p>
    <w:p>
      <w:pPr>
        <w:spacing w:after="0" w:line="35" w:lineRule="exact"/>
        <w:rPr>
          <w:sz w:val="20"/>
          <w:szCs w:val="20"/>
          <w:color w:val="auto"/>
        </w:rPr>
      </w:pPr>
    </w:p>
    <w:p>
      <w:pPr>
        <w:spacing w:after="0"/>
        <w:rPr>
          <w:sz w:val="20"/>
          <w:szCs w:val="20"/>
          <w:color w:val="auto"/>
        </w:rPr>
      </w:pPr>
      <w:r>
        <w:rPr>
          <w:rFonts w:ascii="Arial" w:cs="Arial" w:eastAsia="Arial" w:hAnsi="Arial"/>
          <w:sz w:val="17"/>
          <w:szCs w:val="17"/>
          <w:color w:val="auto"/>
        </w:rPr>
        <w:t>million increased 16% in comparison to the prior year period. 2015 revenue includes two months of operations from Lake Region Medical, which added</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$138.6 million to sales. Additionally, sales for the year were impacted by foreign currency exchange rate fluctuations, which reduced sales by approximately</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$14.5 million compared to the prior year. On an organic constant currency basis, 2015 sales decreased 2% over the prior year primarily due to a decline in</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Electrochem sales caused by the slowdown in the energy markets. Despite this decline in legacy Greatbatch sales, we were able to improve our adjusted</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diluted EPS by 1% through lower performance-based compensation as well as on-going continuous improvement projects.</w:t>
      </w:r>
    </w:p>
    <w:p>
      <w:pPr>
        <w:spacing w:after="0" w:line="211" w:lineRule="exact"/>
        <w:rPr>
          <w:sz w:val="20"/>
          <w:szCs w:val="20"/>
          <w:color w:val="auto"/>
        </w:rPr>
      </w:pPr>
    </w:p>
    <w:p>
      <w:pPr>
        <w:spacing w:after="0"/>
        <w:rPr>
          <w:sz w:val="20"/>
          <w:szCs w:val="20"/>
          <w:color w:val="auto"/>
        </w:rPr>
      </w:pPr>
      <w:r>
        <w:rPr>
          <w:rFonts w:ascii="Arial" w:cs="Arial" w:eastAsia="Arial" w:hAnsi="Arial"/>
          <w:sz w:val="16"/>
          <w:szCs w:val="16"/>
          <w:color w:val="auto"/>
        </w:rPr>
        <w:t>Fiscal year 2014 sales of $687.8 million represented a 4% increase over 2013. After adjusting for the $5.8 million of revenue added from our acquisition of</w:t>
      </w:r>
    </w:p>
    <w:p>
      <w:pPr>
        <w:spacing w:after="0" w:line="46" w:lineRule="exact"/>
        <w:rPr>
          <w:sz w:val="20"/>
          <w:szCs w:val="20"/>
          <w:color w:val="auto"/>
        </w:rPr>
      </w:pPr>
    </w:p>
    <w:p>
      <w:pPr>
        <w:ind w:right="340" w:firstLine="8"/>
        <w:spacing w:after="0" w:line="255" w:lineRule="auto"/>
        <w:tabs>
          <w:tab w:leader="none" w:pos="405" w:val="left"/>
        </w:tabs>
        <w:numPr>
          <w:ilvl w:val="0"/>
          <w:numId w:val="17"/>
        </w:numPr>
        <w:rPr>
          <w:rFonts w:ascii="Arial" w:cs="Arial" w:eastAsia="Arial" w:hAnsi="Arial"/>
          <w:sz w:val="18"/>
          <w:szCs w:val="18"/>
          <w:color w:val="auto"/>
        </w:rPr>
      </w:pPr>
      <w:r>
        <w:rPr>
          <w:rFonts w:ascii="Arial" w:cs="Arial" w:eastAsia="Arial" w:hAnsi="Arial"/>
          <w:sz w:val="18"/>
          <w:szCs w:val="18"/>
          <w:color w:val="auto"/>
        </w:rPr>
        <w:t>in August 2014, as well as the $1 million positive impact of foreign currency exchange rates, sales increased 3% in 2014 due to double digit organic constant currency growth from our orthopaedic (12%) and vascular (22%) product lines due to increased sales force productivity, marketing efforts, and market growth. Partially offsetting</w:t>
      </w:r>
    </w:p>
    <w:p>
      <w:pPr>
        <w:spacing w:after="0" w:line="325" w:lineRule="exact"/>
        <w:rPr>
          <w:rFonts w:ascii="Arial" w:cs="Arial" w:eastAsia="Arial" w:hAnsi="Arial"/>
          <w:sz w:val="18"/>
          <w:szCs w:val="18"/>
          <w:color w:val="auto"/>
        </w:rPr>
      </w:pPr>
    </w:p>
    <w:p>
      <w:pPr>
        <w:ind w:left="5620" w:hanging="101"/>
        <w:spacing w:after="0"/>
        <w:tabs>
          <w:tab w:leader="none" w:pos="5620" w:val="left"/>
        </w:tabs>
        <w:numPr>
          <w:ilvl w:val="1"/>
          <w:numId w:val="17"/>
        </w:numPr>
        <w:rPr>
          <w:rFonts w:ascii="Arial" w:cs="Arial" w:eastAsia="Arial" w:hAnsi="Arial"/>
          <w:sz w:val="18"/>
          <w:szCs w:val="18"/>
          <w:color w:val="auto"/>
        </w:rPr>
      </w:pPr>
      <w:r>
        <w:rPr>
          <w:rFonts w:ascii="Arial" w:cs="Arial" w:eastAsia="Arial" w:hAnsi="Arial"/>
          <w:sz w:val="18"/>
          <w:szCs w:val="18"/>
          <w:color w:val="auto"/>
        </w:rPr>
        <w:t>37 -</w:t>
      </w:r>
    </w:p>
    <w:p>
      <w:pPr>
        <w:sectPr>
          <w:pgSz w:w="11900" w:h="16838" w:orient="portrait"/>
          <w:cols w:equalWidth="0" w:num="1">
            <w:col w:w="11420"/>
          </w:cols>
          <w:pgMar w:left="240" w:top="908" w:right="239" w:bottom="1440" w:gutter="0" w:footer="0" w:header="0"/>
        </w:sectPr>
      </w:pPr>
    </w:p>
    <w:bookmarkStart w:id="38" w:name="page39"/>
    <w:bookmarkEnd w:id="38"/>
    <w:p>
      <w:pPr>
        <w:ind w:right="120"/>
        <w:spacing w:after="0" w:line="259" w:lineRule="auto"/>
        <w:rPr>
          <w:sz w:val="20"/>
          <w:szCs w:val="20"/>
          <w:color w:val="auto"/>
        </w:rPr>
      </w:pPr>
      <w:r>
        <w:rPr>
          <w:rFonts w:ascii="Arial" w:cs="Arial" w:eastAsia="Arial" w:hAnsi="Arial"/>
          <w:sz w:val="18"/>
          <w:szCs w:val="18"/>
          <w:color w:val="auto"/>
        </w:rPr>
        <w:t>these increases were declines in our portable medical and cardiac/neuromodulation product lines due to our strategic shift in 2013 to refocus our portable medical product line offerings to products that have higher profitability, and the impact of several customer inventory reduction initiatives and the end of life impact of legacy products in our cardiac product line. Similar to our revenue growth, our adjusted diluted EPS grew 16% from 2013 to 2014 due to our increased sales and operational leverage.</w:t>
      </w:r>
    </w:p>
    <w:p>
      <w:pPr>
        <w:spacing w:after="0" w:line="187" w:lineRule="exact"/>
        <w:rPr>
          <w:sz w:val="20"/>
          <w:szCs w:val="20"/>
          <w:color w:val="auto"/>
        </w:rPr>
      </w:pPr>
    </w:p>
    <w:p>
      <w:pPr>
        <w:ind w:right="160"/>
        <w:spacing w:after="0" w:line="264" w:lineRule="auto"/>
        <w:rPr>
          <w:sz w:val="20"/>
          <w:szCs w:val="20"/>
          <w:color w:val="auto"/>
        </w:rPr>
      </w:pPr>
      <w:r>
        <w:rPr>
          <w:rFonts w:ascii="Arial" w:cs="Arial" w:eastAsia="Arial" w:hAnsi="Arial"/>
          <w:sz w:val="18"/>
          <w:szCs w:val="18"/>
          <w:color w:val="auto"/>
        </w:rPr>
        <w:t>Going forward, growth in our cardiac/neuromodulation product line will continue to be negatively impacted by the end of life on legacy products, as well as continued pressure from our customer’s diversification and cost reduction initiatives. We also expect our Electrochem product line will continue to be negatively impacted by the downturn in the energy markets through the end of 2016.</w:t>
      </w:r>
    </w:p>
    <w:p>
      <w:pPr>
        <w:spacing w:after="0" w:line="181" w:lineRule="exact"/>
        <w:rPr>
          <w:sz w:val="20"/>
          <w:szCs w:val="20"/>
          <w:color w:val="auto"/>
        </w:rPr>
      </w:pPr>
    </w:p>
    <w:p>
      <w:pPr>
        <w:ind w:right="20"/>
        <w:spacing w:after="0" w:line="308" w:lineRule="auto"/>
        <w:rPr>
          <w:sz w:val="20"/>
          <w:szCs w:val="20"/>
          <w:color w:val="auto"/>
        </w:rPr>
      </w:pPr>
      <w:r>
        <w:rPr>
          <w:rFonts w:ascii="Arial" w:cs="Arial" w:eastAsia="Arial" w:hAnsi="Arial"/>
          <w:sz w:val="17"/>
          <w:szCs w:val="17"/>
          <w:u w:val="single" w:color="auto"/>
          <w:color w:val="auto"/>
        </w:rPr>
        <w:t>Margin Expansion</w:t>
      </w:r>
      <w:r>
        <w:rPr>
          <w:rFonts w:ascii="Arial" w:cs="Arial" w:eastAsia="Arial" w:hAnsi="Arial"/>
          <w:sz w:val="17"/>
          <w:szCs w:val="17"/>
          <w:color w:val="auto"/>
        </w:rPr>
        <w:t xml:space="preserve"> – We have a longstanding history of operational excellence, which is one of our core competencies. This, when combined with our medical device systems and our organic sales growth strategies, is expected to continue to drive both gross and operating margin expansion.</w:t>
      </w:r>
    </w:p>
    <w:p>
      <w:pPr>
        <w:spacing w:after="0" w:line="147" w:lineRule="exact"/>
        <w:rPr>
          <w:sz w:val="20"/>
          <w:szCs w:val="20"/>
          <w:color w:val="auto"/>
        </w:rPr>
      </w:pPr>
    </w:p>
    <w:p>
      <w:pPr>
        <w:ind w:right="160"/>
        <w:spacing w:after="0" w:line="259" w:lineRule="auto"/>
        <w:rPr>
          <w:sz w:val="20"/>
          <w:szCs w:val="20"/>
          <w:color w:val="auto"/>
        </w:rPr>
      </w:pPr>
      <w:r>
        <w:rPr>
          <w:rFonts w:ascii="Arial" w:cs="Arial" w:eastAsia="Arial" w:hAnsi="Arial"/>
          <w:sz w:val="18"/>
          <w:szCs w:val="18"/>
          <w:color w:val="auto"/>
        </w:rPr>
        <w:t>This strategic imperative was evident in our 2015 and 2014 results as our gross profit as a percentage of sales (“Gross Margin”), excluding the impact of the Lake Region Medical acquisition, increased 90 basis points and 60 basis points, respectively. The 2015 increase was primarily due to lower performance-based compensation as well as on-going continuous improvement projects. Our 2014 Gross Margin expansion primarily resulted from our operational leverage, due to higher sales volumes, and our various productivity initiatives.</w:t>
      </w:r>
    </w:p>
    <w:p>
      <w:pPr>
        <w:spacing w:after="0" w:line="187" w:lineRule="exact"/>
        <w:rPr>
          <w:sz w:val="20"/>
          <w:szCs w:val="20"/>
          <w:color w:val="auto"/>
        </w:rPr>
      </w:pPr>
    </w:p>
    <w:p>
      <w:pPr>
        <w:spacing w:after="0" w:line="273" w:lineRule="auto"/>
        <w:rPr>
          <w:sz w:val="20"/>
          <w:szCs w:val="20"/>
          <w:color w:val="auto"/>
        </w:rPr>
      </w:pPr>
      <w:r>
        <w:rPr>
          <w:rFonts w:ascii="Arial" w:cs="Arial" w:eastAsia="Arial" w:hAnsi="Arial"/>
          <w:sz w:val="17"/>
          <w:szCs w:val="17"/>
          <w:color w:val="auto"/>
        </w:rPr>
        <w:t>Excluding the impact of the Lake Region Medical acquisition ($12.6 million), the full year impact of CCC Medical Devices ($2.2 million), as well as higher legal fees in connection with intellectual property (“IP”) related litigation ($1.9 million) selling, general and administrative expenses (“SG&amp;A”) for 2015 decreased $4.8 million. This decrease was primarily driven by lower performance-based compensation ($4.1 million), as well as cost savings from our various consolidation initiatives. For 2014, SG&amp;A expenses increased 3% compared to 2013 due to our increased investment in sales and marketing resources. Partially offsetting these increases were the cost savings generated as a result of our various cost savings and consolidation initiatives. See “Cost Savings and Consolidation Efforts” contained in this item for further details on these initiatives.</w:t>
      </w:r>
    </w:p>
    <w:p>
      <w:pPr>
        <w:spacing w:after="0" w:line="178" w:lineRule="exact"/>
        <w:rPr>
          <w:sz w:val="20"/>
          <w:szCs w:val="20"/>
          <w:color w:val="auto"/>
        </w:rPr>
      </w:pPr>
    </w:p>
    <w:p>
      <w:pPr>
        <w:jc w:val="both"/>
        <w:ind w:right="340"/>
        <w:spacing w:after="0" w:line="259" w:lineRule="auto"/>
        <w:rPr>
          <w:sz w:val="20"/>
          <w:szCs w:val="20"/>
          <w:color w:val="auto"/>
        </w:rPr>
      </w:pPr>
      <w:r>
        <w:rPr>
          <w:rFonts w:ascii="Arial" w:cs="Arial" w:eastAsia="Arial" w:hAnsi="Arial"/>
          <w:sz w:val="18"/>
          <w:szCs w:val="18"/>
          <w:color w:val="auto"/>
        </w:rPr>
        <w:t>Excluding the impact of the Lake Region Medical acquisition, which added $1.8 million to research, development and engineering costs, net (“RD&amp;E”), RD&amp;E increased $1.4 million primarily due to lower customer cost reimbursements partially offset by lower performance-based compensation. For 2014, RD&amp;E expenses decreased 8% compared to 2013 as a result of a lower level of design verification testing (“DVT”) costs incurred in connection with the development of our SCS system.</w:t>
      </w:r>
    </w:p>
    <w:p>
      <w:pPr>
        <w:spacing w:after="0" w:line="187"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We invest substantial resources in integrating our acquisitions and streamlining our operations in order to drive organic growth and profitability. This strategy was evident during 2015 and 2014 as we announced several initiatives to invest in capacity and capabilities and consolidate our manufacturing footprint. As a result, other operating expenses, net (“OOE”) totaled $66.5 million, $15.3 million and $15.8 million for 2015, 2014 and 2013, respectively. OOE for 2015 also included $38.3 million of transaction, professional and consulting fees incurred in connection with the Lake Region Medical acquisition and the Spin-off. As we move forward, investing in our operations will continue to be critical to the success of our strategic imperative to drive margin expansion and attain the stated synergy goals in connection with the Lake Region Medical acquisition. See “Cost Savings and Consolidation Efforts” contained in this item for further details on these initiatives.</w:t>
      </w:r>
    </w:p>
    <w:p>
      <w:pPr>
        <w:spacing w:after="0" w:line="189"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The net result of the above is that, GAAP and adjusted diluted earnings per share (“EPS”) for fiscal year 2015 were a loss of $0.29 and earnings of $2.90, respectively, compared to earnings of $2.14 and $2.86, respectively, for 2014 and earnings of $1.43 and $2.47 for 2013. The Company estimates that the Lake Region Medical acquisition was approximately 2% dilutive to 2015 adjusted diluted EPS, and that excluding this impact, adjusted diluted EPS would have increased approximately 3% in comparison to 2014.</w:t>
      </w:r>
    </w:p>
    <w:p>
      <w:pPr>
        <w:spacing w:after="0" w:line="187" w:lineRule="exact"/>
        <w:rPr>
          <w:sz w:val="20"/>
          <w:szCs w:val="20"/>
          <w:color w:val="auto"/>
        </w:rPr>
      </w:pPr>
    </w:p>
    <w:p>
      <w:pPr>
        <w:ind w:right="200"/>
        <w:spacing w:after="0" w:line="257" w:lineRule="auto"/>
        <w:rPr>
          <w:sz w:val="20"/>
          <w:szCs w:val="20"/>
          <w:color w:val="auto"/>
        </w:rPr>
      </w:pPr>
      <w:r>
        <w:rPr>
          <w:rFonts w:ascii="Arial" w:cs="Arial" w:eastAsia="Arial" w:hAnsi="Arial"/>
          <w:sz w:val="18"/>
          <w:szCs w:val="18"/>
          <w:u w:val="single" w:color="auto"/>
          <w:color w:val="auto"/>
        </w:rPr>
        <w:t>Summary</w:t>
      </w:r>
      <w:r>
        <w:rPr>
          <w:rFonts w:ascii="Arial" w:cs="Arial" w:eastAsia="Arial" w:hAnsi="Arial"/>
          <w:sz w:val="18"/>
          <w:szCs w:val="18"/>
          <w:color w:val="auto"/>
        </w:rPr>
        <w:t xml:space="preserve"> - In 2006 we launched our medical device strategy, and over the course of the next nine years we have transformed our Company from a $320 million primarily CRM components company to a $1.4 billion fully integrated medical device company. We acquired 10 companies over this period and successfully integrated these businesses into one unified company. With our proven track record of integrating organizations, we are confident that our new Integer leadership team, along with our 10,000 associates, have the drive and skill-set to advance our medical device strategy and create long term value for our shareholders.</w:t>
      </w: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- 38 -</w:t>
      </w:r>
    </w:p>
    <w:p>
      <w:pPr>
        <w:sectPr>
          <w:pgSz w:w="11900" w:h="16838" w:orient="portrait"/>
          <w:cols w:equalWidth="0" w:num="1">
            <w:col w:w="11420"/>
          </w:cols>
          <w:pgMar w:left="240" w:top="908" w:right="239" w:bottom="1440" w:gutter="0" w:footer="0" w:header="0"/>
        </w:sectPr>
      </w:pPr>
    </w:p>
    <w:bookmarkStart w:id="39" w:name="page40"/>
    <w:bookmarkEnd w:id="39"/>
    <w:p>
      <w:pPr>
        <w:spacing w:after="0"/>
        <w:rPr>
          <w:sz w:val="20"/>
          <w:szCs w:val="20"/>
          <w:color w:val="auto"/>
        </w:rPr>
      </w:pPr>
      <w:r>
        <w:rPr>
          <w:rFonts w:ascii="Arial" w:cs="Arial" w:eastAsia="Arial" w:hAnsi="Arial"/>
          <w:sz w:val="18"/>
          <w:szCs w:val="18"/>
          <w:color w:val="auto"/>
        </w:rPr>
        <w:t>A reconciliation of GAAP net income (loss) and diluted EPS to adjusted amounts is as follows (in thousands, except per share amounts):</w:t>
      </w:r>
    </w:p>
    <w:p>
      <w:pPr>
        <w:spacing w:after="0" w:line="32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04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Year Ended</w:t>
            </w:r>
          </w:p>
        </w:tc>
        <w:tc>
          <w:tcPr>
            <w:tcW w:w="6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50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120" w:type="dxa"/>
            <w:vAlign w:val="bottom"/>
            <w:gridSpan w:val="3"/>
          </w:tcPr>
          <w:p>
            <w:pPr>
              <w:jc w:val="right"/>
              <w:spacing w:after="0" w:line="153" w:lineRule="exact"/>
              <w:rPr>
                <w:sz w:val="20"/>
                <w:szCs w:val="20"/>
                <w:color w:val="auto"/>
              </w:rPr>
            </w:pPr>
            <w:r>
              <w:rPr>
                <w:rFonts w:ascii="Arial" w:cs="Arial" w:eastAsia="Arial" w:hAnsi="Arial"/>
                <w:sz w:val="14"/>
                <w:szCs w:val="14"/>
                <w:b w:val="1"/>
                <w:bCs w:val="1"/>
                <w:color w:val="auto"/>
              </w:rPr>
              <w:t>January 1,</w:t>
            </w:r>
          </w:p>
        </w:tc>
        <w:tc>
          <w:tcPr>
            <w:tcW w:w="7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160" w:type="dxa"/>
            <w:vAlign w:val="bottom"/>
            <w:gridSpan w:val="4"/>
          </w:tcPr>
          <w:p>
            <w:pPr>
              <w:jc w:val="right"/>
              <w:spacing w:after="0" w:line="153" w:lineRule="exact"/>
              <w:rPr>
                <w:sz w:val="20"/>
                <w:szCs w:val="20"/>
                <w:color w:val="auto"/>
              </w:rPr>
            </w:pPr>
            <w:r>
              <w:rPr>
                <w:rFonts w:ascii="Arial" w:cs="Arial" w:eastAsia="Arial" w:hAnsi="Arial"/>
                <w:sz w:val="14"/>
                <w:szCs w:val="14"/>
                <w:b w:val="1"/>
                <w:bCs w:val="1"/>
                <w:color w:val="auto"/>
              </w:rPr>
              <w:t>January 2,</w:t>
            </w:r>
          </w:p>
        </w:tc>
        <w:tc>
          <w:tcPr>
            <w:tcW w:w="6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140" w:type="dxa"/>
            <w:vAlign w:val="bottom"/>
            <w:gridSpan w:val="3"/>
          </w:tcPr>
          <w:p>
            <w:pPr>
              <w:jc w:val="right"/>
              <w:spacing w:after="0" w:line="153" w:lineRule="exact"/>
              <w:rPr>
                <w:sz w:val="20"/>
                <w:szCs w:val="20"/>
                <w:color w:val="auto"/>
              </w:rPr>
            </w:pPr>
            <w:r>
              <w:rPr>
                <w:rFonts w:ascii="Arial" w:cs="Arial" w:eastAsia="Arial" w:hAnsi="Arial"/>
                <w:sz w:val="14"/>
                <w:szCs w:val="14"/>
                <w:b w:val="1"/>
                <w:bCs w:val="1"/>
                <w:color w:val="auto"/>
              </w:rPr>
              <w:t>January 3,</w:t>
            </w:r>
          </w:p>
        </w:tc>
        <w:tc>
          <w:tcPr>
            <w:tcW w:w="6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2"/>
        </w:trPr>
        <w:tc>
          <w:tcPr>
            <w:tcW w:w="504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gridSpan w:val="3"/>
          </w:tcPr>
          <w:p>
            <w:pPr>
              <w:jc w:val="right"/>
              <w:ind w:right="99"/>
              <w:spacing w:after="0"/>
              <w:rPr>
                <w:sz w:val="20"/>
                <w:szCs w:val="20"/>
                <w:color w:val="auto"/>
              </w:rPr>
            </w:pPr>
            <w:r>
              <w:rPr>
                <w:rFonts w:ascii="Arial" w:cs="Arial" w:eastAsia="Arial" w:hAnsi="Arial"/>
                <w:sz w:val="14"/>
                <w:szCs w:val="14"/>
                <w:b w:val="1"/>
                <w:bCs w:val="1"/>
                <w:color w:val="auto"/>
              </w:rPr>
              <w:t>2016</w:t>
            </w:r>
          </w:p>
        </w:tc>
        <w:tc>
          <w:tcPr>
            <w:tcW w:w="72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2015</w:t>
            </w:r>
          </w:p>
        </w:tc>
        <w:tc>
          <w:tcPr>
            <w:tcW w:w="18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gridSpan w:val="3"/>
          </w:tcPr>
          <w:p>
            <w:pPr>
              <w:jc w:val="right"/>
              <w:ind w:right="79"/>
              <w:spacing w:after="0"/>
              <w:rPr>
                <w:sz w:val="20"/>
                <w:szCs w:val="20"/>
                <w:color w:val="auto"/>
              </w:rPr>
            </w:pPr>
            <w:r>
              <w:rPr>
                <w:rFonts w:ascii="Arial" w:cs="Arial" w:eastAsia="Arial" w:hAnsi="Arial"/>
                <w:sz w:val="14"/>
                <w:szCs w:val="14"/>
                <w:b w:val="1"/>
                <w:bCs w:val="1"/>
                <w:color w:val="auto"/>
              </w:rPr>
              <w:t>2014</w:t>
            </w:r>
          </w:p>
        </w:tc>
        <w:tc>
          <w:tcPr>
            <w:tcW w:w="6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50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00" w:type="dxa"/>
            <w:vAlign w:val="bottom"/>
            <w:gridSpan w:val="2"/>
            <w:vMerge w:val="restart"/>
          </w:tcPr>
          <w:p>
            <w:pPr>
              <w:jc w:val="center"/>
              <w:ind w:right="380"/>
              <w:spacing w:after="0"/>
              <w:rPr>
                <w:sz w:val="20"/>
                <w:szCs w:val="20"/>
                <w:color w:val="auto"/>
              </w:rPr>
            </w:pPr>
            <w:r>
              <w:rPr>
                <w:rFonts w:ascii="Arial" w:cs="Arial" w:eastAsia="Arial" w:hAnsi="Arial"/>
                <w:sz w:val="14"/>
                <w:szCs w:val="14"/>
                <w:b w:val="1"/>
                <w:bCs w:val="1"/>
                <w:color w:val="auto"/>
                <w:w w:val="88"/>
              </w:rPr>
              <w:t>Net</w:t>
            </w:r>
          </w:p>
        </w:tc>
        <w:tc>
          <w:tcPr>
            <w:tcW w:w="220" w:type="dxa"/>
            <w:vAlign w:val="bottom"/>
          </w:tcPr>
          <w:p>
            <w:pPr>
              <w:spacing w:after="0"/>
              <w:rPr>
                <w:sz w:val="13"/>
                <w:szCs w:val="13"/>
                <w:color w:val="auto"/>
              </w:rPr>
            </w:pPr>
          </w:p>
        </w:tc>
        <w:tc>
          <w:tcPr>
            <w:tcW w:w="840" w:type="dxa"/>
            <w:vAlign w:val="bottom"/>
            <w:gridSpan w:val="2"/>
          </w:tcPr>
          <w:p>
            <w:pPr>
              <w:jc w:val="center"/>
              <w:ind w:right="340"/>
              <w:spacing w:after="0" w:line="153" w:lineRule="exact"/>
              <w:rPr>
                <w:sz w:val="20"/>
                <w:szCs w:val="20"/>
                <w:color w:val="auto"/>
              </w:rPr>
            </w:pPr>
            <w:r>
              <w:rPr>
                <w:rFonts w:ascii="Arial" w:cs="Arial" w:eastAsia="Arial" w:hAnsi="Arial"/>
                <w:sz w:val="14"/>
                <w:szCs w:val="14"/>
                <w:b w:val="1"/>
                <w:bCs w:val="1"/>
                <w:color w:val="auto"/>
                <w:w w:val="97"/>
              </w:rPr>
              <w:t>Per</w:t>
            </w:r>
          </w:p>
        </w:tc>
        <w:tc>
          <w:tcPr>
            <w:tcW w:w="200" w:type="dxa"/>
            <w:vAlign w:val="bottom"/>
          </w:tcPr>
          <w:p>
            <w:pPr>
              <w:spacing w:after="0"/>
              <w:rPr>
                <w:sz w:val="13"/>
                <w:szCs w:val="13"/>
                <w:color w:val="auto"/>
              </w:rPr>
            </w:pPr>
          </w:p>
        </w:tc>
        <w:tc>
          <w:tcPr>
            <w:tcW w:w="980" w:type="dxa"/>
            <w:vAlign w:val="bottom"/>
            <w:gridSpan w:val="3"/>
            <w:vMerge w:val="restart"/>
          </w:tcPr>
          <w:p>
            <w:pPr>
              <w:jc w:val="center"/>
              <w:ind w:right="340"/>
              <w:spacing w:after="0"/>
              <w:rPr>
                <w:sz w:val="20"/>
                <w:szCs w:val="20"/>
                <w:color w:val="auto"/>
              </w:rPr>
            </w:pPr>
            <w:r>
              <w:rPr>
                <w:rFonts w:ascii="Arial" w:cs="Arial" w:eastAsia="Arial" w:hAnsi="Arial"/>
                <w:sz w:val="14"/>
                <w:szCs w:val="14"/>
                <w:b w:val="1"/>
                <w:bCs w:val="1"/>
                <w:color w:val="auto"/>
                <w:w w:val="88"/>
              </w:rPr>
              <w:t>Net</w:t>
            </w:r>
          </w:p>
        </w:tc>
        <w:tc>
          <w:tcPr>
            <w:tcW w:w="180" w:type="dxa"/>
            <w:vAlign w:val="bottom"/>
          </w:tcPr>
          <w:p>
            <w:pPr>
              <w:spacing w:after="0"/>
              <w:rPr>
                <w:sz w:val="13"/>
                <w:szCs w:val="13"/>
                <w:color w:val="auto"/>
              </w:rPr>
            </w:pPr>
          </w:p>
        </w:tc>
        <w:tc>
          <w:tcPr>
            <w:tcW w:w="780" w:type="dxa"/>
            <w:vAlign w:val="bottom"/>
            <w:gridSpan w:val="2"/>
          </w:tcPr>
          <w:p>
            <w:pPr>
              <w:jc w:val="center"/>
              <w:ind w:right="320"/>
              <w:spacing w:after="0" w:line="153" w:lineRule="exact"/>
              <w:rPr>
                <w:sz w:val="20"/>
                <w:szCs w:val="20"/>
                <w:color w:val="auto"/>
              </w:rPr>
            </w:pPr>
            <w:r>
              <w:rPr>
                <w:rFonts w:ascii="Arial" w:cs="Arial" w:eastAsia="Arial" w:hAnsi="Arial"/>
                <w:sz w:val="14"/>
                <w:szCs w:val="14"/>
                <w:b w:val="1"/>
                <w:bCs w:val="1"/>
                <w:color w:val="auto"/>
                <w:w w:val="97"/>
              </w:rPr>
              <w:t>Per</w:t>
            </w:r>
          </w:p>
        </w:tc>
        <w:tc>
          <w:tcPr>
            <w:tcW w:w="200" w:type="dxa"/>
            <w:vAlign w:val="bottom"/>
          </w:tcPr>
          <w:p>
            <w:pPr>
              <w:spacing w:after="0"/>
              <w:rPr>
                <w:sz w:val="13"/>
                <w:szCs w:val="13"/>
                <w:color w:val="auto"/>
              </w:rPr>
            </w:pPr>
          </w:p>
        </w:tc>
        <w:tc>
          <w:tcPr>
            <w:tcW w:w="92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97"/>
              </w:rPr>
              <w:t>Net</w:t>
            </w:r>
          </w:p>
        </w:tc>
        <w:tc>
          <w:tcPr>
            <w:tcW w:w="220" w:type="dxa"/>
            <w:vAlign w:val="bottom"/>
          </w:tcPr>
          <w:p>
            <w:pPr>
              <w:spacing w:after="0"/>
              <w:rPr>
                <w:sz w:val="13"/>
                <w:szCs w:val="13"/>
                <w:color w:val="auto"/>
              </w:rPr>
            </w:pPr>
          </w:p>
        </w:tc>
        <w:tc>
          <w:tcPr>
            <w:tcW w:w="680" w:type="dxa"/>
            <w:vAlign w:val="bottom"/>
          </w:tcPr>
          <w:p>
            <w:pPr>
              <w:jc w:val="center"/>
              <w:ind w:right="141"/>
              <w:spacing w:after="0" w:line="153" w:lineRule="exact"/>
              <w:rPr>
                <w:sz w:val="20"/>
                <w:szCs w:val="20"/>
                <w:color w:val="auto"/>
              </w:rPr>
            </w:pPr>
            <w:r>
              <w:rPr>
                <w:rFonts w:ascii="Arial" w:cs="Arial" w:eastAsia="Arial" w:hAnsi="Arial"/>
                <w:sz w:val="14"/>
                <w:szCs w:val="14"/>
                <w:b w:val="1"/>
                <w:bCs w:val="1"/>
                <w:color w:val="auto"/>
                <w:w w:val="97"/>
              </w:rPr>
              <w:t>Per</w:t>
            </w:r>
          </w:p>
        </w:tc>
        <w:tc>
          <w:tcPr>
            <w:tcW w:w="0" w:type="dxa"/>
            <w:vAlign w:val="bottom"/>
          </w:tcPr>
          <w:p>
            <w:pPr>
              <w:spacing w:after="0"/>
              <w:rPr>
                <w:sz w:val="1"/>
                <w:szCs w:val="1"/>
                <w:color w:val="auto"/>
              </w:rPr>
            </w:pPr>
          </w:p>
        </w:tc>
      </w:tr>
      <w:tr>
        <w:trPr>
          <w:trHeight w:val="149"/>
        </w:trPr>
        <w:tc>
          <w:tcPr>
            <w:tcW w:w="50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900" w:type="dxa"/>
            <w:vAlign w:val="bottom"/>
            <w:gridSpan w:val="2"/>
            <w:vMerge w:val="continue"/>
          </w:tcPr>
          <w:p>
            <w:pPr>
              <w:spacing w:after="0"/>
              <w:rPr>
                <w:sz w:val="12"/>
                <w:szCs w:val="12"/>
                <w:color w:val="auto"/>
              </w:rPr>
            </w:pPr>
          </w:p>
        </w:tc>
        <w:tc>
          <w:tcPr>
            <w:tcW w:w="220" w:type="dxa"/>
            <w:vAlign w:val="bottom"/>
          </w:tcPr>
          <w:p>
            <w:pPr>
              <w:spacing w:after="0"/>
              <w:rPr>
                <w:sz w:val="12"/>
                <w:szCs w:val="12"/>
                <w:color w:val="auto"/>
              </w:rPr>
            </w:pPr>
          </w:p>
        </w:tc>
        <w:tc>
          <w:tcPr>
            <w:tcW w:w="84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6"/>
              </w:rPr>
              <w:t>Diluted</w:t>
            </w:r>
          </w:p>
        </w:tc>
        <w:tc>
          <w:tcPr>
            <w:tcW w:w="200" w:type="dxa"/>
            <w:vAlign w:val="bottom"/>
          </w:tcPr>
          <w:p>
            <w:pPr>
              <w:spacing w:after="0"/>
              <w:rPr>
                <w:sz w:val="12"/>
                <w:szCs w:val="12"/>
                <w:color w:val="auto"/>
              </w:rPr>
            </w:pPr>
          </w:p>
        </w:tc>
        <w:tc>
          <w:tcPr>
            <w:tcW w:w="980" w:type="dxa"/>
            <w:vAlign w:val="bottom"/>
            <w:gridSpan w:val="3"/>
            <w:vMerge w:val="continue"/>
          </w:tcPr>
          <w:p>
            <w:pPr>
              <w:spacing w:after="0"/>
              <w:rPr>
                <w:sz w:val="12"/>
                <w:szCs w:val="12"/>
                <w:color w:val="auto"/>
              </w:rPr>
            </w:pPr>
          </w:p>
        </w:tc>
        <w:tc>
          <w:tcPr>
            <w:tcW w:w="180" w:type="dxa"/>
            <w:vAlign w:val="bottom"/>
          </w:tcPr>
          <w:p>
            <w:pPr>
              <w:spacing w:after="0"/>
              <w:rPr>
                <w:sz w:val="12"/>
                <w:szCs w:val="12"/>
                <w:color w:val="auto"/>
              </w:rPr>
            </w:pPr>
          </w:p>
        </w:tc>
        <w:tc>
          <w:tcPr>
            <w:tcW w:w="78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6"/>
              </w:rPr>
              <w:t>Diluted</w:t>
            </w:r>
          </w:p>
        </w:tc>
        <w:tc>
          <w:tcPr>
            <w:tcW w:w="20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220" w:type="dxa"/>
            <w:vAlign w:val="bottom"/>
          </w:tcPr>
          <w:p>
            <w:pPr>
              <w:spacing w:after="0"/>
              <w:rPr>
                <w:sz w:val="12"/>
                <w:szCs w:val="12"/>
                <w:color w:val="auto"/>
              </w:rPr>
            </w:pPr>
          </w:p>
        </w:tc>
        <w:tc>
          <w:tcPr>
            <w:tcW w:w="680" w:type="dxa"/>
            <w:vAlign w:val="bottom"/>
          </w:tcPr>
          <w:p>
            <w:pPr>
              <w:jc w:val="center"/>
              <w:ind w:right="141"/>
              <w:spacing w:after="0" w:line="149" w:lineRule="exact"/>
              <w:rPr>
                <w:sz w:val="20"/>
                <w:szCs w:val="20"/>
                <w:color w:val="auto"/>
              </w:rPr>
            </w:pPr>
            <w:r>
              <w:rPr>
                <w:rFonts w:ascii="Arial" w:cs="Arial" w:eastAsia="Arial" w:hAnsi="Arial"/>
                <w:sz w:val="14"/>
                <w:szCs w:val="14"/>
                <w:b w:val="1"/>
                <w:bCs w:val="1"/>
                <w:color w:val="auto"/>
                <w:w w:val="96"/>
              </w:rPr>
              <w:t>Diluted</w:t>
            </w:r>
          </w:p>
        </w:tc>
        <w:tc>
          <w:tcPr>
            <w:tcW w:w="0" w:type="dxa"/>
            <w:vAlign w:val="bottom"/>
          </w:tcPr>
          <w:p>
            <w:pPr>
              <w:spacing w:after="0"/>
              <w:rPr>
                <w:sz w:val="1"/>
                <w:szCs w:val="1"/>
                <w:color w:val="auto"/>
              </w:rPr>
            </w:pPr>
          </w:p>
        </w:tc>
      </w:tr>
      <w:tr>
        <w:trPr>
          <w:trHeight w:val="192"/>
        </w:trPr>
        <w:tc>
          <w:tcPr>
            <w:tcW w:w="5040" w:type="dxa"/>
            <w:vAlign w:val="bottom"/>
          </w:tcPr>
          <w:p>
            <w:pPr>
              <w:spacing w:after="0"/>
              <w:rPr>
                <w:sz w:val="16"/>
                <w:szCs w:val="16"/>
                <w:color w:val="auto"/>
              </w:rPr>
            </w:pPr>
          </w:p>
        </w:tc>
        <w:tc>
          <w:tcPr>
            <w:tcW w:w="116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92"/>
              </w:rPr>
              <w:t>Income (Loss)</w:t>
            </w:r>
          </w:p>
        </w:tc>
        <w:tc>
          <w:tcPr>
            <w:tcW w:w="220" w:type="dxa"/>
            <w:vAlign w:val="bottom"/>
          </w:tcPr>
          <w:p>
            <w:pPr>
              <w:spacing w:after="0"/>
              <w:rPr>
                <w:sz w:val="16"/>
                <w:szCs w:val="16"/>
                <w:color w:val="auto"/>
              </w:rPr>
            </w:pPr>
          </w:p>
        </w:tc>
        <w:tc>
          <w:tcPr>
            <w:tcW w:w="84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2"/>
              </w:rPr>
              <w:t>Share</w:t>
            </w:r>
          </w:p>
        </w:tc>
        <w:tc>
          <w:tcPr>
            <w:tcW w:w="200" w:type="dxa"/>
            <w:vAlign w:val="bottom"/>
          </w:tcPr>
          <w:p>
            <w:pPr>
              <w:spacing w:after="0"/>
              <w:rPr>
                <w:sz w:val="16"/>
                <w:szCs w:val="16"/>
                <w:color w:val="auto"/>
              </w:rPr>
            </w:pPr>
          </w:p>
        </w:tc>
        <w:tc>
          <w:tcPr>
            <w:tcW w:w="980" w:type="dxa"/>
            <w:vAlign w:val="bottom"/>
            <w:gridSpan w:val="3"/>
          </w:tcPr>
          <w:p>
            <w:pPr>
              <w:jc w:val="center"/>
              <w:ind w:right="340"/>
              <w:spacing w:after="0"/>
              <w:rPr>
                <w:sz w:val="20"/>
                <w:szCs w:val="20"/>
                <w:color w:val="auto"/>
              </w:rPr>
            </w:pPr>
            <w:r>
              <w:rPr>
                <w:rFonts w:ascii="Arial" w:cs="Arial" w:eastAsia="Arial" w:hAnsi="Arial"/>
                <w:sz w:val="14"/>
                <w:szCs w:val="14"/>
                <w:b w:val="1"/>
                <w:bCs w:val="1"/>
                <w:color w:val="auto"/>
                <w:w w:val="89"/>
              </w:rPr>
              <w:t>Income</w:t>
            </w:r>
          </w:p>
        </w:tc>
        <w:tc>
          <w:tcPr>
            <w:tcW w:w="180" w:type="dxa"/>
            <w:vAlign w:val="bottom"/>
          </w:tcPr>
          <w:p>
            <w:pPr>
              <w:spacing w:after="0"/>
              <w:rPr>
                <w:sz w:val="16"/>
                <w:szCs w:val="16"/>
                <w:color w:val="auto"/>
              </w:rPr>
            </w:pPr>
          </w:p>
        </w:tc>
        <w:tc>
          <w:tcPr>
            <w:tcW w:w="7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2"/>
              </w:rPr>
              <w:t>Share</w:t>
            </w:r>
          </w:p>
        </w:tc>
        <w:tc>
          <w:tcPr>
            <w:tcW w:w="200" w:type="dxa"/>
            <w:vAlign w:val="bottom"/>
          </w:tcPr>
          <w:p>
            <w:pPr>
              <w:spacing w:after="0"/>
              <w:rPr>
                <w:sz w:val="16"/>
                <w:szCs w:val="16"/>
                <w:color w:val="auto"/>
              </w:rPr>
            </w:pPr>
          </w:p>
        </w:tc>
        <w:tc>
          <w:tcPr>
            <w:tcW w:w="92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3"/>
              </w:rPr>
              <w:t>Income</w:t>
            </w:r>
          </w:p>
        </w:tc>
        <w:tc>
          <w:tcPr>
            <w:tcW w:w="220" w:type="dxa"/>
            <w:vAlign w:val="bottom"/>
          </w:tcPr>
          <w:p>
            <w:pPr>
              <w:spacing w:after="0"/>
              <w:rPr>
                <w:sz w:val="16"/>
                <w:szCs w:val="16"/>
                <w:color w:val="auto"/>
              </w:rPr>
            </w:pPr>
          </w:p>
        </w:tc>
        <w:tc>
          <w:tcPr>
            <w:tcW w:w="680" w:type="dxa"/>
            <w:vAlign w:val="bottom"/>
          </w:tcPr>
          <w:p>
            <w:pPr>
              <w:jc w:val="center"/>
              <w:ind w:right="121"/>
              <w:spacing w:after="0"/>
              <w:rPr>
                <w:sz w:val="20"/>
                <w:szCs w:val="20"/>
                <w:color w:val="auto"/>
              </w:rPr>
            </w:pPr>
            <w:r>
              <w:rPr>
                <w:rFonts w:ascii="Arial" w:cs="Arial" w:eastAsia="Arial" w:hAnsi="Arial"/>
                <w:sz w:val="14"/>
                <w:szCs w:val="14"/>
                <w:b w:val="1"/>
                <w:bCs w:val="1"/>
                <w:color w:val="auto"/>
                <w:w w:val="92"/>
              </w:rPr>
              <w:t>Share</w:t>
            </w:r>
          </w:p>
        </w:tc>
        <w:tc>
          <w:tcPr>
            <w:tcW w:w="0" w:type="dxa"/>
            <w:vAlign w:val="bottom"/>
          </w:tcPr>
          <w:p>
            <w:pPr>
              <w:spacing w:after="0"/>
              <w:rPr>
                <w:sz w:val="1"/>
                <w:szCs w:val="1"/>
                <w:color w:val="auto"/>
              </w:rPr>
            </w:pPr>
          </w:p>
        </w:tc>
      </w:tr>
      <w:tr>
        <w:trPr>
          <w:trHeight w:val="236"/>
        </w:trPr>
        <w:tc>
          <w:tcPr>
            <w:tcW w:w="504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income (loss) as reported</w:t>
            </w:r>
          </w:p>
        </w:tc>
        <w:tc>
          <w:tcPr>
            <w:tcW w:w="260" w:type="dxa"/>
            <w:vAlign w:val="bottom"/>
            <w:tcBorders>
              <w:top w:val="single" w:sz="8" w:color="auto"/>
              <w:bottom w:val="single" w:sz="8" w:color="CCEEFF"/>
            </w:tcBorders>
            <w:shd w:val="clear" w:color="auto" w:fill="CCEEFF"/>
          </w:tcPr>
          <w:p>
            <w:pPr>
              <w:jc w:val="right"/>
              <w:ind w:right="82"/>
              <w:spacing w:after="0"/>
              <w:rPr>
                <w:sz w:val="20"/>
                <w:szCs w:val="20"/>
                <w:color w:val="auto"/>
              </w:rPr>
            </w:pPr>
            <w:r>
              <w:rPr>
                <w:rFonts w:ascii="Arial" w:cs="Arial" w:eastAsia="Arial" w:hAnsi="Arial"/>
                <w:sz w:val="16"/>
                <w:szCs w:val="16"/>
                <w:color w:val="auto"/>
                <w:w w:val="89"/>
              </w:rPr>
              <w:t>$</w:t>
            </w:r>
          </w:p>
        </w:tc>
        <w:tc>
          <w:tcPr>
            <w:tcW w:w="7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(7,594)</w:t>
            </w: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220" w:type="dxa"/>
            <w:vAlign w:val="bottom"/>
            <w:tcBorders>
              <w:top w:val="single" w:sz="8" w:color="auto"/>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7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(0.29)</w:t>
            </w: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200" w:type="dxa"/>
            <w:vAlign w:val="bottom"/>
            <w:tcBorders>
              <w:top w:val="single" w:sz="8" w:color="auto"/>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840" w:type="dxa"/>
            <w:vAlign w:val="bottom"/>
            <w:tcBorders>
              <w:top w:val="single" w:sz="8" w:color="auto"/>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55,458</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40" w:type="dxa"/>
            <w:vAlign w:val="bottom"/>
            <w:tcBorders>
              <w:top w:val="single" w:sz="8" w:color="auto"/>
              <w:bottom w:val="single" w:sz="8" w:color="CCEEFF"/>
            </w:tcBorders>
            <w:shd w:val="clear" w:color="auto" w:fill="CCEEFF"/>
          </w:tcPr>
          <w:p>
            <w:pPr>
              <w:spacing w:after="0"/>
              <w:rPr>
                <w:sz w:val="20"/>
                <w:szCs w:val="20"/>
                <w:color w:val="auto"/>
              </w:rPr>
            </w:pPr>
          </w:p>
        </w:tc>
        <w:tc>
          <w:tcPr>
            <w:tcW w:w="180" w:type="dxa"/>
            <w:vAlign w:val="bottom"/>
            <w:tcBorders>
              <w:top w:val="single" w:sz="8" w:color="auto"/>
              <w:bottom w:val="single" w:sz="8" w:color="CCEEFF"/>
            </w:tcBorders>
            <w:shd w:val="clear" w:color="auto" w:fill="CCEEFF"/>
          </w:tcPr>
          <w:p>
            <w:pPr>
              <w:jc w:val="right"/>
              <w:ind w:right="24"/>
              <w:spacing w:after="0"/>
              <w:rPr>
                <w:sz w:val="20"/>
                <w:szCs w:val="20"/>
                <w:color w:val="auto"/>
              </w:rPr>
            </w:pPr>
            <w:r>
              <w:rPr>
                <w:rFonts w:ascii="Arial" w:cs="Arial" w:eastAsia="Arial" w:hAnsi="Arial"/>
                <w:sz w:val="15"/>
                <w:szCs w:val="15"/>
                <w:color w:val="auto"/>
                <w:w w:val="71"/>
              </w:rPr>
              <w:t>$</w:t>
            </w:r>
          </w:p>
        </w:tc>
        <w:tc>
          <w:tcPr>
            <w:tcW w:w="680" w:type="dxa"/>
            <w:vAlign w:val="bottom"/>
            <w:tcBorders>
              <w:top w:val="single" w:sz="8" w:color="auto"/>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2.14</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20" w:type="dxa"/>
            <w:vAlign w:val="bottom"/>
            <w:tcBorders>
              <w:top w:val="single" w:sz="8" w:color="auto"/>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36,267</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220" w:type="dxa"/>
            <w:vAlign w:val="bottom"/>
            <w:tcBorders>
              <w:top w:val="single" w:sz="8" w:color="auto"/>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680" w:type="dxa"/>
            <w:vAlign w:val="bottom"/>
            <w:tcBorders>
              <w:top w:val="single" w:sz="8" w:color="auto"/>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1.43</w:t>
            </w:r>
          </w:p>
        </w:tc>
        <w:tc>
          <w:tcPr>
            <w:tcW w:w="0" w:type="dxa"/>
            <w:vAlign w:val="bottom"/>
          </w:tcPr>
          <w:p>
            <w:pPr>
              <w:spacing w:after="0"/>
              <w:rPr>
                <w:sz w:val="1"/>
                <w:szCs w:val="1"/>
                <w:color w:val="auto"/>
              </w:rPr>
            </w:pPr>
          </w:p>
        </w:tc>
      </w:tr>
      <w:tr>
        <w:trPr>
          <w:trHeight w:val="237"/>
        </w:trPr>
        <w:tc>
          <w:tcPr>
            <w:tcW w:w="5040" w:type="dxa"/>
            <w:vAlign w:val="bottom"/>
          </w:tcPr>
          <w:p>
            <w:pPr>
              <w:ind w:left="40"/>
              <w:spacing w:after="0"/>
              <w:rPr>
                <w:sz w:val="20"/>
                <w:szCs w:val="20"/>
                <w:color w:val="auto"/>
              </w:rPr>
            </w:pPr>
            <w:r>
              <w:rPr>
                <w:rFonts w:ascii="Arial" w:cs="Arial" w:eastAsia="Arial" w:hAnsi="Arial"/>
                <w:sz w:val="16"/>
                <w:szCs w:val="16"/>
                <w:color w:val="auto"/>
              </w:rPr>
              <w:t>Adjustments:</w:t>
            </w:r>
          </w:p>
        </w:tc>
        <w:tc>
          <w:tcPr>
            <w:tcW w:w="2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5040" w:type="dxa"/>
            <w:vAlign w:val="bottom"/>
          </w:tcPr>
          <w:p>
            <w:pPr>
              <w:spacing w:after="0"/>
              <w:rPr>
                <w:sz w:val="2"/>
                <w:szCs w:val="2"/>
                <w:color w:val="auto"/>
              </w:rPr>
            </w:pPr>
          </w:p>
        </w:tc>
        <w:tc>
          <w:tcPr>
            <w:tcW w:w="26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8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040" w:type="dxa"/>
            <w:vAlign w:val="bottom"/>
            <w:shd w:val="clear" w:color="auto" w:fill="CCEEFF"/>
          </w:tcPr>
          <w:p>
            <w:pPr>
              <w:ind w:left="180"/>
              <w:spacing w:after="0"/>
              <w:rPr>
                <w:sz w:val="20"/>
                <w:szCs w:val="20"/>
                <w:color w:val="auto"/>
              </w:rPr>
            </w:pPr>
            <w:r>
              <w:rPr>
                <w:rFonts w:ascii="Arial" w:cs="Arial" w:eastAsia="Arial" w:hAnsi="Arial"/>
                <w:sz w:val="16"/>
                <w:szCs w:val="16"/>
                <w:color w:val="auto"/>
              </w:rPr>
              <w:t>Amortization of intangibles</w:t>
            </w:r>
            <w:r>
              <w:rPr>
                <w:rFonts w:ascii="Arial" w:cs="Arial" w:eastAsia="Arial" w:hAnsi="Arial"/>
                <w:sz w:val="21"/>
                <w:szCs w:val="21"/>
                <w:color w:val="auto"/>
                <w:vertAlign w:val="superscript"/>
              </w:rPr>
              <w:t>(a)(c)</w:t>
            </w:r>
          </w:p>
        </w:tc>
        <w:tc>
          <w:tcPr>
            <w:tcW w:w="260" w:type="dxa"/>
            <w:vAlign w:val="bottom"/>
            <w:shd w:val="clear" w:color="auto" w:fill="CCEEFF"/>
          </w:tcPr>
          <w:p>
            <w:pPr>
              <w:spacing w:after="0"/>
              <w:rPr>
                <w:sz w:val="23"/>
                <w:szCs w:val="23"/>
                <w:color w:val="auto"/>
              </w:rPr>
            </w:pPr>
          </w:p>
        </w:tc>
        <w:tc>
          <w:tcPr>
            <w:tcW w:w="780" w:type="dxa"/>
            <w:vAlign w:val="bottom"/>
            <w:shd w:val="clear" w:color="auto" w:fill="CCEEFF"/>
          </w:tcPr>
          <w:p>
            <w:pPr>
              <w:jc w:val="right"/>
              <w:ind w:right="41"/>
              <w:spacing w:after="0"/>
              <w:rPr>
                <w:sz w:val="20"/>
                <w:szCs w:val="20"/>
                <w:color w:val="auto"/>
              </w:rPr>
            </w:pPr>
            <w:r>
              <w:rPr>
                <w:rFonts w:ascii="Arial" w:cs="Arial" w:eastAsia="Arial" w:hAnsi="Arial"/>
                <w:sz w:val="16"/>
                <w:szCs w:val="16"/>
                <w:color w:val="auto"/>
              </w:rPr>
              <w:t>12,273</w:t>
            </w:r>
          </w:p>
        </w:tc>
        <w:tc>
          <w:tcPr>
            <w:tcW w:w="12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720" w:type="dxa"/>
            <w:vAlign w:val="bottom"/>
            <w:shd w:val="clear" w:color="auto" w:fill="CCEEFF"/>
          </w:tcPr>
          <w:p>
            <w:pPr>
              <w:jc w:val="right"/>
              <w:ind w:right="41"/>
              <w:spacing w:after="0"/>
              <w:rPr>
                <w:sz w:val="20"/>
                <w:szCs w:val="20"/>
                <w:color w:val="auto"/>
              </w:rPr>
            </w:pPr>
            <w:r>
              <w:rPr>
                <w:rFonts w:ascii="Arial" w:cs="Arial" w:eastAsia="Arial" w:hAnsi="Arial"/>
                <w:sz w:val="16"/>
                <w:szCs w:val="16"/>
                <w:color w:val="auto"/>
              </w:rPr>
              <w:t>0.45</w:t>
            </w:r>
          </w:p>
        </w:tc>
        <w:tc>
          <w:tcPr>
            <w:tcW w:w="12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840" w:type="dxa"/>
            <w:vAlign w:val="bottom"/>
            <w:shd w:val="clear" w:color="auto" w:fill="CCEEFF"/>
          </w:tcPr>
          <w:p>
            <w:pPr>
              <w:jc w:val="right"/>
              <w:ind w:right="21"/>
              <w:spacing w:after="0"/>
              <w:rPr>
                <w:sz w:val="20"/>
                <w:szCs w:val="20"/>
                <w:color w:val="auto"/>
              </w:rPr>
            </w:pPr>
            <w:r>
              <w:rPr>
                <w:rFonts w:ascii="Arial" w:cs="Arial" w:eastAsia="Arial" w:hAnsi="Arial"/>
                <w:sz w:val="16"/>
                <w:szCs w:val="16"/>
                <w:color w:val="auto"/>
              </w:rPr>
              <w:t>9,637</w:t>
            </w:r>
          </w:p>
        </w:tc>
        <w:tc>
          <w:tcPr>
            <w:tcW w:w="100" w:type="dxa"/>
            <w:vAlign w:val="bottom"/>
            <w:shd w:val="clear" w:color="auto" w:fill="CCEEFF"/>
          </w:tcPr>
          <w:p>
            <w:pPr>
              <w:spacing w:after="0"/>
              <w:rPr>
                <w:sz w:val="23"/>
                <w:szCs w:val="23"/>
                <w:color w:val="auto"/>
              </w:rPr>
            </w:pPr>
          </w:p>
        </w:tc>
        <w:tc>
          <w:tcPr>
            <w:tcW w:w="4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680" w:type="dxa"/>
            <w:vAlign w:val="bottom"/>
            <w:shd w:val="clear" w:color="auto" w:fill="CCEEFF"/>
          </w:tcPr>
          <w:p>
            <w:pPr>
              <w:jc w:val="right"/>
              <w:ind w:right="21"/>
              <w:spacing w:after="0"/>
              <w:rPr>
                <w:sz w:val="20"/>
                <w:szCs w:val="20"/>
                <w:color w:val="auto"/>
              </w:rPr>
            </w:pPr>
            <w:r>
              <w:rPr>
                <w:rFonts w:ascii="Arial" w:cs="Arial" w:eastAsia="Arial" w:hAnsi="Arial"/>
                <w:sz w:val="16"/>
                <w:szCs w:val="16"/>
                <w:color w:val="auto"/>
              </w:rPr>
              <w:t>0.37</w:t>
            </w: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820" w:type="dxa"/>
            <w:vAlign w:val="bottom"/>
            <w:shd w:val="clear" w:color="auto" w:fill="CCEEFF"/>
          </w:tcPr>
          <w:p>
            <w:pPr>
              <w:jc w:val="right"/>
              <w:ind w:right="21"/>
              <w:spacing w:after="0"/>
              <w:rPr>
                <w:sz w:val="20"/>
                <w:szCs w:val="20"/>
                <w:color w:val="auto"/>
              </w:rPr>
            </w:pPr>
            <w:r>
              <w:rPr>
                <w:rFonts w:ascii="Arial" w:cs="Arial" w:eastAsia="Arial" w:hAnsi="Arial"/>
                <w:sz w:val="16"/>
                <w:szCs w:val="16"/>
                <w:color w:val="auto"/>
              </w:rPr>
              <w:t>9,105</w:t>
            </w:r>
          </w:p>
        </w:tc>
        <w:tc>
          <w:tcPr>
            <w:tcW w:w="10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680" w:type="dxa"/>
            <w:vAlign w:val="bottom"/>
            <w:shd w:val="clear" w:color="auto" w:fill="CCEEFF"/>
          </w:tcPr>
          <w:p>
            <w:pPr>
              <w:jc w:val="right"/>
              <w:ind w:right="21"/>
              <w:spacing w:after="0"/>
              <w:rPr>
                <w:sz w:val="20"/>
                <w:szCs w:val="20"/>
                <w:color w:val="auto"/>
              </w:rPr>
            </w:pPr>
            <w:r>
              <w:rPr>
                <w:rFonts w:ascii="Arial" w:cs="Arial" w:eastAsia="Arial" w:hAnsi="Arial"/>
                <w:sz w:val="16"/>
                <w:szCs w:val="16"/>
                <w:color w:val="auto"/>
              </w:rPr>
              <w:t>0.36</w:t>
            </w:r>
          </w:p>
        </w:tc>
        <w:tc>
          <w:tcPr>
            <w:tcW w:w="0" w:type="dxa"/>
            <w:vAlign w:val="bottom"/>
          </w:tcPr>
          <w:p>
            <w:pPr>
              <w:spacing w:after="0"/>
              <w:rPr>
                <w:sz w:val="1"/>
                <w:szCs w:val="1"/>
                <w:color w:val="auto"/>
              </w:rPr>
            </w:pPr>
          </w:p>
        </w:tc>
      </w:tr>
      <w:tr>
        <w:trPr>
          <w:trHeight w:val="270"/>
        </w:trPr>
        <w:tc>
          <w:tcPr>
            <w:tcW w:w="5040" w:type="dxa"/>
            <w:vAlign w:val="bottom"/>
          </w:tcPr>
          <w:p>
            <w:pPr>
              <w:ind w:left="180"/>
              <w:spacing w:after="0"/>
              <w:rPr>
                <w:sz w:val="20"/>
                <w:szCs w:val="20"/>
                <w:color w:val="auto"/>
              </w:rPr>
            </w:pPr>
            <w:r>
              <w:rPr>
                <w:rFonts w:ascii="Arial" w:cs="Arial" w:eastAsia="Arial" w:hAnsi="Arial"/>
                <w:sz w:val="16"/>
                <w:szCs w:val="16"/>
                <w:color w:val="auto"/>
              </w:rPr>
              <w:t>Inventory step-up amortization (COS)</w:t>
            </w:r>
            <w:r>
              <w:rPr>
                <w:rFonts w:ascii="Arial" w:cs="Arial" w:eastAsia="Arial" w:hAnsi="Arial"/>
                <w:sz w:val="21"/>
                <w:szCs w:val="21"/>
                <w:color w:val="auto"/>
                <w:vertAlign w:val="superscript"/>
              </w:rPr>
              <w:t>(c)</w:t>
            </w:r>
          </w:p>
        </w:tc>
        <w:tc>
          <w:tcPr>
            <w:tcW w:w="260" w:type="dxa"/>
            <w:vAlign w:val="bottom"/>
          </w:tcPr>
          <w:p>
            <w:pPr>
              <w:spacing w:after="0"/>
              <w:rPr>
                <w:sz w:val="23"/>
                <w:szCs w:val="23"/>
                <w:color w:val="auto"/>
              </w:rPr>
            </w:pPr>
          </w:p>
        </w:tc>
        <w:tc>
          <w:tcPr>
            <w:tcW w:w="780" w:type="dxa"/>
            <w:vAlign w:val="bottom"/>
          </w:tcPr>
          <w:p>
            <w:pPr>
              <w:jc w:val="right"/>
              <w:ind w:right="41"/>
              <w:spacing w:after="0"/>
              <w:rPr>
                <w:sz w:val="20"/>
                <w:szCs w:val="20"/>
                <w:color w:val="auto"/>
              </w:rPr>
            </w:pPr>
            <w:r>
              <w:rPr>
                <w:rFonts w:ascii="Arial" w:cs="Arial" w:eastAsia="Arial" w:hAnsi="Arial"/>
                <w:sz w:val="16"/>
                <w:szCs w:val="16"/>
                <w:color w:val="auto"/>
              </w:rPr>
              <w:t>15,605</w:t>
            </w:r>
          </w:p>
        </w:tc>
        <w:tc>
          <w:tcPr>
            <w:tcW w:w="1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720" w:type="dxa"/>
            <w:vAlign w:val="bottom"/>
          </w:tcPr>
          <w:p>
            <w:pPr>
              <w:jc w:val="right"/>
              <w:ind w:right="41"/>
              <w:spacing w:after="0"/>
              <w:rPr>
                <w:sz w:val="20"/>
                <w:szCs w:val="20"/>
                <w:color w:val="auto"/>
              </w:rPr>
            </w:pPr>
            <w:r>
              <w:rPr>
                <w:rFonts w:ascii="Arial" w:cs="Arial" w:eastAsia="Arial" w:hAnsi="Arial"/>
                <w:sz w:val="16"/>
                <w:szCs w:val="16"/>
                <w:color w:val="auto"/>
              </w:rPr>
              <w:t>0.57</w:t>
            </w:r>
          </w:p>
        </w:tc>
        <w:tc>
          <w:tcPr>
            <w:tcW w:w="1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840" w:type="dxa"/>
            <w:vAlign w:val="bottom"/>
          </w:tcPr>
          <w:p>
            <w:pPr>
              <w:jc w:val="right"/>
              <w:ind w:right="21"/>
              <w:spacing w:after="0"/>
              <w:rPr>
                <w:sz w:val="20"/>
                <w:szCs w:val="20"/>
                <w:color w:val="auto"/>
              </w:rPr>
            </w:pPr>
            <w:r>
              <w:rPr>
                <w:rFonts w:ascii="Arial" w:cs="Arial" w:eastAsia="Arial" w:hAnsi="Arial"/>
                <w:sz w:val="16"/>
                <w:szCs w:val="16"/>
                <w:color w:val="auto"/>
              </w:rPr>
              <w:t>195</w:t>
            </w:r>
          </w:p>
        </w:tc>
        <w:tc>
          <w:tcPr>
            <w:tcW w:w="1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680" w:type="dxa"/>
            <w:vAlign w:val="bottom"/>
          </w:tcPr>
          <w:p>
            <w:pPr>
              <w:jc w:val="right"/>
              <w:ind w:right="21"/>
              <w:spacing w:after="0"/>
              <w:rPr>
                <w:sz w:val="20"/>
                <w:szCs w:val="20"/>
                <w:color w:val="auto"/>
              </w:rPr>
            </w:pPr>
            <w:r>
              <w:rPr>
                <w:rFonts w:ascii="Arial" w:cs="Arial" w:eastAsia="Arial" w:hAnsi="Arial"/>
                <w:sz w:val="16"/>
                <w:szCs w:val="16"/>
                <w:color w:val="auto"/>
              </w:rPr>
              <w:t>0.01</w:t>
            </w: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9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680" w:type="dxa"/>
            <w:vAlign w:val="bottom"/>
          </w:tcPr>
          <w:p>
            <w:pPr>
              <w:jc w:val="right"/>
              <w:ind w:right="21"/>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70"/>
        </w:trPr>
        <w:tc>
          <w:tcPr>
            <w:tcW w:w="5040" w:type="dxa"/>
            <w:vAlign w:val="bottom"/>
            <w:shd w:val="clear" w:color="auto" w:fill="CCEEFF"/>
          </w:tcPr>
          <w:p>
            <w:pPr>
              <w:ind w:left="180"/>
              <w:spacing w:after="0"/>
              <w:rPr>
                <w:sz w:val="20"/>
                <w:szCs w:val="20"/>
                <w:color w:val="auto"/>
              </w:rPr>
            </w:pPr>
            <w:r>
              <w:rPr>
                <w:rFonts w:ascii="Arial" w:cs="Arial" w:eastAsia="Arial" w:hAnsi="Arial"/>
                <w:sz w:val="16"/>
                <w:szCs w:val="16"/>
                <w:color w:val="auto"/>
              </w:rPr>
              <w:t>IP related litigation (SG&amp;A)</w:t>
            </w:r>
            <w:r>
              <w:rPr>
                <w:rFonts w:ascii="Arial" w:cs="Arial" w:eastAsia="Arial" w:hAnsi="Arial"/>
                <w:sz w:val="21"/>
                <w:szCs w:val="21"/>
                <w:color w:val="auto"/>
                <w:vertAlign w:val="superscript"/>
              </w:rPr>
              <w:t>(b)(c)</w:t>
            </w:r>
          </w:p>
        </w:tc>
        <w:tc>
          <w:tcPr>
            <w:tcW w:w="260" w:type="dxa"/>
            <w:vAlign w:val="bottom"/>
            <w:shd w:val="clear" w:color="auto" w:fill="CCEEFF"/>
          </w:tcPr>
          <w:p>
            <w:pPr>
              <w:spacing w:after="0"/>
              <w:rPr>
                <w:sz w:val="23"/>
                <w:szCs w:val="23"/>
                <w:color w:val="auto"/>
              </w:rPr>
            </w:pPr>
          </w:p>
        </w:tc>
        <w:tc>
          <w:tcPr>
            <w:tcW w:w="780" w:type="dxa"/>
            <w:vAlign w:val="bottom"/>
            <w:shd w:val="clear" w:color="auto" w:fill="CCEEFF"/>
          </w:tcPr>
          <w:p>
            <w:pPr>
              <w:jc w:val="right"/>
              <w:ind w:right="41"/>
              <w:spacing w:after="0"/>
              <w:rPr>
                <w:sz w:val="20"/>
                <w:szCs w:val="20"/>
                <w:color w:val="auto"/>
              </w:rPr>
            </w:pPr>
            <w:r>
              <w:rPr>
                <w:rFonts w:ascii="Arial" w:cs="Arial" w:eastAsia="Arial" w:hAnsi="Arial"/>
                <w:sz w:val="16"/>
                <w:szCs w:val="16"/>
                <w:color w:val="auto"/>
              </w:rPr>
              <w:t>2,871</w:t>
            </w:r>
          </w:p>
        </w:tc>
        <w:tc>
          <w:tcPr>
            <w:tcW w:w="12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720" w:type="dxa"/>
            <w:vAlign w:val="bottom"/>
            <w:shd w:val="clear" w:color="auto" w:fill="CCEEFF"/>
          </w:tcPr>
          <w:p>
            <w:pPr>
              <w:jc w:val="right"/>
              <w:ind w:right="41"/>
              <w:spacing w:after="0"/>
              <w:rPr>
                <w:sz w:val="20"/>
                <w:szCs w:val="20"/>
                <w:color w:val="auto"/>
              </w:rPr>
            </w:pPr>
            <w:r>
              <w:rPr>
                <w:rFonts w:ascii="Arial" w:cs="Arial" w:eastAsia="Arial" w:hAnsi="Arial"/>
                <w:sz w:val="16"/>
                <w:szCs w:val="16"/>
                <w:color w:val="auto"/>
              </w:rPr>
              <w:t>0.11</w:t>
            </w:r>
          </w:p>
        </w:tc>
        <w:tc>
          <w:tcPr>
            <w:tcW w:w="12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840" w:type="dxa"/>
            <w:vAlign w:val="bottom"/>
            <w:shd w:val="clear" w:color="auto" w:fill="CCEEFF"/>
          </w:tcPr>
          <w:p>
            <w:pPr>
              <w:jc w:val="right"/>
              <w:ind w:right="21"/>
              <w:spacing w:after="0"/>
              <w:rPr>
                <w:sz w:val="20"/>
                <w:szCs w:val="20"/>
                <w:color w:val="auto"/>
              </w:rPr>
            </w:pPr>
            <w:r>
              <w:rPr>
                <w:rFonts w:ascii="Arial" w:cs="Arial" w:eastAsia="Arial" w:hAnsi="Arial"/>
                <w:sz w:val="16"/>
                <w:szCs w:val="16"/>
                <w:color w:val="auto"/>
              </w:rPr>
              <w:t>1,626</w:t>
            </w:r>
          </w:p>
        </w:tc>
        <w:tc>
          <w:tcPr>
            <w:tcW w:w="100" w:type="dxa"/>
            <w:vAlign w:val="bottom"/>
            <w:shd w:val="clear" w:color="auto" w:fill="CCEEFF"/>
          </w:tcPr>
          <w:p>
            <w:pPr>
              <w:spacing w:after="0"/>
              <w:rPr>
                <w:sz w:val="23"/>
                <w:szCs w:val="23"/>
                <w:color w:val="auto"/>
              </w:rPr>
            </w:pPr>
          </w:p>
        </w:tc>
        <w:tc>
          <w:tcPr>
            <w:tcW w:w="4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680" w:type="dxa"/>
            <w:vAlign w:val="bottom"/>
            <w:shd w:val="clear" w:color="auto" w:fill="CCEEFF"/>
          </w:tcPr>
          <w:p>
            <w:pPr>
              <w:jc w:val="right"/>
              <w:ind w:right="21"/>
              <w:spacing w:after="0"/>
              <w:rPr>
                <w:sz w:val="20"/>
                <w:szCs w:val="20"/>
                <w:color w:val="auto"/>
              </w:rPr>
            </w:pPr>
            <w:r>
              <w:rPr>
                <w:rFonts w:ascii="Arial" w:cs="Arial" w:eastAsia="Arial" w:hAnsi="Arial"/>
                <w:sz w:val="16"/>
                <w:szCs w:val="16"/>
                <w:color w:val="auto"/>
              </w:rPr>
              <w:t>0.06</w:t>
            </w: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820" w:type="dxa"/>
            <w:vAlign w:val="bottom"/>
            <w:shd w:val="clear" w:color="auto" w:fill="CCEEFF"/>
          </w:tcPr>
          <w:p>
            <w:pPr>
              <w:jc w:val="right"/>
              <w:ind w:right="21"/>
              <w:spacing w:after="0"/>
              <w:rPr>
                <w:sz w:val="20"/>
                <w:szCs w:val="20"/>
                <w:color w:val="auto"/>
              </w:rPr>
            </w:pPr>
            <w:r>
              <w:rPr>
                <w:rFonts w:ascii="Arial" w:cs="Arial" w:eastAsia="Arial" w:hAnsi="Arial"/>
                <w:sz w:val="16"/>
                <w:szCs w:val="16"/>
                <w:color w:val="auto"/>
              </w:rPr>
              <w:t>179</w:t>
            </w:r>
          </w:p>
        </w:tc>
        <w:tc>
          <w:tcPr>
            <w:tcW w:w="10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680" w:type="dxa"/>
            <w:vAlign w:val="bottom"/>
            <w:shd w:val="clear" w:color="auto" w:fill="CCEEFF"/>
          </w:tcPr>
          <w:p>
            <w:pPr>
              <w:jc w:val="right"/>
              <w:ind w:right="21"/>
              <w:spacing w:after="0"/>
              <w:rPr>
                <w:sz w:val="20"/>
                <w:szCs w:val="20"/>
                <w:color w:val="auto"/>
              </w:rPr>
            </w:pPr>
            <w:r>
              <w:rPr>
                <w:rFonts w:ascii="Arial" w:cs="Arial" w:eastAsia="Arial" w:hAnsi="Arial"/>
                <w:sz w:val="16"/>
                <w:szCs w:val="16"/>
                <w:color w:val="auto"/>
              </w:rPr>
              <w:t>0.01</w:t>
            </w:r>
          </w:p>
        </w:tc>
        <w:tc>
          <w:tcPr>
            <w:tcW w:w="0" w:type="dxa"/>
            <w:vAlign w:val="bottom"/>
          </w:tcPr>
          <w:p>
            <w:pPr>
              <w:spacing w:after="0"/>
              <w:rPr>
                <w:sz w:val="1"/>
                <w:szCs w:val="1"/>
                <w:color w:val="auto"/>
              </w:rPr>
            </w:pPr>
          </w:p>
        </w:tc>
      </w:tr>
      <w:tr>
        <w:trPr>
          <w:trHeight w:val="270"/>
        </w:trPr>
        <w:tc>
          <w:tcPr>
            <w:tcW w:w="5040" w:type="dxa"/>
            <w:vAlign w:val="bottom"/>
          </w:tcPr>
          <w:p>
            <w:pPr>
              <w:ind w:left="180"/>
              <w:spacing w:after="0"/>
              <w:rPr>
                <w:sz w:val="20"/>
                <w:szCs w:val="20"/>
                <w:color w:val="auto"/>
              </w:rPr>
            </w:pPr>
            <w:r>
              <w:rPr>
                <w:rFonts w:ascii="Arial" w:cs="Arial" w:eastAsia="Arial" w:hAnsi="Arial"/>
                <w:sz w:val="16"/>
                <w:szCs w:val="16"/>
                <w:color w:val="auto"/>
              </w:rPr>
              <w:t>Medical device DVT expenses (RD&amp;E)</w:t>
            </w:r>
            <w:r>
              <w:rPr>
                <w:rFonts w:ascii="Arial" w:cs="Arial" w:eastAsia="Arial" w:hAnsi="Arial"/>
                <w:sz w:val="21"/>
                <w:szCs w:val="21"/>
                <w:color w:val="auto"/>
                <w:vertAlign w:val="superscript"/>
              </w:rPr>
              <w:t>(c)(d)</w:t>
            </w:r>
          </w:p>
        </w:tc>
        <w:tc>
          <w:tcPr>
            <w:tcW w:w="260" w:type="dxa"/>
            <w:vAlign w:val="bottom"/>
          </w:tcPr>
          <w:p>
            <w:pPr>
              <w:spacing w:after="0"/>
              <w:rPr>
                <w:sz w:val="23"/>
                <w:szCs w:val="23"/>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84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3"/>
                <w:szCs w:val="23"/>
                <w:color w:val="auto"/>
              </w:rPr>
            </w:pPr>
          </w:p>
        </w:tc>
        <w:tc>
          <w:tcPr>
            <w:tcW w:w="980" w:type="dxa"/>
            <w:vAlign w:val="bottom"/>
            <w:gridSpan w:val="3"/>
          </w:tcPr>
          <w:p>
            <w:pPr>
              <w:jc w:val="right"/>
              <w:ind w:right="24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3"/>
                <w:szCs w:val="23"/>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3"/>
                <w:szCs w:val="23"/>
                <w:color w:val="auto"/>
              </w:rPr>
            </w:pPr>
          </w:p>
        </w:tc>
        <w:tc>
          <w:tcPr>
            <w:tcW w:w="820" w:type="dxa"/>
            <w:vAlign w:val="bottom"/>
          </w:tcPr>
          <w:p>
            <w:pPr>
              <w:jc w:val="right"/>
              <w:ind w:right="21"/>
              <w:spacing w:after="0"/>
              <w:rPr>
                <w:sz w:val="20"/>
                <w:szCs w:val="20"/>
                <w:color w:val="auto"/>
              </w:rPr>
            </w:pPr>
            <w:r>
              <w:rPr>
                <w:rFonts w:ascii="Arial" w:cs="Arial" w:eastAsia="Arial" w:hAnsi="Arial"/>
                <w:sz w:val="16"/>
                <w:szCs w:val="16"/>
                <w:color w:val="auto"/>
              </w:rPr>
              <w:t>3,765</w:t>
            </w:r>
          </w:p>
        </w:tc>
        <w:tc>
          <w:tcPr>
            <w:tcW w:w="1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680" w:type="dxa"/>
            <w:vAlign w:val="bottom"/>
          </w:tcPr>
          <w:p>
            <w:pPr>
              <w:jc w:val="right"/>
              <w:ind w:right="21"/>
              <w:spacing w:after="0"/>
              <w:rPr>
                <w:sz w:val="20"/>
                <w:szCs w:val="20"/>
                <w:color w:val="auto"/>
              </w:rPr>
            </w:pPr>
            <w:r>
              <w:rPr>
                <w:rFonts w:ascii="Arial" w:cs="Arial" w:eastAsia="Arial" w:hAnsi="Arial"/>
                <w:sz w:val="16"/>
                <w:szCs w:val="16"/>
                <w:color w:val="auto"/>
              </w:rPr>
              <w:t>0.15</w:t>
            </w:r>
          </w:p>
        </w:tc>
        <w:tc>
          <w:tcPr>
            <w:tcW w:w="0" w:type="dxa"/>
            <w:vAlign w:val="bottom"/>
          </w:tcPr>
          <w:p>
            <w:pPr>
              <w:spacing w:after="0"/>
              <w:rPr>
                <w:sz w:val="1"/>
                <w:szCs w:val="1"/>
                <w:color w:val="auto"/>
              </w:rPr>
            </w:pPr>
          </w:p>
        </w:tc>
      </w:tr>
      <w:tr>
        <w:trPr>
          <w:trHeight w:val="270"/>
        </w:trPr>
        <w:tc>
          <w:tcPr>
            <w:tcW w:w="5040" w:type="dxa"/>
            <w:vAlign w:val="bottom"/>
            <w:shd w:val="clear" w:color="auto" w:fill="CCEEFF"/>
          </w:tcPr>
          <w:p>
            <w:pPr>
              <w:ind w:left="180"/>
              <w:spacing w:after="0"/>
              <w:rPr>
                <w:sz w:val="20"/>
                <w:szCs w:val="20"/>
                <w:color w:val="auto"/>
              </w:rPr>
            </w:pPr>
            <w:r>
              <w:rPr>
                <w:rFonts w:ascii="Arial" w:cs="Arial" w:eastAsia="Arial" w:hAnsi="Arial"/>
                <w:sz w:val="16"/>
                <w:szCs w:val="16"/>
                <w:color w:val="auto"/>
              </w:rPr>
              <w:t>Consolidation and optimization expenses (OOE)</w:t>
            </w:r>
            <w:r>
              <w:rPr>
                <w:rFonts w:ascii="Arial" w:cs="Arial" w:eastAsia="Arial" w:hAnsi="Arial"/>
                <w:sz w:val="21"/>
                <w:szCs w:val="21"/>
                <w:color w:val="auto"/>
                <w:vertAlign w:val="superscript"/>
              </w:rPr>
              <w:t>(c)(e)</w:t>
            </w:r>
          </w:p>
        </w:tc>
        <w:tc>
          <w:tcPr>
            <w:tcW w:w="260" w:type="dxa"/>
            <w:vAlign w:val="bottom"/>
            <w:shd w:val="clear" w:color="auto" w:fill="CCEEFF"/>
          </w:tcPr>
          <w:p>
            <w:pPr>
              <w:spacing w:after="0"/>
              <w:rPr>
                <w:sz w:val="23"/>
                <w:szCs w:val="23"/>
                <w:color w:val="auto"/>
              </w:rPr>
            </w:pPr>
          </w:p>
        </w:tc>
        <w:tc>
          <w:tcPr>
            <w:tcW w:w="780" w:type="dxa"/>
            <w:vAlign w:val="bottom"/>
            <w:shd w:val="clear" w:color="auto" w:fill="CCEEFF"/>
          </w:tcPr>
          <w:p>
            <w:pPr>
              <w:jc w:val="right"/>
              <w:ind w:right="41"/>
              <w:spacing w:after="0"/>
              <w:rPr>
                <w:sz w:val="20"/>
                <w:szCs w:val="20"/>
                <w:color w:val="auto"/>
              </w:rPr>
            </w:pPr>
            <w:r>
              <w:rPr>
                <w:rFonts w:ascii="Arial" w:cs="Arial" w:eastAsia="Arial" w:hAnsi="Arial"/>
                <w:sz w:val="16"/>
                <w:szCs w:val="16"/>
                <w:color w:val="auto"/>
              </w:rPr>
              <w:t>21,158</w:t>
            </w:r>
          </w:p>
        </w:tc>
        <w:tc>
          <w:tcPr>
            <w:tcW w:w="12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720" w:type="dxa"/>
            <w:vAlign w:val="bottom"/>
            <w:shd w:val="clear" w:color="auto" w:fill="CCEEFF"/>
          </w:tcPr>
          <w:p>
            <w:pPr>
              <w:jc w:val="right"/>
              <w:ind w:right="41"/>
              <w:spacing w:after="0"/>
              <w:rPr>
                <w:sz w:val="20"/>
                <w:szCs w:val="20"/>
                <w:color w:val="auto"/>
              </w:rPr>
            </w:pPr>
            <w:r>
              <w:rPr>
                <w:rFonts w:ascii="Arial" w:cs="Arial" w:eastAsia="Arial" w:hAnsi="Arial"/>
                <w:sz w:val="16"/>
                <w:szCs w:val="16"/>
                <w:color w:val="auto"/>
              </w:rPr>
              <w:t>0.77</w:t>
            </w:r>
          </w:p>
        </w:tc>
        <w:tc>
          <w:tcPr>
            <w:tcW w:w="12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840" w:type="dxa"/>
            <w:vAlign w:val="bottom"/>
            <w:shd w:val="clear" w:color="auto" w:fill="CCEEFF"/>
          </w:tcPr>
          <w:p>
            <w:pPr>
              <w:jc w:val="right"/>
              <w:ind w:right="21"/>
              <w:spacing w:after="0"/>
              <w:rPr>
                <w:sz w:val="20"/>
                <w:szCs w:val="20"/>
                <w:color w:val="auto"/>
              </w:rPr>
            </w:pPr>
            <w:r>
              <w:rPr>
                <w:rFonts w:ascii="Arial" w:cs="Arial" w:eastAsia="Arial" w:hAnsi="Arial"/>
                <w:sz w:val="16"/>
                <w:szCs w:val="16"/>
                <w:color w:val="auto"/>
              </w:rPr>
              <w:t>6,567</w:t>
            </w:r>
          </w:p>
        </w:tc>
        <w:tc>
          <w:tcPr>
            <w:tcW w:w="100" w:type="dxa"/>
            <w:vAlign w:val="bottom"/>
            <w:shd w:val="clear" w:color="auto" w:fill="CCEEFF"/>
          </w:tcPr>
          <w:p>
            <w:pPr>
              <w:spacing w:after="0"/>
              <w:rPr>
                <w:sz w:val="23"/>
                <w:szCs w:val="23"/>
                <w:color w:val="auto"/>
              </w:rPr>
            </w:pPr>
          </w:p>
        </w:tc>
        <w:tc>
          <w:tcPr>
            <w:tcW w:w="4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680" w:type="dxa"/>
            <w:vAlign w:val="bottom"/>
            <w:shd w:val="clear" w:color="auto" w:fill="CCEEFF"/>
          </w:tcPr>
          <w:p>
            <w:pPr>
              <w:jc w:val="right"/>
              <w:ind w:right="21"/>
              <w:spacing w:after="0"/>
              <w:rPr>
                <w:sz w:val="20"/>
                <w:szCs w:val="20"/>
                <w:color w:val="auto"/>
              </w:rPr>
            </w:pPr>
            <w:r>
              <w:rPr>
                <w:rFonts w:ascii="Arial" w:cs="Arial" w:eastAsia="Arial" w:hAnsi="Arial"/>
                <w:sz w:val="16"/>
                <w:szCs w:val="16"/>
                <w:color w:val="auto"/>
              </w:rPr>
              <w:t>0.25</w:t>
            </w: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820" w:type="dxa"/>
            <w:vAlign w:val="bottom"/>
            <w:shd w:val="clear" w:color="auto" w:fill="CCEEFF"/>
          </w:tcPr>
          <w:p>
            <w:pPr>
              <w:jc w:val="right"/>
              <w:ind w:right="21"/>
              <w:spacing w:after="0"/>
              <w:rPr>
                <w:sz w:val="20"/>
                <w:szCs w:val="20"/>
                <w:color w:val="auto"/>
              </w:rPr>
            </w:pPr>
            <w:r>
              <w:rPr>
                <w:rFonts w:ascii="Arial" w:cs="Arial" w:eastAsia="Arial" w:hAnsi="Arial"/>
                <w:sz w:val="16"/>
                <w:szCs w:val="16"/>
                <w:color w:val="auto"/>
              </w:rPr>
              <w:t>10,602</w:t>
            </w:r>
          </w:p>
        </w:tc>
        <w:tc>
          <w:tcPr>
            <w:tcW w:w="10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680" w:type="dxa"/>
            <w:vAlign w:val="bottom"/>
            <w:shd w:val="clear" w:color="auto" w:fill="CCEEFF"/>
          </w:tcPr>
          <w:p>
            <w:pPr>
              <w:jc w:val="right"/>
              <w:ind w:right="21"/>
              <w:spacing w:after="0"/>
              <w:rPr>
                <w:sz w:val="20"/>
                <w:szCs w:val="20"/>
                <w:color w:val="auto"/>
              </w:rPr>
            </w:pPr>
            <w:r>
              <w:rPr>
                <w:rFonts w:ascii="Arial" w:cs="Arial" w:eastAsia="Arial" w:hAnsi="Arial"/>
                <w:sz w:val="16"/>
                <w:szCs w:val="16"/>
                <w:color w:val="auto"/>
              </w:rPr>
              <w:t>0.42</w:t>
            </w:r>
          </w:p>
        </w:tc>
        <w:tc>
          <w:tcPr>
            <w:tcW w:w="0" w:type="dxa"/>
            <w:vAlign w:val="bottom"/>
          </w:tcPr>
          <w:p>
            <w:pPr>
              <w:spacing w:after="0"/>
              <w:rPr>
                <w:sz w:val="1"/>
                <w:szCs w:val="1"/>
                <w:color w:val="auto"/>
              </w:rPr>
            </w:pPr>
          </w:p>
        </w:tc>
      </w:tr>
      <w:tr>
        <w:trPr>
          <w:trHeight w:val="270"/>
        </w:trPr>
        <w:tc>
          <w:tcPr>
            <w:tcW w:w="5040" w:type="dxa"/>
            <w:vAlign w:val="bottom"/>
          </w:tcPr>
          <w:p>
            <w:pPr>
              <w:ind w:left="180"/>
              <w:spacing w:after="0"/>
              <w:rPr>
                <w:sz w:val="20"/>
                <w:szCs w:val="20"/>
                <w:color w:val="auto"/>
              </w:rPr>
            </w:pPr>
            <w:r>
              <w:rPr>
                <w:rFonts w:ascii="Arial" w:cs="Arial" w:eastAsia="Arial" w:hAnsi="Arial"/>
                <w:sz w:val="16"/>
                <w:szCs w:val="16"/>
                <w:color w:val="auto"/>
              </w:rPr>
              <w:t>Acquisition and integration expenses (income) (OOE)</w:t>
            </w:r>
            <w:r>
              <w:rPr>
                <w:rFonts w:ascii="Arial" w:cs="Arial" w:eastAsia="Arial" w:hAnsi="Arial"/>
                <w:sz w:val="21"/>
                <w:szCs w:val="21"/>
                <w:color w:val="auto"/>
                <w:vertAlign w:val="superscript"/>
              </w:rPr>
              <w:t>(c)(f)</w:t>
            </w:r>
          </w:p>
        </w:tc>
        <w:tc>
          <w:tcPr>
            <w:tcW w:w="260" w:type="dxa"/>
            <w:vAlign w:val="bottom"/>
          </w:tcPr>
          <w:p>
            <w:pPr>
              <w:spacing w:after="0"/>
              <w:rPr>
                <w:sz w:val="23"/>
                <w:szCs w:val="23"/>
                <w:color w:val="auto"/>
              </w:rPr>
            </w:pPr>
          </w:p>
        </w:tc>
        <w:tc>
          <w:tcPr>
            <w:tcW w:w="780" w:type="dxa"/>
            <w:vAlign w:val="bottom"/>
          </w:tcPr>
          <w:p>
            <w:pPr>
              <w:jc w:val="right"/>
              <w:ind w:right="41"/>
              <w:spacing w:after="0"/>
              <w:rPr>
                <w:sz w:val="20"/>
                <w:szCs w:val="20"/>
                <w:color w:val="auto"/>
              </w:rPr>
            </w:pPr>
            <w:r>
              <w:rPr>
                <w:rFonts w:ascii="Arial" w:cs="Arial" w:eastAsia="Arial" w:hAnsi="Arial"/>
                <w:sz w:val="16"/>
                <w:szCs w:val="16"/>
                <w:color w:val="auto"/>
              </w:rPr>
              <w:t>25,885</w:t>
            </w:r>
          </w:p>
        </w:tc>
        <w:tc>
          <w:tcPr>
            <w:tcW w:w="1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720" w:type="dxa"/>
            <w:vAlign w:val="bottom"/>
          </w:tcPr>
          <w:p>
            <w:pPr>
              <w:jc w:val="right"/>
              <w:ind w:right="41"/>
              <w:spacing w:after="0"/>
              <w:rPr>
                <w:sz w:val="20"/>
                <w:szCs w:val="20"/>
                <w:color w:val="auto"/>
              </w:rPr>
            </w:pPr>
            <w:r>
              <w:rPr>
                <w:rFonts w:ascii="Arial" w:cs="Arial" w:eastAsia="Arial" w:hAnsi="Arial"/>
                <w:sz w:val="16"/>
                <w:szCs w:val="16"/>
                <w:color w:val="auto"/>
              </w:rPr>
              <w:t>0.95</w:t>
            </w:r>
          </w:p>
        </w:tc>
        <w:tc>
          <w:tcPr>
            <w:tcW w:w="1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840" w:type="dxa"/>
            <w:vAlign w:val="bottom"/>
          </w:tcPr>
          <w:p>
            <w:pPr>
              <w:jc w:val="right"/>
              <w:ind w:right="21"/>
              <w:spacing w:after="0"/>
              <w:rPr>
                <w:sz w:val="20"/>
                <w:szCs w:val="20"/>
                <w:color w:val="auto"/>
              </w:rPr>
            </w:pPr>
            <w:r>
              <w:rPr>
                <w:rFonts w:ascii="Arial" w:cs="Arial" w:eastAsia="Arial" w:hAnsi="Arial"/>
                <w:sz w:val="16"/>
                <w:szCs w:val="16"/>
                <w:color w:val="auto"/>
              </w:rPr>
              <w:t>61</w:t>
            </w:r>
          </w:p>
        </w:tc>
        <w:tc>
          <w:tcPr>
            <w:tcW w:w="1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3"/>
                <w:szCs w:val="23"/>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(326)</w:t>
            </w:r>
          </w:p>
        </w:tc>
        <w:tc>
          <w:tcPr>
            <w:tcW w:w="1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(0.01)</w:t>
            </w:r>
          </w:p>
        </w:tc>
        <w:tc>
          <w:tcPr>
            <w:tcW w:w="0" w:type="dxa"/>
            <w:vAlign w:val="bottom"/>
          </w:tcPr>
          <w:p>
            <w:pPr>
              <w:spacing w:after="0"/>
              <w:rPr>
                <w:sz w:val="1"/>
                <w:szCs w:val="1"/>
                <w:color w:val="auto"/>
              </w:rPr>
            </w:pPr>
          </w:p>
        </w:tc>
      </w:tr>
      <w:tr>
        <w:trPr>
          <w:trHeight w:val="270"/>
        </w:trPr>
        <w:tc>
          <w:tcPr>
            <w:tcW w:w="5040" w:type="dxa"/>
            <w:vAlign w:val="bottom"/>
            <w:shd w:val="clear" w:color="auto" w:fill="CCEEFF"/>
          </w:tcPr>
          <w:p>
            <w:pPr>
              <w:ind w:left="180"/>
              <w:spacing w:after="0"/>
              <w:rPr>
                <w:sz w:val="20"/>
                <w:szCs w:val="20"/>
                <w:color w:val="auto"/>
              </w:rPr>
            </w:pPr>
            <w:r>
              <w:rPr>
                <w:rFonts w:ascii="Arial" w:cs="Arial" w:eastAsia="Arial" w:hAnsi="Arial"/>
                <w:sz w:val="16"/>
                <w:szCs w:val="16"/>
                <w:color w:val="auto"/>
              </w:rPr>
              <w:t>Asset dispositions, severance and other (OOE)</w:t>
            </w:r>
            <w:r>
              <w:rPr>
                <w:rFonts w:ascii="Arial" w:cs="Arial" w:eastAsia="Arial" w:hAnsi="Arial"/>
                <w:sz w:val="21"/>
                <w:szCs w:val="21"/>
                <w:color w:val="auto"/>
                <w:vertAlign w:val="superscript"/>
              </w:rPr>
              <w:t>(c)(g)</w:t>
            </w:r>
          </w:p>
        </w:tc>
        <w:tc>
          <w:tcPr>
            <w:tcW w:w="260" w:type="dxa"/>
            <w:vAlign w:val="bottom"/>
            <w:shd w:val="clear" w:color="auto" w:fill="CCEEFF"/>
          </w:tcPr>
          <w:p>
            <w:pPr>
              <w:spacing w:after="0"/>
              <w:rPr>
                <w:sz w:val="23"/>
                <w:szCs w:val="23"/>
                <w:color w:val="auto"/>
              </w:rPr>
            </w:pPr>
          </w:p>
        </w:tc>
        <w:tc>
          <w:tcPr>
            <w:tcW w:w="780" w:type="dxa"/>
            <w:vAlign w:val="bottom"/>
            <w:shd w:val="clear" w:color="auto" w:fill="CCEEFF"/>
          </w:tcPr>
          <w:p>
            <w:pPr>
              <w:jc w:val="right"/>
              <w:ind w:right="41"/>
              <w:spacing w:after="0"/>
              <w:rPr>
                <w:sz w:val="20"/>
                <w:szCs w:val="20"/>
                <w:color w:val="auto"/>
              </w:rPr>
            </w:pPr>
            <w:r>
              <w:rPr>
                <w:rFonts w:ascii="Arial" w:cs="Arial" w:eastAsia="Arial" w:hAnsi="Arial"/>
                <w:sz w:val="16"/>
                <w:szCs w:val="16"/>
                <w:color w:val="auto"/>
              </w:rPr>
              <w:t>5,099</w:t>
            </w:r>
          </w:p>
        </w:tc>
        <w:tc>
          <w:tcPr>
            <w:tcW w:w="12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720" w:type="dxa"/>
            <w:vAlign w:val="bottom"/>
            <w:shd w:val="clear" w:color="auto" w:fill="CCEEFF"/>
          </w:tcPr>
          <w:p>
            <w:pPr>
              <w:jc w:val="right"/>
              <w:ind w:right="41"/>
              <w:spacing w:after="0"/>
              <w:rPr>
                <w:sz w:val="20"/>
                <w:szCs w:val="20"/>
                <w:color w:val="auto"/>
              </w:rPr>
            </w:pPr>
            <w:r>
              <w:rPr>
                <w:rFonts w:ascii="Arial" w:cs="Arial" w:eastAsia="Arial" w:hAnsi="Arial"/>
                <w:sz w:val="16"/>
                <w:szCs w:val="16"/>
                <w:color w:val="auto"/>
              </w:rPr>
              <w:t>0.19</w:t>
            </w:r>
          </w:p>
        </w:tc>
        <w:tc>
          <w:tcPr>
            <w:tcW w:w="12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840" w:type="dxa"/>
            <w:vAlign w:val="bottom"/>
            <w:shd w:val="clear" w:color="auto" w:fill="CCEEFF"/>
          </w:tcPr>
          <w:p>
            <w:pPr>
              <w:jc w:val="right"/>
              <w:ind w:right="21"/>
              <w:spacing w:after="0"/>
              <w:rPr>
                <w:sz w:val="20"/>
                <w:szCs w:val="20"/>
                <w:color w:val="auto"/>
              </w:rPr>
            </w:pPr>
            <w:r>
              <w:rPr>
                <w:rFonts w:ascii="Arial" w:cs="Arial" w:eastAsia="Arial" w:hAnsi="Arial"/>
                <w:sz w:val="16"/>
                <w:szCs w:val="16"/>
                <w:color w:val="auto"/>
              </w:rPr>
              <w:t>3,463</w:t>
            </w:r>
          </w:p>
        </w:tc>
        <w:tc>
          <w:tcPr>
            <w:tcW w:w="100" w:type="dxa"/>
            <w:vAlign w:val="bottom"/>
            <w:shd w:val="clear" w:color="auto" w:fill="CCEEFF"/>
          </w:tcPr>
          <w:p>
            <w:pPr>
              <w:spacing w:after="0"/>
              <w:rPr>
                <w:sz w:val="23"/>
                <w:szCs w:val="23"/>
                <w:color w:val="auto"/>
              </w:rPr>
            </w:pPr>
          </w:p>
        </w:tc>
        <w:tc>
          <w:tcPr>
            <w:tcW w:w="4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680" w:type="dxa"/>
            <w:vAlign w:val="bottom"/>
            <w:shd w:val="clear" w:color="auto" w:fill="CCEEFF"/>
          </w:tcPr>
          <w:p>
            <w:pPr>
              <w:jc w:val="right"/>
              <w:ind w:right="21"/>
              <w:spacing w:after="0"/>
              <w:rPr>
                <w:sz w:val="20"/>
                <w:szCs w:val="20"/>
                <w:color w:val="auto"/>
              </w:rPr>
            </w:pPr>
            <w:r>
              <w:rPr>
                <w:rFonts w:ascii="Arial" w:cs="Arial" w:eastAsia="Arial" w:hAnsi="Arial"/>
                <w:sz w:val="16"/>
                <w:szCs w:val="16"/>
                <w:color w:val="auto"/>
              </w:rPr>
              <w:t>0.13</w:t>
            </w: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820" w:type="dxa"/>
            <w:vAlign w:val="bottom"/>
            <w:shd w:val="clear" w:color="auto" w:fill="CCEEFF"/>
          </w:tcPr>
          <w:p>
            <w:pPr>
              <w:jc w:val="right"/>
              <w:ind w:right="21"/>
              <w:spacing w:after="0"/>
              <w:rPr>
                <w:sz w:val="20"/>
                <w:szCs w:val="20"/>
                <w:color w:val="auto"/>
              </w:rPr>
            </w:pPr>
            <w:r>
              <w:rPr>
                <w:rFonts w:ascii="Arial" w:cs="Arial" w:eastAsia="Arial" w:hAnsi="Arial"/>
                <w:sz w:val="16"/>
                <w:szCs w:val="16"/>
                <w:color w:val="auto"/>
              </w:rPr>
              <w:t>997</w:t>
            </w:r>
          </w:p>
        </w:tc>
        <w:tc>
          <w:tcPr>
            <w:tcW w:w="10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680" w:type="dxa"/>
            <w:vAlign w:val="bottom"/>
            <w:shd w:val="clear" w:color="auto" w:fill="CCEEFF"/>
          </w:tcPr>
          <w:p>
            <w:pPr>
              <w:jc w:val="right"/>
              <w:ind w:right="21"/>
              <w:spacing w:after="0"/>
              <w:rPr>
                <w:sz w:val="20"/>
                <w:szCs w:val="20"/>
                <w:color w:val="auto"/>
              </w:rPr>
            </w:pPr>
            <w:r>
              <w:rPr>
                <w:rFonts w:ascii="Arial" w:cs="Arial" w:eastAsia="Arial" w:hAnsi="Arial"/>
                <w:sz w:val="16"/>
                <w:szCs w:val="16"/>
                <w:color w:val="auto"/>
              </w:rPr>
              <w:t>0.04</w:t>
            </w:r>
          </w:p>
        </w:tc>
        <w:tc>
          <w:tcPr>
            <w:tcW w:w="0" w:type="dxa"/>
            <w:vAlign w:val="bottom"/>
          </w:tcPr>
          <w:p>
            <w:pPr>
              <w:spacing w:after="0"/>
              <w:rPr>
                <w:sz w:val="1"/>
                <w:szCs w:val="1"/>
                <w:color w:val="auto"/>
              </w:rPr>
            </w:pPr>
          </w:p>
        </w:tc>
      </w:tr>
      <w:tr>
        <w:trPr>
          <w:trHeight w:val="270"/>
        </w:trPr>
        <w:tc>
          <w:tcPr>
            <w:tcW w:w="5040" w:type="dxa"/>
            <w:vAlign w:val="bottom"/>
          </w:tcPr>
          <w:p>
            <w:pPr>
              <w:ind w:left="180"/>
              <w:spacing w:after="0"/>
              <w:rPr>
                <w:sz w:val="20"/>
                <w:szCs w:val="20"/>
                <w:color w:val="auto"/>
              </w:rPr>
            </w:pPr>
            <w:r>
              <w:rPr>
                <w:rFonts w:ascii="Arial" w:cs="Arial" w:eastAsia="Arial" w:hAnsi="Arial"/>
                <w:sz w:val="16"/>
                <w:szCs w:val="16"/>
                <w:color w:val="auto"/>
              </w:rPr>
              <w:t>Lake Region Medical transaction costs (interest expense)</w:t>
            </w:r>
            <w:r>
              <w:rPr>
                <w:rFonts w:ascii="Arial" w:cs="Arial" w:eastAsia="Arial" w:hAnsi="Arial"/>
                <w:sz w:val="21"/>
                <w:szCs w:val="21"/>
                <w:color w:val="auto"/>
                <w:vertAlign w:val="superscript"/>
              </w:rPr>
              <w:t>(c)(h)</w:t>
            </w:r>
          </w:p>
        </w:tc>
        <w:tc>
          <w:tcPr>
            <w:tcW w:w="260" w:type="dxa"/>
            <w:vAlign w:val="bottom"/>
          </w:tcPr>
          <w:p>
            <w:pPr>
              <w:spacing w:after="0"/>
              <w:rPr>
                <w:sz w:val="23"/>
                <w:szCs w:val="23"/>
                <w:color w:val="auto"/>
              </w:rPr>
            </w:pPr>
          </w:p>
        </w:tc>
        <w:tc>
          <w:tcPr>
            <w:tcW w:w="780" w:type="dxa"/>
            <w:vAlign w:val="bottom"/>
          </w:tcPr>
          <w:p>
            <w:pPr>
              <w:jc w:val="right"/>
              <w:ind w:right="41"/>
              <w:spacing w:after="0"/>
              <w:rPr>
                <w:sz w:val="20"/>
                <w:szCs w:val="20"/>
                <w:color w:val="auto"/>
              </w:rPr>
            </w:pPr>
            <w:r>
              <w:rPr>
                <w:rFonts w:ascii="Arial" w:cs="Arial" w:eastAsia="Arial" w:hAnsi="Arial"/>
                <w:sz w:val="16"/>
                <w:szCs w:val="16"/>
                <w:color w:val="auto"/>
              </w:rPr>
              <w:t>6,151</w:t>
            </w:r>
          </w:p>
        </w:tc>
        <w:tc>
          <w:tcPr>
            <w:tcW w:w="1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720" w:type="dxa"/>
            <w:vAlign w:val="bottom"/>
          </w:tcPr>
          <w:p>
            <w:pPr>
              <w:jc w:val="right"/>
              <w:ind w:right="41"/>
              <w:spacing w:after="0"/>
              <w:rPr>
                <w:sz w:val="20"/>
                <w:szCs w:val="20"/>
                <w:color w:val="auto"/>
              </w:rPr>
            </w:pPr>
            <w:r>
              <w:rPr>
                <w:rFonts w:ascii="Arial" w:cs="Arial" w:eastAsia="Arial" w:hAnsi="Arial"/>
                <w:sz w:val="16"/>
                <w:szCs w:val="16"/>
                <w:color w:val="auto"/>
              </w:rPr>
              <w:t>0.23</w:t>
            </w:r>
          </w:p>
        </w:tc>
        <w:tc>
          <w:tcPr>
            <w:tcW w:w="1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980" w:type="dxa"/>
            <w:vAlign w:val="bottom"/>
            <w:gridSpan w:val="3"/>
          </w:tcPr>
          <w:p>
            <w:pPr>
              <w:jc w:val="right"/>
              <w:ind w:right="24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3"/>
                <w:szCs w:val="23"/>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3"/>
                <w:szCs w:val="23"/>
                <w:color w:val="auto"/>
              </w:rPr>
            </w:pPr>
          </w:p>
        </w:tc>
        <w:tc>
          <w:tcPr>
            <w:tcW w:w="9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680" w:type="dxa"/>
            <w:vAlign w:val="bottom"/>
          </w:tcPr>
          <w:p>
            <w:pPr>
              <w:jc w:val="right"/>
              <w:ind w:right="21"/>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20"/>
        </w:trPr>
        <w:tc>
          <w:tcPr>
            <w:tcW w:w="5040" w:type="dxa"/>
            <w:vAlign w:val="bottom"/>
            <w:shd w:val="clear" w:color="auto" w:fill="CCEEFF"/>
          </w:tcPr>
          <w:p>
            <w:pPr>
              <w:ind w:left="180"/>
              <w:spacing w:after="0"/>
              <w:rPr>
                <w:sz w:val="20"/>
                <w:szCs w:val="20"/>
                <w:color w:val="auto"/>
              </w:rPr>
            </w:pPr>
            <w:r>
              <w:rPr>
                <w:rFonts w:ascii="Arial" w:cs="Arial" w:eastAsia="Arial" w:hAnsi="Arial"/>
                <w:sz w:val="16"/>
                <w:szCs w:val="16"/>
                <w:color w:val="auto"/>
                <w:w w:val="97"/>
              </w:rPr>
              <w:t>(Gain) loss on cost and equity method investments, net (other income,</w:t>
            </w:r>
          </w:p>
        </w:tc>
        <w:tc>
          <w:tcPr>
            <w:tcW w:w="26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7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8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6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6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5040" w:type="dxa"/>
            <w:vAlign w:val="bottom"/>
            <w:shd w:val="clear" w:color="auto" w:fill="CCEEFF"/>
          </w:tcPr>
          <w:p>
            <w:pPr>
              <w:ind w:left="180"/>
              <w:spacing w:after="0" w:line="240" w:lineRule="exact"/>
              <w:rPr>
                <w:sz w:val="20"/>
                <w:szCs w:val="20"/>
                <w:color w:val="auto"/>
              </w:rPr>
            </w:pPr>
            <w:r>
              <w:rPr>
                <w:rFonts w:ascii="Arial" w:cs="Arial" w:eastAsia="Arial" w:hAnsi="Arial"/>
                <w:sz w:val="27"/>
                <w:szCs w:val="27"/>
                <w:color w:val="auto"/>
                <w:vertAlign w:val="subscript"/>
              </w:rPr>
              <w:t>net)</w:t>
            </w:r>
            <w:r>
              <w:rPr>
                <w:rFonts w:ascii="Arial" w:cs="Arial" w:eastAsia="Arial" w:hAnsi="Arial"/>
                <w:sz w:val="10"/>
                <w:szCs w:val="10"/>
                <w:color w:val="auto"/>
              </w:rPr>
              <w:t>(c)(i)</w:t>
            </w:r>
          </w:p>
        </w:tc>
        <w:tc>
          <w:tcPr>
            <w:tcW w:w="260" w:type="dxa"/>
            <w:vAlign w:val="bottom"/>
            <w:shd w:val="clear" w:color="auto" w:fill="CCEEFF"/>
          </w:tcPr>
          <w:p>
            <w:pPr>
              <w:spacing w:after="0"/>
              <w:rPr>
                <w:sz w:val="20"/>
                <w:szCs w:val="20"/>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(2,177)</w:t>
            </w:r>
          </w:p>
        </w:tc>
        <w:tc>
          <w:tcPr>
            <w:tcW w:w="12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(0.08)</w:t>
            </w:r>
          </w:p>
        </w:tc>
        <w:tc>
          <w:tcPr>
            <w:tcW w:w="12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(2,841)</w:t>
            </w:r>
          </w:p>
        </w:tc>
        <w:tc>
          <w:tcPr>
            <w:tcW w:w="100" w:type="dxa"/>
            <w:vAlign w:val="bottom"/>
            <w:shd w:val="clear" w:color="auto" w:fill="CCEEFF"/>
          </w:tcPr>
          <w:p>
            <w:pPr>
              <w:spacing w:after="0"/>
              <w:rPr>
                <w:sz w:val="20"/>
                <w:szCs w:val="20"/>
                <w:color w:val="auto"/>
              </w:rPr>
            </w:pPr>
          </w:p>
        </w:tc>
        <w:tc>
          <w:tcPr>
            <w:tcW w:w="4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(0.11)</w:t>
            </w:r>
          </w:p>
        </w:tc>
        <w:tc>
          <w:tcPr>
            <w:tcW w:w="10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820" w:type="dxa"/>
            <w:vAlign w:val="bottom"/>
            <w:shd w:val="clear" w:color="auto" w:fill="CCEEFF"/>
          </w:tcPr>
          <w:p>
            <w:pPr>
              <w:jc w:val="right"/>
              <w:ind w:right="21"/>
              <w:spacing w:after="0"/>
              <w:rPr>
                <w:sz w:val="20"/>
                <w:szCs w:val="20"/>
                <w:color w:val="auto"/>
              </w:rPr>
            </w:pPr>
            <w:r>
              <w:rPr>
                <w:rFonts w:ascii="Arial" w:cs="Arial" w:eastAsia="Arial" w:hAnsi="Arial"/>
                <w:sz w:val="16"/>
                <w:szCs w:val="16"/>
                <w:color w:val="auto"/>
              </w:rPr>
              <w:t>451</w:t>
            </w:r>
          </w:p>
        </w:tc>
        <w:tc>
          <w:tcPr>
            <w:tcW w:w="10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680" w:type="dxa"/>
            <w:vAlign w:val="bottom"/>
            <w:shd w:val="clear" w:color="auto" w:fill="CCEEFF"/>
          </w:tcPr>
          <w:p>
            <w:pPr>
              <w:jc w:val="right"/>
              <w:ind w:right="21"/>
              <w:spacing w:after="0"/>
              <w:rPr>
                <w:sz w:val="20"/>
                <w:szCs w:val="20"/>
                <w:color w:val="auto"/>
              </w:rPr>
            </w:pPr>
            <w:r>
              <w:rPr>
                <w:rFonts w:ascii="Arial" w:cs="Arial" w:eastAsia="Arial" w:hAnsi="Arial"/>
                <w:sz w:val="16"/>
                <w:szCs w:val="16"/>
                <w:color w:val="auto"/>
              </w:rPr>
              <w:t>0.02</w:t>
            </w:r>
          </w:p>
        </w:tc>
        <w:tc>
          <w:tcPr>
            <w:tcW w:w="0" w:type="dxa"/>
            <w:vAlign w:val="bottom"/>
          </w:tcPr>
          <w:p>
            <w:pPr>
              <w:spacing w:after="0"/>
              <w:rPr>
                <w:sz w:val="1"/>
                <w:szCs w:val="1"/>
                <w:color w:val="auto"/>
              </w:rPr>
            </w:pPr>
          </w:p>
        </w:tc>
      </w:tr>
      <w:tr>
        <w:trPr>
          <w:trHeight w:val="220"/>
        </w:trPr>
        <w:tc>
          <w:tcPr>
            <w:tcW w:w="5040" w:type="dxa"/>
            <w:vAlign w:val="bottom"/>
          </w:tcPr>
          <w:p>
            <w:pPr>
              <w:ind w:left="180"/>
              <w:spacing w:after="0"/>
              <w:rPr>
                <w:sz w:val="20"/>
                <w:szCs w:val="20"/>
                <w:color w:val="auto"/>
              </w:rPr>
            </w:pPr>
            <w:r>
              <w:rPr>
                <w:rFonts w:ascii="Arial" w:cs="Arial" w:eastAsia="Arial" w:hAnsi="Arial"/>
                <w:sz w:val="16"/>
                <w:szCs w:val="16"/>
                <w:color w:val="auto"/>
              </w:rPr>
              <w:t>CSN conversion option discount and deferred fee acceleration</w:t>
            </w:r>
          </w:p>
        </w:tc>
        <w:tc>
          <w:tcPr>
            <w:tcW w:w="2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5040" w:type="dxa"/>
            <w:vAlign w:val="bottom"/>
          </w:tcPr>
          <w:p>
            <w:pPr>
              <w:ind w:left="180"/>
              <w:spacing w:after="0" w:line="239" w:lineRule="exact"/>
              <w:rPr>
                <w:sz w:val="20"/>
                <w:szCs w:val="20"/>
                <w:color w:val="auto"/>
              </w:rPr>
            </w:pPr>
            <w:r>
              <w:rPr>
                <w:rFonts w:ascii="Arial" w:cs="Arial" w:eastAsia="Arial" w:hAnsi="Arial"/>
                <w:sz w:val="16"/>
                <w:szCs w:val="16"/>
                <w:color w:val="auto"/>
              </w:rPr>
              <w:t>amortization</w:t>
            </w:r>
            <w:r>
              <w:rPr>
                <w:rFonts w:ascii="Arial" w:cs="Arial" w:eastAsia="Arial" w:hAnsi="Arial"/>
                <w:sz w:val="21"/>
                <w:szCs w:val="21"/>
                <w:color w:val="auto"/>
                <w:vertAlign w:val="superscript"/>
              </w:rPr>
              <w:t>(c)</w:t>
            </w:r>
          </w:p>
        </w:tc>
        <w:tc>
          <w:tcPr>
            <w:tcW w:w="260" w:type="dxa"/>
            <w:vAlign w:val="bottom"/>
          </w:tcPr>
          <w:p>
            <w:pPr>
              <w:spacing w:after="0"/>
              <w:rPr>
                <w:sz w:val="20"/>
                <w:szCs w:val="20"/>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0"/>
                <w:szCs w:val="20"/>
                <w:color w:val="auto"/>
              </w:rPr>
            </w:pPr>
          </w:p>
        </w:tc>
        <w:tc>
          <w:tcPr>
            <w:tcW w:w="84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0"/>
                <w:szCs w:val="20"/>
                <w:color w:val="auto"/>
              </w:rPr>
            </w:pPr>
          </w:p>
        </w:tc>
        <w:tc>
          <w:tcPr>
            <w:tcW w:w="980" w:type="dxa"/>
            <w:vAlign w:val="bottom"/>
            <w:gridSpan w:val="3"/>
          </w:tcPr>
          <w:p>
            <w:pPr>
              <w:jc w:val="right"/>
              <w:ind w:right="24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0"/>
                <w:szCs w:val="20"/>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0"/>
                <w:szCs w:val="20"/>
                <w:color w:val="auto"/>
              </w:rPr>
            </w:pPr>
          </w:p>
        </w:tc>
        <w:tc>
          <w:tcPr>
            <w:tcW w:w="820" w:type="dxa"/>
            <w:vAlign w:val="bottom"/>
          </w:tcPr>
          <w:p>
            <w:pPr>
              <w:jc w:val="right"/>
              <w:ind w:right="21"/>
              <w:spacing w:after="0"/>
              <w:rPr>
                <w:sz w:val="20"/>
                <w:szCs w:val="20"/>
                <w:color w:val="auto"/>
              </w:rPr>
            </w:pPr>
            <w:r>
              <w:rPr>
                <w:rFonts w:ascii="Arial" w:cs="Arial" w:eastAsia="Arial" w:hAnsi="Arial"/>
                <w:sz w:val="16"/>
                <w:szCs w:val="16"/>
                <w:color w:val="auto"/>
              </w:rPr>
              <w:t>3,007</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80" w:type="dxa"/>
            <w:vAlign w:val="bottom"/>
          </w:tcPr>
          <w:p>
            <w:pPr>
              <w:jc w:val="right"/>
              <w:ind w:right="21"/>
              <w:spacing w:after="0"/>
              <w:rPr>
                <w:sz w:val="20"/>
                <w:szCs w:val="20"/>
                <w:color w:val="auto"/>
              </w:rPr>
            </w:pPr>
            <w:r>
              <w:rPr>
                <w:rFonts w:ascii="Arial" w:cs="Arial" w:eastAsia="Arial" w:hAnsi="Arial"/>
                <w:sz w:val="16"/>
                <w:szCs w:val="16"/>
                <w:color w:val="auto"/>
              </w:rPr>
              <w:t>0.12</w:t>
            </w:r>
          </w:p>
        </w:tc>
        <w:tc>
          <w:tcPr>
            <w:tcW w:w="0" w:type="dxa"/>
            <w:vAlign w:val="bottom"/>
          </w:tcPr>
          <w:p>
            <w:pPr>
              <w:spacing w:after="0"/>
              <w:rPr>
                <w:sz w:val="1"/>
                <w:szCs w:val="1"/>
                <w:color w:val="auto"/>
              </w:rPr>
            </w:pPr>
          </w:p>
        </w:tc>
      </w:tr>
      <w:tr>
        <w:trPr>
          <w:trHeight w:val="270"/>
        </w:trPr>
        <w:tc>
          <w:tcPr>
            <w:tcW w:w="5040" w:type="dxa"/>
            <w:vAlign w:val="bottom"/>
            <w:shd w:val="clear" w:color="auto" w:fill="CCEEFF"/>
          </w:tcPr>
          <w:p>
            <w:pPr>
              <w:ind w:left="180"/>
              <w:spacing w:after="0"/>
              <w:rPr>
                <w:sz w:val="20"/>
                <w:szCs w:val="20"/>
                <w:color w:val="auto"/>
              </w:rPr>
            </w:pPr>
            <w:r>
              <w:rPr>
                <w:rFonts w:ascii="Arial" w:cs="Arial" w:eastAsia="Arial" w:hAnsi="Arial"/>
                <w:sz w:val="16"/>
                <w:szCs w:val="16"/>
                <w:color w:val="auto"/>
              </w:rPr>
              <w:t>R&amp;D Tax Credit</w:t>
            </w:r>
            <w:r>
              <w:rPr>
                <w:rFonts w:ascii="Arial" w:cs="Arial" w:eastAsia="Arial" w:hAnsi="Arial"/>
                <w:sz w:val="21"/>
                <w:szCs w:val="21"/>
                <w:color w:val="auto"/>
                <w:vertAlign w:val="superscript"/>
              </w:rPr>
              <w:t>(j)</w:t>
            </w:r>
          </w:p>
        </w:tc>
        <w:tc>
          <w:tcPr>
            <w:tcW w:w="26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auto"/>
            </w:tcBorders>
            <w:shd w:val="clear" w:color="auto" w:fill="CCEEFF"/>
          </w:tcPr>
          <w:p>
            <w:pPr>
              <w:spacing w:after="0"/>
              <w:rPr>
                <w:sz w:val="23"/>
                <w:szCs w:val="23"/>
                <w:color w:val="auto"/>
              </w:rPr>
            </w:pPr>
          </w:p>
        </w:tc>
        <w:tc>
          <w:tcPr>
            <w:tcW w:w="840" w:type="dxa"/>
            <w:vAlign w:val="bottom"/>
            <w:tcBorders>
              <w:bottom w:val="single" w:sz="8" w:color="auto"/>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auto"/>
            </w:tcBorders>
            <w:shd w:val="clear" w:color="auto" w:fill="CCEEFF"/>
          </w:tcPr>
          <w:p>
            <w:pPr>
              <w:spacing w:after="0"/>
              <w:rPr>
                <w:sz w:val="23"/>
                <w:szCs w:val="23"/>
                <w:color w:val="auto"/>
              </w:rPr>
            </w:pPr>
          </w:p>
        </w:tc>
        <w:tc>
          <w:tcPr>
            <w:tcW w:w="980" w:type="dxa"/>
            <w:vAlign w:val="bottom"/>
            <w:tcBorders>
              <w:bottom w:val="single" w:sz="8" w:color="auto"/>
            </w:tcBorders>
            <w:gridSpan w:val="3"/>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auto"/>
            </w:tcBorders>
            <w:shd w:val="clear" w:color="auto" w:fill="CCEEFF"/>
          </w:tcPr>
          <w:p>
            <w:pPr>
              <w:spacing w:after="0"/>
              <w:rPr>
                <w:sz w:val="23"/>
                <w:szCs w:val="23"/>
                <w:color w:val="auto"/>
              </w:rPr>
            </w:pPr>
          </w:p>
        </w:tc>
        <w:tc>
          <w:tcPr>
            <w:tcW w:w="780" w:type="dxa"/>
            <w:vAlign w:val="bottom"/>
            <w:tcBorders>
              <w:bottom w:val="single" w:sz="8" w:color="auto"/>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(1,600)</w:t>
            </w:r>
          </w:p>
        </w:tc>
        <w:tc>
          <w:tcPr>
            <w:tcW w:w="100" w:type="dxa"/>
            <w:vAlign w:val="bottom"/>
            <w:tcBorders>
              <w:bottom w:val="single" w:sz="8" w:color="auto"/>
            </w:tcBorders>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(0.06)</w:t>
            </w:r>
          </w:p>
        </w:tc>
        <w:tc>
          <w:tcPr>
            <w:tcW w:w="0" w:type="dxa"/>
            <w:vAlign w:val="bottom"/>
          </w:tcPr>
          <w:p>
            <w:pPr>
              <w:spacing w:after="0"/>
              <w:rPr>
                <w:sz w:val="1"/>
                <w:szCs w:val="1"/>
                <w:color w:val="auto"/>
              </w:rPr>
            </w:pPr>
          </w:p>
        </w:tc>
      </w:tr>
      <w:tr>
        <w:trPr>
          <w:trHeight w:val="304"/>
        </w:trPr>
        <w:tc>
          <w:tcPr>
            <w:tcW w:w="5040" w:type="dxa"/>
            <w:vAlign w:val="bottom"/>
            <w:tcBorders>
              <w:bottom w:val="single" w:sz="8" w:color="CCEEFF"/>
            </w:tcBorders>
          </w:tcPr>
          <w:p>
            <w:pPr>
              <w:ind w:left="180"/>
              <w:spacing w:after="0"/>
              <w:rPr>
                <w:sz w:val="20"/>
                <w:szCs w:val="20"/>
                <w:color w:val="auto"/>
              </w:rPr>
            </w:pPr>
            <w:r>
              <w:rPr>
                <w:rFonts w:ascii="Arial" w:cs="Arial" w:eastAsia="Arial" w:hAnsi="Arial"/>
                <w:sz w:val="16"/>
                <w:szCs w:val="16"/>
                <w:color w:val="auto"/>
              </w:rPr>
              <w:t>Adjusted net income and diluted EPS</w:t>
            </w:r>
            <w:r>
              <w:rPr>
                <w:rFonts w:ascii="Arial" w:cs="Arial" w:eastAsia="Arial" w:hAnsi="Arial"/>
                <w:sz w:val="21"/>
                <w:szCs w:val="21"/>
                <w:color w:val="auto"/>
                <w:vertAlign w:val="superscript"/>
              </w:rPr>
              <w:t>(k)</w:t>
            </w:r>
          </w:p>
        </w:tc>
        <w:tc>
          <w:tcPr>
            <w:tcW w:w="260" w:type="dxa"/>
            <w:vAlign w:val="bottom"/>
            <w:tcBorders>
              <w:bottom w:val="single" w:sz="8" w:color="auto"/>
            </w:tcBorders>
          </w:tcPr>
          <w:p>
            <w:pPr>
              <w:jc w:val="right"/>
              <w:ind w:right="82"/>
              <w:spacing w:after="0"/>
              <w:rPr>
                <w:sz w:val="20"/>
                <w:szCs w:val="20"/>
                <w:color w:val="auto"/>
              </w:rPr>
            </w:pPr>
            <w:r>
              <w:rPr>
                <w:rFonts w:ascii="Arial" w:cs="Arial" w:eastAsia="Arial" w:hAnsi="Arial"/>
                <w:sz w:val="16"/>
                <w:szCs w:val="16"/>
                <w:color w:val="auto"/>
                <w:w w:val="89"/>
              </w:rPr>
              <w:t>$</w:t>
            </w:r>
          </w:p>
        </w:tc>
        <w:tc>
          <w:tcPr>
            <w:tcW w:w="780" w:type="dxa"/>
            <w:vAlign w:val="bottom"/>
            <w:tcBorders>
              <w:bottom w:val="single" w:sz="8" w:color="auto"/>
            </w:tcBorders>
          </w:tcPr>
          <w:p>
            <w:pPr>
              <w:jc w:val="right"/>
              <w:ind w:right="41"/>
              <w:spacing w:after="0"/>
              <w:rPr>
                <w:sz w:val="20"/>
                <w:szCs w:val="20"/>
                <w:color w:val="auto"/>
              </w:rPr>
            </w:pPr>
            <w:r>
              <w:rPr>
                <w:rFonts w:ascii="Arial" w:cs="Arial" w:eastAsia="Arial" w:hAnsi="Arial"/>
                <w:sz w:val="16"/>
                <w:szCs w:val="16"/>
                <w:color w:val="auto"/>
              </w:rPr>
              <w:t>79,271</w:t>
            </w:r>
          </w:p>
        </w:tc>
        <w:tc>
          <w:tcPr>
            <w:tcW w:w="1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720" w:type="dxa"/>
            <w:vAlign w:val="bottom"/>
            <w:tcBorders>
              <w:bottom w:val="single" w:sz="8" w:color="auto"/>
            </w:tcBorders>
          </w:tcPr>
          <w:p>
            <w:pPr>
              <w:jc w:val="right"/>
              <w:ind w:right="41"/>
              <w:spacing w:after="0"/>
              <w:rPr>
                <w:sz w:val="20"/>
                <w:szCs w:val="20"/>
                <w:color w:val="auto"/>
              </w:rPr>
            </w:pPr>
            <w:r>
              <w:rPr>
                <w:rFonts w:ascii="Arial" w:cs="Arial" w:eastAsia="Arial" w:hAnsi="Arial"/>
                <w:sz w:val="16"/>
                <w:szCs w:val="16"/>
                <w:color w:val="auto"/>
              </w:rPr>
              <w:t>2.90</w:t>
            </w:r>
          </w:p>
        </w:tc>
        <w:tc>
          <w:tcPr>
            <w:tcW w:w="1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w w:val="89"/>
              </w:rPr>
              <w:t>$</w:t>
            </w:r>
          </w:p>
        </w:tc>
        <w:tc>
          <w:tcPr>
            <w:tcW w:w="840" w:type="dxa"/>
            <w:vAlign w:val="bottom"/>
            <w:tcBorders>
              <w:bottom w:val="single" w:sz="8" w:color="auto"/>
            </w:tcBorders>
          </w:tcPr>
          <w:p>
            <w:pPr>
              <w:jc w:val="right"/>
              <w:ind w:right="21"/>
              <w:spacing w:after="0"/>
              <w:rPr>
                <w:sz w:val="20"/>
                <w:szCs w:val="20"/>
                <w:color w:val="auto"/>
              </w:rPr>
            </w:pPr>
            <w:r>
              <w:rPr>
                <w:rFonts w:ascii="Arial" w:cs="Arial" w:eastAsia="Arial" w:hAnsi="Arial"/>
                <w:sz w:val="16"/>
                <w:szCs w:val="16"/>
                <w:color w:val="auto"/>
              </w:rPr>
              <w:t>74,166</w:t>
            </w:r>
          </w:p>
        </w:tc>
        <w:tc>
          <w:tcPr>
            <w:tcW w:w="1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jc w:val="right"/>
              <w:ind w:right="24"/>
              <w:spacing w:after="0"/>
              <w:rPr>
                <w:sz w:val="20"/>
                <w:szCs w:val="20"/>
                <w:color w:val="auto"/>
              </w:rPr>
            </w:pPr>
            <w:r>
              <w:rPr>
                <w:rFonts w:ascii="Arial" w:cs="Arial" w:eastAsia="Arial" w:hAnsi="Arial"/>
                <w:sz w:val="15"/>
                <w:szCs w:val="15"/>
                <w:color w:val="auto"/>
                <w:w w:val="71"/>
              </w:rPr>
              <w:t>$</w:t>
            </w:r>
          </w:p>
        </w:tc>
        <w:tc>
          <w:tcPr>
            <w:tcW w:w="680" w:type="dxa"/>
            <w:vAlign w:val="bottom"/>
            <w:tcBorders>
              <w:bottom w:val="single" w:sz="8" w:color="auto"/>
            </w:tcBorders>
          </w:tcPr>
          <w:p>
            <w:pPr>
              <w:jc w:val="right"/>
              <w:ind w:right="21"/>
              <w:spacing w:after="0"/>
              <w:rPr>
                <w:sz w:val="20"/>
                <w:szCs w:val="20"/>
                <w:color w:val="auto"/>
              </w:rPr>
            </w:pPr>
            <w:r>
              <w:rPr>
                <w:rFonts w:ascii="Arial" w:cs="Arial" w:eastAsia="Arial" w:hAnsi="Arial"/>
                <w:sz w:val="16"/>
                <w:szCs w:val="16"/>
                <w:color w:val="auto"/>
              </w:rPr>
              <w:t>2.86</w:t>
            </w:r>
          </w:p>
        </w:tc>
        <w:tc>
          <w:tcPr>
            <w:tcW w:w="10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20" w:type="dxa"/>
            <w:vAlign w:val="bottom"/>
            <w:tcBorders>
              <w:bottom w:val="single" w:sz="8" w:color="auto"/>
            </w:tcBorders>
          </w:tcPr>
          <w:p>
            <w:pPr>
              <w:jc w:val="right"/>
              <w:ind w:right="21"/>
              <w:spacing w:after="0"/>
              <w:rPr>
                <w:sz w:val="20"/>
                <w:szCs w:val="20"/>
                <w:color w:val="auto"/>
              </w:rPr>
            </w:pPr>
            <w:r>
              <w:rPr>
                <w:rFonts w:ascii="Arial" w:cs="Arial" w:eastAsia="Arial" w:hAnsi="Arial"/>
                <w:sz w:val="16"/>
                <w:szCs w:val="16"/>
                <w:color w:val="auto"/>
              </w:rPr>
              <w:t>62,447</w:t>
            </w: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680" w:type="dxa"/>
            <w:vAlign w:val="bottom"/>
            <w:tcBorders>
              <w:bottom w:val="single" w:sz="8" w:color="auto"/>
            </w:tcBorders>
          </w:tcPr>
          <w:p>
            <w:pPr>
              <w:jc w:val="right"/>
              <w:ind w:right="21"/>
              <w:spacing w:after="0"/>
              <w:rPr>
                <w:sz w:val="20"/>
                <w:szCs w:val="20"/>
                <w:color w:val="auto"/>
              </w:rPr>
            </w:pPr>
            <w:r>
              <w:rPr>
                <w:rFonts w:ascii="Arial" w:cs="Arial" w:eastAsia="Arial" w:hAnsi="Arial"/>
                <w:sz w:val="16"/>
                <w:szCs w:val="16"/>
                <w:color w:val="auto"/>
              </w:rPr>
              <w:t>2.47</w:t>
            </w:r>
          </w:p>
        </w:tc>
        <w:tc>
          <w:tcPr>
            <w:tcW w:w="0" w:type="dxa"/>
            <w:vAlign w:val="bottom"/>
          </w:tcPr>
          <w:p>
            <w:pPr>
              <w:spacing w:after="0"/>
              <w:rPr>
                <w:sz w:val="1"/>
                <w:szCs w:val="1"/>
                <w:color w:val="auto"/>
              </w:rPr>
            </w:pPr>
          </w:p>
        </w:tc>
      </w:tr>
      <w:tr>
        <w:trPr>
          <w:trHeight w:val="251"/>
        </w:trPr>
        <w:tc>
          <w:tcPr>
            <w:tcW w:w="5040" w:type="dxa"/>
            <w:vAlign w:val="bottom"/>
            <w:shd w:val="clear" w:color="auto" w:fill="CCEEFF"/>
          </w:tcPr>
          <w:p>
            <w:pPr>
              <w:ind w:left="180"/>
              <w:spacing w:after="0"/>
              <w:rPr>
                <w:sz w:val="20"/>
                <w:szCs w:val="20"/>
                <w:color w:val="auto"/>
              </w:rPr>
            </w:pPr>
            <w:r>
              <w:rPr>
                <w:rFonts w:ascii="Arial" w:cs="Arial" w:eastAsia="Arial" w:hAnsi="Arial"/>
                <w:sz w:val="16"/>
                <w:szCs w:val="16"/>
                <w:color w:val="auto"/>
              </w:rPr>
              <w:t>Adjusted diluted weighted average shares</w:t>
            </w:r>
            <w:r>
              <w:rPr>
                <w:rFonts w:ascii="Arial" w:cs="Arial" w:eastAsia="Arial" w:hAnsi="Arial"/>
                <w:sz w:val="21"/>
                <w:szCs w:val="21"/>
                <w:color w:val="auto"/>
                <w:vertAlign w:val="superscript"/>
              </w:rPr>
              <w:t>(l)</w:t>
            </w:r>
          </w:p>
        </w:tc>
        <w:tc>
          <w:tcPr>
            <w:tcW w:w="260" w:type="dxa"/>
            <w:vAlign w:val="bottom"/>
            <w:shd w:val="clear" w:color="auto" w:fill="CCEEFF"/>
          </w:tcPr>
          <w:p>
            <w:pPr>
              <w:spacing w:after="0"/>
              <w:rPr>
                <w:sz w:val="21"/>
                <w:szCs w:val="21"/>
                <w:color w:val="auto"/>
              </w:rPr>
            </w:pPr>
          </w:p>
        </w:tc>
        <w:tc>
          <w:tcPr>
            <w:tcW w:w="780" w:type="dxa"/>
            <w:vAlign w:val="bottom"/>
            <w:shd w:val="clear" w:color="auto" w:fill="CCEEFF"/>
          </w:tcPr>
          <w:p>
            <w:pPr>
              <w:jc w:val="right"/>
              <w:ind w:right="41"/>
              <w:spacing w:after="0"/>
              <w:rPr>
                <w:sz w:val="20"/>
                <w:szCs w:val="20"/>
                <w:color w:val="auto"/>
              </w:rPr>
            </w:pPr>
            <w:r>
              <w:rPr>
                <w:rFonts w:ascii="Arial" w:cs="Arial" w:eastAsia="Arial" w:hAnsi="Arial"/>
                <w:sz w:val="16"/>
                <w:szCs w:val="16"/>
                <w:color w:val="auto"/>
              </w:rPr>
              <w:t>27,304</w:t>
            </w:r>
          </w:p>
        </w:tc>
        <w:tc>
          <w:tcPr>
            <w:tcW w:w="12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72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840" w:type="dxa"/>
            <w:vAlign w:val="bottom"/>
            <w:shd w:val="clear" w:color="auto" w:fill="CCEEFF"/>
          </w:tcPr>
          <w:p>
            <w:pPr>
              <w:jc w:val="right"/>
              <w:ind w:right="21"/>
              <w:spacing w:after="0"/>
              <w:rPr>
                <w:sz w:val="20"/>
                <w:szCs w:val="20"/>
                <w:color w:val="auto"/>
              </w:rPr>
            </w:pPr>
            <w:r>
              <w:rPr>
                <w:rFonts w:ascii="Arial" w:cs="Arial" w:eastAsia="Arial" w:hAnsi="Arial"/>
                <w:sz w:val="16"/>
                <w:szCs w:val="16"/>
                <w:color w:val="auto"/>
              </w:rPr>
              <w:t>25,975</w:t>
            </w:r>
          </w:p>
        </w:tc>
        <w:tc>
          <w:tcPr>
            <w:tcW w:w="100" w:type="dxa"/>
            <w:vAlign w:val="bottom"/>
            <w:shd w:val="clear" w:color="auto" w:fill="CCEEFF"/>
          </w:tcPr>
          <w:p>
            <w:pPr>
              <w:spacing w:after="0"/>
              <w:rPr>
                <w:sz w:val="21"/>
                <w:szCs w:val="21"/>
                <w:color w:val="auto"/>
              </w:rPr>
            </w:pPr>
          </w:p>
        </w:tc>
        <w:tc>
          <w:tcPr>
            <w:tcW w:w="40" w:type="dxa"/>
            <w:vAlign w:val="bottom"/>
            <w:shd w:val="clear" w:color="auto" w:fill="CCEEFF"/>
          </w:tcPr>
          <w:p>
            <w:pPr>
              <w:spacing w:after="0"/>
              <w:rPr>
                <w:sz w:val="21"/>
                <w:szCs w:val="21"/>
                <w:color w:val="auto"/>
              </w:rPr>
            </w:pPr>
          </w:p>
        </w:tc>
        <w:tc>
          <w:tcPr>
            <w:tcW w:w="180" w:type="dxa"/>
            <w:vAlign w:val="bottom"/>
            <w:shd w:val="clear" w:color="auto" w:fill="CCEEFF"/>
          </w:tcPr>
          <w:p>
            <w:pPr>
              <w:spacing w:after="0"/>
              <w:rPr>
                <w:sz w:val="21"/>
                <w:szCs w:val="21"/>
                <w:color w:val="auto"/>
              </w:rPr>
            </w:pPr>
          </w:p>
        </w:tc>
        <w:tc>
          <w:tcPr>
            <w:tcW w:w="68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820" w:type="dxa"/>
            <w:vAlign w:val="bottom"/>
            <w:shd w:val="clear" w:color="auto" w:fill="CCEEFF"/>
          </w:tcPr>
          <w:p>
            <w:pPr>
              <w:jc w:val="right"/>
              <w:ind w:right="21"/>
              <w:spacing w:after="0"/>
              <w:rPr>
                <w:sz w:val="20"/>
                <w:szCs w:val="20"/>
                <w:color w:val="auto"/>
              </w:rPr>
            </w:pPr>
            <w:r>
              <w:rPr>
                <w:rFonts w:ascii="Arial" w:cs="Arial" w:eastAsia="Arial" w:hAnsi="Arial"/>
                <w:sz w:val="16"/>
                <w:szCs w:val="16"/>
                <w:color w:val="auto"/>
              </w:rPr>
              <w:t>25,323</w:t>
            </w:r>
          </w:p>
        </w:tc>
        <w:tc>
          <w:tcPr>
            <w:tcW w:w="10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68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bl>
    <w:p>
      <w:pPr>
        <w:spacing w:after="0" w:line="94" w:lineRule="exact"/>
        <w:rPr>
          <w:sz w:val="20"/>
          <w:szCs w:val="20"/>
          <w:color w:val="auto"/>
        </w:rPr>
      </w:pPr>
    </w:p>
    <w:p>
      <w:pPr>
        <w:ind w:left="340" w:right="160" w:hanging="332"/>
        <w:spacing w:after="0" w:line="312" w:lineRule="auto"/>
        <w:tabs>
          <w:tab w:leader="none" w:pos="340" w:val="left"/>
        </w:tabs>
        <w:numPr>
          <w:ilvl w:val="0"/>
          <w:numId w:val="18"/>
        </w:numPr>
        <w:rPr>
          <w:rFonts w:ascii="Arial" w:cs="Arial" w:eastAsia="Arial" w:hAnsi="Arial"/>
          <w:sz w:val="16"/>
          <w:szCs w:val="16"/>
          <w:color w:val="auto"/>
        </w:rPr>
      </w:pPr>
      <w:r>
        <w:rPr>
          <w:rFonts w:ascii="Arial" w:cs="Arial" w:eastAsia="Arial" w:hAnsi="Arial"/>
          <w:sz w:val="16"/>
          <w:szCs w:val="16"/>
          <w:color w:val="auto"/>
        </w:rPr>
        <w:t>Given our acquisition of Lake Region Medical in the fourth quarter of 2015 and in order to present our financial results in a form more comparable to other medical device companies and less acquisitive companies, we began excluding intangible asset amortization for purposes of calculating adjusted net income and adjusted diluted EPS. Prior period adjusted amounts have been recalculated to exclude intangible amortization for all periods presented.</w:t>
      </w:r>
    </w:p>
    <w:p>
      <w:pPr>
        <w:spacing w:after="0" w:line="146" w:lineRule="exact"/>
        <w:rPr>
          <w:rFonts w:ascii="Arial" w:cs="Arial" w:eastAsia="Arial" w:hAnsi="Arial"/>
          <w:sz w:val="16"/>
          <w:szCs w:val="16"/>
          <w:color w:val="auto"/>
        </w:rPr>
      </w:pPr>
    </w:p>
    <w:p>
      <w:pPr>
        <w:ind w:left="340" w:right="60" w:hanging="332"/>
        <w:spacing w:after="0" w:line="302" w:lineRule="auto"/>
        <w:tabs>
          <w:tab w:leader="none" w:pos="340" w:val="left"/>
        </w:tabs>
        <w:numPr>
          <w:ilvl w:val="0"/>
          <w:numId w:val="18"/>
        </w:numPr>
        <w:rPr>
          <w:rFonts w:ascii="Arial" w:cs="Arial" w:eastAsia="Arial" w:hAnsi="Arial"/>
          <w:sz w:val="16"/>
          <w:szCs w:val="16"/>
          <w:color w:val="auto"/>
        </w:rPr>
      </w:pPr>
      <w:r>
        <w:rPr>
          <w:rFonts w:ascii="Arial" w:cs="Arial" w:eastAsia="Arial" w:hAnsi="Arial"/>
          <w:sz w:val="16"/>
          <w:szCs w:val="16"/>
          <w:color w:val="auto"/>
        </w:rPr>
        <w:t>In 2013, we filed suit against AVX Corporation alleging they were infringing on our intellectual property. Given the complexity and significant costs incurred pursuing this litigation, during the second quarter of 2015, we began excluding these litigation expenses from adjusted amounts. Total costs incurred in connection with this litigation in 2015 was $4.4 million pre-tax. This matter proceeded to trial during the first quarter of 2016 and a federal jury awarded Greatbatch $37.5 million in damages. Prior period adjusted amounts have been recalculated to exclude these costs for all periods presented.</w:t>
      </w:r>
    </w:p>
    <w:p>
      <w:pPr>
        <w:spacing w:after="0" w:line="154" w:lineRule="exact"/>
        <w:rPr>
          <w:rFonts w:ascii="Arial" w:cs="Arial" w:eastAsia="Arial" w:hAnsi="Arial"/>
          <w:sz w:val="16"/>
          <w:szCs w:val="16"/>
          <w:color w:val="auto"/>
        </w:rPr>
      </w:pPr>
    </w:p>
    <w:p>
      <w:pPr>
        <w:ind w:left="340" w:right="200" w:hanging="332"/>
        <w:spacing w:after="0" w:line="277" w:lineRule="auto"/>
        <w:tabs>
          <w:tab w:leader="none" w:pos="340" w:val="left"/>
        </w:tabs>
        <w:numPr>
          <w:ilvl w:val="0"/>
          <w:numId w:val="18"/>
        </w:numPr>
        <w:rPr>
          <w:rFonts w:ascii="Arial" w:cs="Arial" w:eastAsia="Arial" w:hAnsi="Arial"/>
          <w:sz w:val="18"/>
          <w:szCs w:val="18"/>
          <w:color w:val="auto"/>
        </w:rPr>
      </w:pPr>
      <w:r>
        <w:rPr>
          <w:rFonts w:ascii="Arial" w:cs="Arial" w:eastAsia="Arial" w:hAnsi="Arial"/>
          <w:sz w:val="18"/>
          <w:szCs w:val="18"/>
          <w:color w:val="auto"/>
        </w:rPr>
        <w:t>Net of tax amounts computed using a 35% U.S., Mexico, and France statutory tax rate, a 25% Uruguay statutory tax rate, and a 12.5% Ireland statutory tax rate. Expenses that are not deductible for tax purposes (i.e. permanent tax differences) are added back at 100%.</w:t>
      </w:r>
    </w:p>
    <w:p>
      <w:pPr>
        <w:spacing w:after="0" w:line="170" w:lineRule="exact"/>
        <w:rPr>
          <w:rFonts w:ascii="Arial" w:cs="Arial" w:eastAsia="Arial" w:hAnsi="Arial"/>
          <w:sz w:val="18"/>
          <w:szCs w:val="18"/>
          <w:color w:val="auto"/>
        </w:rPr>
      </w:pPr>
    </w:p>
    <w:p>
      <w:pPr>
        <w:ind w:left="340" w:right="80" w:hanging="332"/>
        <w:spacing w:after="0" w:line="277" w:lineRule="auto"/>
        <w:tabs>
          <w:tab w:leader="none" w:pos="340" w:val="left"/>
        </w:tabs>
        <w:numPr>
          <w:ilvl w:val="0"/>
          <w:numId w:val="18"/>
        </w:numPr>
        <w:rPr>
          <w:rFonts w:ascii="Arial" w:cs="Arial" w:eastAsia="Arial" w:hAnsi="Arial"/>
          <w:sz w:val="18"/>
          <w:szCs w:val="18"/>
          <w:color w:val="auto"/>
        </w:rPr>
      </w:pPr>
      <w:r>
        <w:rPr>
          <w:rFonts w:ascii="Arial" w:cs="Arial" w:eastAsia="Arial" w:hAnsi="Arial"/>
          <w:sz w:val="18"/>
          <w:szCs w:val="18"/>
          <w:color w:val="auto"/>
        </w:rPr>
        <w:t>As a result of our premarket approval (“PMA”) submission to the Food and Drug Administration (“FDA”) for Algovita in December 2013, we no longer exclude DVT costs associated with this system from adjusted operating income and adjusted diluted EPS.</w:t>
      </w:r>
    </w:p>
    <w:p>
      <w:pPr>
        <w:spacing w:after="0" w:line="170" w:lineRule="exact"/>
        <w:rPr>
          <w:rFonts w:ascii="Arial" w:cs="Arial" w:eastAsia="Arial" w:hAnsi="Arial"/>
          <w:sz w:val="18"/>
          <w:szCs w:val="18"/>
          <w:color w:val="auto"/>
        </w:rPr>
      </w:pPr>
    </w:p>
    <w:p>
      <w:pPr>
        <w:ind w:left="340" w:right="220" w:hanging="332"/>
        <w:spacing w:after="0" w:line="257" w:lineRule="auto"/>
        <w:tabs>
          <w:tab w:leader="none" w:pos="340" w:val="left"/>
        </w:tabs>
        <w:numPr>
          <w:ilvl w:val="0"/>
          <w:numId w:val="18"/>
        </w:numPr>
        <w:rPr>
          <w:rFonts w:ascii="Arial" w:cs="Arial" w:eastAsia="Arial" w:hAnsi="Arial"/>
          <w:sz w:val="18"/>
          <w:szCs w:val="18"/>
          <w:color w:val="auto"/>
        </w:rPr>
      </w:pPr>
      <w:r>
        <w:rPr>
          <w:rFonts w:ascii="Arial" w:cs="Arial" w:eastAsia="Arial" w:hAnsi="Arial"/>
          <w:sz w:val="18"/>
          <w:szCs w:val="18"/>
          <w:color w:val="auto"/>
        </w:rPr>
        <w:t>During 2015 and 2014, we incurred costs primarily related to the transfer of our Beaverton, OR portable medical and Plymouth, MN vascular manufacturing operations to Tijuana, Mexico. Additionally, with the acquisition of Lake Region Medical, these costs now include expenses incurred in connection with the closure of Lake Region Medical’s Arvada, Colorado site and the consolidation of its two Galway, Ireland sites initiated by Lake Region Medical in 2014. During 2013, we incurred costs related to the rationalization of our orthopaedic footprint as well as in connection with our operating unit realignment.</w:t>
      </w:r>
    </w:p>
    <w:p>
      <w:pPr>
        <w:spacing w:after="0" w:line="188" w:lineRule="exact"/>
        <w:rPr>
          <w:rFonts w:ascii="Arial" w:cs="Arial" w:eastAsia="Arial" w:hAnsi="Arial"/>
          <w:sz w:val="18"/>
          <w:szCs w:val="18"/>
          <w:color w:val="auto"/>
        </w:rPr>
      </w:pPr>
    </w:p>
    <w:p>
      <w:pPr>
        <w:ind w:left="340" w:right="160" w:hanging="332"/>
        <w:spacing w:after="0" w:line="264" w:lineRule="auto"/>
        <w:tabs>
          <w:tab w:leader="none" w:pos="340" w:val="left"/>
        </w:tabs>
        <w:numPr>
          <w:ilvl w:val="0"/>
          <w:numId w:val="18"/>
        </w:numPr>
        <w:rPr>
          <w:rFonts w:ascii="Arial" w:cs="Arial" w:eastAsia="Arial" w:hAnsi="Arial"/>
          <w:sz w:val="18"/>
          <w:szCs w:val="18"/>
          <w:color w:val="auto"/>
        </w:rPr>
      </w:pPr>
      <w:r>
        <w:rPr>
          <w:rFonts w:ascii="Arial" w:cs="Arial" w:eastAsia="Arial" w:hAnsi="Arial"/>
          <w:sz w:val="18"/>
          <w:szCs w:val="18"/>
          <w:color w:val="auto"/>
        </w:rPr>
        <w:t>During 2015, we incurred $33.1 million pre-tax in costs related to the acquisition of Lake Region Medical and the integration of CCC Medical Devices. During 2014, we incurred costs related to the integration of CCC Medical Devices. During 2013, we realized income related to the contingent consideration recorded in connection with the acquisition of NeuroNexus.</w:t>
      </w:r>
    </w:p>
    <w:p>
      <w:pPr>
        <w:spacing w:after="0" w:line="316" w:lineRule="exact"/>
        <w:rPr>
          <w:rFonts w:ascii="Arial" w:cs="Arial" w:eastAsia="Arial" w:hAnsi="Arial"/>
          <w:sz w:val="18"/>
          <w:szCs w:val="18"/>
          <w:color w:val="auto"/>
        </w:rPr>
      </w:pPr>
    </w:p>
    <w:p>
      <w:pPr>
        <w:ind w:left="5620" w:hanging="101"/>
        <w:spacing w:after="0"/>
        <w:tabs>
          <w:tab w:leader="none" w:pos="5620" w:val="left"/>
        </w:tabs>
        <w:numPr>
          <w:ilvl w:val="1"/>
          <w:numId w:val="18"/>
        </w:numPr>
        <w:rPr>
          <w:rFonts w:ascii="Arial" w:cs="Arial" w:eastAsia="Arial" w:hAnsi="Arial"/>
          <w:sz w:val="18"/>
          <w:szCs w:val="18"/>
          <w:color w:val="auto"/>
        </w:rPr>
      </w:pPr>
      <w:r>
        <w:rPr>
          <w:rFonts w:ascii="Arial" w:cs="Arial" w:eastAsia="Arial" w:hAnsi="Arial"/>
          <w:sz w:val="18"/>
          <w:szCs w:val="18"/>
          <w:color w:val="auto"/>
        </w:rPr>
        <w:t>39 -</w:t>
      </w:r>
    </w:p>
    <w:p>
      <w:pPr>
        <w:sectPr>
          <w:pgSz w:w="11900" w:h="16838" w:orient="portrait"/>
          <w:cols w:equalWidth="0" w:num="1">
            <w:col w:w="11420"/>
          </w:cols>
          <w:pgMar w:left="240" w:top="908" w:right="239" w:bottom="1440" w:gutter="0" w:footer="0" w:header="0"/>
        </w:sectPr>
      </w:pPr>
    </w:p>
    <w:bookmarkStart w:id="40" w:name="page41"/>
    <w:bookmarkEnd w:id="40"/>
    <w:p>
      <w:pPr>
        <w:ind w:left="340" w:right="120" w:hanging="332"/>
        <w:spacing w:after="0" w:line="308" w:lineRule="auto"/>
        <w:tabs>
          <w:tab w:leader="none" w:pos="340" w:val="left"/>
        </w:tabs>
        <w:numPr>
          <w:ilvl w:val="0"/>
          <w:numId w:val="19"/>
        </w:numPr>
        <w:rPr>
          <w:rFonts w:ascii="Arial" w:cs="Arial" w:eastAsia="Arial" w:hAnsi="Arial"/>
          <w:sz w:val="17"/>
          <w:szCs w:val="17"/>
          <w:color w:val="auto"/>
        </w:rPr>
      </w:pPr>
      <w:r>
        <w:rPr>
          <w:rFonts w:ascii="Arial" w:cs="Arial" w:eastAsia="Arial" w:hAnsi="Arial"/>
          <w:sz w:val="17"/>
          <w:szCs w:val="17"/>
          <w:color w:val="auto"/>
        </w:rPr>
        <w:t>2015 costs primarily include $6.0 million pre-tax in legal and professional fees incurred in connection with the pending spin-off of Nuvectra. 2014 costs primarily include costs in connection with our business reorganization to realign our contract manufacturing operations.</w:t>
      </w:r>
    </w:p>
    <w:p>
      <w:pPr>
        <w:spacing w:after="0" w:line="146" w:lineRule="exact"/>
        <w:rPr>
          <w:rFonts w:ascii="Arial" w:cs="Arial" w:eastAsia="Arial" w:hAnsi="Arial"/>
          <w:sz w:val="17"/>
          <w:szCs w:val="17"/>
          <w:color w:val="auto"/>
        </w:rPr>
      </w:pPr>
    </w:p>
    <w:p>
      <w:pPr>
        <w:ind w:left="340" w:right="460" w:hanging="332"/>
        <w:spacing w:after="0" w:line="277" w:lineRule="auto"/>
        <w:tabs>
          <w:tab w:leader="none" w:pos="3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We recorded $9.5 million pre-tax for 2015 in transaction costs (i.e. debt commitment fees, interest rate swap termination costs, debt extinguishment charges) in connection with our acquisition of Lake Region Medical.</w:t>
      </w:r>
    </w:p>
    <w:p>
      <w:pPr>
        <w:spacing w:after="0" w:line="170" w:lineRule="exact"/>
        <w:rPr>
          <w:rFonts w:ascii="Arial" w:cs="Arial" w:eastAsia="Arial" w:hAnsi="Arial"/>
          <w:sz w:val="18"/>
          <w:szCs w:val="18"/>
          <w:color w:val="auto"/>
        </w:rPr>
      </w:pPr>
    </w:p>
    <w:p>
      <w:pPr>
        <w:ind w:left="340" w:hanging="332"/>
        <w:spacing w:after="0"/>
        <w:tabs>
          <w:tab w:leader="none" w:pos="3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Pre-tax amount is gain of $3.4 million for 2015, a gain of $4.4 million for 2014, and a loss of $0.7 million for 2013.</w:t>
      </w:r>
    </w:p>
    <w:p>
      <w:pPr>
        <w:spacing w:after="0" w:line="225" w:lineRule="exact"/>
        <w:rPr>
          <w:rFonts w:ascii="Arial" w:cs="Arial" w:eastAsia="Arial" w:hAnsi="Arial"/>
          <w:sz w:val="18"/>
          <w:szCs w:val="18"/>
          <w:color w:val="auto"/>
        </w:rPr>
      </w:pPr>
    </w:p>
    <w:p>
      <w:pPr>
        <w:ind w:left="340" w:hanging="332"/>
        <w:spacing w:after="0" w:line="286" w:lineRule="auto"/>
        <w:tabs>
          <w:tab w:leader="none" w:pos="340" w:val="left"/>
        </w:tabs>
        <w:numPr>
          <w:ilvl w:val="0"/>
          <w:numId w:val="19"/>
        </w:numPr>
        <w:rPr>
          <w:rFonts w:ascii="Arial" w:cs="Arial" w:eastAsia="Arial" w:hAnsi="Arial"/>
          <w:sz w:val="17"/>
          <w:szCs w:val="17"/>
          <w:color w:val="auto"/>
        </w:rPr>
      </w:pPr>
      <w:r>
        <w:rPr>
          <w:rFonts w:ascii="Arial" w:cs="Arial" w:eastAsia="Arial" w:hAnsi="Arial"/>
          <w:sz w:val="17"/>
          <w:szCs w:val="17"/>
          <w:color w:val="auto"/>
        </w:rPr>
        <w:t>The 2015 Federal R&amp;D tax credit was enacted during the fourth quarter of 2015 and the 2014 Federal R&amp;D tax credit was enacted in the fourth quarter of 2014. Amounts assume that the tax credit was effective at the beginning of the year for 2015 and 2014. The 2013 and 2012 Federal R&amp;D tax credit was enacted and recognized in 2013. The 2012 Federal R&amp;D tax credit amount is excluded for adjusted diluted EPS purposes.</w:t>
      </w:r>
    </w:p>
    <w:p>
      <w:pPr>
        <w:spacing w:after="0" w:line="165" w:lineRule="exact"/>
        <w:rPr>
          <w:rFonts w:ascii="Arial" w:cs="Arial" w:eastAsia="Arial" w:hAnsi="Arial"/>
          <w:sz w:val="17"/>
          <w:szCs w:val="17"/>
          <w:color w:val="auto"/>
        </w:rPr>
      </w:pPr>
    </w:p>
    <w:p>
      <w:pPr>
        <w:ind w:left="340" w:hanging="332"/>
        <w:spacing w:after="0"/>
        <w:tabs>
          <w:tab w:leader="none" w:pos="3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per share data in this table have been rounded to the nearest $0.01 and therefore may not sum to the total.</w:t>
      </w:r>
    </w:p>
    <w:p>
      <w:pPr>
        <w:spacing w:after="0" w:line="225" w:lineRule="exact"/>
        <w:rPr>
          <w:rFonts w:ascii="Arial" w:cs="Arial" w:eastAsia="Arial" w:hAnsi="Arial"/>
          <w:sz w:val="18"/>
          <w:szCs w:val="18"/>
          <w:color w:val="auto"/>
        </w:rPr>
      </w:pPr>
    </w:p>
    <w:p>
      <w:pPr>
        <w:ind w:left="340" w:right="240" w:hanging="332"/>
        <w:spacing w:after="0" w:line="277" w:lineRule="auto"/>
        <w:tabs>
          <w:tab w:leader="none" w:pos="3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Full year 2015 adjusted diluted weighted average shares includes 941,000 shares of dilution related to outstanding equity awards that were not dilutive for GAAP EPS purposes.</w:t>
      </w:r>
    </w:p>
    <w:p>
      <w:pPr>
        <w:spacing w:after="0" w:line="170" w:lineRule="exact"/>
        <w:rPr>
          <w:sz w:val="20"/>
          <w:szCs w:val="20"/>
          <w:color w:val="auto"/>
        </w:rPr>
      </w:pPr>
    </w:p>
    <w:p>
      <w:pPr>
        <w:ind w:left="60" w:right="40"/>
        <w:spacing w:after="0" w:line="255" w:lineRule="auto"/>
        <w:rPr>
          <w:sz w:val="20"/>
          <w:szCs w:val="20"/>
          <w:color w:val="auto"/>
        </w:rPr>
      </w:pPr>
      <w:r>
        <w:rPr>
          <w:rFonts w:ascii="Arial" w:cs="Arial" w:eastAsia="Arial" w:hAnsi="Arial"/>
          <w:sz w:val="18"/>
          <w:szCs w:val="18"/>
          <w:color w:val="auto"/>
        </w:rPr>
        <w:t>In connection with the Lake Region Medical acquisition, we incurred $1.8 billion of additional indebtedness. As of January 1, 2016, our debt service obligations, comprised of principal and interest, for 2016 are estimated to be approximately $130 million. As a result of this increase in our outstanding indebtedness, demands on our cash resources have increased significantly. Accordingly, during 2015 we began presenting EBITDA and adjusted EBITDA in our SEC reports in order to present a measure of our cash generation, which is important to holders of our public debt, and to be more consistent with how other medical device companies report results. These measures are generally consistent with how we calculate adjusted EBITDA for our debt covenant ratios.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color w:val="auto"/>
        </w:rPr>
        <w:t>A reconciliation of net income (loss) as reported to EBITDA and adjusted EBITDA is as follows (dollars in thousands):</w:t>
      </w:r>
    </w:p>
    <w:p>
      <w:pPr>
        <w:spacing w:after="0" w:line="271"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50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2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tcPr>
          <w:p>
            <w:pPr>
              <w:jc w:val="center"/>
              <w:ind w:right="173"/>
              <w:spacing w:after="0"/>
              <w:rPr>
                <w:sz w:val="20"/>
                <w:szCs w:val="20"/>
                <w:color w:val="auto"/>
              </w:rPr>
            </w:pPr>
            <w:r>
              <w:rPr>
                <w:rFonts w:ascii="Arial" w:cs="Arial" w:eastAsia="Arial" w:hAnsi="Arial"/>
                <w:sz w:val="14"/>
                <w:szCs w:val="14"/>
                <w:b w:val="1"/>
                <w:bCs w:val="1"/>
                <w:color w:val="auto"/>
                <w:w w:val="96"/>
              </w:rPr>
              <w:t>Year Ended</w:t>
            </w:r>
          </w:p>
        </w:tc>
        <w:tc>
          <w:tcPr>
            <w:tcW w:w="36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tcPr>
          <w:p>
            <w:pPr>
              <w:spacing w:after="0"/>
              <w:rPr>
                <w:sz w:val="16"/>
                <w:szCs w:val="16"/>
                <w:color w:val="auto"/>
              </w:rPr>
            </w:pPr>
          </w:p>
        </w:tc>
      </w:tr>
      <w:tr>
        <w:trPr>
          <w:trHeight w:val="258"/>
        </w:trPr>
        <w:tc>
          <w:tcPr>
            <w:tcW w:w="65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380" w:type="dxa"/>
            <w:vAlign w:val="bottom"/>
            <w:gridSpan w:val="2"/>
          </w:tcPr>
          <w:p>
            <w:pPr>
              <w:ind w:left="160"/>
              <w:spacing w:after="0"/>
              <w:rPr>
                <w:sz w:val="20"/>
                <w:szCs w:val="20"/>
                <w:color w:val="auto"/>
              </w:rPr>
            </w:pPr>
            <w:r>
              <w:rPr>
                <w:rFonts w:ascii="Arial" w:cs="Arial" w:eastAsia="Arial" w:hAnsi="Arial"/>
                <w:sz w:val="14"/>
                <w:szCs w:val="14"/>
                <w:b w:val="1"/>
                <w:bCs w:val="1"/>
                <w:color w:val="auto"/>
              </w:rPr>
              <w:t>January 1,</w:t>
            </w:r>
          </w:p>
        </w:tc>
        <w:tc>
          <w:tcPr>
            <w:tcW w:w="280" w:type="dxa"/>
            <w:vAlign w:val="bottom"/>
          </w:tcPr>
          <w:p>
            <w:pPr>
              <w:spacing w:after="0"/>
              <w:rPr>
                <w:sz w:val="22"/>
                <w:szCs w:val="22"/>
                <w:color w:val="auto"/>
              </w:rPr>
            </w:pPr>
          </w:p>
        </w:tc>
        <w:tc>
          <w:tcPr>
            <w:tcW w:w="1320" w:type="dxa"/>
            <w:vAlign w:val="bottom"/>
          </w:tcPr>
          <w:p>
            <w:pPr>
              <w:jc w:val="center"/>
              <w:ind w:right="213"/>
              <w:spacing w:after="0"/>
              <w:rPr>
                <w:sz w:val="20"/>
                <w:szCs w:val="20"/>
                <w:color w:val="auto"/>
              </w:rPr>
            </w:pPr>
            <w:r>
              <w:rPr>
                <w:rFonts w:ascii="Arial" w:cs="Arial" w:eastAsia="Arial" w:hAnsi="Arial"/>
                <w:sz w:val="14"/>
                <w:szCs w:val="14"/>
                <w:b w:val="1"/>
                <w:bCs w:val="1"/>
                <w:color w:val="auto"/>
                <w:w w:val="95"/>
              </w:rPr>
              <w:t>January 2,</w:t>
            </w:r>
          </w:p>
        </w:tc>
        <w:tc>
          <w:tcPr>
            <w:tcW w:w="360" w:type="dxa"/>
            <w:vAlign w:val="bottom"/>
          </w:tcPr>
          <w:p>
            <w:pPr>
              <w:spacing w:after="0"/>
              <w:rPr>
                <w:sz w:val="22"/>
                <w:szCs w:val="22"/>
                <w:color w:val="auto"/>
              </w:rPr>
            </w:pPr>
          </w:p>
        </w:tc>
        <w:tc>
          <w:tcPr>
            <w:tcW w:w="1300" w:type="dxa"/>
            <w:vAlign w:val="bottom"/>
          </w:tcPr>
          <w:p>
            <w:pPr>
              <w:jc w:val="right"/>
              <w:ind w:right="372"/>
              <w:spacing w:after="0"/>
              <w:rPr>
                <w:sz w:val="20"/>
                <w:szCs w:val="20"/>
                <w:color w:val="auto"/>
              </w:rPr>
            </w:pPr>
            <w:r>
              <w:rPr>
                <w:rFonts w:ascii="Arial" w:cs="Arial" w:eastAsia="Arial" w:hAnsi="Arial"/>
                <w:sz w:val="14"/>
                <w:szCs w:val="14"/>
                <w:b w:val="1"/>
                <w:bCs w:val="1"/>
                <w:color w:val="auto"/>
              </w:rPr>
              <w:t>January 3,</w:t>
            </w:r>
          </w:p>
        </w:tc>
      </w:tr>
      <w:tr>
        <w:trPr>
          <w:trHeight w:val="276"/>
        </w:trPr>
        <w:tc>
          <w:tcPr>
            <w:tcW w:w="650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(dollars in thousands)</w:t>
            </w:r>
          </w:p>
        </w:tc>
        <w:tc>
          <w:tcPr>
            <w:tcW w:w="280" w:type="dxa"/>
            <w:vAlign w:val="bottom"/>
            <w:tcBorders>
              <w:bottom w:val="single" w:sz="8" w:color="auto"/>
            </w:tcBorders>
          </w:tcPr>
          <w:p>
            <w:pPr>
              <w:spacing w:after="0"/>
              <w:rPr>
                <w:sz w:val="24"/>
                <w:szCs w:val="24"/>
                <w:color w:val="auto"/>
              </w:rPr>
            </w:pPr>
          </w:p>
        </w:tc>
        <w:tc>
          <w:tcPr>
            <w:tcW w:w="1280" w:type="dxa"/>
            <w:vAlign w:val="bottom"/>
            <w:tcBorders>
              <w:bottom w:val="single" w:sz="8" w:color="auto"/>
            </w:tcBorders>
          </w:tcPr>
          <w:p>
            <w:pPr>
              <w:jc w:val="right"/>
              <w:ind w:right="552"/>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320" w:type="dxa"/>
            <w:vAlign w:val="bottom"/>
            <w:tcBorders>
              <w:bottom w:val="single" w:sz="8" w:color="auto"/>
            </w:tcBorders>
          </w:tcPr>
          <w:p>
            <w:pPr>
              <w:jc w:val="center"/>
              <w:ind w:right="213"/>
              <w:spacing w:after="0"/>
              <w:rPr>
                <w:sz w:val="20"/>
                <w:szCs w:val="20"/>
                <w:color w:val="auto"/>
              </w:rPr>
            </w:pPr>
            <w:r>
              <w:rPr>
                <w:rFonts w:ascii="Arial" w:cs="Arial" w:eastAsia="Arial" w:hAnsi="Arial"/>
                <w:sz w:val="14"/>
                <w:szCs w:val="14"/>
                <w:b w:val="1"/>
                <w:bCs w:val="1"/>
                <w:color w:val="auto"/>
                <w:w w:val="96"/>
              </w:rPr>
              <w:t>2015</w:t>
            </w:r>
          </w:p>
        </w:tc>
        <w:tc>
          <w:tcPr>
            <w:tcW w:w="360" w:type="dxa"/>
            <w:vAlign w:val="bottom"/>
            <w:tcBorders>
              <w:bottom w:val="single" w:sz="8" w:color="auto"/>
            </w:tcBorders>
          </w:tcPr>
          <w:p>
            <w:pPr>
              <w:spacing w:after="0"/>
              <w:rPr>
                <w:sz w:val="24"/>
                <w:szCs w:val="24"/>
                <w:color w:val="auto"/>
              </w:rPr>
            </w:pPr>
          </w:p>
        </w:tc>
        <w:tc>
          <w:tcPr>
            <w:tcW w:w="1300" w:type="dxa"/>
            <w:vAlign w:val="bottom"/>
            <w:tcBorders>
              <w:bottom w:val="single" w:sz="8" w:color="auto"/>
            </w:tcBorders>
          </w:tcPr>
          <w:p>
            <w:pPr>
              <w:jc w:val="right"/>
              <w:ind w:right="552"/>
              <w:spacing w:after="0"/>
              <w:rPr>
                <w:sz w:val="20"/>
                <w:szCs w:val="20"/>
                <w:color w:val="auto"/>
              </w:rPr>
            </w:pPr>
            <w:r>
              <w:rPr>
                <w:rFonts w:ascii="Arial" w:cs="Arial" w:eastAsia="Arial" w:hAnsi="Arial"/>
                <w:sz w:val="14"/>
                <w:szCs w:val="14"/>
                <w:b w:val="1"/>
                <w:bCs w:val="1"/>
                <w:color w:val="auto"/>
              </w:rPr>
              <w:t>2014</w:t>
            </w:r>
          </w:p>
        </w:tc>
      </w:tr>
      <w:tr>
        <w:trPr>
          <w:trHeight w:val="250"/>
        </w:trPr>
        <w:tc>
          <w:tcPr>
            <w:tcW w:w="6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 (loss) as reported</w:t>
            </w: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28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(7,594)</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shd w:val="clear" w:color="auto" w:fill="CCEEFF"/>
          </w:tcPr>
          <w:p>
            <w:pPr>
              <w:jc w:val="right"/>
              <w:ind w:right="173"/>
              <w:spacing w:after="0"/>
              <w:rPr>
                <w:sz w:val="20"/>
                <w:szCs w:val="20"/>
                <w:color w:val="auto"/>
              </w:rPr>
            </w:pPr>
            <w:r>
              <w:rPr>
                <w:rFonts w:ascii="Arial" w:cs="Arial" w:eastAsia="Arial" w:hAnsi="Arial"/>
                <w:sz w:val="18"/>
                <w:szCs w:val="18"/>
                <w:color w:val="auto"/>
              </w:rPr>
              <w:t>55,458</w:t>
            </w:r>
          </w:p>
        </w:tc>
        <w:tc>
          <w:tcPr>
            <w:tcW w:w="36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300" w:type="dxa"/>
            <w:vAlign w:val="bottom"/>
            <w:tcBorders>
              <w:bottom w:val="single" w:sz="8" w:color="CCEEFF"/>
            </w:tcBorders>
            <w:shd w:val="clear" w:color="auto" w:fill="CCEEFF"/>
          </w:tcPr>
          <w:p>
            <w:pPr>
              <w:jc w:val="right"/>
              <w:ind w:right="132"/>
              <w:spacing w:after="0"/>
              <w:rPr>
                <w:sz w:val="20"/>
                <w:szCs w:val="20"/>
                <w:color w:val="auto"/>
              </w:rPr>
            </w:pPr>
            <w:r>
              <w:rPr>
                <w:rFonts w:ascii="Arial" w:cs="Arial" w:eastAsia="Arial" w:hAnsi="Arial"/>
                <w:sz w:val="18"/>
                <w:szCs w:val="18"/>
                <w:color w:val="auto"/>
              </w:rPr>
              <w:t>36,267</w:t>
            </w:r>
          </w:p>
        </w:tc>
      </w:tr>
      <w:tr>
        <w:trPr>
          <w:trHeight w:val="297"/>
        </w:trPr>
        <w:tc>
          <w:tcPr>
            <w:tcW w:w="65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300" w:type="dxa"/>
            <w:vAlign w:val="bottom"/>
          </w:tcPr>
          <w:p>
            <w:pPr>
              <w:spacing w:after="0"/>
              <w:rPr>
                <w:sz w:val="24"/>
                <w:szCs w:val="24"/>
                <w:color w:val="auto"/>
              </w:rPr>
            </w:pPr>
          </w:p>
        </w:tc>
      </w:tr>
      <w:tr>
        <w:trPr>
          <w:trHeight w:val="250"/>
        </w:trPr>
        <w:tc>
          <w:tcPr>
            <w:tcW w:w="6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Interest expense</w:t>
            </w:r>
          </w:p>
        </w:tc>
        <w:tc>
          <w:tcPr>
            <w:tcW w:w="28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52"/>
              <w:spacing w:after="0"/>
              <w:rPr>
                <w:sz w:val="20"/>
                <w:szCs w:val="20"/>
                <w:color w:val="auto"/>
              </w:rPr>
            </w:pPr>
            <w:r>
              <w:rPr>
                <w:rFonts w:ascii="Arial" w:cs="Arial" w:eastAsia="Arial" w:hAnsi="Arial"/>
                <w:sz w:val="18"/>
                <w:szCs w:val="18"/>
                <w:color w:val="auto"/>
              </w:rPr>
              <w:t>33,513</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73"/>
              <w:spacing w:after="0"/>
              <w:rPr>
                <w:sz w:val="20"/>
                <w:szCs w:val="20"/>
                <w:color w:val="auto"/>
              </w:rPr>
            </w:pPr>
            <w:r>
              <w:rPr>
                <w:rFonts w:ascii="Arial" w:cs="Arial" w:eastAsia="Arial" w:hAnsi="Arial"/>
                <w:sz w:val="18"/>
                <w:szCs w:val="18"/>
                <w:color w:val="auto"/>
              </w:rPr>
              <w:t>4,252</w:t>
            </w:r>
          </w:p>
        </w:tc>
        <w:tc>
          <w:tcPr>
            <w:tcW w:w="3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32"/>
              <w:spacing w:after="0"/>
              <w:rPr>
                <w:sz w:val="20"/>
                <w:szCs w:val="20"/>
                <w:color w:val="auto"/>
              </w:rPr>
            </w:pPr>
            <w:r>
              <w:rPr>
                <w:rFonts w:ascii="Arial" w:cs="Arial" w:eastAsia="Arial" w:hAnsi="Arial"/>
                <w:sz w:val="18"/>
                <w:szCs w:val="18"/>
                <w:color w:val="auto"/>
              </w:rPr>
              <w:t>11,261</w:t>
            </w:r>
          </w:p>
        </w:tc>
      </w:tr>
      <w:tr>
        <w:trPr>
          <w:trHeight w:val="243"/>
        </w:trPr>
        <w:tc>
          <w:tcPr>
            <w:tcW w:w="6500" w:type="dxa"/>
            <w:vAlign w:val="bottom"/>
          </w:tcPr>
          <w:p>
            <w:pPr>
              <w:ind w:left="40"/>
              <w:spacing w:after="0"/>
              <w:rPr>
                <w:sz w:val="20"/>
                <w:szCs w:val="20"/>
                <w:color w:val="auto"/>
              </w:rPr>
            </w:pPr>
            <w:r>
              <w:rPr>
                <w:rFonts w:ascii="Arial" w:cs="Arial" w:eastAsia="Arial" w:hAnsi="Arial"/>
                <w:sz w:val="18"/>
                <w:szCs w:val="18"/>
                <w:color w:val="auto"/>
              </w:rPr>
              <w:t>Provision (benefit) for income taxes</w:t>
            </w:r>
          </w:p>
        </w:tc>
        <w:tc>
          <w:tcPr>
            <w:tcW w:w="280" w:type="dxa"/>
            <w:vAlign w:val="bottom"/>
          </w:tcPr>
          <w:p>
            <w:pPr>
              <w:spacing w:after="0"/>
              <w:rPr>
                <w:sz w:val="21"/>
                <w:szCs w:val="21"/>
                <w:color w:val="auto"/>
              </w:rPr>
            </w:pPr>
          </w:p>
        </w:tc>
        <w:tc>
          <w:tcPr>
            <w:tcW w:w="1280" w:type="dxa"/>
            <w:vAlign w:val="bottom"/>
          </w:tcPr>
          <w:p>
            <w:pPr>
              <w:jc w:val="right"/>
              <w:ind w:right="92"/>
              <w:spacing w:after="0"/>
              <w:rPr>
                <w:sz w:val="20"/>
                <w:szCs w:val="20"/>
                <w:color w:val="auto"/>
              </w:rPr>
            </w:pPr>
            <w:r>
              <w:rPr>
                <w:rFonts w:ascii="Arial" w:cs="Arial" w:eastAsia="Arial" w:hAnsi="Arial"/>
                <w:sz w:val="18"/>
                <w:szCs w:val="18"/>
                <w:color w:val="auto"/>
              </w:rPr>
              <w:t>(8,106)</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320" w:type="dxa"/>
            <w:vAlign w:val="bottom"/>
          </w:tcPr>
          <w:p>
            <w:pPr>
              <w:jc w:val="right"/>
              <w:ind w:right="173"/>
              <w:spacing w:after="0"/>
              <w:rPr>
                <w:sz w:val="20"/>
                <w:szCs w:val="20"/>
                <w:color w:val="auto"/>
              </w:rPr>
            </w:pPr>
            <w:r>
              <w:rPr>
                <w:rFonts w:ascii="Arial" w:cs="Arial" w:eastAsia="Arial" w:hAnsi="Arial"/>
                <w:sz w:val="18"/>
                <w:szCs w:val="18"/>
                <w:color w:val="auto"/>
              </w:rPr>
              <w:t>21,121</w:t>
            </w:r>
          </w:p>
        </w:tc>
        <w:tc>
          <w:tcPr>
            <w:tcW w:w="360" w:type="dxa"/>
            <w:vAlign w:val="bottom"/>
          </w:tcPr>
          <w:p>
            <w:pPr>
              <w:spacing w:after="0"/>
              <w:rPr>
                <w:sz w:val="21"/>
                <w:szCs w:val="21"/>
                <w:color w:val="auto"/>
              </w:rPr>
            </w:pPr>
          </w:p>
        </w:tc>
        <w:tc>
          <w:tcPr>
            <w:tcW w:w="1300" w:type="dxa"/>
            <w:vAlign w:val="bottom"/>
          </w:tcPr>
          <w:p>
            <w:pPr>
              <w:jc w:val="right"/>
              <w:ind w:right="132"/>
              <w:spacing w:after="0"/>
              <w:rPr>
                <w:sz w:val="20"/>
                <w:szCs w:val="20"/>
                <w:color w:val="auto"/>
              </w:rPr>
            </w:pPr>
            <w:r>
              <w:rPr>
                <w:rFonts w:ascii="Arial" w:cs="Arial" w:eastAsia="Arial" w:hAnsi="Arial"/>
                <w:sz w:val="18"/>
                <w:szCs w:val="18"/>
                <w:color w:val="auto"/>
              </w:rPr>
              <w:t>12,571</w:t>
            </w:r>
          </w:p>
        </w:tc>
      </w:tr>
      <w:tr>
        <w:trPr>
          <w:trHeight w:val="27"/>
        </w:trPr>
        <w:tc>
          <w:tcPr>
            <w:tcW w:w="65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6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Depreciation</w:t>
            </w:r>
          </w:p>
        </w:tc>
        <w:tc>
          <w:tcPr>
            <w:tcW w:w="28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52"/>
              <w:spacing w:after="0"/>
              <w:rPr>
                <w:sz w:val="20"/>
                <w:szCs w:val="20"/>
                <w:color w:val="auto"/>
              </w:rPr>
            </w:pPr>
            <w:r>
              <w:rPr>
                <w:rFonts w:ascii="Arial" w:cs="Arial" w:eastAsia="Arial" w:hAnsi="Arial"/>
                <w:sz w:val="18"/>
                <w:szCs w:val="18"/>
                <w:color w:val="auto"/>
              </w:rPr>
              <w:t>27,136</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73"/>
              <w:spacing w:after="0"/>
              <w:rPr>
                <w:sz w:val="20"/>
                <w:szCs w:val="20"/>
                <w:color w:val="auto"/>
              </w:rPr>
            </w:pPr>
            <w:r>
              <w:rPr>
                <w:rFonts w:ascii="Arial" w:cs="Arial" w:eastAsia="Arial" w:hAnsi="Arial"/>
                <w:sz w:val="18"/>
                <w:szCs w:val="18"/>
                <w:color w:val="auto"/>
              </w:rPr>
              <w:t>23,320</w:t>
            </w:r>
          </w:p>
        </w:tc>
        <w:tc>
          <w:tcPr>
            <w:tcW w:w="3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32"/>
              <w:spacing w:after="0"/>
              <w:rPr>
                <w:sz w:val="20"/>
                <w:szCs w:val="20"/>
                <w:color w:val="auto"/>
              </w:rPr>
            </w:pPr>
            <w:r>
              <w:rPr>
                <w:rFonts w:ascii="Arial" w:cs="Arial" w:eastAsia="Arial" w:hAnsi="Arial"/>
                <w:sz w:val="18"/>
                <w:szCs w:val="18"/>
                <w:color w:val="auto"/>
              </w:rPr>
              <w:t>22,799</w:t>
            </w:r>
          </w:p>
        </w:tc>
      </w:tr>
      <w:tr>
        <w:trPr>
          <w:trHeight w:val="243"/>
        </w:trPr>
        <w:tc>
          <w:tcPr>
            <w:tcW w:w="6500" w:type="dxa"/>
            <w:vAlign w:val="bottom"/>
          </w:tcPr>
          <w:p>
            <w:pPr>
              <w:ind w:left="40"/>
              <w:spacing w:after="0"/>
              <w:rPr>
                <w:sz w:val="20"/>
                <w:szCs w:val="20"/>
                <w:color w:val="auto"/>
              </w:rPr>
            </w:pPr>
            <w:r>
              <w:rPr>
                <w:rFonts w:ascii="Arial" w:cs="Arial" w:eastAsia="Arial" w:hAnsi="Arial"/>
                <w:sz w:val="18"/>
                <w:szCs w:val="18"/>
                <w:color w:val="auto"/>
              </w:rPr>
              <w:t>Amortization</w:t>
            </w:r>
          </w:p>
        </w:tc>
        <w:tc>
          <w:tcPr>
            <w:tcW w:w="280" w:type="dxa"/>
            <w:vAlign w:val="bottom"/>
          </w:tcPr>
          <w:p>
            <w:pPr>
              <w:spacing w:after="0"/>
              <w:rPr>
                <w:sz w:val="21"/>
                <w:szCs w:val="21"/>
                <w:color w:val="auto"/>
              </w:rPr>
            </w:pPr>
          </w:p>
        </w:tc>
        <w:tc>
          <w:tcPr>
            <w:tcW w:w="1280" w:type="dxa"/>
            <w:vAlign w:val="bottom"/>
          </w:tcPr>
          <w:p>
            <w:pPr>
              <w:jc w:val="right"/>
              <w:ind w:right="152"/>
              <w:spacing w:after="0"/>
              <w:rPr>
                <w:sz w:val="20"/>
                <w:szCs w:val="20"/>
                <w:color w:val="auto"/>
              </w:rPr>
            </w:pPr>
            <w:r>
              <w:rPr>
                <w:rFonts w:ascii="Arial" w:cs="Arial" w:eastAsia="Arial" w:hAnsi="Arial"/>
                <w:sz w:val="18"/>
                <w:szCs w:val="18"/>
                <w:color w:val="auto"/>
              </w:rPr>
              <w:t>17,496</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320" w:type="dxa"/>
            <w:vAlign w:val="bottom"/>
          </w:tcPr>
          <w:p>
            <w:pPr>
              <w:jc w:val="right"/>
              <w:ind w:right="173"/>
              <w:spacing w:after="0"/>
              <w:rPr>
                <w:sz w:val="20"/>
                <w:szCs w:val="20"/>
                <w:color w:val="auto"/>
              </w:rPr>
            </w:pPr>
            <w:r>
              <w:rPr>
                <w:rFonts w:ascii="Arial" w:cs="Arial" w:eastAsia="Arial" w:hAnsi="Arial"/>
                <w:sz w:val="18"/>
                <w:szCs w:val="18"/>
                <w:color w:val="auto"/>
              </w:rPr>
              <w:t>13,877</w:t>
            </w:r>
          </w:p>
        </w:tc>
        <w:tc>
          <w:tcPr>
            <w:tcW w:w="360" w:type="dxa"/>
            <w:vAlign w:val="bottom"/>
          </w:tcPr>
          <w:p>
            <w:pPr>
              <w:spacing w:after="0"/>
              <w:rPr>
                <w:sz w:val="21"/>
                <w:szCs w:val="21"/>
                <w:color w:val="auto"/>
              </w:rPr>
            </w:pPr>
          </w:p>
        </w:tc>
        <w:tc>
          <w:tcPr>
            <w:tcW w:w="1300" w:type="dxa"/>
            <w:vAlign w:val="bottom"/>
          </w:tcPr>
          <w:p>
            <w:pPr>
              <w:jc w:val="right"/>
              <w:ind w:right="132"/>
              <w:spacing w:after="0"/>
              <w:rPr>
                <w:sz w:val="20"/>
                <w:szCs w:val="20"/>
                <w:color w:val="auto"/>
              </w:rPr>
            </w:pPr>
            <w:r>
              <w:rPr>
                <w:rFonts w:ascii="Arial" w:cs="Arial" w:eastAsia="Arial" w:hAnsi="Arial"/>
                <w:sz w:val="18"/>
                <w:szCs w:val="18"/>
                <w:color w:val="auto"/>
              </w:rPr>
              <w:t>13,167</w:t>
            </w:r>
          </w:p>
        </w:tc>
      </w:tr>
      <w:tr>
        <w:trPr>
          <w:trHeight w:val="27"/>
        </w:trPr>
        <w:tc>
          <w:tcPr>
            <w:tcW w:w="65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44"/>
        </w:trPr>
        <w:tc>
          <w:tcPr>
            <w:tcW w:w="65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EBITDA</w:t>
            </w:r>
          </w:p>
        </w:tc>
        <w:tc>
          <w:tcPr>
            <w:tcW w:w="28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52"/>
              <w:spacing w:after="0"/>
              <w:rPr>
                <w:sz w:val="20"/>
                <w:szCs w:val="20"/>
                <w:color w:val="auto"/>
              </w:rPr>
            </w:pPr>
            <w:r>
              <w:rPr>
                <w:rFonts w:ascii="Arial" w:cs="Arial" w:eastAsia="Arial" w:hAnsi="Arial"/>
                <w:sz w:val="18"/>
                <w:szCs w:val="18"/>
                <w:color w:val="auto"/>
              </w:rPr>
              <w:t>62,445</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73"/>
              <w:spacing w:after="0"/>
              <w:rPr>
                <w:sz w:val="20"/>
                <w:szCs w:val="20"/>
                <w:color w:val="auto"/>
              </w:rPr>
            </w:pPr>
            <w:r>
              <w:rPr>
                <w:rFonts w:ascii="Arial" w:cs="Arial" w:eastAsia="Arial" w:hAnsi="Arial"/>
                <w:sz w:val="18"/>
                <w:szCs w:val="18"/>
                <w:color w:val="auto"/>
              </w:rPr>
              <w:t>118,028</w:t>
            </w:r>
          </w:p>
        </w:tc>
        <w:tc>
          <w:tcPr>
            <w:tcW w:w="3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32"/>
              <w:spacing w:after="0"/>
              <w:rPr>
                <w:sz w:val="20"/>
                <w:szCs w:val="20"/>
                <w:color w:val="auto"/>
              </w:rPr>
            </w:pPr>
            <w:r>
              <w:rPr>
                <w:rFonts w:ascii="Arial" w:cs="Arial" w:eastAsia="Arial" w:hAnsi="Arial"/>
                <w:sz w:val="18"/>
                <w:szCs w:val="18"/>
                <w:color w:val="auto"/>
              </w:rPr>
              <w:t>96,065</w:t>
            </w:r>
          </w:p>
        </w:tc>
      </w:tr>
      <w:tr>
        <w:trPr>
          <w:trHeight w:val="270"/>
        </w:trPr>
        <w:tc>
          <w:tcPr>
            <w:tcW w:w="65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32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300" w:type="dxa"/>
            <w:vAlign w:val="bottom"/>
          </w:tcPr>
          <w:p>
            <w:pPr>
              <w:spacing w:after="0"/>
              <w:rPr>
                <w:sz w:val="23"/>
                <w:szCs w:val="23"/>
                <w:color w:val="auto"/>
              </w:rPr>
            </w:pPr>
          </w:p>
        </w:tc>
      </w:tr>
      <w:tr>
        <w:trPr>
          <w:trHeight w:val="250"/>
        </w:trPr>
        <w:tc>
          <w:tcPr>
            <w:tcW w:w="6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Inventory step-up amortization</w:t>
            </w:r>
          </w:p>
        </w:tc>
        <w:tc>
          <w:tcPr>
            <w:tcW w:w="28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52"/>
              <w:spacing w:after="0"/>
              <w:rPr>
                <w:sz w:val="20"/>
                <w:szCs w:val="20"/>
                <w:color w:val="auto"/>
              </w:rPr>
            </w:pPr>
            <w:r>
              <w:rPr>
                <w:rFonts w:ascii="Arial" w:cs="Arial" w:eastAsia="Arial" w:hAnsi="Arial"/>
                <w:sz w:val="18"/>
                <w:szCs w:val="18"/>
                <w:color w:val="auto"/>
              </w:rPr>
              <w:t>22,986</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73"/>
              <w:spacing w:after="0"/>
              <w:rPr>
                <w:sz w:val="20"/>
                <w:szCs w:val="20"/>
                <w:color w:val="auto"/>
              </w:rPr>
            </w:pPr>
            <w:r>
              <w:rPr>
                <w:rFonts w:ascii="Arial" w:cs="Arial" w:eastAsia="Arial" w:hAnsi="Arial"/>
                <w:sz w:val="18"/>
                <w:szCs w:val="18"/>
                <w:color w:val="auto"/>
              </w:rPr>
              <w:t>260</w:t>
            </w:r>
          </w:p>
        </w:tc>
        <w:tc>
          <w:tcPr>
            <w:tcW w:w="3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32"/>
              <w:spacing w:after="0"/>
              <w:rPr>
                <w:sz w:val="20"/>
                <w:szCs w:val="20"/>
                <w:color w:val="auto"/>
              </w:rPr>
            </w:pPr>
            <w:r>
              <w:rPr>
                <w:rFonts w:ascii="Arial" w:cs="Arial" w:eastAsia="Arial" w:hAnsi="Arial"/>
                <w:sz w:val="18"/>
                <w:szCs w:val="18"/>
                <w:color w:val="auto"/>
              </w:rPr>
              <w:t>—</w:t>
            </w:r>
          </w:p>
        </w:tc>
      </w:tr>
      <w:tr>
        <w:trPr>
          <w:trHeight w:val="243"/>
        </w:trPr>
        <w:tc>
          <w:tcPr>
            <w:tcW w:w="6500" w:type="dxa"/>
            <w:vAlign w:val="bottom"/>
          </w:tcPr>
          <w:p>
            <w:pPr>
              <w:ind w:left="40"/>
              <w:spacing w:after="0"/>
              <w:rPr>
                <w:sz w:val="20"/>
                <w:szCs w:val="20"/>
                <w:color w:val="auto"/>
              </w:rPr>
            </w:pPr>
            <w:r>
              <w:rPr>
                <w:rFonts w:ascii="Arial" w:cs="Arial" w:eastAsia="Arial" w:hAnsi="Arial"/>
                <w:sz w:val="18"/>
                <w:szCs w:val="18"/>
                <w:color w:val="auto"/>
              </w:rPr>
              <w:t>IP related litigation</w:t>
            </w:r>
          </w:p>
        </w:tc>
        <w:tc>
          <w:tcPr>
            <w:tcW w:w="280" w:type="dxa"/>
            <w:vAlign w:val="bottom"/>
          </w:tcPr>
          <w:p>
            <w:pPr>
              <w:spacing w:after="0"/>
              <w:rPr>
                <w:sz w:val="21"/>
                <w:szCs w:val="21"/>
                <w:color w:val="auto"/>
              </w:rPr>
            </w:pPr>
          </w:p>
        </w:tc>
        <w:tc>
          <w:tcPr>
            <w:tcW w:w="1280" w:type="dxa"/>
            <w:vAlign w:val="bottom"/>
          </w:tcPr>
          <w:p>
            <w:pPr>
              <w:jc w:val="right"/>
              <w:ind w:right="152"/>
              <w:spacing w:after="0"/>
              <w:rPr>
                <w:sz w:val="20"/>
                <w:szCs w:val="20"/>
                <w:color w:val="auto"/>
              </w:rPr>
            </w:pPr>
            <w:r>
              <w:rPr>
                <w:rFonts w:ascii="Arial" w:cs="Arial" w:eastAsia="Arial" w:hAnsi="Arial"/>
                <w:sz w:val="18"/>
                <w:szCs w:val="18"/>
                <w:color w:val="auto"/>
              </w:rPr>
              <w:t>4,417</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320" w:type="dxa"/>
            <w:vAlign w:val="bottom"/>
          </w:tcPr>
          <w:p>
            <w:pPr>
              <w:jc w:val="right"/>
              <w:ind w:right="173"/>
              <w:spacing w:after="0"/>
              <w:rPr>
                <w:sz w:val="20"/>
                <w:szCs w:val="20"/>
                <w:color w:val="auto"/>
              </w:rPr>
            </w:pPr>
            <w:r>
              <w:rPr>
                <w:rFonts w:ascii="Arial" w:cs="Arial" w:eastAsia="Arial" w:hAnsi="Arial"/>
                <w:sz w:val="18"/>
                <w:szCs w:val="18"/>
                <w:color w:val="auto"/>
              </w:rPr>
              <w:t>2,502</w:t>
            </w:r>
          </w:p>
        </w:tc>
        <w:tc>
          <w:tcPr>
            <w:tcW w:w="360" w:type="dxa"/>
            <w:vAlign w:val="bottom"/>
          </w:tcPr>
          <w:p>
            <w:pPr>
              <w:spacing w:after="0"/>
              <w:rPr>
                <w:sz w:val="21"/>
                <w:szCs w:val="21"/>
                <w:color w:val="auto"/>
              </w:rPr>
            </w:pPr>
          </w:p>
        </w:tc>
        <w:tc>
          <w:tcPr>
            <w:tcW w:w="1300" w:type="dxa"/>
            <w:vAlign w:val="bottom"/>
          </w:tcPr>
          <w:p>
            <w:pPr>
              <w:jc w:val="right"/>
              <w:ind w:right="132"/>
              <w:spacing w:after="0"/>
              <w:rPr>
                <w:sz w:val="20"/>
                <w:szCs w:val="20"/>
                <w:color w:val="auto"/>
              </w:rPr>
            </w:pPr>
            <w:r>
              <w:rPr>
                <w:rFonts w:ascii="Arial" w:cs="Arial" w:eastAsia="Arial" w:hAnsi="Arial"/>
                <w:sz w:val="18"/>
                <w:szCs w:val="18"/>
                <w:color w:val="auto"/>
              </w:rPr>
              <w:t>276</w:t>
            </w:r>
          </w:p>
        </w:tc>
      </w:tr>
      <w:tr>
        <w:trPr>
          <w:trHeight w:val="27"/>
        </w:trPr>
        <w:tc>
          <w:tcPr>
            <w:tcW w:w="65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6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Stock-based compensation expense</w:t>
            </w:r>
          </w:p>
        </w:tc>
        <w:tc>
          <w:tcPr>
            <w:tcW w:w="28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52"/>
              <w:spacing w:after="0"/>
              <w:rPr>
                <w:sz w:val="20"/>
                <w:szCs w:val="20"/>
                <w:color w:val="auto"/>
              </w:rPr>
            </w:pPr>
            <w:r>
              <w:rPr>
                <w:rFonts w:ascii="Arial" w:cs="Arial" w:eastAsia="Arial" w:hAnsi="Arial"/>
                <w:sz w:val="18"/>
                <w:szCs w:val="18"/>
                <w:color w:val="auto"/>
              </w:rPr>
              <w:t>9,287</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73"/>
              <w:spacing w:after="0"/>
              <w:rPr>
                <w:sz w:val="20"/>
                <w:szCs w:val="20"/>
                <w:color w:val="auto"/>
              </w:rPr>
            </w:pPr>
            <w:r>
              <w:rPr>
                <w:rFonts w:ascii="Arial" w:cs="Arial" w:eastAsia="Arial" w:hAnsi="Arial"/>
                <w:sz w:val="18"/>
                <w:szCs w:val="18"/>
                <w:color w:val="auto"/>
              </w:rPr>
              <w:t>12,893</w:t>
            </w:r>
          </w:p>
        </w:tc>
        <w:tc>
          <w:tcPr>
            <w:tcW w:w="3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32"/>
              <w:spacing w:after="0"/>
              <w:rPr>
                <w:sz w:val="20"/>
                <w:szCs w:val="20"/>
                <w:color w:val="auto"/>
              </w:rPr>
            </w:pPr>
            <w:r>
              <w:rPr>
                <w:rFonts w:ascii="Arial" w:cs="Arial" w:eastAsia="Arial" w:hAnsi="Arial"/>
                <w:sz w:val="18"/>
                <w:szCs w:val="18"/>
                <w:color w:val="auto"/>
              </w:rPr>
              <w:t>12,965</w:t>
            </w:r>
          </w:p>
        </w:tc>
      </w:tr>
      <w:tr>
        <w:trPr>
          <w:trHeight w:val="243"/>
        </w:trPr>
        <w:tc>
          <w:tcPr>
            <w:tcW w:w="6500" w:type="dxa"/>
            <w:vAlign w:val="bottom"/>
          </w:tcPr>
          <w:p>
            <w:pPr>
              <w:ind w:left="40"/>
              <w:spacing w:after="0"/>
              <w:rPr>
                <w:sz w:val="20"/>
                <w:szCs w:val="20"/>
                <w:color w:val="auto"/>
              </w:rPr>
            </w:pPr>
            <w:r>
              <w:rPr>
                <w:rFonts w:ascii="Arial" w:cs="Arial" w:eastAsia="Arial" w:hAnsi="Arial"/>
                <w:sz w:val="18"/>
                <w:szCs w:val="18"/>
                <w:color w:val="auto"/>
              </w:rPr>
              <w:t>Medical device DVT expenses</w:t>
            </w:r>
          </w:p>
        </w:tc>
        <w:tc>
          <w:tcPr>
            <w:tcW w:w="280" w:type="dxa"/>
            <w:vAlign w:val="bottom"/>
          </w:tcPr>
          <w:p>
            <w:pPr>
              <w:spacing w:after="0"/>
              <w:rPr>
                <w:sz w:val="21"/>
                <w:szCs w:val="21"/>
                <w:color w:val="auto"/>
              </w:rPr>
            </w:pPr>
          </w:p>
        </w:tc>
        <w:tc>
          <w:tcPr>
            <w:tcW w:w="138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1320" w:type="dxa"/>
            <w:vAlign w:val="bottom"/>
          </w:tcPr>
          <w:p>
            <w:pPr>
              <w:jc w:val="right"/>
              <w:ind w:right="173"/>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1"/>
                <w:szCs w:val="21"/>
                <w:color w:val="auto"/>
              </w:rPr>
            </w:pPr>
          </w:p>
        </w:tc>
        <w:tc>
          <w:tcPr>
            <w:tcW w:w="1300" w:type="dxa"/>
            <w:vAlign w:val="bottom"/>
          </w:tcPr>
          <w:p>
            <w:pPr>
              <w:jc w:val="right"/>
              <w:ind w:right="132"/>
              <w:spacing w:after="0"/>
              <w:rPr>
                <w:sz w:val="20"/>
                <w:szCs w:val="20"/>
                <w:color w:val="auto"/>
              </w:rPr>
            </w:pPr>
            <w:r>
              <w:rPr>
                <w:rFonts w:ascii="Arial" w:cs="Arial" w:eastAsia="Arial" w:hAnsi="Arial"/>
                <w:sz w:val="18"/>
                <w:szCs w:val="18"/>
                <w:color w:val="auto"/>
              </w:rPr>
              <w:t>5,793</w:t>
            </w:r>
          </w:p>
        </w:tc>
      </w:tr>
      <w:tr>
        <w:trPr>
          <w:trHeight w:val="27"/>
        </w:trPr>
        <w:tc>
          <w:tcPr>
            <w:tcW w:w="65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6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Consolidation and optimization expenses</w:t>
            </w:r>
          </w:p>
        </w:tc>
        <w:tc>
          <w:tcPr>
            <w:tcW w:w="28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52"/>
              <w:spacing w:after="0"/>
              <w:rPr>
                <w:sz w:val="20"/>
                <w:szCs w:val="20"/>
                <w:color w:val="auto"/>
              </w:rPr>
            </w:pPr>
            <w:r>
              <w:rPr>
                <w:rFonts w:ascii="Arial" w:cs="Arial" w:eastAsia="Arial" w:hAnsi="Arial"/>
                <w:sz w:val="18"/>
                <w:szCs w:val="18"/>
                <w:color w:val="auto"/>
              </w:rPr>
              <w:t>26,393</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73"/>
              <w:spacing w:after="0"/>
              <w:rPr>
                <w:sz w:val="20"/>
                <w:szCs w:val="20"/>
                <w:color w:val="auto"/>
              </w:rPr>
            </w:pPr>
            <w:r>
              <w:rPr>
                <w:rFonts w:ascii="Arial" w:cs="Arial" w:eastAsia="Arial" w:hAnsi="Arial"/>
                <w:sz w:val="18"/>
                <w:szCs w:val="18"/>
                <w:color w:val="auto"/>
              </w:rPr>
              <w:t>11,188</w:t>
            </w:r>
          </w:p>
        </w:tc>
        <w:tc>
          <w:tcPr>
            <w:tcW w:w="3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32"/>
              <w:spacing w:after="0"/>
              <w:rPr>
                <w:sz w:val="20"/>
                <w:szCs w:val="20"/>
                <w:color w:val="auto"/>
              </w:rPr>
            </w:pPr>
            <w:r>
              <w:rPr>
                <w:rFonts w:ascii="Arial" w:cs="Arial" w:eastAsia="Arial" w:hAnsi="Arial"/>
                <w:sz w:val="18"/>
                <w:szCs w:val="18"/>
                <w:color w:val="auto"/>
              </w:rPr>
              <w:t>14,758</w:t>
            </w:r>
          </w:p>
        </w:tc>
      </w:tr>
      <w:tr>
        <w:trPr>
          <w:trHeight w:val="243"/>
        </w:trPr>
        <w:tc>
          <w:tcPr>
            <w:tcW w:w="6500" w:type="dxa"/>
            <w:vAlign w:val="bottom"/>
          </w:tcPr>
          <w:p>
            <w:pPr>
              <w:ind w:left="40"/>
              <w:spacing w:after="0"/>
              <w:rPr>
                <w:sz w:val="20"/>
                <w:szCs w:val="20"/>
                <w:color w:val="auto"/>
              </w:rPr>
            </w:pPr>
            <w:r>
              <w:rPr>
                <w:rFonts w:ascii="Arial" w:cs="Arial" w:eastAsia="Arial" w:hAnsi="Arial"/>
                <w:sz w:val="18"/>
                <w:szCs w:val="18"/>
                <w:color w:val="auto"/>
              </w:rPr>
              <w:t>Acquisition and integration expenses (income)</w:t>
            </w:r>
          </w:p>
        </w:tc>
        <w:tc>
          <w:tcPr>
            <w:tcW w:w="280" w:type="dxa"/>
            <w:vAlign w:val="bottom"/>
          </w:tcPr>
          <w:p>
            <w:pPr>
              <w:spacing w:after="0"/>
              <w:rPr>
                <w:sz w:val="21"/>
                <w:szCs w:val="21"/>
                <w:color w:val="auto"/>
              </w:rPr>
            </w:pPr>
          </w:p>
        </w:tc>
        <w:tc>
          <w:tcPr>
            <w:tcW w:w="1280" w:type="dxa"/>
            <w:vAlign w:val="bottom"/>
          </w:tcPr>
          <w:p>
            <w:pPr>
              <w:jc w:val="right"/>
              <w:ind w:right="152"/>
              <w:spacing w:after="0"/>
              <w:rPr>
                <w:sz w:val="20"/>
                <w:szCs w:val="20"/>
                <w:color w:val="auto"/>
              </w:rPr>
            </w:pPr>
            <w:r>
              <w:rPr>
                <w:rFonts w:ascii="Arial" w:cs="Arial" w:eastAsia="Arial" w:hAnsi="Arial"/>
                <w:sz w:val="18"/>
                <w:szCs w:val="18"/>
                <w:color w:val="auto"/>
              </w:rPr>
              <w:t>33,449</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320" w:type="dxa"/>
            <w:vAlign w:val="bottom"/>
          </w:tcPr>
          <w:p>
            <w:pPr>
              <w:jc w:val="right"/>
              <w:ind w:right="173"/>
              <w:spacing w:after="0"/>
              <w:rPr>
                <w:sz w:val="20"/>
                <w:szCs w:val="20"/>
                <w:color w:val="auto"/>
              </w:rPr>
            </w:pPr>
            <w:r>
              <w:rPr>
                <w:rFonts w:ascii="Arial" w:cs="Arial" w:eastAsia="Arial" w:hAnsi="Arial"/>
                <w:sz w:val="18"/>
                <w:szCs w:val="18"/>
                <w:color w:val="auto"/>
              </w:rPr>
              <w:t>3</w:t>
            </w:r>
          </w:p>
        </w:tc>
        <w:tc>
          <w:tcPr>
            <w:tcW w:w="360" w:type="dxa"/>
            <w:vAlign w:val="bottom"/>
          </w:tcPr>
          <w:p>
            <w:pPr>
              <w:spacing w:after="0"/>
              <w:rPr>
                <w:sz w:val="21"/>
                <w:szCs w:val="21"/>
                <w:color w:val="auto"/>
              </w:rPr>
            </w:pPr>
          </w:p>
        </w:tc>
        <w:tc>
          <w:tcPr>
            <w:tcW w:w="1300" w:type="dxa"/>
            <w:vAlign w:val="bottom"/>
          </w:tcPr>
          <w:p>
            <w:pPr>
              <w:jc w:val="right"/>
              <w:ind w:right="72"/>
              <w:spacing w:after="0"/>
              <w:rPr>
                <w:sz w:val="20"/>
                <w:szCs w:val="20"/>
                <w:color w:val="auto"/>
              </w:rPr>
            </w:pPr>
            <w:r>
              <w:rPr>
                <w:rFonts w:ascii="Arial" w:cs="Arial" w:eastAsia="Arial" w:hAnsi="Arial"/>
                <w:sz w:val="18"/>
                <w:szCs w:val="18"/>
                <w:color w:val="auto"/>
              </w:rPr>
              <w:t>(502)</w:t>
            </w:r>
          </w:p>
        </w:tc>
      </w:tr>
      <w:tr>
        <w:trPr>
          <w:trHeight w:val="27"/>
        </w:trPr>
        <w:tc>
          <w:tcPr>
            <w:tcW w:w="65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6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Asset dispositions, severance and other</w:t>
            </w:r>
          </w:p>
        </w:tc>
        <w:tc>
          <w:tcPr>
            <w:tcW w:w="28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52"/>
              <w:spacing w:after="0"/>
              <w:rPr>
                <w:sz w:val="20"/>
                <w:szCs w:val="20"/>
                <w:color w:val="auto"/>
              </w:rPr>
            </w:pPr>
            <w:r>
              <w:rPr>
                <w:rFonts w:ascii="Arial" w:cs="Arial" w:eastAsia="Arial" w:hAnsi="Arial"/>
                <w:sz w:val="18"/>
                <w:szCs w:val="18"/>
                <w:color w:val="auto"/>
              </w:rPr>
              <w:t>6,622</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73"/>
              <w:spacing w:after="0"/>
              <w:rPr>
                <w:sz w:val="20"/>
                <w:szCs w:val="20"/>
                <w:color w:val="auto"/>
              </w:rPr>
            </w:pPr>
            <w:r>
              <w:rPr>
                <w:rFonts w:ascii="Arial" w:cs="Arial" w:eastAsia="Arial" w:hAnsi="Arial"/>
                <w:sz w:val="18"/>
                <w:szCs w:val="18"/>
                <w:color w:val="auto"/>
              </w:rPr>
              <w:t>4,106</w:t>
            </w:r>
          </w:p>
        </w:tc>
        <w:tc>
          <w:tcPr>
            <w:tcW w:w="3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32"/>
              <w:spacing w:after="0"/>
              <w:rPr>
                <w:sz w:val="20"/>
                <w:szCs w:val="20"/>
                <w:color w:val="auto"/>
              </w:rPr>
            </w:pPr>
            <w:r>
              <w:rPr>
                <w:rFonts w:ascii="Arial" w:cs="Arial" w:eastAsia="Arial" w:hAnsi="Arial"/>
                <w:sz w:val="18"/>
                <w:szCs w:val="18"/>
                <w:color w:val="auto"/>
              </w:rPr>
              <w:t>1,534</w:t>
            </w:r>
          </w:p>
        </w:tc>
      </w:tr>
      <w:tr>
        <w:trPr>
          <w:trHeight w:val="243"/>
        </w:trPr>
        <w:tc>
          <w:tcPr>
            <w:tcW w:w="6500" w:type="dxa"/>
            <w:vAlign w:val="bottom"/>
          </w:tcPr>
          <w:p>
            <w:pPr>
              <w:ind w:left="40"/>
              <w:spacing w:after="0"/>
              <w:rPr>
                <w:sz w:val="20"/>
                <w:szCs w:val="20"/>
                <w:color w:val="auto"/>
              </w:rPr>
            </w:pPr>
            <w:r>
              <w:rPr>
                <w:rFonts w:ascii="Arial" w:cs="Arial" w:eastAsia="Arial" w:hAnsi="Arial"/>
                <w:sz w:val="18"/>
                <w:szCs w:val="18"/>
                <w:color w:val="auto"/>
              </w:rPr>
              <w:t>Noncash (gain) loss on cost and equity method investments</w:t>
            </w:r>
          </w:p>
        </w:tc>
        <w:tc>
          <w:tcPr>
            <w:tcW w:w="280" w:type="dxa"/>
            <w:vAlign w:val="bottom"/>
          </w:tcPr>
          <w:p>
            <w:pPr>
              <w:spacing w:after="0"/>
              <w:rPr>
                <w:sz w:val="21"/>
                <w:szCs w:val="21"/>
                <w:color w:val="auto"/>
              </w:rPr>
            </w:pPr>
          </w:p>
        </w:tc>
        <w:tc>
          <w:tcPr>
            <w:tcW w:w="1280" w:type="dxa"/>
            <w:vAlign w:val="bottom"/>
          </w:tcPr>
          <w:p>
            <w:pPr>
              <w:jc w:val="right"/>
              <w:ind w:right="152"/>
              <w:spacing w:after="0"/>
              <w:rPr>
                <w:sz w:val="20"/>
                <w:szCs w:val="20"/>
                <w:color w:val="auto"/>
              </w:rPr>
            </w:pPr>
            <w:r>
              <w:rPr>
                <w:rFonts w:ascii="Arial" w:cs="Arial" w:eastAsia="Arial" w:hAnsi="Arial"/>
                <w:sz w:val="18"/>
                <w:szCs w:val="18"/>
                <w:color w:val="auto"/>
              </w:rPr>
              <w:t>275</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320" w:type="dxa"/>
            <w:vAlign w:val="bottom"/>
          </w:tcPr>
          <w:p>
            <w:pPr>
              <w:jc w:val="right"/>
              <w:ind w:right="113"/>
              <w:spacing w:after="0"/>
              <w:rPr>
                <w:sz w:val="20"/>
                <w:szCs w:val="20"/>
                <w:color w:val="auto"/>
              </w:rPr>
            </w:pPr>
            <w:r>
              <w:rPr>
                <w:rFonts w:ascii="Arial" w:cs="Arial" w:eastAsia="Arial" w:hAnsi="Arial"/>
                <w:sz w:val="18"/>
                <w:szCs w:val="18"/>
                <w:color w:val="auto"/>
              </w:rPr>
              <w:t>(1,190)</w:t>
            </w:r>
          </w:p>
        </w:tc>
        <w:tc>
          <w:tcPr>
            <w:tcW w:w="360" w:type="dxa"/>
            <w:vAlign w:val="bottom"/>
          </w:tcPr>
          <w:p>
            <w:pPr>
              <w:spacing w:after="0"/>
              <w:rPr>
                <w:sz w:val="21"/>
                <w:szCs w:val="21"/>
                <w:color w:val="auto"/>
              </w:rPr>
            </w:pPr>
          </w:p>
        </w:tc>
        <w:tc>
          <w:tcPr>
            <w:tcW w:w="1300" w:type="dxa"/>
            <w:vAlign w:val="bottom"/>
          </w:tcPr>
          <w:p>
            <w:pPr>
              <w:jc w:val="right"/>
              <w:ind w:right="132"/>
              <w:spacing w:after="0"/>
              <w:rPr>
                <w:sz w:val="20"/>
                <w:szCs w:val="20"/>
                <w:color w:val="auto"/>
              </w:rPr>
            </w:pPr>
            <w:r>
              <w:rPr>
                <w:rFonts w:ascii="Arial" w:cs="Arial" w:eastAsia="Arial" w:hAnsi="Arial"/>
                <w:sz w:val="18"/>
                <w:szCs w:val="18"/>
                <w:color w:val="auto"/>
              </w:rPr>
              <w:t>694</w:t>
            </w:r>
          </w:p>
        </w:tc>
      </w:tr>
      <w:tr>
        <w:trPr>
          <w:trHeight w:val="27"/>
        </w:trPr>
        <w:tc>
          <w:tcPr>
            <w:tcW w:w="65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57"/>
        </w:trPr>
        <w:tc>
          <w:tcPr>
            <w:tcW w:w="65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Adjusted EBITDA</w:t>
            </w:r>
          </w:p>
        </w:tc>
        <w:tc>
          <w:tcPr>
            <w:tcW w:w="28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280" w:type="dxa"/>
            <w:vAlign w:val="bottom"/>
            <w:tcBorders>
              <w:bottom w:val="single" w:sz="8" w:color="auto"/>
            </w:tcBorders>
            <w:shd w:val="clear" w:color="auto" w:fill="CCEEFF"/>
          </w:tcPr>
          <w:p>
            <w:pPr>
              <w:jc w:val="right"/>
              <w:ind w:right="152"/>
              <w:spacing w:after="0"/>
              <w:rPr>
                <w:sz w:val="20"/>
                <w:szCs w:val="20"/>
                <w:color w:val="auto"/>
              </w:rPr>
            </w:pPr>
            <w:r>
              <w:rPr>
                <w:rFonts w:ascii="Arial" w:cs="Arial" w:eastAsia="Arial" w:hAnsi="Arial"/>
                <w:sz w:val="18"/>
                <w:szCs w:val="18"/>
                <w:color w:val="auto"/>
              </w:rPr>
              <w:t>165,874</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auto"/>
            </w:tcBorders>
            <w:shd w:val="clear" w:color="auto" w:fill="CCEEFF"/>
          </w:tcPr>
          <w:p>
            <w:pPr>
              <w:jc w:val="right"/>
              <w:ind w:right="173"/>
              <w:spacing w:after="0"/>
              <w:rPr>
                <w:sz w:val="20"/>
                <w:szCs w:val="20"/>
                <w:color w:val="auto"/>
              </w:rPr>
            </w:pPr>
            <w:r>
              <w:rPr>
                <w:rFonts w:ascii="Arial" w:cs="Arial" w:eastAsia="Arial" w:hAnsi="Arial"/>
                <w:sz w:val="18"/>
                <w:szCs w:val="18"/>
                <w:color w:val="auto"/>
              </w:rPr>
              <w:t>147,790</w:t>
            </w:r>
          </w:p>
        </w:tc>
        <w:tc>
          <w:tcPr>
            <w:tcW w:w="36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300" w:type="dxa"/>
            <w:vAlign w:val="bottom"/>
            <w:tcBorders>
              <w:bottom w:val="single" w:sz="8" w:color="auto"/>
            </w:tcBorders>
            <w:shd w:val="clear" w:color="auto" w:fill="CCEEFF"/>
          </w:tcPr>
          <w:p>
            <w:pPr>
              <w:jc w:val="right"/>
              <w:ind w:right="132"/>
              <w:spacing w:after="0"/>
              <w:rPr>
                <w:sz w:val="20"/>
                <w:szCs w:val="20"/>
                <w:color w:val="auto"/>
              </w:rPr>
            </w:pPr>
            <w:r>
              <w:rPr>
                <w:rFonts w:ascii="Arial" w:cs="Arial" w:eastAsia="Arial" w:hAnsi="Arial"/>
                <w:sz w:val="18"/>
                <w:szCs w:val="18"/>
                <w:color w:val="auto"/>
              </w:rPr>
              <w:t>131,583</w:t>
            </w:r>
          </w:p>
        </w:tc>
      </w:tr>
      <w:tr>
        <w:trPr>
          <w:trHeight w:val="20"/>
        </w:trPr>
        <w:tc>
          <w:tcPr>
            <w:tcW w:w="65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r>
      <w:tr>
        <w:trPr>
          <w:trHeight w:val="230"/>
        </w:trPr>
        <w:tc>
          <w:tcPr>
            <w:tcW w:w="6500" w:type="dxa"/>
            <w:vAlign w:val="bottom"/>
          </w:tcPr>
          <w:p>
            <w:pPr>
              <w:ind w:left="280"/>
              <w:spacing w:after="0"/>
              <w:rPr>
                <w:sz w:val="20"/>
                <w:szCs w:val="20"/>
                <w:color w:val="auto"/>
              </w:rPr>
            </w:pPr>
            <w:r>
              <w:rPr>
                <w:rFonts w:ascii="Arial" w:cs="Arial" w:eastAsia="Arial" w:hAnsi="Arial"/>
                <w:sz w:val="18"/>
                <w:szCs w:val="18"/>
                <w:color w:val="auto"/>
              </w:rPr>
              <w:t>Adjusted EBITDA as a % of sales</w:t>
            </w:r>
          </w:p>
        </w:tc>
        <w:tc>
          <w:tcPr>
            <w:tcW w:w="28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20.7%</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320" w:type="dxa"/>
            <w:vAlign w:val="bottom"/>
          </w:tcPr>
          <w:p>
            <w:pPr>
              <w:jc w:val="right"/>
              <w:ind w:right="13"/>
              <w:spacing w:after="0"/>
              <w:rPr>
                <w:sz w:val="20"/>
                <w:szCs w:val="20"/>
                <w:color w:val="auto"/>
              </w:rPr>
            </w:pPr>
            <w:r>
              <w:rPr>
                <w:rFonts w:ascii="Arial" w:cs="Arial" w:eastAsia="Arial" w:hAnsi="Arial"/>
                <w:sz w:val="18"/>
                <w:szCs w:val="18"/>
                <w:color w:val="auto"/>
              </w:rPr>
              <w:t>21.5%</w:t>
            </w:r>
          </w:p>
        </w:tc>
        <w:tc>
          <w:tcPr>
            <w:tcW w:w="360" w:type="dxa"/>
            <w:vAlign w:val="bottom"/>
          </w:tcPr>
          <w:p>
            <w:pPr>
              <w:spacing w:after="0"/>
              <w:rPr>
                <w:sz w:val="20"/>
                <w:szCs w:val="20"/>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19.8%</w:t>
            </w:r>
          </w:p>
        </w:tc>
      </w:tr>
    </w:tbl>
    <w:p>
      <w:pPr>
        <w:spacing w:after="0" w:line="121" w:lineRule="exact"/>
        <w:rPr>
          <w:sz w:val="20"/>
          <w:szCs w:val="20"/>
          <w:color w:val="auto"/>
        </w:rPr>
      </w:pPr>
    </w:p>
    <w:p>
      <w:pPr>
        <w:ind w:left="80" w:right="160" w:firstLine="648"/>
        <w:spacing w:after="0" w:line="277" w:lineRule="auto"/>
        <w:rPr>
          <w:sz w:val="20"/>
          <w:szCs w:val="20"/>
          <w:color w:val="auto"/>
        </w:rPr>
      </w:pPr>
      <w:r>
        <w:rPr>
          <w:rFonts w:ascii="Arial" w:cs="Arial" w:eastAsia="Arial" w:hAnsi="Arial"/>
          <w:sz w:val="18"/>
          <w:szCs w:val="18"/>
          <w:color w:val="auto"/>
        </w:rPr>
        <w:t>The changes in adjusted EBITDA for fiscal year 2015 versus fiscal year 2014 and 2013 are the result of the same factors that drove the changes in adjusted diluted EPS as discussed above.</w:t>
      </w:r>
    </w:p>
    <w:p>
      <w:pPr>
        <w:spacing w:after="0" w:line="170" w:lineRule="exact"/>
        <w:rPr>
          <w:sz w:val="20"/>
          <w:szCs w:val="20"/>
          <w:color w:val="auto"/>
        </w:rPr>
      </w:pPr>
    </w:p>
    <w:p>
      <w:pPr>
        <w:ind w:right="40"/>
        <w:spacing w:after="0" w:line="257" w:lineRule="auto"/>
        <w:rPr>
          <w:sz w:val="20"/>
          <w:szCs w:val="20"/>
          <w:color w:val="auto"/>
        </w:rPr>
      </w:pPr>
      <w:r>
        <w:rPr>
          <w:rFonts w:ascii="Arial" w:cs="Arial" w:eastAsia="Arial" w:hAnsi="Arial"/>
          <w:sz w:val="18"/>
          <w:szCs w:val="18"/>
          <w:u w:val="single" w:color="auto"/>
          <w:color w:val="auto"/>
        </w:rPr>
        <w:t>Medical Device Systems</w:t>
      </w:r>
      <w:r>
        <w:rPr>
          <w:rFonts w:ascii="Arial" w:cs="Arial" w:eastAsia="Arial" w:hAnsi="Arial"/>
          <w:sz w:val="18"/>
          <w:szCs w:val="18"/>
          <w:color w:val="auto"/>
        </w:rPr>
        <w:t xml:space="preserve"> – In 2008, we began evolving our product offerings to include the development of complete medical device systems in order to raise the growth and profitability profile of our Company. This medical device systems strategy is being facilitated through QiG and leverages the component technology of Greatbatch Medical. More specifically, this strategy includes the development of a neuromodulation platform that can be used to support multiple devices. Algovita, the first application of QiG’s neurostimulation technology platform, is indicated for the treatment of chronic pain of the trunk and limbs.</w:t>
      </w:r>
    </w:p>
    <w:p>
      <w:pPr>
        <w:sectPr>
          <w:pgSz w:w="11900" w:h="16838" w:orient="portrait"/>
          <w:cols w:equalWidth="0" w:num="1">
            <w:col w:w="11420"/>
          </w:cols>
          <w:pgMar w:left="240" w:top="909" w:right="239" w:bottom="1440" w:gutter="0" w:footer="0" w:header="0"/>
        </w:sectPr>
      </w:pPr>
    </w:p>
    <w:p>
      <w:pPr>
        <w:spacing w:after="0" w:line="32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- 40 -</w:t>
      </w:r>
    </w:p>
    <w:p>
      <w:pPr>
        <w:sectPr>
          <w:pgSz w:w="11900" w:h="16838" w:orient="portrait"/>
          <w:cols w:equalWidth="0" w:num="1">
            <w:col w:w="11420"/>
          </w:cols>
          <w:pgMar w:left="240" w:top="909" w:right="239" w:bottom="1440" w:gutter="0" w:footer="0" w:header="0"/>
          <w:type w:val="continuous"/>
        </w:sectPr>
      </w:pPr>
    </w:p>
    <w:bookmarkStart w:id="41" w:name="page42"/>
    <w:bookmarkEnd w:id="41"/>
    <w:p>
      <w:pPr>
        <w:ind w:right="40"/>
        <w:spacing w:after="0" w:line="257" w:lineRule="auto"/>
        <w:rPr>
          <w:sz w:val="20"/>
          <w:szCs w:val="20"/>
          <w:color w:val="auto"/>
        </w:rPr>
      </w:pPr>
      <w:r>
        <w:rPr>
          <w:rFonts w:ascii="Arial" w:cs="Arial" w:eastAsia="Arial" w:hAnsi="Arial"/>
          <w:sz w:val="18"/>
          <w:szCs w:val="18"/>
          <w:color w:val="auto"/>
        </w:rPr>
        <w:t>Algovita received CE Mark approval during 2014 and PMA approval during the fourth quarter of 2015. QiG anticipates launching Algovita commercially in the United States during the first half of 2016. Net medical device costs incurred by QiG were $25.9 for 2015 compared to $23.3 million for 2014 and $30.5 million for 2013. Medical device costs for 2013 include $5.8 million of DVT costs incurred in connection with the development of Algovita. After the pending Spin-off is completed, our design and development of complete medical device systems will be completed by the combined teams in Greatbatch Medical, Lake Region Medical, and CCC.</w:t>
      </w:r>
    </w:p>
    <w:p>
      <w:pPr>
        <w:spacing w:after="0" w:line="188" w:lineRule="exact"/>
        <w:rPr>
          <w:sz w:val="20"/>
          <w:szCs w:val="20"/>
          <w:color w:val="auto"/>
        </w:rPr>
      </w:pPr>
    </w:p>
    <w:p>
      <w:pPr>
        <w:spacing w:after="0" w:line="257" w:lineRule="auto"/>
        <w:rPr>
          <w:sz w:val="20"/>
          <w:szCs w:val="20"/>
          <w:color w:val="auto"/>
        </w:rPr>
      </w:pPr>
      <w:r>
        <w:rPr>
          <w:rFonts w:ascii="Arial" w:cs="Arial" w:eastAsia="Arial" w:hAnsi="Arial"/>
          <w:sz w:val="18"/>
          <w:szCs w:val="18"/>
          <w:u w:val="single" w:color="auto"/>
          <w:color w:val="auto"/>
        </w:rPr>
        <w:t>Targeted Acquisitions</w:t>
      </w:r>
      <w:r>
        <w:rPr>
          <w:rFonts w:ascii="Arial" w:cs="Arial" w:eastAsia="Arial" w:hAnsi="Arial"/>
          <w:sz w:val="18"/>
          <w:szCs w:val="18"/>
          <w:color w:val="auto"/>
        </w:rPr>
        <w:t xml:space="preserve"> – The results for 2015, 2014 and 2013 include the impact of our acquisition of Lake Region Medical in October 2015, CCC in August 2014, and NeuroNexus in February 2012. Going forward, we will continue to evaluate certain acquisition opportunities to either enhance our top and bottom line growth trajectory, and/or expand our pipeline technologies. Our strategic criteria for these acquisitions is that they should drive expansion in our core markets, allow us to enter adjacent growth markets, focus on proprietary technology, can be tightly integrated into our operating base, and enhance our return on invested capital.</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Cost Savings and Consolidation Efforts</w:t>
      </w:r>
    </w:p>
    <w:p>
      <w:pPr>
        <w:spacing w:after="0" w:line="229" w:lineRule="exact"/>
        <w:rPr>
          <w:sz w:val="20"/>
          <w:szCs w:val="20"/>
          <w:color w:val="auto"/>
        </w:rPr>
      </w:pPr>
    </w:p>
    <w:p>
      <w:pPr>
        <w:ind w:right="420"/>
        <w:spacing w:after="0" w:line="277" w:lineRule="auto"/>
        <w:rPr>
          <w:sz w:val="20"/>
          <w:szCs w:val="20"/>
          <w:color w:val="auto"/>
        </w:rPr>
      </w:pPr>
      <w:r>
        <w:rPr>
          <w:rFonts w:ascii="Arial" w:cs="Arial" w:eastAsia="Arial" w:hAnsi="Arial"/>
          <w:sz w:val="18"/>
          <w:szCs w:val="18"/>
          <w:color w:val="auto"/>
        </w:rPr>
        <w:t>In 2015, 2014, and 2013, we recorded charges in OOE related to various cost savings and consolidation initiatives. These initiatives were undertaken to improve our operational efficiencies and profitability the most significant of which are as follows (dollars in millions):</w:t>
      </w:r>
    </w:p>
    <w:p>
      <w:pPr>
        <w:spacing w:after="0" w:line="11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40" w:type="dxa"/>
            <w:vAlign w:val="bottom"/>
            <w:gridSpan w:val="3"/>
          </w:tcPr>
          <w:p>
            <w:pPr>
              <w:jc w:val="center"/>
              <w:ind w:right="120"/>
              <w:spacing w:after="0"/>
              <w:rPr>
                <w:sz w:val="20"/>
                <w:szCs w:val="20"/>
                <w:color w:val="auto"/>
              </w:rPr>
            </w:pPr>
            <w:r>
              <w:rPr>
                <w:rFonts w:ascii="Arial" w:cs="Arial" w:eastAsia="Arial" w:hAnsi="Arial"/>
                <w:sz w:val="18"/>
                <w:szCs w:val="18"/>
                <w:b w:val="1"/>
                <w:bCs w:val="1"/>
                <w:color w:val="auto"/>
                <w:w w:val="87"/>
              </w:rPr>
              <w:t>Expected</w:t>
            </w:r>
          </w:p>
        </w:tc>
        <w:tc>
          <w:tcPr>
            <w:tcW w:w="1540" w:type="dxa"/>
            <w:vAlign w:val="bottom"/>
          </w:tcPr>
          <w:p>
            <w:pPr>
              <w:spacing w:after="0"/>
              <w:rPr>
                <w:sz w:val="18"/>
                <w:szCs w:val="18"/>
                <w:color w:val="auto"/>
              </w:rPr>
            </w:pPr>
          </w:p>
        </w:tc>
      </w:tr>
      <w:tr>
        <w:trPr>
          <w:trHeight w:val="216"/>
        </w:trPr>
        <w:tc>
          <w:tcPr>
            <w:tcW w:w="5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6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9"/>
              </w:rPr>
              <w:t>Expected</w:t>
            </w:r>
          </w:p>
        </w:tc>
        <w:tc>
          <w:tcPr>
            <w:tcW w:w="1440" w:type="dxa"/>
            <w:vAlign w:val="bottom"/>
            <w:gridSpan w:val="3"/>
          </w:tcPr>
          <w:p>
            <w:pPr>
              <w:jc w:val="center"/>
              <w:ind w:right="100"/>
              <w:spacing w:after="0"/>
              <w:rPr>
                <w:sz w:val="20"/>
                <w:szCs w:val="20"/>
                <w:color w:val="auto"/>
              </w:rPr>
            </w:pPr>
            <w:r>
              <w:rPr>
                <w:rFonts w:ascii="Arial" w:cs="Arial" w:eastAsia="Arial" w:hAnsi="Arial"/>
                <w:sz w:val="18"/>
                <w:szCs w:val="18"/>
                <w:b w:val="1"/>
                <w:bCs w:val="1"/>
                <w:color w:val="auto"/>
                <w:w w:val="87"/>
              </w:rPr>
              <w:t>Expected</w:t>
            </w:r>
          </w:p>
        </w:tc>
        <w:tc>
          <w:tcPr>
            <w:tcW w:w="1340" w:type="dxa"/>
            <w:vAlign w:val="bottom"/>
            <w:gridSpan w:val="3"/>
          </w:tcPr>
          <w:p>
            <w:pPr>
              <w:jc w:val="center"/>
              <w:ind w:right="100"/>
              <w:spacing w:after="0"/>
              <w:rPr>
                <w:sz w:val="20"/>
                <w:szCs w:val="20"/>
                <w:color w:val="auto"/>
              </w:rPr>
            </w:pPr>
            <w:r>
              <w:rPr>
                <w:rFonts w:ascii="Arial" w:cs="Arial" w:eastAsia="Arial" w:hAnsi="Arial"/>
                <w:sz w:val="18"/>
                <w:szCs w:val="18"/>
                <w:b w:val="1"/>
                <w:bCs w:val="1"/>
                <w:color w:val="auto"/>
                <w:w w:val="90"/>
              </w:rPr>
              <w:t>Annual Cost</w:t>
            </w:r>
          </w:p>
        </w:tc>
        <w:tc>
          <w:tcPr>
            <w:tcW w:w="1540" w:type="dxa"/>
            <w:vAlign w:val="bottom"/>
          </w:tcPr>
          <w:p>
            <w:pPr>
              <w:jc w:val="center"/>
              <w:spacing w:after="0"/>
              <w:rPr>
                <w:sz w:val="20"/>
                <w:szCs w:val="20"/>
                <w:color w:val="auto"/>
              </w:rPr>
            </w:pPr>
            <w:r>
              <w:rPr>
                <w:rFonts w:ascii="Arial" w:cs="Arial" w:eastAsia="Arial" w:hAnsi="Arial"/>
                <w:sz w:val="18"/>
                <w:szCs w:val="18"/>
                <w:b w:val="1"/>
                <w:bCs w:val="1"/>
                <w:color w:val="auto"/>
                <w:w w:val="87"/>
              </w:rPr>
              <w:t>Expected</w:t>
            </w:r>
          </w:p>
        </w:tc>
      </w:tr>
      <w:tr>
        <w:trPr>
          <w:trHeight w:val="234"/>
        </w:trPr>
        <w:tc>
          <w:tcPr>
            <w:tcW w:w="5380" w:type="dxa"/>
            <w:vAlign w:val="bottom"/>
            <w:gridSpan w:val="2"/>
          </w:tcPr>
          <w:p>
            <w:pPr>
              <w:ind w:left="2280"/>
              <w:spacing w:after="0"/>
              <w:rPr>
                <w:sz w:val="20"/>
                <w:szCs w:val="20"/>
                <w:color w:val="auto"/>
              </w:rPr>
            </w:pPr>
            <w:r>
              <w:rPr>
                <w:rFonts w:ascii="Arial" w:cs="Arial" w:eastAsia="Arial" w:hAnsi="Arial"/>
                <w:sz w:val="18"/>
                <w:szCs w:val="18"/>
                <w:b w:val="1"/>
                <w:bCs w:val="1"/>
                <w:color w:val="auto"/>
              </w:rPr>
              <w:t>Initiative</w:t>
            </w:r>
          </w:p>
        </w:tc>
        <w:tc>
          <w:tcPr>
            <w:tcW w:w="146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6"/>
              </w:rPr>
              <w:t>Expense</w:t>
            </w:r>
          </w:p>
        </w:tc>
        <w:tc>
          <w:tcPr>
            <w:tcW w:w="1440" w:type="dxa"/>
            <w:vAlign w:val="bottom"/>
            <w:gridSpan w:val="3"/>
          </w:tcPr>
          <w:p>
            <w:pPr>
              <w:jc w:val="center"/>
              <w:ind w:right="100"/>
              <w:spacing w:after="0"/>
              <w:rPr>
                <w:sz w:val="20"/>
                <w:szCs w:val="20"/>
                <w:color w:val="auto"/>
              </w:rPr>
            </w:pPr>
            <w:r>
              <w:rPr>
                <w:rFonts w:ascii="Arial" w:cs="Arial" w:eastAsia="Arial" w:hAnsi="Arial"/>
                <w:sz w:val="18"/>
                <w:szCs w:val="18"/>
                <w:b w:val="1"/>
                <w:bCs w:val="1"/>
                <w:color w:val="auto"/>
                <w:w w:val="96"/>
              </w:rPr>
              <w:t>Capital</w:t>
            </w:r>
          </w:p>
        </w:tc>
        <w:tc>
          <w:tcPr>
            <w:tcW w:w="1340" w:type="dxa"/>
            <w:vAlign w:val="bottom"/>
            <w:gridSpan w:val="3"/>
          </w:tcPr>
          <w:p>
            <w:pPr>
              <w:jc w:val="center"/>
              <w:ind w:right="120"/>
              <w:spacing w:after="0"/>
              <w:rPr>
                <w:sz w:val="20"/>
                <w:szCs w:val="20"/>
                <w:color w:val="auto"/>
              </w:rPr>
            </w:pPr>
            <w:r>
              <w:rPr>
                <w:rFonts w:ascii="Arial" w:cs="Arial" w:eastAsia="Arial" w:hAnsi="Arial"/>
                <w:sz w:val="18"/>
                <w:szCs w:val="18"/>
                <w:b w:val="1"/>
                <w:bCs w:val="1"/>
                <w:color w:val="auto"/>
                <w:w w:val="83"/>
              </w:rPr>
              <w:t>Savings</w:t>
            </w:r>
          </w:p>
        </w:tc>
        <w:tc>
          <w:tcPr>
            <w:tcW w:w="1540" w:type="dxa"/>
            <w:vAlign w:val="bottom"/>
          </w:tcPr>
          <w:p>
            <w:pPr>
              <w:jc w:val="center"/>
              <w:spacing w:after="0"/>
              <w:rPr>
                <w:sz w:val="20"/>
                <w:szCs w:val="20"/>
                <w:color w:val="auto"/>
              </w:rPr>
            </w:pPr>
            <w:r>
              <w:rPr>
                <w:rFonts w:ascii="Arial" w:cs="Arial" w:eastAsia="Arial" w:hAnsi="Arial"/>
                <w:sz w:val="18"/>
                <w:szCs w:val="18"/>
                <w:b w:val="1"/>
                <w:bCs w:val="1"/>
                <w:color w:val="auto"/>
                <w:w w:val="90"/>
              </w:rPr>
              <w:t>Completion Date</w:t>
            </w:r>
          </w:p>
        </w:tc>
      </w:tr>
      <w:tr>
        <w:trPr>
          <w:trHeight w:val="27"/>
        </w:trPr>
        <w:tc>
          <w:tcPr>
            <w:tcW w:w="52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40" w:type="dxa"/>
            <w:vAlign w:val="bottom"/>
            <w:tcBorders>
              <w:bottom w:val="single" w:sz="8" w:color="auto"/>
            </w:tcBorders>
            <w:gridSpan w:val="2"/>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2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r>
      <w:tr>
        <w:trPr>
          <w:trHeight w:val="244"/>
        </w:trPr>
        <w:tc>
          <w:tcPr>
            <w:tcW w:w="53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2014 investments in capacity and capabilities</w:t>
            </w:r>
          </w:p>
        </w:tc>
        <w:tc>
          <w:tcPr>
            <w:tcW w:w="136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rPr>
              <w:t>$34 - $39</w:t>
            </w:r>
          </w:p>
        </w:tc>
        <w:tc>
          <w:tcPr>
            <w:tcW w:w="1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210"/>
              <w:spacing w:after="0"/>
              <w:rPr>
                <w:sz w:val="20"/>
                <w:szCs w:val="20"/>
                <w:color w:val="auto"/>
              </w:rPr>
            </w:pPr>
            <w:r>
              <w:rPr>
                <w:rFonts w:ascii="Arial" w:cs="Arial" w:eastAsia="Arial" w:hAnsi="Arial"/>
                <w:sz w:val="18"/>
                <w:szCs w:val="18"/>
                <w:color w:val="auto"/>
              </w:rPr>
              <w:t>$25 - $28</w:t>
            </w:r>
          </w:p>
        </w:tc>
        <w:tc>
          <w:tcPr>
            <w:tcW w:w="10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center"/>
              <w:spacing w:after="0"/>
              <w:rPr>
                <w:sz w:val="20"/>
                <w:szCs w:val="20"/>
                <w:color w:val="auto"/>
              </w:rPr>
            </w:pPr>
            <w:r>
              <w:rPr>
                <w:rFonts w:ascii="Arial" w:cs="Arial" w:eastAsia="Arial" w:hAnsi="Arial"/>
                <w:sz w:val="18"/>
                <w:szCs w:val="18"/>
                <w:color w:val="auto"/>
                <w:w w:val="92"/>
              </w:rPr>
              <w:t>&gt; $20</w:t>
            </w:r>
          </w:p>
        </w:tc>
        <w:tc>
          <w:tcPr>
            <w:tcW w:w="12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2016</w:t>
            </w:r>
          </w:p>
        </w:tc>
      </w:tr>
      <w:tr>
        <w:trPr>
          <w:trHeight w:val="243"/>
        </w:trPr>
        <w:tc>
          <w:tcPr>
            <w:tcW w:w="5380" w:type="dxa"/>
            <w:vAlign w:val="bottom"/>
            <w:gridSpan w:val="2"/>
          </w:tcPr>
          <w:p>
            <w:pPr>
              <w:ind w:left="40"/>
              <w:spacing w:after="0"/>
              <w:rPr>
                <w:sz w:val="20"/>
                <w:szCs w:val="20"/>
                <w:color w:val="auto"/>
              </w:rPr>
            </w:pPr>
            <w:r>
              <w:rPr>
                <w:rFonts w:ascii="Arial" w:cs="Arial" w:eastAsia="Arial" w:hAnsi="Arial"/>
                <w:sz w:val="18"/>
                <w:szCs w:val="18"/>
                <w:color w:val="auto"/>
              </w:rPr>
              <w:t>Orthopaedic facilities optimization</w:t>
            </w:r>
          </w:p>
        </w:tc>
        <w:tc>
          <w:tcPr>
            <w:tcW w:w="1360" w:type="dxa"/>
            <w:vAlign w:val="bottom"/>
          </w:tcPr>
          <w:p>
            <w:pPr>
              <w:jc w:val="center"/>
              <w:spacing w:after="0"/>
              <w:rPr>
                <w:sz w:val="20"/>
                <w:szCs w:val="20"/>
                <w:color w:val="auto"/>
              </w:rPr>
            </w:pPr>
            <w:r>
              <w:rPr>
                <w:rFonts w:ascii="Arial" w:cs="Arial" w:eastAsia="Arial" w:hAnsi="Arial"/>
                <w:sz w:val="18"/>
                <w:szCs w:val="18"/>
                <w:color w:val="auto"/>
                <w:w w:val="89"/>
              </w:rPr>
              <w:t>$45 - $48</w:t>
            </w:r>
          </w:p>
        </w:tc>
        <w:tc>
          <w:tcPr>
            <w:tcW w:w="100" w:type="dxa"/>
            <w:vAlign w:val="bottom"/>
          </w:tcPr>
          <w:p>
            <w:pPr>
              <w:spacing w:after="0"/>
              <w:rPr>
                <w:sz w:val="21"/>
                <w:szCs w:val="21"/>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$30</w:t>
            </w:r>
          </w:p>
        </w:tc>
        <w:tc>
          <w:tcPr>
            <w:tcW w:w="720" w:type="dxa"/>
            <w:vAlign w:val="bottom"/>
          </w:tcPr>
          <w:p>
            <w:pPr>
              <w:ind w:left="20"/>
              <w:spacing w:after="0"/>
              <w:rPr>
                <w:sz w:val="20"/>
                <w:szCs w:val="20"/>
                <w:color w:val="auto"/>
              </w:rPr>
            </w:pPr>
            <w:r>
              <w:rPr>
                <w:rFonts w:ascii="Arial" w:cs="Arial" w:eastAsia="Arial" w:hAnsi="Arial"/>
                <w:sz w:val="18"/>
                <w:szCs w:val="18"/>
                <w:color w:val="auto"/>
              </w:rPr>
              <w:t>- $35</w:t>
            </w:r>
          </w:p>
        </w:tc>
        <w:tc>
          <w:tcPr>
            <w:tcW w:w="100" w:type="dxa"/>
            <w:vAlign w:val="bottom"/>
          </w:tcPr>
          <w:p>
            <w:pPr>
              <w:spacing w:after="0"/>
              <w:rPr>
                <w:sz w:val="21"/>
                <w:szCs w:val="21"/>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$10</w:t>
            </w:r>
          </w:p>
        </w:tc>
        <w:tc>
          <w:tcPr>
            <w:tcW w:w="660" w:type="dxa"/>
            <w:vAlign w:val="bottom"/>
          </w:tcPr>
          <w:p>
            <w:pPr>
              <w:ind w:left="20"/>
              <w:spacing w:after="0"/>
              <w:rPr>
                <w:sz w:val="20"/>
                <w:szCs w:val="20"/>
                <w:color w:val="auto"/>
              </w:rPr>
            </w:pPr>
            <w:r>
              <w:rPr>
                <w:rFonts w:ascii="Arial" w:cs="Arial" w:eastAsia="Arial" w:hAnsi="Arial"/>
                <w:sz w:val="18"/>
                <w:szCs w:val="18"/>
                <w:color w:val="auto"/>
              </w:rPr>
              <w:t>- $15</w:t>
            </w:r>
          </w:p>
        </w:tc>
        <w:tc>
          <w:tcPr>
            <w:tcW w:w="120" w:type="dxa"/>
            <w:vAlign w:val="bottom"/>
          </w:tcPr>
          <w:p>
            <w:pPr>
              <w:spacing w:after="0"/>
              <w:rPr>
                <w:sz w:val="21"/>
                <w:szCs w:val="21"/>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9"/>
              </w:rPr>
              <w:t>2016</w:t>
            </w:r>
          </w:p>
        </w:tc>
      </w:tr>
      <w:tr>
        <w:trPr>
          <w:trHeight w:val="27"/>
        </w:trPr>
        <w:tc>
          <w:tcPr>
            <w:tcW w:w="5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56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540" w:type="dxa"/>
            <w:vAlign w:val="bottom"/>
          </w:tcPr>
          <w:p>
            <w:pPr>
              <w:spacing w:after="0"/>
              <w:rPr>
                <w:sz w:val="2"/>
                <w:szCs w:val="2"/>
                <w:color w:val="auto"/>
              </w:rPr>
            </w:pPr>
          </w:p>
        </w:tc>
      </w:tr>
      <w:tr>
        <w:trPr>
          <w:trHeight w:val="243"/>
        </w:trPr>
        <w:tc>
          <w:tcPr>
            <w:tcW w:w="538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Legacy Lake Region Medical consolidations</w:t>
            </w:r>
          </w:p>
        </w:tc>
        <w:tc>
          <w:tcPr>
            <w:tcW w:w="13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$13 - $15</w:t>
            </w:r>
          </w:p>
        </w:tc>
        <w:tc>
          <w:tcPr>
            <w:tcW w:w="100" w:type="dxa"/>
            <w:vAlign w:val="bottom"/>
            <w:shd w:val="clear" w:color="auto" w:fill="CCEEFF"/>
          </w:tcPr>
          <w:p>
            <w:pPr>
              <w:spacing w:after="0"/>
              <w:rPr>
                <w:sz w:val="21"/>
                <w:szCs w:val="21"/>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720" w:type="dxa"/>
            <w:vAlign w:val="bottom"/>
            <w:shd w:val="clear" w:color="auto" w:fill="CCEEFF"/>
          </w:tcPr>
          <w:p>
            <w:pPr>
              <w:ind w:left="20"/>
              <w:spacing w:after="0"/>
              <w:rPr>
                <w:sz w:val="20"/>
                <w:szCs w:val="20"/>
                <w:color w:val="auto"/>
              </w:rPr>
            </w:pPr>
            <w:r>
              <w:rPr>
                <w:rFonts w:ascii="Arial" w:cs="Arial" w:eastAsia="Arial" w:hAnsi="Arial"/>
                <w:sz w:val="18"/>
                <w:szCs w:val="18"/>
                <w:color w:val="auto"/>
              </w:rPr>
              <w:t>- $5</w:t>
            </w:r>
          </w:p>
        </w:tc>
        <w:tc>
          <w:tcPr>
            <w:tcW w:w="100" w:type="dxa"/>
            <w:vAlign w:val="bottom"/>
            <w:shd w:val="clear" w:color="auto" w:fill="CCEEFF"/>
          </w:tcPr>
          <w:p>
            <w:pPr>
              <w:spacing w:after="0"/>
              <w:rPr>
                <w:sz w:val="21"/>
                <w:szCs w:val="21"/>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w:t>
            </w:r>
          </w:p>
        </w:tc>
        <w:tc>
          <w:tcPr>
            <w:tcW w:w="660" w:type="dxa"/>
            <w:vAlign w:val="bottom"/>
            <w:shd w:val="clear" w:color="auto" w:fill="CCEEFF"/>
          </w:tcPr>
          <w:p>
            <w:pPr>
              <w:ind w:left="20"/>
              <w:spacing w:after="0"/>
              <w:rPr>
                <w:sz w:val="20"/>
                <w:szCs w:val="20"/>
                <w:color w:val="auto"/>
              </w:rPr>
            </w:pPr>
            <w:r>
              <w:rPr>
                <w:rFonts w:ascii="Arial" w:cs="Arial" w:eastAsia="Arial" w:hAnsi="Arial"/>
                <w:sz w:val="18"/>
                <w:szCs w:val="18"/>
                <w:color w:val="auto"/>
              </w:rPr>
              <w:t>- $9</w:t>
            </w:r>
          </w:p>
        </w:tc>
        <w:tc>
          <w:tcPr>
            <w:tcW w:w="120" w:type="dxa"/>
            <w:vAlign w:val="bottom"/>
            <w:shd w:val="clear" w:color="auto" w:fill="CCEEFF"/>
          </w:tcPr>
          <w:p>
            <w:pPr>
              <w:spacing w:after="0"/>
              <w:rPr>
                <w:sz w:val="21"/>
                <w:szCs w:val="21"/>
                <w:color w:val="auto"/>
              </w:rPr>
            </w:pPr>
          </w:p>
        </w:tc>
        <w:tc>
          <w:tcPr>
            <w:tcW w:w="15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2016</w:t>
            </w:r>
          </w:p>
        </w:tc>
      </w:tr>
      <w:tr>
        <w:trPr>
          <w:trHeight w:val="27"/>
        </w:trPr>
        <w:tc>
          <w:tcPr>
            <w:tcW w:w="526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3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620" w:type="dxa"/>
            <w:vAlign w:val="bottom"/>
            <w:shd w:val="clear" w:color="auto" w:fill="CCEEFF"/>
          </w:tcPr>
          <w:p>
            <w:pPr>
              <w:spacing w:after="0"/>
              <w:rPr>
                <w:sz w:val="2"/>
                <w:szCs w:val="2"/>
                <w:color w:val="auto"/>
              </w:rPr>
            </w:pPr>
          </w:p>
        </w:tc>
        <w:tc>
          <w:tcPr>
            <w:tcW w:w="7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560" w:type="dxa"/>
            <w:vAlign w:val="bottom"/>
            <w:shd w:val="clear" w:color="auto" w:fill="CCEEFF"/>
          </w:tcPr>
          <w:p>
            <w:pPr>
              <w:spacing w:after="0"/>
              <w:rPr>
                <w:sz w:val="2"/>
                <w:szCs w:val="2"/>
                <w:color w:val="auto"/>
              </w:rPr>
            </w:pPr>
          </w:p>
        </w:tc>
        <w:tc>
          <w:tcPr>
            <w:tcW w:w="66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540" w:type="dxa"/>
            <w:vAlign w:val="bottom"/>
            <w:shd w:val="clear" w:color="auto" w:fill="CCEEFF"/>
          </w:tcPr>
          <w:p>
            <w:pPr>
              <w:spacing w:after="0"/>
              <w:rPr>
                <w:sz w:val="2"/>
                <w:szCs w:val="2"/>
                <w:color w:val="auto"/>
              </w:rPr>
            </w:pPr>
          </w:p>
        </w:tc>
      </w:tr>
    </w:tbl>
    <w:p>
      <w:pPr>
        <w:spacing w:after="0" w:line="202" w:lineRule="exact"/>
        <w:rPr>
          <w:sz w:val="20"/>
          <w:szCs w:val="20"/>
          <w:color w:val="auto"/>
        </w:rPr>
      </w:pPr>
    </w:p>
    <w:p>
      <w:pPr>
        <w:ind w:right="20"/>
        <w:spacing w:after="0" w:line="297" w:lineRule="auto"/>
        <w:rPr>
          <w:sz w:val="20"/>
          <w:szCs w:val="20"/>
          <w:color w:val="auto"/>
        </w:rPr>
      </w:pPr>
      <w:r>
        <w:rPr>
          <w:rFonts w:ascii="Arial" w:cs="Arial" w:eastAsia="Arial" w:hAnsi="Arial"/>
          <w:sz w:val="16"/>
          <w:szCs w:val="16"/>
          <w:color w:val="auto"/>
        </w:rPr>
        <w:t>See Note 13 “Other Operating Expenses, Net” of the Notes to Consolidated Financial Statements contained in Item 8 of this report for additional information about the timing, cash flow impact, and amount of future expenditures for these initiatives. We continually evaluate our operating structure in order to maximize efficiencies and drive margin expansion. In 2016, OOE is expected to be comparable to the 2015 levels primarily due to the integration and consolidation efforts in connection with the Lake Region Medical acquisition. We expect to achieve $25 million in annual savings for 2016 from the Lake Region Medical acquisition and have a long-term goal of at least $60 million in annual savings, which is expected to be achieved over the next three years.</w:t>
      </w: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- 41 -</w:t>
      </w:r>
    </w:p>
    <w:p>
      <w:pPr>
        <w:sectPr>
          <w:pgSz w:w="11900" w:h="16838" w:orient="portrait"/>
          <w:cols w:equalWidth="0" w:num="1">
            <w:col w:w="11340"/>
          </w:cols>
          <w:pgMar w:left="240" w:top="908" w:right="319" w:bottom="1440" w:gutter="0" w:footer="0" w:header="0"/>
        </w:sectPr>
      </w:pPr>
    </w:p>
    <w:bookmarkStart w:id="42" w:name="page43"/>
    <w:bookmarkEnd w:id="42"/>
    <w:p>
      <w:pPr>
        <w:spacing w:after="0"/>
        <w:rPr>
          <w:sz w:val="20"/>
          <w:szCs w:val="20"/>
          <w:color w:val="auto"/>
        </w:rPr>
      </w:pPr>
      <w:r>
        <w:rPr>
          <w:rFonts w:ascii="Arial" w:cs="Arial" w:eastAsia="Arial" w:hAnsi="Arial"/>
          <w:sz w:val="18"/>
          <w:szCs w:val="18"/>
          <w:b w:val="1"/>
          <w:bCs w:val="1"/>
          <w:u w:val="single" w:color="auto"/>
          <w:color w:val="auto"/>
        </w:rPr>
        <w:t>Product Development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Greatbatch Medical and Lake Region Medical</w:t>
      </w:r>
    </w:p>
    <w:p>
      <w:pPr>
        <w:spacing w:after="0" w:line="225" w:lineRule="exact"/>
        <w:rPr>
          <w:sz w:val="20"/>
          <w:szCs w:val="20"/>
          <w:color w:val="auto"/>
        </w:rPr>
      </w:pPr>
    </w:p>
    <w:p>
      <w:pPr>
        <w:spacing w:after="0" w:line="271" w:lineRule="auto"/>
        <w:rPr>
          <w:sz w:val="20"/>
          <w:szCs w:val="20"/>
          <w:color w:val="auto"/>
        </w:rPr>
      </w:pPr>
      <w:r>
        <w:rPr>
          <w:rFonts w:ascii="Arial" w:cs="Arial" w:eastAsia="Arial" w:hAnsi="Arial"/>
          <w:sz w:val="17"/>
          <w:szCs w:val="17"/>
          <w:color w:val="auto"/>
        </w:rPr>
        <w:t>Our core business is well positioned because our OEM customers leverage our portfolio of intellectual property, and we continue to build a healthy pipeline of diverse medical technology opportunities. The combination of Greatbatch and Lake Region Medical brings together two highly complementary organizations that can provide a new level of industry leading capabilities and services to OEM customers while building value for shareholders. Through this transformative deal, we are at the forefront of innovating technologies and products that help change the face of healthcare, providing our customers with a distinct advantage as they bring complete systems and solutions to market. In turn, our customers will be able to accelerate patient access to life enhancing therapies. The newly combined company will be able to offer a substantially more comprehensive portfolio for customers utilizing the best technologies, providing a single point of support, and driving optimal outcomes. Some of the more significant product development opportunities Greatbatch Medical and Lake Region Medical are pursuing are as follows:</w:t>
      </w:r>
    </w:p>
    <w:p>
      <w:pPr>
        <w:spacing w:after="0" w:line="18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16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Product Line</w:t>
            </w:r>
          </w:p>
        </w:tc>
        <w:tc>
          <w:tcPr>
            <w:tcW w:w="120" w:type="dxa"/>
            <w:vAlign w:val="bottom"/>
          </w:tcPr>
          <w:p>
            <w:pPr>
              <w:spacing w:after="0"/>
              <w:rPr>
                <w:sz w:val="16"/>
                <w:szCs w:val="16"/>
                <w:color w:val="auto"/>
              </w:rPr>
            </w:pPr>
          </w:p>
        </w:tc>
        <w:tc>
          <w:tcPr>
            <w:tcW w:w="8000" w:type="dxa"/>
            <w:vAlign w:val="bottom"/>
            <w:tcBorders>
              <w:bottom w:val="single" w:sz="8" w:color="auto"/>
            </w:tcBorders>
          </w:tcPr>
          <w:p>
            <w:pPr>
              <w:ind w:left="2880"/>
              <w:spacing w:after="0"/>
              <w:rPr>
                <w:sz w:val="20"/>
                <w:szCs w:val="20"/>
                <w:color w:val="auto"/>
              </w:rPr>
            </w:pPr>
            <w:r>
              <w:rPr>
                <w:rFonts w:ascii="Arial" w:cs="Arial" w:eastAsia="Arial" w:hAnsi="Arial"/>
                <w:sz w:val="14"/>
                <w:szCs w:val="14"/>
                <w:b w:val="1"/>
                <w:bCs w:val="1"/>
                <w:color w:val="auto"/>
              </w:rPr>
              <w:t>Product Development Opportunities</w:t>
            </w:r>
          </w:p>
        </w:tc>
      </w:tr>
      <w:tr>
        <w:trPr>
          <w:trHeight w:val="228"/>
        </w:trPr>
        <w:tc>
          <w:tcPr>
            <w:tcW w:w="3280" w:type="dxa"/>
            <w:vAlign w:val="bottom"/>
            <w:gridSpan w:val="2"/>
          </w:tcPr>
          <w:p>
            <w:pPr>
              <w:ind w:left="40"/>
              <w:spacing w:after="0"/>
              <w:rPr>
                <w:sz w:val="20"/>
                <w:szCs w:val="20"/>
                <w:color w:val="auto"/>
              </w:rPr>
            </w:pPr>
            <w:r>
              <w:rPr>
                <w:rFonts w:ascii="Arial" w:cs="Arial" w:eastAsia="Arial" w:hAnsi="Arial"/>
                <w:sz w:val="18"/>
                <w:szCs w:val="18"/>
                <w:color w:val="auto"/>
              </w:rPr>
              <w:t>Advanced Surgical, Orthopaedics, and</w:t>
            </w:r>
          </w:p>
        </w:tc>
        <w:tc>
          <w:tcPr>
            <w:tcW w:w="8000" w:type="dxa"/>
            <w:vAlign w:val="bottom"/>
          </w:tcPr>
          <w:p>
            <w:pPr>
              <w:ind w:left="40"/>
              <w:spacing w:after="0"/>
              <w:rPr>
                <w:sz w:val="20"/>
                <w:szCs w:val="20"/>
                <w:color w:val="auto"/>
              </w:rPr>
            </w:pPr>
            <w:r>
              <w:rPr>
                <w:rFonts w:ascii="Arial" w:cs="Arial" w:eastAsia="Arial" w:hAnsi="Arial"/>
                <w:sz w:val="18"/>
                <w:szCs w:val="18"/>
                <w:color w:val="auto"/>
              </w:rPr>
              <w:t>Developing a portfolio of single use products and instruments for the orthopaedics market.</w:t>
            </w:r>
          </w:p>
        </w:tc>
      </w:tr>
      <w:tr>
        <w:trPr>
          <w:trHeight w:val="230"/>
        </w:trPr>
        <w:tc>
          <w:tcPr>
            <w:tcW w:w="3280" w:type="dxa"/>
            <w:vAlign w:val="bottom"/>
            <w:gridSpan w:val="2"/>
          </w:tcPr>
          <w:p>
            <w:pPr>
              <w:ind w:left="40"/>
              <w:spacing w:after="0"/>
              <w:rPr>
                <w:sz w:val="20"/>
                <w:szCs w:val="20"/>
                <w:color w:val="auto"/>
              </w:rPr>
            </w:pPr>
            <w:r>
              <w:rPr>
                <w:rFonts w:ascii="Arial" w:cs="Arial" w:eastAsia="Arial" w:hAnsi="Arial"/>
                <w:sz w:val="18"/>
                <w:szCs w:val="18"/>
                <w:color w:val="auto"/>
              </w:rPr>
              <w:t>Portable Medical</w:t>
            </w:r>
          </w:p>
        </w:tc>
        <w:tc>
          <w:tcPr>
            <w:tcW w:w="8000" w:type="dxa"/>
            <w:vAlign w:val="bottom"/>
          </w:tcPr>
          <w:p>
            <w:pPr>
              <w:spacing w:after="0"/>
              <w:rPr>
                <w:sz w:val="20"/>
                <w:szCs w:val="20"/>
                <w:color w:val="auto"/>
              </w:rPr>
            </w:pPr>
          </w:p>
        </w:tc>
      </w:tr>
      <w:tr>
        <w:trPr>
          <w:trHeight w:val="270"/>
        </w:trPr>
        <w:tc>
          <w:tcPr>
            <w:tcW w:w="31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8000" w:type="dxa"/>
            <w:vAlign w:val="bottom"/>
          </w:tcPr>
          <w:p>
            <w:pPr>
              <w:ind w:left="40"/>
              <w:spacing w:after="0"/>
              <w:rPr>
                <w:sz w:val="20"/>
                <w:szCs w:val="20"/>
                <w:color w:val="auto"/>
              </w:rPr>
            </w:pPr>
            <w:r>
              <w:rPr>
                <w:rFonts w:ascii="Arial" w:cs="Arial" w:eastAsia="Arial" w:hAnsi="Arial"/>
                <w:sz w:val="18"/>
                <w:szCs w:val="18"/>
                <w:color w:val="auto"/>
              </w:rPr>
              <w:t>Developing a portfolio of wireless products for the portable medical and orthopaedic markets.</w:t>
            </w:r>
          </w:p>
        </w:tc>
      </w:tr>
      <w:tr>
        <w:trPr>
          <w:trHeight w:val="377"/>
        </w:trPr>
        <w:tc>
          <w:tcPr>
            <w:tcW w:w="3280" w:type="dxa"/>
            <w:vAlign w:val="bottom"/>
            <w:gridSpan w:val="2"/>
          </w:tcPr>
          <w:p>
            <w:pPr>
              <w:ind w:left="40"/>
              <w:spacing w:after="0"/>
              <w:rPr>
                <w:sz w:val="20"/>
                <w:szCs w:val="20"/>
                <w:color w:val="auto"/>
              </w:rPr>
            </w:pPr>
            <w:r>
              <w:rPr>
                <w:rFonts w:ascii="Arial" w:cs="Arial" w:eastAsia="Arial" w:hAnsi="Arial"/>
                <w:sz w:val="18"/>
                <w:szCs w:val="18"/>
                <w:color w:val="auto"/>
              </w:rPr>
              <w:t>Cardio and Vascular</w:t>
            </w:r>
          </w:p>
        </w:tc>
        <w:tc>
          <w:tcPr>
            <w:tcW w:w="8000" w:type="dxa"/>
            <w:vAlign w:val="bottom"/>
          </w:tcPr>
          <w:p>
            <w:pPr>
              <w:ind w:left="40"/>
              <w:spacing w:after="0"/>
              <w:rPr>
                <w:sz w:val="20"/>
                <w:szCs w:val="20"/>
                <w:color w:val="auto"/>
              </w:rPr>
            </w:pPr>
            <w:r>
              <w:rPr>
                <w:rFonts w:ascii="Arial" w:cs="Arial" w:eastAsia="Arial" w:hAnsi="Arial"/>
                <w:sz w:val="18"/>
                <w:szCs w:val="18"/>
                <w:color w:val="auto"/>
                <w:w w:val="97"/>
              </w:rPr>
              <w:t>Developing a portfolio of catheter, wire-based, sensor and coating products for the cardio and vascular</w:t>
            </w:r>
          </w:p>
        </w:tc>
      </w:tr>
      <w:tr>
        <w:trPr>
          <w:trHeight w:val="230"/>
        </w:trPr>
        <w:tc>
          <w:tcPr>
            <w:tcW w:w="3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00" w:type="dxa"/>
            <w:vAlign w:val="bottom"/>
          </w:tcPr>
          <w:p>
            <w:pPr>
              <w:ind w:left="40"/>
              <w:spacing w:after="0"/>
              <w:rPr>
                <w:sz w:val="20"/>
                <w:szCs w:val="20"/>
                <w:color w:val="auto"/>
              </w:rPr>
            </w:pPr>
            <w:r>
              <w:rPr>
                <w:rFonts w:ascii="Arial" w:cs="Arial" w:eastAsia="Arial" w:hAnsi="Arial"/>
                <w:sz w:val="18"/>
                <w:szCs w:val="18"/>
                <w:color w:val="auto"/>
              </w:rPr>
              <w:t>markets.</w:t>
            </w:r>
          </w:p>
        </w:tc>
      </w:tr>
      <w:tr>
        <w:trPr>
          <w:trHeight w:val="377"/>
        </w:trPr>
        <w:tc>
          <w:tcPr>
            <w:tcW w:w="3280" w:type="dxa"/>
            <w:vAlign w:val="bottom"/>
            <w:gridSpan w:val="2"/>
          </w:tcPr>
          <w:p>
            <w:pPr>
              <w:ind w:left="40"/>
              <w:spacing w:after="0"/>
              <w:rPr>
                <w:sz w:val="20"/>
                <w:szCs w:val="20"/>
                <w:color w:val="auto"/>
              </w:rPr>
            </w:pPr>
            <w:r>
              <w:rPr>
                <w:rFonts w:ascii="Arial" w:cs="Arial" w:eastAsia="Arial" w:hAnsi="Arial"/>
                <w:sz w:val="18"/>
                <w:szCs w:val="18"/>
                <w:color w:val="auto"/>
              </w:rPr>
              <w:t>Cardiac/Neuromodulation</w:t>
            </w:r>
          </w:p>
        </w:tc>
        <w:tc>
          <w:tcPr>
            <w:tcW w:w="8000" w:type="dxa"/>
            <w:vAlign w:val="bottom"/>
          </w:tcPr>
          <w:p>
            <w:pPr>
              <w:ind w:left="40"/>
              <w:spacing w:after="0"/>
              <w:rPr>
                <w:sz w:val="20"/>
                <w:szCs w:val="20"/>
                <w:color w:val="auto"/>
              </w:rPr>
            </w:pPr>
            <w:r>
              <w:rPr>
                <w:rFonts w:ascii="Arial" w:cs="Arial" w:eastAsia="Arial" w:hAnsi="Arial"/>
                <w:sz w:val="18"/>
                <w:szCs w:val="18"/>
                <w:color w:val="auto"/>
                <w:w w:val="97"/>
              </w:rPr>
              <w:t>Developing next generation technology programs including Gen 2 Q</w:t>
            </w:r>
            <w:r>
              <w:rPr>
                <w:rFonts w:ascii="Arial" w:cs="Arial" w:eastAsia="Arial" w:hAnsi="Arial"/>
                <w:sz w:val="12"/>
                <w:szCs w:val="12"/>
                <w:color w:val="auto"/>
                <w:w w:val="97"/>
              </w:rPr>
              <w:t>HR</w:t>
            </w:r>
            <w:r>
              <w:rPr>
                <w:rFonts w:ascii="Arial" w:cs="Arial" w:eastAsia="Arial" w:hAnsi="Arial"/>
                <w:sz w:val="18"/>
                <w:szCs w:val="18"/>
                <w:color w:val="auto"/>
                <w:w w:val="97"/>
              </w:rPr>
              <w:t xml:space="preserve"> battery, next generation filtered</w:t>
            </w:r>
          </w:p>
        </w:tc>
      </w:tr>
      <w:tr>
        <w:trPr>
          <w:trHeight w:val="230"/>
        </w:trPr>
        <w:tc>
          <w:tcPr>
            <w:tcW w:w="3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00" w:type="dxa"/>
            <w:vAlign w:val="bottom"/>
          </w:tcPr>
          <w:p>
            <w:pPr>
              <w:ind w:left="40"/>
              <w:spacing w:after="0"/>
              <w:rPr>
                <w:sz w:val="20"/>
                <w:szCs w:val="20"/>
                <w:color w:val="auto"/>
              </w:rPr>
            </w:pPr>
            <w:r>
              <w:rPr>
                <w:rFonts w:ascii="Arial" w:cs="Arial" w:eastAsia="Arial" w:hAnsi="Arial"/>
                <w:sz w:val="18"/>
                <w:szCs w:val="18"/>
                <w:color w:val="auto"/>
              </w:rPr>
              <w:t>feedthroughs, high voltage capacitors and vertically integrated lead solutions.</w:t>
            </w:r>
          </w:p>
        </w:tc>
      </w:tr>
      <w:tr>
        <w:trPr>
          <w:trHeight w:val="392"/>
        </w:trPr>
        <w:tc>
          <w:tcPr>
            <w:tcW w:w="3280" w:type="dxa"/>
            <w:vAlign w:val="bottom"/>
            <w:gridSpan w:val="2"/>
          </w:tcPr>
          <w:p>
            <w:pPr>
              <w:ind w:left="40"/>
              <w:spacing w:after="0"/>
              <w:rPr>
                <w:sz w:val="20"/>
                <w:szCs w:val="20"/>
                <w:color w:val="auto"/>
              </w:rPr>
            </w:pPr>
            <w:r>
              <w:rPr>
                <w:rFonts w:ascii="Arial" w:cs="Arial" w:eastAsia="Arial" w:hAnsi="Arial"/>
                <w:sz w:val="18"/>
                <w:szCs w:val="18"/>
                <w:color w:val="auto"/>
              </w:rPr>
              <w:t>Electrochem</w:t>
            </w:r>
          </w:p>
        </w:tc>
        <w:tc>
          <w:tcPr>
            <w:tcW w:w="8000" w:type="dxa"/>
            <w:vAlign w:val="bottom"/>
          </w:tcPr>
          <w:p>
            <w:pPr>
              <w:ind w:left="40"/>
              <w:spacing w:after="0"/>
              <w:rPr>
                <w:sz w:val="20"/>
                <w:szCs w:val="20"/>
                <w:color w:val="auto"/>
              </w:rPr>
            </w:pPr>
            <w:r>
              <w:rPr>
                <w:rFonts w:ascii="Arial" w:cs="Arial" w:eastAsia="Arial" w:hAnsi="Arial"/>
                <w:sz w:val="18"/>
                <w:szCs w:val="18"/>
                <w:color w:val="auto"/>
                <w:w w:val="92"/>
              </w:rPr>
              <w:t>Developing power solutions to advance performance and reliability of battery packs in critical environments.</w:t>
            </w:r>
          </w:p>
        </w:tc>
      </w:tr>
    </w:tbl>
    <w:p>
      <w:pPr>
        <w:spacing w:after="0" w:line="22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QiG</w:t>
      </w:r>
    </w:p>
    <w:p>
      <w:pPr>
        <w:spacing w:after="0" w:line="225" w:lineRule="exact"/>
        <w:rPr>
          <w:sz w:val="20"/>
          <w:szCs w:val="20"/>
          <w:color w:val="auto"/>
        </w:rPr>
      </w:pPr>
    </w:p>
    <w:p>
      <w:pPr>
        <w:ind w:right="40"/>
        <w:spacing w:after="0" w:line="279" w:lineRule="auto"/>
        <w:rPr>
          <w:sz w:val="20"/>
          <w:szCs w:val="20"/>
          <w:color w:val="auto"/>
        </w:rPr>
      </w:pPr>
      <w:r>
        <w:rPr>
          <w:rFonts w:ascii="Arial" w:cs="Arial" w:eastAsia="Arial" w:hAnsi="Arial"/>
          <w:sz w:val="17"/>
          <w:szCs w:val="17"/>
          <w:color w:val="auto"/>
        </w:rPr>
        <w:t>Through QiG, we can develop or assist our customers to develop complete medical devices. Algovita, our SCS system for the treatment of chronic pain of the trunk and limbs, is the first application of QiG’s neurostimulation technology platform that was designed to target unmet clinical needs with a focus on safety and product differentiation for all user groups. This product received CE Mark approval in 2014, was approved by the United States Food and Drug Administration during 2015, and is expected to commercially launch in the United States during the first half of 2016.</w:t>
      </w:r>
    </w:p>
    <w:p>
      <w:pPr>
        <w:spacing w:after="0" w:line="63" w:lineRule="exact"/>
        <w:rPr>
          <w:sz w:val="20"/>
          <w:szCs w:val="20"/>
          <w:color w:val="auto"/>
        </w:rPr>
      </w:pPr>
    </w:p>
    <w:p>
      <w:pPr>
        <w:ind w:right="40"/>
        <w:spacing w:after="0" w:line="257" w:lineRule="auto"/>
        <w:rPr>
          <w:sz w:val="20"/>
          <w:szCs w:val="20"/>
          <w:color w:val="auto"/>
        </w:rPr>
      </w:pPr>
      <w:r>
        <w:rPr>
          <w:rFonts w:ascii="Arial" w:cs="Arial" w:eastAsia="Arial" w:hAnsi="Arial"/>
          <w:sz w:val="18"/>
          <w:szCs w:val="18"/>
          <w:color w:val="auto"/>
        </w:rPr>
        <w:t>QiG is also working to develop additional medical device systems utilizing its neurostimulation platform in the fields of SNS and DBS. After the pending Spin-off is completed, our design and development of complete medical device systems will be completed by our combined teams in Greatbatch Medical, Lake Region Medical, and CCC. We are now able to more broadly partner with medical device companies, leveraging Greatbatch Medical’s core components discrete technology, the design and manufacturing expertise of Lake Region Medical, and the full device capabilities of CCC which will enhance our medical device innovation efforts.</w:t>
      </w:r>
    </w:p>
    <w:p>
      <w:pPr>
        <w:spacing w:after="0" w:line="76"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Government Regulation</w:t>
      </w:r>
    </w:p>
    <w:p>
      <w:pPr>
        <w:spacing w:after="0" w:line="229" w:lineRule="exact"/>
        <w:rPr>
          <w:sz w:val="20"/>
          <w:szCs w:val="20"/>
          <w:color w:val="auto"/>
        </w:rPr>
      </w:pPr>
    </w:p>
    <w:p>
      <w:pPr>
        <w:spacing w:after="0" w:line="269" w:lineRule="auto"/>
        <w:rPr>
          <w:sz w:val="20"/>
          <w:szCs w:val="20"/>
          <w:color w:val="auto"/>
        </w:rPr>
      </w:pPr>
      <w:r>
        <w:rPr>
          <w:rFonts w:ascii="Arial" w:cs="Arial" w:eastAsia="Arial" w:hAnsi="Arial"/>
          <w:sz w:val="17"/>
          <w:szCs w:val="17"/>
          <w:color w:val="auto"/>
        </w:rPr>
        <w:t>The Patient Protection and Affordable Care Act and the Health Care and Education Affordability Reconciliation Act (collectively “Health Care Reform”) legislated broad-based changes to the U.S. healthcare system that could significantly impact our business operations and financial results, including higher or lower revenue, as well as higher employee medical costs and taxes. Health Care Reform imposes significant new taxes on medical device OEMs, which will result in a significant increase in the tax burden on our industry and which could have a material negative impact on our financial condition, results of operations and our cash flows. Beginning on January 1, 2016, the medical device excise tax was suspended through December 31, 2017, but if this suspension is not continued or made permanent thereafter, the medical device excise tax will be automatically reinstated starting on January 1, 2018. Other elements of Health Care Reform such as comparative effectiveness research, an independent payment advisory board, payment system reforms including shared savings pilots and other provisions could meaningfully change the way healthcare is developed and delivered, and may materially impact numerous aspects of our business, results of operations and financial condition. Many significant parts of Health Care Reform will be phased in over the next several years and require further guidance and clarification in the form of regulations. The medical device tax increased our cost of sales by $0.6 million, $0.7 million, and $0.5 million in 2015, 2014 and 2013, respectively.</w:t>
      </w:r>
    </w:p>
    <w:p>
      <w:pPr>
        <w:spacing w:after="0" w:line="183"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Our Collegeville, PA facility, which was acquired as part of the Lake Region Medical acquisition, is subject to two administrative consent orders entered into with the U.S. Environmental Protection Agency (the “EPA”), which require ongoing</w:t>
      </w:r>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- 42 -</w:t>
      </w:r>
    </w:p>
    <w:p>
      <w:pPr>
        <w:sectPr>
          <w:pgSz w:w="11900" w:h="16838" w:orient="portrait"/>
          <w:cols w:equalWidth="0" w:num="1">
            <w:col w:w="11420"/>
          </w:cols>
          <w:pgMar w:left="240" w:top="905" w:right="239" w:bottom="1440" w:gutter="0" w:footer="0" w:header="0"/>
        </w:sectPr>
      </w:pPr>
    </w:p>
    <w:bookmarkStart w:id="43" w:name="page44"/>
    <w:bookmarkEnd w:id="43"/>
    <w:p>
      <w:pPr>
        <w:ind w:right="20"/>
        <w:spacing w:after="0" w:line="276" w:lineRule="auto"/>
        <w:rPr>
          <w:sz w:val="20"/>
          <w:szCs w:val="20"/>
          <w:color w:val="auto"/>
        </w:rPr>
      </w:pPr>
      <w:r>
        <w:rPr>
          <w:rFonts w:ascii="Arial" w:cs="Arial" w:eastAsia="Arial" w:hAnsi="Arial"/>
          <w:sz w:val="17"/>
          <w:szCs w:val="17"/>
          <w:color w:val="auto"/>
        </w:rPr>
        <w:t>groundwater treatment and monitoring at the site as a result of historic leaks from underground storage tanks. Upon approval by the EPA of our proposed post remediation care plan, which requires a continuation of the groundwater treatment and monitoring process at the site, we expect that the consent orders will terminate. During the first half of 2016, we expect a decision from the EPA on whether our post remediation care plan has been approved. The groundwater treatment process at our Collegeville facility consists of a groundwater extraction and treatment system and the performance of annual sampling of a defined set of groundwater wells as a means to monitor containment within approved boundaries.</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Our Critical Accounting Estimates</w:t>
      </w:r>
    </w:p>
    <w:p>
      <w:pPr>
        <w:spacing w:after="0" w:line="229" w:lineRule="exact"/>
        <w:rPr>
          <w:sz w:val="20"/>
          <w:szCs w:val="20"/>
          <w:color w:val="auto"/>
        </w:rPr>
      </w:pPr>
    </w:p>
    <w:p>
      <w:pPr>
        <w:ind w:right="140"/>
        <w:spacing w:after="0" w:line="291" w:lineRule="auto"/>
        <w:rPr>
          <w:sz w:val="20"/>
          <w:szCs w:val="20"/>
          <w:color w:val="auto"/>
        </w:rPr>
      </w:pPr>
      <w:r>
        <w:rPr>
          <w:rFonts w:ascii="Arial" w:cs="Arial" w:eastAsia="Arial" w:hAnsi="Arial"/>
          <w:sz w:val="16"/>
          <w:szCs w:val="16"/>
          <w:color w:val="auto"/>
        </w:rPr>
        <w:t>The preparation of our consolidated financial statements in accordance with GAAP requires us to make estimates and assumptions that affect reported amounts and related disclosures. The methods, estimates, and judgments we use in applying our accounting policies have a significant impact on the results we report in our consolidated financial statements. Management considers an accounting estimate to be critical if (1) it requires assumptions to be made that were uncertain at the time the estimate was made; and (2) changes in the estimate or different estimates that could have been selected could have a material impact on our consolidated results of operations, financial position or cash flows. Our most critical accounting estimates are described below. We also have other policies that we consider key accounting policies, such as our policies for revenue recognition; however, these policies do not meet the definition of critical accounting estimates, because they do not generally require us to make estimates or judgments that are difficult or subjective.</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Business Acquisitions and Intangible Assets</w:t>
      </w:r>
    </w:p>
    <w:p>
      <w:pPr>
        <w:spacing w:after="0" w:line="229" w:lineRule="exact"/>
        <w:rPr>
          <w:sz w:val="20"/>
          <w:szCs w:val="20"/>
          <w:color w:val="auto"/>
        </w:rPr>
      </w:pPr>
    </w:p>
    <w:p>
      <w:pPr>
        <w:ind w:right="40"/>
        <w:spacing w:after="0" w:line="255" w:lineRule="auto"/>
        <w:rPr>
          <w:sz w:val="20"/>
          <w:szCs w:val="20"/>
          <w:color w:val="auto"/>
        </w:rPr>
      </w:pPr>
      <w:r>
        <w:rPr>
          <w:rFonts w:ascii="Arial" w:cs="Arial" w:eastAsia="Arial" w:hAnsi="Arial"/>
          <w:sz w:val="18"/>
          <w:szCs w:val="18"/>
          <w:color w:val="auto"/>
        </w:rPr>
        <w:t>We account for acquired businesses using the acquisition method of accounting, which requires that the assets acquired and liabilities assumed be recorded at the date of acquisition at their respective estimated fair values. The cost to acquire a company is allocated to the tangible and intangible assets of the acquired company and liabilities we assume based on estimates of their respective fair values at the date of acquisition. Any excess of the purchase price over the estimated fair values of the net identified tangible and intangible assets acquired is recorded as goodwill. The judgments made in determining the estimated fair value assigned to each class of assets acquired and liabilities assumed, as well as asset lives, can materially impact our results of operations. Additionally, these estimates also form the basis of whether or not an impairment charge should be recorded. For these reasons, these estimates are considered to be critical accounting estimates.</w:t>
      </w:r>
    </w:p>
    <w:p>
      <w:pPr>
        <w:spacing w:after="0" w:line="189" w:lineRule="exact"/>
        <w:rPr>
          <w:sz w:val="20"/>
          <w:szCs w:val="20"/>
          <w:color w:val="auto"/>
        </w:rPr>
      </w:pPr>
    </w:p>
    <w:p>
      <w:pPr>
        <w:ind w:right="60"/>
        <w:spacing w:after="0" w:line="276" w:lineRule="auto"/>
        <w:rPr>
          <w:sz w:val="20"/>
          <w:szCs w:val="20"/>
          <w:color w:val="auto"/>
        </w:rPr>
      </w:pPr>
      <w:r>
        <w:rPr>
          <w:rFonts w:ascii="Arial" w:cs="Arial" w:eastAsia="Arial" w:hAnsi="Arial"/>
          <w:sz w:val="17"/>
          <w:szCs w:val="17"/>
          <w:color w:val="auto"/>
        </w:rPr>
        <w:t>Definite-lived intangible assets are amortized over the expected life of the asset. Goodwill and some of our intangible assets are considered non-amortizing intangible assets as they are expected to generate cash flows indefinitely. Goodwill and indefinite-lived intangible assets are not amortized but are required to be assessed for impairment on an annual basis or more frequently if certain indicators are present. Goodwill is evaluated for impairment at the reporting unit level, which is defined as an operating segment or one level below an operating segment. Definite-lived intangible assets are amortized over their estimated useful lives and are assessed for impairment if certain indicators are present.</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Assumptions/Approach Used</w:t>
      </w:r>
    </w:p>
    <w:p>
      <w:pPr>
        <w:spacing w:after="0" w:line="225" w:lineRule="exact"/>
        <w:rPr>
          <w:sz w:val="20"/>
          <w:szCs w:val="20"/>
          <w:color w:val="auto"/>
        </w:rPr>
      </w:pPr>
    </w:p>
    <w:p>
      <w:pPr>
        <w:spacing w:after="0" w:line="289" w:lineRule="auto"/>
        <w:rPr>
          <w:sz w:val="20"/>
          <w:szCs w:val="20"/>
          <w:color w:val="auto"/>
        </w:rPr>
      </w:pPr>
      <w:r>
        <w:rPr>
          <w:rFonts w:ascii="Arial" w:cs="Arial" w:eastAsia="Arial" w:hAnsi="Arial"/>
          <w:sz w:val="16"/>
          <w:szCs w:val="16"/>
          <w:color w:val="auto"/>
        </w:rPr>
        <w:t>We base the fair value of identifiable tangible and intangible assets on detailed valuations that use information and assumptions provided by management. The fair values of intangible assets are determined using one of three valuation approaches: market, income or cost. The selection of a particular method depends on the reliability of available data and the nature of the asset. The market approach values the asset based on available market pricing for comparable assets. The income approach values the asset based on the present value of risk adjusted cash flows projected to be generated by that asset. The projected cash flows for each asset considers multiple factors from the perspective of a marketplace participant, including current revenue from existing customers, attrition trends, pricing, reasonable contract renewal assumptions, new product launches, cost synergies, royalty rates and expected profit margins giving consideration to historical and expected margins. The cost approach values the asset by determining the current cost of replacing that asset with another of equivalent economic utility. The cost to replace the asset reflects the estimated reproduction or replacement cost, less an allowance for loss in value due to depreciation or obsolescence, with specific consideration given to economic obsolescence if indicated.</w:t>
      </w:r>
    </w:p>
    <w:p>
      <w:pPr>
        <w:spacing w:after="0" w:line="167" w:lineRule="exact"/>
        <w:rPr>
          <w:sz w:val="20"/>
          <w:szCs w:val="20"/>
          <w:color w:val="auto"/>
        </w:rPr>
      </w:pPr>
    </w:p>
    <w:p>
      <w:pPr>
        <w:ind w:right="40"/>
        <w:spacing w:after="0" w:line="289" w:lineRule="auto"/>
        <w:rPr>
          <w:sz w:val="20"/>
          <w:szCs w:val="20"/>
          <w:color w:val="auto"/>
        </w:rPr>
      </w:pPr>
      <w:r>
        <w:rPr>
          <w:rFonts w:ascii="Arial" w:cs="Arial" w:eastAsia="Arial" w:hAnsi="Arial"/>
          <w:sz w:val="16"/>
          <w:szCs w:val="16"/>
          <w:color w:val="auto"/>
        </w:rPr>
        <w:t>We perform an annual review on the last day of each fiscal year, or more frequently if indicators of potential impairment exist, to determine if the recorded goodwill and other indefinite-lived intangible assets are impaired. We assess goodwill for impairment by comparing the fair value of our reporting units to their carrying value to determine if there is potential impairment. When evaluating goodwill for impairment, we may first perform an assessment of qualitative factors, referred to as the “step-zero” approach, to determine if the fair value of the reporting unit is more-likely-than-not greater than its carrying amount. If, based on the review of the qualitative factors, we determine it is more-likely-than-not that the fair value of the reporting unit is greater than its carrying value, the required two-step quantitative impairment test can be bypassed. If we do not perform a qualitative assessment or if the fair value of the reporting unit is more-likely-than-not less than its carrying value, we must perform the two-step quantitative impairment test, and calculate the estimated fair value of the reporting unit. If, based upon the two-step impairment test, it is determined that the fair value of a reporting unit is less than its carrying value, an impairment loss is recorded to the extent that the implied fair value of the goodwill within the reporting unit is less than its</w:t>
      </w:r>
    </w:p>
    <w:p>
      <w:pPr>
        <w:spacing w:after="0" w:line="30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- 43 -</w:t>
      </w:r>
    </w:p>
    <w:p>
      <w:pPr>
        <w:sectPr>
          <w:pgSz w:w="11900" w:h="16838" w:orient="portrait"/>
          <w:cols w:equalWidth="0" w:num="1">
            <w:col w:w="11400"/>
          </w:cols>
          <w:pgMar w:left="240" w:top="909" w:right="259" w:bottom="1440" w:gutter="0" w:footer="0" w:header="0"/>
        </w:sectPr>
      </w:pPr>
    </w:p>
    <w:bookmarkStart w:id="44" w:name="page45"/>
    <w:bookmarkEnd w:id="44"/>
    <w:p>
      <w:pPr>
        <w:jc w:val="both"/>
        <w:ind w:right="60"/>
        <w:spacing w:after="0" w:line="264" w:lineRule="auto"/>
        <w:rPr>
          <w:sz w:val="20"/>
          <w:szCs w:val="20"/>
          <w:color w:val="auto"/>
        </w:rPr>
      </w:pPr>
      <w:r>
        <w:rPr>
          <w:rFonts w:ascii="Arial" w:cs="Arial" w:eastAsia="Arial" w:hAnsi="Arial"/>
          <w:sz w:val="18"/>
          <w:szCs w:val="18"/>
          <w:color w:val="auto"/>
        </w:rPr>
        <w:t>carrying value. Fair values for reporting units are determined based on the income and market approaches. Indefinite-lived intangible assets are evaluated for impairment by using the income approach. Definite-lived intangible assets are reviewed at least quarterly to determine if any conditions exist or a change in circumstances has occurred that would indicate impairment or a change in their remaining useful life.</w:t>
      </w:r>
    </w:p>
    <w:p>
      <w:pPr>
        <w:spacing w:after="0" w:line="181"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We do not believe that the legacy Greatbatch goodwill allocated to our Greatbatch Medical and QiG segments are at risk of failing step one of future annual impairment tests unless operating conditions significantly deteriorate, given the results of our 2015 step zero qualitative analysis as well as the significant amount that our estimated fair value for these assets was in excess of their respective book values as of January 3, 2014, the date of our last step one goodwill impairment test. The goodwill allocated to our Lake Region Medical segment may be subject to future impairment if their actual operating results deteriorate from the results from that were expected when we performed the initial purchase price allocation. Examples of a significant deterioration in operating conditions, which could impact the valuation and/or result in an impairment of goodwill are as follows: for Greatbatch Medical and Lake Region Medical, the loss of one or more significant customers, technology obsolescence, product liability claims or significant manufacturing disruption, among others. For QiG, regulatory non-approval of new medical device systems, lack of market acceptance, discontinuation of significant development projects, technology obsolescence or failure of technology, among others.</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Effect of Variation of Key Assumptions Used</w:t>
      </w:r>
    </w:p>
    <w:p>
      <w:pPr>
        <w:spacing w:after="0" w:line="225" w:lineRule="exact"/>
        <w:rPr>
          <w:sz w:val="20"/>
          <w:szCs w:val="20"/>
          <w:color w:val="auto"/>
        </w:rPr>
      </w:pPr>
    </w:p>
    <w:p>
      <w:pPr>
        <w:ind w:right="20"/>
        <w:spacing w:after="0" w:line="264" w:lineRule="auto"/>
        <w:rPr>
          <w:sz w:val="20"/>
          <w:szCs w:val="20"/>
          <w:color w:val="auto"/>
        </w:rPr>
      </w:pPr>
      <w:r>
        <w:rPr>
          <w:rFonts w:ascii="Arial" w:cs="Arial" w:eastAsia="Arial" w:hAnsi="Arial"/>
          <w:sz w:val="18"/>
          <w:szCs w:val="18"/>
          <w:color w:val="auto"/>
        </w:rPr>
        <w:t>The use of alternative valuation assumptions, including estimated cash flows and discount rates, and alternative estimated useful life assumptions could result in significant changes to our intangible asset fair value estimates. These changes in fair value estimates could impact the amount and timing of future intangible asset amortization expense and/or result in impairment losses.</w:t>
      </w:r>
    </w:p>
    <w:p>
      <w:pPr>
        <w:spacing w:after="0" w:line="181" w:lineRule="exact"/>
        <w:rPr>
          <w:sz w:val="20"/>
          <w:szCs w:val="20"/>
          <w:color w:val="auto"/>
        </w:rPr>
      </w:pPr>
    </w:p>
    <w:p>
      <w:pPr>
        <w:ind w:right="40"/>
        <w:spacing w:after="0" w:line="273" w:lineRule="auto"/>
        <w:rPr>
          <w:sz w:val="20"/>
          <w:szCs w:val="20"/>
          <w:color w:val="auto"/>
        </w:rPr>
      </w:pPr>
      <w:r>
        <w:rPr>
          <w:rFonts w:ascii="Arial" w:cs="Arial" w:eastAsia="Arial" w:hAnsi="Arial"/>
          <w:sz w:val="17"/>
          <w:szCs w:val="17"/>
          <w:color w:val="auto"/>
        </w:rPr>
        <w:t>As part of our 2015 step zero qualitative goodwill analysis, we made certain assumptions by evaluating factors including, but not limited to, macro-economic conditions, market and industry conditions, cost factors, competitive environment, share price fluctuations, results of the last impairment test, and the operational stability and the overall financial performance of the reporting units. We also make assumptions involving the projections of future revenues and expenses that impact the results of our step-zero impairment analysis. Significant changes in these estimates and assumptions could create future impairment losses to our goodwill. The assumptions used in our 2015 impairment analysis incorporate the forward-looking statements made in this Management’s Discussion and Analysis of Financial Condition and Results of Operations section.</w:t>
      </w:r>
    </w:p>
    <w:p>
      <w:pPr>
        <w:spacing w:after="0" w:line="178" w:lineRule="exact"/>
        <w:rPr>
          <w:sz w:val="20"/>
          <w:szCs w:val="20"/>
          <w:color w:val="auto"/>
        </w:rPr>
      </w:pPr>
    </w:p>
    <w:p>
      <w:pPr>
        <w:jc w:val="both"/>
        <w:spacing w:after="0" w:line="288" w:lineRule="auto"/>
        <w:rPr>
          <w:sz w:val="20"/>
          <w:szCs w:val="20"/>
          <w:color w:val="auto"/>
        </w:rPr>
      </w:pPr>
      <w:r>
        <w:rPr>
          <w:rFonts w:ascii="Arial" w:cs="Arial" w:eastAsia="Arial" w:hAnsi="Arial"/>
          <w:sz w:val="16"/>
          <w:szCs w:val="16"/>
          <w:color w:val="auto"/>
        </w:rPr>
        <w:t>For the last step one impairment test for QiG, which was performed as of January 3, 2014, the fair value for our QiG reporting unit was determined primarily through the use of the income approach. The projected cash flows used to determine the fair value of the QiG reporting unit were based upon internal revenue and expense projections, discount rates and probability of success factors based upon the stage of completion of the medical device projects within QiG.</w:t>
      </w:r>
    </w:p>
    <w:p>
      <w:pPr>
        <w:ind w:right="300"/>
        <w:spacing w:after="0" w:line="271" w:lineRule="auto"/>
        <w:rPr>
          <w:sz w:val="20"/>
          <w:szCs w:val="20"/>
          <w:color w:val="auto"/>
        </w:rPr>
      </w:pPr>
      <w:r>
        <w:rPr>
          <w:rFonts w:ascii="Arial" w:cs="Arial" w:eastAsia="Arial" w:hAnsi="Arial"/>
          <w:sz w:val="17"/>
          <w:szCs w:val="17"/>
          <w:color w:val="auto"/>
        </w:rPr>
        <w:t>Revenue projections were assumed to increase for QiG as market share was garnered by its medical devices. As QiG products were in the clinical and development stage, projected market share penetration rates were assumed to grow from low single digits in the early years up to maximum market share penetration rates that ranged between 6% and 15%. The discounted cash flow analysis for QiG included a discount rate of 20% and probability of success factors ranging between 75% to 90%. The fair value calculation for QiG was corroborated with market data such as recent acquisitions for comparable companies, analyst reports and discussions with potential commercial partners of QiG.</w:t>
      </w:r>
    </w:p>
    <w:p>
      <w:pPr>
        <w:spacing w:after="0" w:line="179" w:lineRule="exact"/>
        <w:rPr>
          <w:sz w:val="20"/>
          <w:szCs w:val="20"/>
          <w:color w:val="auto"/>
        </w:rPr>
      </w:pPr>
    </w:p>
    <w:p>
      <w:pPr>
        <w:ind w:right="220"/>
        <w:spacing w:after="0" w:line="277" w:lineRule="auto"/>
        <w:rPr>
          <w:sz w:val="20"/>
          <w:szCs w:val="20"/>
          <w:color w:val="auto"/>
        </w:rPr>
      </w:pPr>
      <w:r>
        <w:rPr>
          <w:rFonts w:ascii="Arial" w:cs="Arial" w:eastAsia="Arial" w:hAnsi="Arial"/>
          <w:sz w:val="18"/>
          <w:szCs w:val="18"/>
          <w:color w:val="auto"/>
        </w:rPr>
        <w:t>For our indefinite-lived intangible assets, we make estimates of royalty rates ranging from 0.25% to 2.0%, future revenues and discount rates ranging from 9.5% to 11.5%. Significant changes in these estimates could create future impairments of these assets.</w:t>
      </w:r>
    </w:p>
    <w:p>
      <w:pPr>
        <w:spacing w:after="0" w:line="170" w:lineRule="exact"/>
        <w:rPr>
          <w:sz w:val="20"/>
          <w:szCs w:val="20"/>
          <w:color w:val="auto"/>
        </w:rPr>
      </w:pPr>
    </w:p>
    <w:p>
      <w:pPr>
        <w:ind w:right="180"/>
        <w:spacing w:after="0" w:line="312" w:lineRule="auto"/>
        <w:rPr>
          <w:sz w:val="20"/>
          <w:szCs w:val="20"/>
          <w:color w:val="auto"/>
        </w:rPr>
      </w:pPr>
      <w:r>
        <w:rPr>
          <w:rFonts w:ascii="Arial" w:cs="Arial" w:eastAsia="Arial" w:hAnsi="Arial"/>
          <w:sz w:val="16"/>
          <w:szCs w:val="16"/>
          <w:color w:val="auto"/>
        </w:rPr>
        <w:t>Estimation of the useful lives of indefinite- and definite-lived intangible assets is based upon the estimated cash flows of the respective intangible asset and requires significant management judgment. Events could occur that would materially affect our estimates of the useful lives. Significant changes in these estimates and assumptions could change the amount of future amortization expense or could create future impairments of these intangible assets.</w:t>
      </w:r>
    </w:p>
    <w:p>
      <w:pPr>
        <w:spacing w:after="0" w:line="147" w:lineRule="exact"/>
        <w:rPr>
          <w:sz w:val="20"/>
          <w:szCs w:val="20"/>
          <w:color w:val="auto"/>
        </w:rPr>
      </w:pPr>
    </w:p>
    <w:p>
      <w:pPr>
        <w:ind w:right="100"/>
        <w:spacing w:after="0" w:line="259" w:lineRule="auto"/>
        <w:rPr>
          <w:sz w:val="20"/>
          <w:szCs w:val="20"/>
          <w:color w:val="auto"/>
        </w:rPr>
      </w:pPr>
      <w:r>
        <w:rPr>
          <w:rFonts w:ascii="Arial" w:cs="Arial" w:eastAsia="Arial" w:hAnsi="Arial"/>
          <w:sz w:val="18"/>
          <w:szCs w:val="18"/>
          <w:color w:val="auto"/>
        </w:rPr>
        <w:t>As a result of the Lake Region Medical acquisition and the expected Spin-off, the Company is reevaluating its operating and reporting segments, which is expected to be finalized in 2016 once the corporate and management reporting structure realignment is completed. The way we allocate resources and evaluate our businesses determines the reporting unit level which goodwill is tested for impairment. Significant changes to these reporting units could create future impairments of goodwill.</w:t>
      </w:r>
    </w:p>
    <w:p>
      <w:pPr>
        <w:spacing w:after="0" w:line="187" w:lineRule="exact"/>
        <w:rPr>
          <w:sz w:val="20"/>
          <w:szCs w:val="20"/>
          <w:color w:val="auto"/>
        </w:rPr>
      </w:pPr>
    </w:p>
    <w:p>
      <w:pPr>
        <w:ind w:right="260"/>
        <w:spacing w:after="0" w:line="312" w:lineRule="auto"/>
        <w:rPr>
          <w:sz w:val="20"/>
          <w:szCs w:val="20"/>
          <w:color w:val="auto"/>
        </w:rPr>
      </w:pPr>
      <w:r>
        <w:rPr>
          <w:rFonts w:ascii="Arial" w:cs="Arial" w:eastAsia="Arial" w:hAnsi="Arial"/>
          <w:sz w:val="16"/>
          <w:szCs w:val="16"/>
          <w:color w:val="auto"/>
        </w:rPr>
        <w:t>As of January 1, 2016, we have $2.0 billion of intangible assets recorded on our consolidated balance sheet representing 67% of total assets. This includes $894.0 million of amortizing intangible assets, $90.3 million of indefinite-lived intangible assets and $1.0 billion of goodwill. A 1% change in the amortization of our intangible assets would change 2015 net income (loss) by approximately $0.1 million, or approximately $0.004 per diluted share.</w:t>
      </w:r>
    </w:p>
    <w:p>
      <w:pPr>
        <w:spacing w:after="0" w:line="28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- 44 -</w:t>
      </w:r>
    </w:p>
    <w:p>
      <w:pPr>
        <w:sectPr>
          <w:pgSz w:w="11900" w:h="16838" w:orient="portrait"/>
          <w:cols w:equalWidth="0" w:num="1">
            <w:col w:w="11380"/>
          </w:cols>
          <w:pgMar w:left="240" w:top="908" w:right="279" w:bottom="1440" w:gutter="0" w:footer="0" w:header="0"/>
        </w:sectPr>
      </w:pPr>
    </w:p>
    <w:bookmarkStart w:id="45" w:name="page46"/>
    <w:bookmarkEnd w:id="45"/>
    <w:p>
      <w:pPr>
        <w:spacing w:after="0"/>
        <w:rPr>
          <w:sz w:val="20"/>
          <w:szCs w:val="20"/>
          <w:color w:val="auto"/>
        </w:rPr>
      </w:pPr>
      <w:r>
        <w:rPr>
          <w:rFonts w:ascii="Arial" w:cs="Arial" w:eastAsia="Arial" w:hAnsi="Arial"/>
          <w:sz w:val="18"/>
          <w:szCs w:val="18"/>
          <w:b w:val="1"/>
          <w:bCs w:val="1"/>
          <w:u w:val="single" w:color="auto"/>
          <w:color w:val="auto"/>
        </w:rPr>
        <w:t>Stock-based compensation</w:t>
      </w:r>
    </w:p>
    <w:p>
      <w:pPr>
        <w:spacing w:after="0" w:line="229" w:lineRule="exact"/>
        <w:rPr>
          <w:sz w:val="20"/>
          <w:szCs w:val="20"/>
          <w:color w:val="auto"/>
        </w:rPr>
      </w:pPr>
    </w:p>
    <w:p>
      <w:pPr>
        <w:ind w:right="220"/>
        <w:spacing w:after="0" w:line="277" w:lineRule="auto"/>
        <w:rPr>
          <w:sz w:val="20"/>
          <w:szCs w:val="20"/>
          <w:color w:val="auto"/>
        </w:rPr>
      </w:pPr>
      <w:r>
        <w:rPr>
          <w:rFonts w:ascii="Arial" w:cs="Arial" w:eastAsia="Arial" w:hAnsi="Arial"/>
          <w:sz w:val="18"/>
          <w:szCs w:val="18"/>
          <w:color w:val="auto"/>
        </w:rPr>
        <w:t>We record compensation costs related to our stock-based awards which include stock options, restricted stock and restricted stock units. We measure stock-based compensation cost at the grant date based on the fair value of the award.</w:t>
      </w:r>
    </w:p>
    <w:p>
      <w:pPr>
        <w:spacing w:after="0" w:line="170" w:lineRule="exact"/>
        <w:rPr>
          <w:sz w:val="20"/>
          <w:szCs w:val="20"/>
          <w:color w:val="auto"/>
        </w:rPr>
      </w:pPr>
    </w:p>
    <w:p>
      <w:pPr>
        <w:spacing w:after="0" w:line="273" w:lineRule="auto"/>
        <w:rPr>
          <w:sz w:val="20"/>
          <w:szCs w:val="20"/>
          <w:color w:val="auto"/>
        </w:rPr>
      </w:pPr>
      <w:r>
        <w:rPr>
          <w:rFonts w:ascii="Arial" w:cs="Arial" w:eastAsia="Arial" w:hAnsi="Arial"/>
          <w:sz w:val="17"/>
          <w:szCs w:val="17"/>
          <w:color w:val="auto"/>
        </w:rPr>
        <w:t>Compensation cost for service-based awards is recognized ratably over the applicable vesting period. Compensation cost for performance awards based on Company financial metrics is reassessed each period and recognized based upon the probability that the performance targets will be achieved. Compensation cost for performance awards based on market metrics (such as total shareholder return) is expensed each period whether the performance metrics are achieved or not. The amount of stock-based compensation expense recognized during a period is based on the portion of the awards that are ultimately expected to vest, as well as market and nonmarket performance award considerations. The total expense recognized over the vesting period will only be for those awards that ultimately vest, as well as market and nonmarket performance award considerations.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Assumptions/Approach Used</w:t>
      </w:r>
    </w:p>
    <w:p>
      <w:pPr>
        <w:spacing w:after="0" w:line="225" w:lineRule="exact"/>
        <w:rPr>
          <w:sz w:val="20"/>
          <w:szCs w:val="20"/>
          <w:color w:val="auto"/>
        </w:rPr>
      </w:pPr>
    </w:p>
    <w:p>
      <w:pPr>
        <w:ind w:right="80"/>
        <w:spacing w:after="0" w:line="273" w:lineRule="auto"/>
        <w:rPr>
          <w:sz w:val="20"/>
          <w:szCs w:val="20"/>
          <w:color w:val="auto"/>
        </w:rPr>
      </w:pPr>
      <w:r>
        <w:rPr>
          <w:rFonts w:ascii="Arial" w:cs="Arial" w:eastAsia="Arial" w:hAnsi="Arial"/>
          <w:sz w:val="17"/>
          <w:szCs w:val="17"/>
          <w:color w:val="auto"/>
        </w:rPr>
        <w:t>We utilize the Black-Scholes Option Pricing Model to determine the fair value of stock options. We are required to make certain assumptions with respect to selected Black-Scholes model inputs, including expected volatility, expected life, expected dividend yield and the risk-free interest rate. Expected volatility is based on the historical volatility of our stock over the most recent period commensurate with the estimated expected life of the stock options. The expected life of stock options granted, which represents the period of time that the stock options are expected to be outstanding, is based, primarily, on historical data. The expected dividend yield is based on our history and expectation of dividend payouts. The risk-free interest rate is based on the U.S. Treasury yield curve in effect at the time of grant for a period commensurate with the estimated expected life.</w:t>
      </w:r>
    </w:p>
    <w:p>
      <w:pPr>
        <w:spacing w:after="0" w:line="178"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The fair value of time-based as well as nonmarket-based performance restricted stock and restricted stock unit awards is equal to the fair value of the Company’s stock on the date of grant. The fair value of market-based performance restricted stock unit awards is determined by utilizing a Monte Carlo simulation model, which projects the value of Greatbatch stock versus our peer group under numerous scenarios and determines the value of the award based upon the present value of these projected outcomes.</w:t>
      </w:r>
    </w:p>
    <w:p>
      <w:pPr>
        <w:spacing w:after="0" w:line="187" w:lineRule="exact"/>
        <w:rPr>
          <w:sz w:val="20"/>
          <w:szCs w:val="20"/>
          <w:color w:val="auto"/>
        </w:rPr>
      </w:pPr>
    </w:p>
    <w:p>
      <w:pPr>
        <w:ind w:right="520"/>
        <w:spacing w:after="0" w:line="277" w:lineRule="auto"/>
        <w:rPr>
          <w:sz w:val="20"/>
          <w:szCs w:val="20"/>
          <w:color w:val="auto"/>
        </w:rPr>
      </w:pPr>
      <w:r>
        <w:rPr>
          <w:rFonts w:ascii="Arial" w:cs="Arial" w:eastAsia="Arial" w:hAnsi="Arial"/>
          <w:sz w:val="18"/>
          <w:szCs w:val="18"/>
          <w:color w:val="auto"/>
        </w:rPr>
        <w:t>Compensation cost for nonmarket-based performance awards is reassessed each period and recognized based upon the probability that the performance targets will be achieved. That assessment is based upon actual and expected future performance.</w:t>
      </w:r>
    </w:p>
    <w:p>
      <w:pPr>
        <w:spacing w:after="0" w:line="170" w:lineRule="exact"/>
        <w:rPr>
          <w:sz w:val="20"/>
          <w:szCs w:val="20"/>
          <w:color w:val="auto"/>
        </w:rPr>
      </w:pPr>
    </w:p>
    <w:p>
      <w:pPr>
        <w:spacing w:after="0" w:line="312" w:lineRule="auto"/>
        <w:rPr>
          <w:sz w:val="20"/>
          <w:szCs w:val="20"/>
          <w:color w:val="auto"/>
        </w:rPr>
      </w:pPr>
      <w:r>
        <w:rPr>
          <w:rFonts w:ascii="Arial" w:cs="Arial" w:eastAsia="Arial" w:hAnsi="Arial"/>
          <w:sz w:val="16"/>
          <w:szCs w:val="16"/>
          <w:color w:val="auto"/>
        </w:rPr>
        <w:t>Stock-based compensation expense is recorded for those awards that are expected to vest, as well as market and nonmarket performance award considerations. Forfeiture estimates for determining appropriate stock-based compensation expense are estimated at the time of grant based on historical experience and demographic characteristics. Revisions are made to those estimates in subsequent periods if actual forfeitures differ from estimated forfeitures.</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Effect of Variation of Key Assumptions Used</w:t>
      </w:r>
    </w:p>
    <w:p>
      <w:pPr>
        <w:spacing w:after="0" w:line="225" w:lineRule="exact"/>
        <w:rPr>
          <w:sz w:val="20"/>
          <w:szCs w:val="20"/>
          <w:color w:val="auto"/>
        </w:rPr>
      </w:pPr>
    </w:p>
    <w:p>
      <w:pPr>
        <w:ind w:right="60"/>
        <w:spacing w:after="0" w:line="270" w:lineRule="auto"/>
        <w:rPr>
          <w:sz w:val="20"/>
          <w:szCs w:val="20"/>
          <w:color w:val="auto"/>
        </w:rPr>
      </w:pPr>
      <w:r>
        <w:rPr>
          <w:rFonts w:ascii="Arial" w:cs="Arial" w:eastAsia="Arial" w:hAnsi="Arial"/>
          <w:sz w:val="17"/>
          <w:szCs w:val="17"/>
          <w:color w:val="auto"/>
        </w:rPr>
        <w:t>Option pricing models were developed for use in estimating the value of traded options that have no vesting restrictions and are fully transferable. Because our share-based payments have characteristics significantly different from those of freely traded options, and because changes in the subjective input assumptions can materially affect our estimates of fair values, existing valuation models may not provide reliable measures of the fair values of our share-based compensation. Consequently, there is a risk that our estimates of the fair values of our share-based compensation awards may bear little resemblance to the actual values realized upon the exercise, expiration or forfeiture of those share-based payments in the future. Stock options may expire worthless or otherwise result in zero intrinsic value as compared to the fair values originally estimated on the grant date and reported in our consolidated financial statements. Alternatively, value may be realized from these instruments that are significantly in excess of the fair values originally estimated on the grant date and reported in our consolidated financial statements. There are significant differences among valuation models. This may result in a lack of comparability with other companies that use different models, methods and assumptions.</w:t>
      </w:r>
    </w:p>
    <w:p>
      <w:pPr>
        <w:spacing w:after="0" w:line="182"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There is a high degree of subjectivity involved in selecting assumptions to be utilized to determine fair value and forfeiture assumptions. If factors change and result in different assumptions in future periods, the expense that we record for future grants may differ significantly from what we have recorded in the current period. Additionally, changes in performance of the Company and its stock price will affect the likelihood that performance-based targets are achieved and could materially impact the amount of stock-based compensation expense recognized.</w:t>
      </w:r>
    </w:p>
    <w:p>
      <w:pPr>
        <w:spacing w:after="0" w:line="187"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A 1% change in our stock-based compensation expense would change 2015 net income (loss) by approximately $0.06 million, or approximately $0.002 per diluted share.</w:t>
      </w:r>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- 45 -</w:t>
      </w:r>
    </w:p>
    <w:p>
      <w:pPr>
        <w:sectPr>
          <w:pgSz w:w="11900" w:h="16838" w:orient="portrait"/>
          <w:cols w:equalWidth="0" w:num="1">
            <w:col w:w="11420"/>
          </w:cols>
          <w:pgMar w:left="240" w:top="904" w:right="239" w:bottom="1440" w:gutter="0" w:footer="0" w:header="0"/>
        </w:sectPr>
      </w:pPr>
    </w:p>
    <w:bookmarkStart w:id="46" w:name="page47"/>
    <w:bookmarkEnd w:id="46"/>
    <w:p>
      <w:pPr>
        <w:spacing w:after="0"/>
        <w:rPr>
          <w:sz w:val="20"/>
          <w:szCs w:val="20"/>
          <w:color w:val="auto"/>
        </w:rPr>
      </w:pPr>
      <w:r>
        <w:rPr>
          <w:rFonts w:ascii="Arial" w:cs="Arial" w:eastAsia="Arial" w:hAnsi="Arial"/>
          <w:sz w:val="18"/>
          <w:szCs w:val="18"/>
          <w:b w:val="1"/>
          <w:bCs w:val="1"/>
          <w:u w:val="single" w:color="auto"/>
          <w:color w:val="auto"/>
        </w:rPr>
        <w:t>Inventories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Inventories are stated at the lower of cost, determined using the first-in, first-out method, or market.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Assumptions/Approach Used</w:t>
      </w:r>
    </w:p>
    <w:p>
      <w:pPr>
        <w:spacing w:after="0" w:line="225" w:lineRule="exact"/>
        <w:rPr>
          <w:sz w:val="20"/>
          <w:szCs w:val="20"/>
          <w:color w:val="auto"/>
        </w:rPr>
      </w:pPr>
    </w:p>
    <w:p>
      <w:pPr>
        <w:jc w:val="both"/>
        <w:ind w:right="80"/>
        <w:spacing w:after="0" w:line="264" w:lineRule="auto"/>
        <w:rPr>
          <w:sz w:val="20"/>
          <w:szCs w:val="20"/>
          <w:color w:val="auto"/>
        </w:rPr>
      </w:pPr>
      <w:r>
        <w:rPr>
          <w:rFonts w:ascii="Arial" w:cs="Arial" w:eastAsia="Arial" w:hAnsi="Arial"/>
          <w:sz w:val="18"/>
          <w:szCs w:val="18"/>
          <w:color w:val="auto"/>
        </w:rPr>
        <w:t>Inventory costing requires complex calculations that include assumptions for overhead absorption, scrap, sample calculations, manufacturing yield estimates and the determination of which costs may be capitalized. The valuation of inventory requires us to estimate obsolete or excess inventory, as well as inventory that is not of saleable quality.</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Effect of Variation of Key Assumptions Used</w:t>
      </w:r>
    </w:p>
    <w:p>
      <w:pPr>
        <w:spacing w:after="0" w:line="225" w:lineRule="exact"/>
        <w:rPr>
          <w:sz w:val="20"/>
          <w:szCs w:val="20"/>
          <w:color w:val="auto"/>
        </w:rPr>
      </w:pPr>
    </w:p>
    <w:p>
      <w:pPr>
        <w:ind w:right="160"/>
        <w:spacing w:after="0" w:line="257" w:lineRule="auto"/>
        <w:rPr>
          <w:sz w:val="20"/>
          <w:szCs w:val="20"/>
          <w:color w:val="auto"/>
        </w:rPr>
      </w:pPr>
      <w:r>
        <w:rPr>
          <w:rFonts w:ascii="Arial" w:cs="Arial" w:eastAsia="Arial" w:hAnsi="Arial"/>
          <w:sz w:val="18"/>
          <w:szCs w:val="18"/>
          <w:color w:val="auto"/>
        </w:rPr>
        <w:t>Variations in methods or assumptions could have a material impact on our results. If our demand forecast for specific products is greater than actual demand and we fail to reduce manufacturing output accordingly, we could be required to record additional inventory write-downs or expense a greater amount of overhead costs, which would have a negative impact on our net income. As of January 1, 2016, we have $252.2 million of inventory recorded on our consolidated balance sheet representing 8% of total assets. A 1% write-down of our inventory would change 2015 net income (loss) by approximately $1.6 million, or approximately $0.06 per diluted share.</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Tangible long-lived assets</w:t>
      </w:r>
    </w:p>
    <w:p>
      <w:pPr>
        <w:spacing w:after="0" w:line="229" w:lineRule="exact"/>
        <w:rPr>
          <w:sz w:val="20"/>
          <w:szCs w:val="20"/>
          <w:color w:val="auto"/>
        </w:rPr>
      </w:pPr>
    </w:p>
    <w:p>
      <w:pPr>
        <w:ind w:right="240"/>
        <w:spacing w:after="0" w:line="264" w:lineRule="auto"/>
        <w:rPr>
          <w:sz w:val="20"/>
          <w:szCs w:val="20"/>
          <w:color w:val="auto"/>
        </w:rPr>
      </w:pPr>
      <w:r>
        <w:rPr>
          <w:rFonts w:ascii="Arial" w:cs="Arial" w:eastAsia="Arial" w:hAnsi="Arial"/>
          <w:sz w:val="18"/>
          <w:szCs w:val="18"/>
          <w:color w:val="auto"/>
        </w:rPr>
        <w:t>Property, plant and equipment and other tangible long-lived assets are carried at cost. The cost of property, plant and equipment is charged to depreciation expense over the estimated life of the operating assets primarily using straight-line rates. Tangible long-lived assets are subject to impairment assessment if certain indicators are present.</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Assumptions/Approach Used</w:t>
      </w:r>
    </w:p>
    <w:p>
      <w:pPr>
        <w:spacing w:after="0" w:line="225" w:lineRule="exact"/>
        <w:rPr>
          <w:sz w:val="20"/>
          <w:szCs w:val="20"/>
          <w:color w:val="auto"/>
        </w:rPr>
      </w:pPr>
    </w:p>
    <w:p>
      <w:pPr>
        <w:spacing w:after="0" w:line="286" w:lineRule="auto"/>
        <w:rPr>
          <w:sz w:val="20"/>
          <w:szCs w:val="20"/>
          <w:color w:val="auto"/>
        </w:rPr>
      </w:pPr>
      <w:r>
        <w:rPr>
          <w:rFonts w:ascii="Arial" w:cs="Arial" w:eastAsia="Arial" w:hAnsi="Arial"/>
          <w:sz w:val="16"/>
          <w:szCs w:val="16"/>
          <w:color w:val="auto"/>
        </w:rPr>
        <w:t>We assess the impairment of tangible long-lived assets when events or changes in circumstances indicate that the carrying value of the asset (asset group) may not be recoverable. Factors that we consider in deciding when to perform an impairment review include, but are not limited to: a significant decrease in the market price of the asset (asset group); a significant change in the extent or manner in which a long-lived asset (asset group) is being used or in its physical condition; a significant change in legal factors or in the business climate that could affect the value of a long-lived asset (asset group), including an action or assessment by a regulator; an accumulation of costs significantly in excess of the amount originally expected for the construction; a current-period operating or cash flow loss combined with a history of operating or cash flow losses or a projection or forecast that demonstrates continuing losses associated with the use of a long-lived asset (asset group); or a current expectation that, more likely than not, a long-lived asset (asset group) will be sold or otherwise disposed of significantly before the end of its previously estimated useful life. Recoverability potential is measured by comparing the carrying amount of the asset (asset group) to the related total future undiscounted cash flows. The projected cash flows for each asset (asset group) considers multiple factors, including current revenue from existing customers, proceeds from the sale of the asset (asset group), reasonable contract renewal assumptions, and expected profit margins giving consideration to historical and expected margins. If an asset’s (assets group’s) carrying value is not recoverable through related undiscounted cash flows, the asset (asset group) is considered to be impaired. Impairment is measured by comparing the asset’s (asset group’s) carrying amount to its fair value. When it is determined that useful lives of assets are shorter than originally estimated, and there are sufficient cash flows to support the carrying value of the assets, we accelerate the rate of depreciation in order to fully depreciate the assets over their shorter useful lives.</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Effect of Variation of Key Assumptions Used</w:t>
      </w:r>
    </w:p>
    <w:p>
      <w:pPr>
        <w:spacing w:after="0" w:line="225" w:lineRule="exact"/>
        <w:rPr>
          <w:sz w:val="20"/>
          <w:szCs w:val="20"/>
          <w:color w:val="auto"/>
        </w:rPr>
      </w:pPr>
    </w:p>
    <w:p>
      <w:pPr>
        <w:ind w:right="140"/>
        <w:spacing w:after="0" w:line="273" w:lineRule="auto"/>
        <w:rPr>
          <w:sz w:val="20"/>
          <w:szCs w:val="20"/>
          <w:color w:val="auto"/>
        </w:rPr>
      </w:pPr>
      <w:r>
        <w:rPr>
          <w:rFonts w:ascii="Arial" w:cs="Arial" w:eastAsia="Arial" w:hAnsi="Arial"/>
          <w:sz w:val="17"/>
          <w:szCs w:val="17"/>
          <w:color w:val="auto"/>
        </w:rPr>
        <w:t>Estimation of the cash flows and useful lives of tangible assets that are long-lived requires significant management judgment. Events could occur that would materially affect our estimates and assumptions. Unforeseen changes in operations or technology could substantially alter the assumptions regarding the ability to realize the return of our investment in long-lived assets or the useful lives. Also, as we make manufacturing process conversions and other facility consolidation decisions, we must make subjective judgments regarding the remaining cash flows and useful lives of our assets, primarily manufacturing equipment and buildings. Significant changes in these estimates and assumptions could change the amount of future depreciation expense or could create future impairments of these long-lived assets (asset groups).</w:t>
      </w:r>
    </w:p>
    <w:p>
      <w:pPr>
        <w:spacing w:after="0" w:line="178" w:lineRule="exact"/>
        <w:rPr>
          <w:sz w:val="20"/>
          <w:szCs w:val="20"/>
          <w:color w:val="auto"/>
        </w:rPr>
      </w:pPr>
    </w:p>
    <w:p>
      <w:pPr>
        <w:ind w:right="260"/>
        <w:spacing w:after="0" w:line="264" w:lineRule="auto"/>
        <w:rPr>
          <w:sz w:val="20"/>
          <w:szCs w:val="20"/>
          <w:color w:val="auto"/>
        </w:rPr>
      </w:pPr>
      <w:r>
        <w:rPr>
          <w:rFonts w:ascii="Arial" w:cs="Arial" w:eastAsia="Arial" w:hAnsi="Arial"/>
          <w:sz w:val="18"/>
          <w:szCs w:val="18"/>
          <w:color w:val="auto"/>
        </w:rPr>
        <w:t>As of January 1, 2016, we have $379.5 million of tangible long-lived assets recorded on our consolidated balance sheet representing 13% of total assets. A 1% write-down in our tangible long-lived assets would change 2015 net income (loss) by approximately $2.5 million, or approximately $0.09 per diluted share.</w:t>
      </w:r>
    </w:p>
    <w:p>
      <w:pPr>
        <w:spacing w:after="0" w:line="31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- 46 -</w:t>
      </w:r>
    </w:p>
    <w:p>
      <w:pPr>
        <w:sectPr>
          <w:pgSz w:w="11900" w:h="16838" w:orient="portrait"/>
          <w:cols w:equalWidth="0" w:num="1">
            <w:col w:w="11420"/>
          </w:cols>
          <w:pgMar w:left="240" w:top="905" w:right="239" w:bottom="1440" w:gutter="0" w:footer="0" w:header="0"/>
        </w:sectPr>
      </w:pPr>
    </w:p>
    <w:bookmarkStart w:id="47" w:name="page48"/>
    <w:bookmarkEnd w:id="47"/>
    <w:p>
      <w:pPr>
        <w:spacing w:after="0"/>
        <w:rPr>
          <w:sz w:val="20"/>
          <w:szCs w:val="20"/>
          <w:color w:val="auto"/>
        </w:rPr>
      </w:pPr>
      <w:r>
        <w:rPr>
          <w:rFonts w:ascii="Arial" w:cs="Arial" w:eastAsia="Arial" w:hAnsi="Arial"/>
          <w:sz w:val="18"/>
          <w:szCs w:val="18"/>
          <w:b w:val="1"/>
          <w:bCs w:val="1"/>
          <w:u w:val="single" w:color="auto"/>
          <w:color w:val="auto"/>
        </w:rPr>
        <w:t>Provision for income taxes</w:t>
      </w:r>
    </w:p>
    <w:p>
      <w:pPr>
        <w:spacing w:after="0" w:line="229"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Our consolidated financial statements have been prepared using the asset and liability approach in accounting for income taxes, which requires the recognition of deferred income taxes for the expected future tax consequences of net operating losses, credits, and temporary differences between the financial statement carrying amounts and the tax bases of assets and liabilities. A valuation allowance is provided on deferred tax assets if it is determined that it is more likely than not that the asset will not be realized.</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Assumptions/Approach Used</w:t>
      </w:r>
    </w:p>
    <w:p>
      <w:pPr>
        <w:spacing w:after="0" w:line="225" w:lineRule="exact"/>
        <w:rPr>
          <w:sz w:val="20"/>
          <w:szCs w:val="20"/>
          <w:color w:val="auto"/>
        </w:rPr>
      </w:pPr>
    </w:p>
    <w:p>
      <w:pPr>
        <w:ind w:right="60"/>
        <w:spacing w:after="0" w:line="257" w:lineRule="auto"/>
        <w:rPr>
          <w:sz w:val="20"/>
          <w:szCs w:val="20"/>
          <w:color w:val="auto"/>
        </w:rPr>
      </w:pPr>
      <w:r>
        <w:rPr>
          <w:rFonts w:ascii="Arial" w:cs="Arial" w:eastAsia="Arial" w:hAnsi="Arial"/>
          <w:sz w:val="18"/>
          <w:szCs w:val="18"/>
          <w:color w:val="auto"/>
        </w:rPr>
        <w:t>In recording the provision for income taxes, management must estimate the future tax rates applicable to the reversal of temporary differences based upon the timing of expected reversal. Also, estimates are made as to whether taxable operating income in future periods will be sufficient to fully recognize any gross deferred tax assets. If recovery is not likely, we must increase our provision for income taxes by recording a valuation allowance against the deferred tax assets that we estimate will not ultimately be recoverable. Alternatively, we may make estimates about the potential usage of deferred tax assets that decrease our valuation allowances.</w:t>
      </w:r>
    </w:p>
    <w:p>
      <w:pPr>
        <w:spacing w:after="0" w:line="188"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The calculation of our tax liabilities involves dealing with uncertainties in the application of complex tax regulations. Significant judgment is required in evaluating our tax positions and determining our provision for income taxes. During the ordinary course of business, there are many transactions and calculations for which the ultimate tax determination is uncertain. We establish reserves for uncertain tax positions when we believe that certain tax positions do not meet the more likely than not threshold. We adjust these reserves in light of changing facts and circumstances, such as the outcome of a tax audit or the lapse of statutes of limitations. The provision for income taxes includes the impact of reserve provisions and changes to the reserves that are considered appropriate.</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Effect of Variation of Key Assumptions Used</w:t>
      </w:r>
    </w:p>
    <w:p>
      <w:pPr>
        <w:spacing w:after="0" w:line="225" w:lineRule="exact"/>
        <w:rPr>
          <w:sz w:val="20"/>
          <w:szCs w:val="20"/>
          <w:color w:val="auto"/>
        </w:rPr>
      </w:pPr>
    </w:p>
    <w:p>
      <w:pPr>
        <w:ind w:right="160"/>
        <w:spacing w:after="0" w:line="290" w:lineRule="auto"/>
        <w:rPr>
          <w:sz w:val="20"/>
          <w:szCs w:val="20"/>
          <w:color w:val="auto"/>
        </w:rPr>
      </w:pPr>
      <w:r>
        <w:rPr>
          <w:rFonts w:ascii="Arial" w:cs="Arial" w:eastAsia="Arial" w:hAnsi="Arial"/>
          <w:sz w:val="16"/>
          <w:szCs w:val="16"/>
          <w:color w:val="auto"/>
        </w:rPr>
        <w:t>Changes could occur that would materially affect our estimates and assumptions regarding deferred taxes. Changes in current tax laws and tax rates could affect the valuation of deferred tax assets and liabilities, thereby changing the income tax provision. Also, significant declines in taxable income could materially impact the realizable value of deferred tax assets. At January 1, 2016, we had $205.4 million of gross deferred tax assets on our consolidated balance sheet and a valuation allowance of $39.2 million has been established for certain deferred tax assets as it is more likely than not that they will not be realized. As January 1, 2016, the Company has federal net operating loss (“NOL”) carryforwards of approximately $386.2 million expiring at various dates through 2035. If not utilized, these carryforwards will begin to expire in 2019. In assessing the realizability of the deferred tax asset associated with the NOLs, management relied on the reversal of deferred tax liabilities within the U.S taxing jurisdictions of approximately $866.3 million. A 1% change in the effective tax rate would impact the current year benefit for income taxes by $0.2 million, and 2015 diluted earnings per share by $0.006 per diluted share.</w:t>
      </w:r>
    </w:p>
    <w:p>
      <w:pPr>
        <w:spacing w:after="0" w:line="30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- 47 -</w:t>
      </w:r>
    </w:p>
    <w:p>
      <w:pPr>
        <w:sectPr>
          <w:pgSz w:w="11900" w:h="16838" w:orient="portrait"/>
          <w:cols w:equalWidth="0" w:num="1">
            <w:col w:w="11420"/>
          </w:cols>
          <w:pgMar w:left="240" w:top="905" w:right="239" w:bottom="1440" w:gutter="0" w:footer="0" w:header="0"/>
        </w:sectPr>
      </w:pPr>
    </w:p>
    <w:bookmarkStart w:id="48" w:name="page49"/>
    <w:bookmarkEnd w:id="48"/>
    <w:p>
      <w:pPr>
        <w:spacing w:after="0"/>
        <w:rPr>
          <w:sz w:val="20"/>
          <w:szCs w:val="20"/>
          <w:color w:val="auto"/>
        </w:rPr>
      </w:pPr>
      <w:r>
        <w:rPr>
          <w:rFonts w:ascii="Arial" w:cs="Arial" w:eastAsia="Arial" w:hAnsi="Arial"/>
          <w:sz w:val="18"/>
          <w:szCs w:val="18"/>
          <w:b w:val="1"/>
          <w:bCs w:val="1"/>
          <w:u w:val="single" w:color="auto"/>
          <w:color w:val="auto"/>
        </w:rPr>
        <w:t>Our Financial Results</w:t>
      </w:r>
    </w:p>
    <w:p>
      <w:pPr>
        <w:spacing w:after="0" w:line="94" w:lineRule="exact"/>
        <w:rPr>
          <w:sz w:val="20"/>
          <w:szCs w:val="20"/>
          <w:color w:val="auto"/>
        </w:rPr>
      </w:pPr>
    </w:p>
    <w:p>
      <w:pPr>
        <w:ind w:right="380"/>
        <w:spacing w:after="0" w:line="264" w:lineRule="auto"/>
        <w:rPr>
          <w:sz w:val="20"/>
          <w:szCs w:val="20"/>
          <w:color w:val="auto"/>
        </w:rPr>
      </w:pPr>
      <w:r>
        <w:rPr>
          <w:rFonts w:ascii="Arial" w:cs="Arial" w:eastAsia="Arial" w:hAnsi="Arial"/>
          <w:sz w:val="18"/>
          <w:szCs w:val="18"/>
          <w:color w:val="auto"/>
        </w:rPr>
        <w:t>We utilize a fifty-two, fifty-three week fiscal year ending on the Friday nearest December 31. Fiscal years 2015, 2014 and 2013 ended on January 1, 2016, January 2, 2015 and January 3, 2014, respectively. Fiscal years 2015 and 2014 contained fifty-two weeks and fiscal year 2013 contained fifty-three weeks.</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96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gridSpan w:val="2"/>
          </w:tcPr>
          <w:p>
            <w:pPr>
              <w:jc w:val="right"/>
              <w:ind w:right="440"/>
              <w:spacing w:after="0"/>
              <w:rPr>
                <w:sz w:val="20"/>
                <w:szCs w:val="20"/>
                <w:color w:val="auto"/>
              </w:rPr>
            </w:pPr>
            <w:r>
              <w:rPr>
                <w:rFonts w:ascii="Arial" w:cs="Arial" w:eastAsia="Arial" w:hAnsi="Arial"/>
                <w:sz w:val="14"/>
                <w:szCs w:val="14"/>
                <w:b w:val="1"/>
                <w:bCs w:val="1"/>
                <w:color w:val="auto"/>
                <w:w w:val="96"/>
              </w:rPr>
              <w:t>Year Ended</w:t>
            </w:r>
          </w:p>
        </w:tc>
        <w:tc>
          <w:tcPr>
            <w:tcW w:w="20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960" w:type="dxa"/>
            <w:vAlign w:val="bottom"/>
            <w:tcBorders>
              <w:bottom w:val="single" w:sz="8" w:color="auto"/>
            </w:tcBorders>
            <w:gridSpan w:val="3"/>
          </w:tcPr>
          <w:p>
            <w:pPr>
              <w:jc w:val="right"/>
              <w:ind w:right="572"/>
              <w:spacing w:after="0"/>
              <w:rPr>
                <w:sz w:val="20"/>
                <w:szCs w:val="20"/>
                <w:color w:val="auto"/>
              </w:rPr>
            </w:pPr>
            <w:r>
              <w:rPr>
                <w:rFonts w:ascii="Arial" w:cs="Arial" w:eastAsia="Arial" w:hAnsi="Arial"/>
                <w:sz w:val="14"/>
                <w:szCs w:val="14"/>
                <w:b w:val="1"/>
                <w:bCs w:val="1"/>
                <w:color w:val="auto"/>
              </w:rPr>
              <w:t>2015 vs. 2014</w:t>
            </w:r>
          </w:p>
        </w:tc>
        <w:tc>
          <w:tcPr>
            <w:tcW w:w="10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780" w:type="dxa"/>
            <w:vAlign w:val="bottom"/>
            <w:tcBorders>
              <w:bottom w:val="single" w:sz="8" w:color="auto"/>
            </w:tcBorders>
            <w:gridSpan w:val="3"/>
          </w:tcPr>
          <w:p>
            <w:pPr>
              <w:jc w:val="right"/>
              <w:ind w:right="472"/>
              <w:spacing w:after="0"/>
              <w:rPr>
                <w:sz w:val="20"/>
                <w:szCs w:val="20"/>
                <w:color w:val="auto"/>
              </w:rPr>
            </w:pPr>
            <w:r>
              <w:rPr>
                <w:rFonts w:ascii="Arial" w:cs="Arial" w:eastAsia="Arial" w:hAnsi="Arial"/>
                <w:sz w:val="14"/>
                <w:szCs w:val="14"/>
                <w:b w:val="1"/>
                <w:bCs w:val="1"/>
                <w:color w:val="auto"/>
              </w:rPr>
              <w:t>2014 vs. 2013</w:t>
            </w:r>
          </w:p>
        </w:tc>
      </w:tr>
      <w:tr>
        <w:trPr>
          <w:trHeight w:val="152"/>
        </w:trPr>
        <w:tc>
          <w:tcPr>
            <w:tcW w:w="29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240" w:type="dxa"/>
            <w:vAlign w:val="bottom"/>
            <w:gridSpan w:val="2"/>
          </w:tcPr>
          <w:p>
            <w:pPr>
              <w:ind w:left="80"/>
              <w:spacing w:after="0" w:line="153" w:lineRule="exact"/>
              <w:rPr>
                <w:sz w:val="20"/>
                <w:szCs w:val="20"/>
                <w:color w:val="auto"/>
              </w:rPr>
            </w:pPr>
            <w:r>
              <w:rPr>
                <w:rFonts w:ascii="Arial" w:cs="Arial" w:eastAsia="Arial" w:hAnsi="Arial"/>
                <w:sz w:val="14"/>
                <w:szCs w:val="14"/>
                <w:b w:val="1"/>
                <w:bCs w:val="1"/>
                <w:color w:val="auto"/>
              </w:rPr>
              <w:t>January 1,</w:t>
            </w:r>
          </w:p>
        </w:tc>
        <w:tc>
          <w:tcPr>
            <w:tcW w:w="180" w:type="dxa"/>
            <w:vAlign w:val="bottom"/>
          </w:tcPr>
          <w:p>
            <w:pPr>
              <w:spacing w:after="0"/>
              <w:rPr>
                <w:sz w:val="13"/>
                <w:szCs w:val="13"/>
                <w:color w:val="auto"/>
              </w:rPr>
            </w:pPr>
          </w:p>
        </w:tc>
        <w:tc>
          <w:tcPr>
            <w:tcW w:w="1200" w:type="dxa"/>
            <w:vAlign w:val="bottom"/>
            <w:gridSpan w:val="2"/>
          </w:tcPr>
          <w:p>
            <w:pPr>
              <w:jc w:val="right"/>
              <w:ind w:right="440"/>
              <w:spacing w:after="0" w:line="153" w:lineRule="exact"/>
              <w:rPr>
                <w:sz w:val="20"/>
                <w:szCs w:val="20"/>
                <w:color w:val="auto"/>
              </w:rPr>
            </w:pPr>
            <w:r>
              <w:rPr>
                <w:rFonts w:ascii="Arial" w:cs="Arial" w:eastAsia="Arial" w:hAnsi="Arial"/>
                <w:sz w:val="14"/>
                <w:szCs w:val="14"/>
                <w:b w:val="1"/>
                <w:bCs w:val="1"/>
                <w:color w:val="auto"/>
              </w:rPr>
              <w:t>January 2,</w:t>
            </w:r>
          </w:p>
        </w:tc>
        <w:tc>
          <w:tcPr>
            <w:tcW w:w="200" w:type="dxa"/>
            <w:vAlign w:val="bottom"/>
          </w:tcPr>
          <w:p>
            <w:pPr>
              <w:spacing w:after="0"/>
              <w:rPr>
                <w:sz w:val="13"/>
                <w:szCs w:val="13"/>
                <w:color w:val="auto"/>
              </w:rPr>
            </w:pPr>
          </w:p>
        </w:tc>
        <w:tc>
          <w:tcPr>
            <w:tcW w:w="1180" w:type="dxa"/>
            <w:vAlign w:val="bottom"/>
            <w:gridSpan w:val="2"/>
          </w:tcPr>
          <w:p>
            <w:pPr>
              <w:ind w:left="100"/>
              <w:spacing w:after="0" w:line="153" w:lineRule="exact"/>
              <w:rPr>
                <w:sz w:val="20"/>
                <w:szCs w:val="20"/>
                <w:color w:val="auto"/>
              </w:rPr>
            </w:pPr>
            <w:r>
              <w:rPr>
                <w:rFonts w:ascii="Arial" w:cs="Arial" w:eastAsia="Arial" w:hAnsi="Arial"/>
                <w:sz w:val="14"/>
                <w:szCs w:val="14"/>
                <w:b w:val="1"/>
                <w:bCs w:val="1"/>
                <w:color w:val="auto"/>
              </w:rPr>
              <w:t>January 3,</w:t>
            </w:r>
          </w:p>
        </w:tc>
        <w:tc>
          <w:tcPr>
            <w:tcW w:w="180" w:type="dxa"/>
            <w:vAlign w:val="bottom"/>
          </w:tcPr>
          <w:p>
            <w:pPr>
              <w:spacing w:after="0"/>
              <w:rPr>
                <w:sz w:val="13"/>
                <w:szCs w:val="13"/>
                <w:color w:val="auto"/>
              </w:rPr>
            </w:pPr>
          </w:p>
        </w:tc>
        <w:tc>
          <w:tcPr>
            <w:tcW w:w="800" w:type="dxa"/>
            <w:vAlign w:val="bottom"/>
          </w:tcPr>
          <w:p>
            <w:pPr>
              <w:jc w:val="right"/>
              <w:ind w:right="373"/>
              <w:spacing w:after="0" w:line="153" w:lineRule="exact"/>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3"/>
                <w:szCs w:val="13"/>
                <w:color w:val="auto"/>
              </w:rPr>
            </w:pPr>
          </w:p>
        </w:tc>
        <w:tc>
          <w:tcPr>
            <w:tcW w:w="1060" w:type="dxa"/>
            <w:vAlign w:val="bottom"/>
          </w:tcPr>
          <w:p>
            <w:pPr>
              <w:jc w:val="right"/>
              <w:ind w:right="372"/>
              <w:spacing w:after="0" w:line="153" w:lineRule="exact"/>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60" w:type="dxa"/>
            <w:vAlign w:val="bottom"/>
          </w:tcPr>
          <w:p>
            <w:pPr>
              <w:jc w:val="right"/>
              <w:ind w:right="333"/>
              <w:spacing w:after="0" w:line="153"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3"/>
                <w:szCs w:val="13"/>
                <w:color w:val="auto"/>
              </w:rPr>
            </w:pPr>
          </w:p>
        </w:tc>
        <w:tc>
          <w:tcPr>
            <w:tcW w:w="90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rPr>
              <w:t>%</w:t>
            </w:r>
          </w:p>
        </w:tc>
      </w:tr>
      <w:tr>
        <w:trPr>
          <w:trHeight w:val="192"/>
        </w:trPr>
        <w:tc>
          <w:tcPr>
            <w:tcW w:w="296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471"/>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412"/>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411"/>
              <w:spacing w:after="0"/>
              <w:rPr>
                <w:sz w:val="20"/>
                <w:szCs w:val="20"/>
                <w:color w:val="auto"/>
              </w:rPr>
            </w:pPr>
            <w:r>
              <w:rPr>
                <w:rFonts w:ascii="Arial" w:cs="Arial" w:eastAsia="Arial" w:hAnsi="Arial"/>
                <w:sz w:val="14"/>
                <w:szCs w:val="14"/>
                <w:b w:val="1"/>
                <w:bCs w:val="1"/>
                <w:color w:val="auto"/>
              </w:rPr>
              <w:t>2014</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jc w:val="right"/>
              <w:ind w:right="173"/>
              <w:spacing w:after="0"/>
              <w:rPr>
                <w:sz w:val="20"/>
                <w:szCs w:val="20"/>
                <w:color w:val="auto"/>
              </w:rPr>
            </w:pPr>
            <w:r>
              <w:rPr>
                <w:rFonts w:ascii="Arial" w:cs="Arial" w:eastAsia="Arial" w:hAnsi="Arial"/>
                <w:sz w:val="14"/>
                <w:szCs w:val="14"/>
                <w:b w:val="1"/>
                <w:bCs w:val="1"/>
                <w:color w:val="auto"/>
              </w:rPr>
              <w:t>Change</w:t>
            </w:r>
          </w:p>
        </w:tc>
        <w:tc>
          <w:tcPr>
            <w:tcW w:w="100" w:type="dxa"/>
            <w:vAlign w:val="bottom"/>
            <w:tcBorders>
              <w:bottom w:val="single" w:sz="8" w:color="CCEEFF"/>
            </w:tcBorders>
          </w:tcPr>
          <w:p>
            <w:pPr>
              <w:spacing w:after="0"/>
              <w:rPr>
                <w:sz w:val="16"/>
                <w:szCs w:val="16"/>
                <w:color w:val="auto"/>
              </w:rPr>
            </w:pPr>
          </w:p>
        </w:tc>
        <w:tc>
          <w:tcPr>
            <w:tcW w:w="10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Change</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jc w:val="right"/>
              <w:ind w:right="133"/>
              <w:spacing w:after="0"/>
              <w:rPr>
                <w:sz w:val="20"/>
                <w:szCs w:val="20"/>
                <w:color w:val="auto"/>
              </w:rPr>
            </w:pPr>
            <w:r>
              <w:rPr>
                <w:rFonts w:ascii="Arial" w:cs="Arial" w:eastAsia="Arial" w:hAnsi="Arial"/>
                <w:sz w:val="14"/>
                <w:szCs w:val="14"/>
                <w:b w:val="1"/>
                <w:bCs w:val="1"/>
                <w:color w:val="auto"/>
              </w:rPr>
              <w:t>Change</w:t>
            </w:r>
          </w:p>
        </w:tc>
        <w:tc>
          <w:tcPr>
            <w:tcW w:w="120" w:type="dxa"/>
            <w:vAlign w:val="bottom"/>
            <w:tcBorders>
              <w:bottom w:val="single" w:sz="8" w:color="CCEEFF"/>
            </w:tcBorders>
          </w:tcPr>
          <w:p>
            <w:pPr>
              <w:spacing w:after="0"/>
              <w:rPr>
                <w:sz w:val="16"/>
                <w:szCs w:val="16"/>
                <w:color w:val="auto"/>
              </w:rPr>
            </w:pPr>
          </w:p>
        </w:tc>
        <w:tc>
          <w:tcPr>
            <w:tcW w:w="900" w:type="dxa"/>
            <w:vAlign w:val="bottom"/>
            <w:tcBorders>
              <w:bottom w:val="single" w:sz="8" w:color="auto"/>
            </w:tcBorders>
          </w:tcPr>
          <w:p>
            <w:pPr>
              <w:jc w:val="right"/>
              <w:ind w:right="132"/>
              <w:spacing w:after="0"/>
              <w:rPr>
                <w:sz w:val="20"/>
                <w:szCs w:val="20"/>
                <w:color w:val="auto"/>
              </w:rPr>
            </w:pPr>
            <w:r>
              <w:rPr>
                <w:rFonts w:ascii="Arial" w:cs="Arial" w:eastAsia="Arial" w:hAnsi="Arial"/>
                <w:sz w:val="14"/>
                <w:szCs w:val="14"/>
                <w:b w:val="1"/>
                <w:bCs w:val="1"/>
                <w:color w:val="auto"/>
              </w:rPr>
              <w:t>Change</w:t>
            </w:r>
          </w:p>
        </w:tc>
      </w:tr>
      <w:tr>
        <w:trPr>
          <w:trHeight w:val="250"/>
        </w:trPr>
        <w:tc>
          <w:tcPr>
            <w:tcW w:w="32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w w:val="91"/>
              </w:rPr>
              <w:t>Dollars in thousands, except per share data</w:t>
            </w: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r>
      <w:tr>
        <w:trPr>
          <w:trHeight w:val="243"/>
        </w:trPr>
        <w:tc>
          <w:tcPr>
            <w:tcW w:w="2960" w:type="dxa"/>
            <w:vAlign w:val="bottom"/>
          </w:tcPr>
          <w:p>
            <w:pPr>
              <w:ind w:left="40"/>
              <w:spacing w:after="0"/>
              <w:rPr>
                <w:sz w:val="20"/>
                <w:szCs w:val="20"/>
                <w:color w:val="auto"/>
              </w:rPr>
            </w:pPr>
            <w:r>
              <w:rPr>
                <w:rFonts w:ascii="Arial" w:cs="Arial" w:eastAsia="Arial" w:hAnsi="Arial"/>
                <w:sz w:val="18"/>
                <w:szCs w:val="18"/>
                <w:color w:val="auto"/>
              </w:rPr>
              <w:t>Product Line Sales:</w:t>
            </w:r>
          </w:p>
        </w:tc>
        <w:tc>
          <w:tcPr>
            <w:tcW w:w="26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00" w:type="dxa"/>
            <w:vAlign w:val="bottom"/>
          </w:tcPr>
          <w:p>
            <w:pPr>
              <w:spacing w:after="0"/>
              <w:rPr>
                <w:sz w:val="21"/>
                <w:szCs w:val="21"/>
                <w:color w:val="auto"/>
              </w:rPr>
            </w:pPr>
          </w:p>
        </w:tc>
      </w:tr>
      <w:tr>
        <w:trPr>
          <w:trHeight w:val="27"/>
        </w:trPr>
        <w:tc>
          <w:tcPr>
            <w:tcW w:w="29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Pr>
          <w:p>
            <w:pPr>
              <w:spacing w:after="0"/>
              <w:rPr>
                <w:sz w:val="2"/>
                <w:szCs w:val="2"/>
                <w:color w:val="auto"/>
              </w:rPr>
            </w:pPr>
          </w:p>
        </w:tc>
      </w:tr>
      <w:tr>
        <w:trPr>
          <w:trHeight w:val="229"/>
        </w:trPr>
        <w:tc>
          <w:tcPr>
            <w:tcW w:w="29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Advanced Surgical, Orthopaedics,</w:t>
            </w:r>
          </w:p>
        </w:tc>
        <w:tc>
          <w:tcPr>
            <w:tcW w:w="26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7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r>
      <w:tr>
        <w:trPr>
          <w:trHeight w:val="237"/>
        </w:trPr>
        <w:tc>
          <w:tcPr>
            <w:tcW w:w="29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and Portable Medical</w:t>
            </w:r>
          </w:p>
        </w:tc>
        <w:tc>
          <w:tcPr>
            <w:tcW w:w="26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CCEEFF"/>
            </w:tcBorders>
            <w:shd w:val="clear" w:color="auto" w:fill="CCEEFF"/>
          </w:tcPr>
          <w:p>
            <w:pPr>
              <w:jc w:val="right"/>
              <w:ind w:right="291"/>
              <w:spacing w:after="0"/>
              <w:rPr>
                <w:sz w:val="20"/>
                <w:szCs w:val="20"/>
                <w:color w:val="auto"/>
              </w:rPr>
            </w:pPr>
            <w:r>
              <w:rPr>
                <w:rFonts w:ascii="Arial" w:cs="Arial" w:eastAsia="Arial" w:hAnsi="Arial"/>
                <w:sz w:val="18"/>
                <w:szCs w:val="18"/>
                <w:color w:val="auto"/>
              </w:rPr>
              <w:t>243,385</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232"/>
              <w:spacing w:after="0"/>
              <w:rPr>
                <w:sz w:val="20"/>
                <w:szCs w:val="20"/>
                <w:color w:val="auto"/>
              </w:rPr>
            </w:pPr>
            <w:r>
              <w:rPr>
                <w:rFonts w:ascii="Arial" w:cs="Arial" w:eastAsia="Arial" w:hAnsi="Arial"/>
                <w:sz w:val="18"/>
                <w:szCs w:val="18"/>
                <w:color w:val="auto"/>
              </w:rPr>
              <w:t>216,339</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ind w:right="251"/>
              <w:spacing w:after="0"/>
              <w:rPr>
                <w:sz w:val="20"/>
                <w:szCs w:val="20"/>
                <w:color w:val="auto"/>
              </w:rPr>
            </w:pPr>
            <w:r>
              <w:rPr>
                <w:rFonts w:ascii="Arial" w:cs="Arial" w:eastAsia="Arial" w:hAnsi="Arial"/>
                <w:sz w:val="18"/>
                <w:szCs w:val="18"/>
                <w:color w:val="auto"/>
              </w:rPr>
              <w:t>208,990</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27,046</w:t>
            </w:r>
          </w:p>
        </w:tc>
        <w:tc>
          <w:tcPr>
            <w:tcW w:w="100" w:type="dxa"/>
            <w:vAlign w:val="bottom"/>
            <w:tcBorders>
              <w:bottom w:val="single" w:sz="8" w:color="CCEEFF"/>
            </w:tcBorders>
            <w:shd w:val="clear" w:color="auto" w:fill="CCEEFF"/>
          </w:tcPr>
          <w:p>
            <w:pPr>
              <w:spacing w:after="0"/>
              <w:rPr>
                <w:sz w:val="20"/>
                <w:szCs w:val="20"/>
                <w:color w:val="auto"/>
              </w:rPr>
            </w:pPr>
          </w:p>
        </w:tc>
        <w:tc>
          <w:tcPr>
            <w:tcW w:w="106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13 %</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7,349</w:t>
            </w:r>
          </w:p>
        </w:tc>
        <w:tc>
          <w:tcPr>
            <w:tcW w:w="12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4 %</w:t>
            </w:r>
          </w:p>
        </w:tc>
      </w:tr>
      <w:tr>
        <w:trPr>
          <w:trHeight w:val="243"/>
        </w:trPr>
        <w:tc>
          <w:tcPr>
            <w:tcW w:w="2960" w:type="dxa"/>
            <w:vAlign w:val="bottom"/>
          </w:tcPr>
          <w:p>
            <w:pPr>
              <w:ind w:left="180"/>
              <w:spacing w:after="0"/>
              <w:rPr>
                <w:sz w:val="20"/>
                <w:szCs w:val="20"/>
                <w:color w:val="auto"/>
              </w:rPr>
            </w:pPr>
            <w:r>
              <w:rPr>
                <w:rFonts w:ascii="Arial" w:cs="Arial" w:eastAsia="Arial" w:hAnsi="Arial"/>
                <w:sz w:val="18"/>
                <w:szCs w:val="18"/>
                <w:color w:val="auto"/>
              </w:rPr>
              <w:t>Cardio and Vascular</w:t>
            </w:r>
          </w:p>
        </w:tc>
        <w:tc>
          <w:tcPr>
            <w:tcW w:w="260" w:type="dxa"/>
            <w:vAlign w:val="bottom"/>
          </w:tcPr>
          <w:p>
            <w:pPr>
              <w:spacing w:after="0"/>
              <w:rPr>
                <w:sz w:val="21"/>
                <w:szCs w:val="21"/>
                <w:color w:val="auto"/>
              </w:rPr>
            </w:pPr>
          </w:p>
        </w:tc>
        <w:tc>
          <w:tcPr>
            <w:tcW w:w="1140" w:type="dxa"/>
            <w:vAlign w:val="bottom"/>
          </w:tcPr>
          <w:p>
            <w:pPr>
              <w:jc w:val="right"/>
              <w:ind w:right="291"/>
              <w:spacing w:after="0"/>
              <w:rPr>
                <w:sz w:val="20"/>
                <w:szCs w:val="20"/>
                <w:color w:val="auto"/>
              </w:rPr>
            </w:pPr>
            <w:r>
              <w:rPr>
                <w:rFonts w:ascii="Arial" w:cs="Arial" w:eastAsia="Arial" w:hAnsi="Arial"/>
                <w:sz w:val="18"/>
                <w:szCs w:val="18"/>
                <w:color w:val="auto"/>
              </w:rPr>
              <w:t>143,260</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00" w:type="dxa"/>
            <w:vAlign w:val="bottom"/>
          </w:tcPr>
          <w:p>
            <w:pPr>
              <w:jc w:val="right"/>
              <w:ind w:right="232"/>
              <w:spacing w:after="0"/>
              <w:rPr>
                <w:sz w:val="20"/>
                <w:szCs w:val="20"/>
                <w:color w:val="auto"/>
              </w:rPr>
            </w:pPr>
            <w:r>
              <w:rPr>
                <w:rFonts w:ascii="Arial" w:cs="Arial" w:eastAsia="Arial" w:hAnsi="Arial"/>
                <w:sz w:val="18"/>
                <w:szCs w:val="18"/>
                <w:color w:val="auto"/>
              </w:rPr>
              <w:t>58,770</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80" w:type="dxa"/>
            <w:vAlign w:val="bottom"/>
          </w:tcPr>
          <w:p>
            <w:pPr>
              <w:jc w:val="right"/>
              <w:ind w:right="251"/>
              <w:spacing w:after="0"/>
              <w:rPr>
                <w:sz w:val="20"/>
                <w:szCs w:val="20"/>
                <w:color w:val="auto"/>
              </w:rPr>
            </w:pPr>
            <w:r>
              <w:rPr>
                <w:rFonts w:ascii="Arial" w:cs="Arial" w:eastAsia="Arial" w:hAnsi="Arial"/>
                <w:sz w:val="18"/>
                <w:szCs w:val="18"/>
                <w:color w:val="auto"/>
              </w:rPr>
              <w:t>48,357</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00" w:type="dxa"/>
            <w:vAlign w:val="bottom"/>
          </w:tcPr>
          <w:p>
            <w:pPr>
              <w:jc w:val="right"/>
              <w:ind w:right="33"/>
              <w:spacing w:after="0"/>
              <w:rPr>
                <w:sz w:val="20"/>
                <w:szCs w:val="20"/>
                <w:color w:val="auto"/>
              </w:rPr>
            </w:pPr>
            <w:r>
              <w:rPr>
                <w:rFonts w:ascii="Arial" w:cs="Arial" w:eastAsia="Arial" w:hAnsi="Arial"/>
                <w:sz w:val="18"/>
                <w:szCs w:val="18"/>
                <w:color w:val="auto"/>
              </w:rPr>
              <w:t>84,490</w:t>
            </w:r>
          </w:p>
        </w:tc>
        <w:tc>
          <w:tcPr>
            <w:tcW w:w="100" w:type="dxa"/>
            <w:vAlign w:val="bottom"/>
          </w:tcPr>
          <w:p>
            <w:pPr>
              <w:spacing w:after="0"/>
              <w:rPr>
                <w:sz w:val="21"/>
                <w:szCs w:val="21"/>
                <w:color w:val="auto"/>
              </w:rPr>
            </w:pPr>
          </w:p>
        </w:tc>
        <w:tc>
          <w:tcPr>
            <w:tcW w:w="1060" w:type="dxa"/>
            <w:vAlign w:val="bottom"/>
          </w:tcPr>
          <w:p>
            <w:pPr>
              <w:jc w:val="right"/>
              <w:ind w:right="92"/>
              <w:spacing w:after="0"/>
              <w:rPr>
                <w:sz w:val="20"/>
                <w:szCs w:val="20"/>
                <w:color w:val="auto"/>
              </w:rPr>
            </w:pPr>
            <w:r>
              <w:rPr>
                <w:rFonts w:ascii="Arial" w:cs="Arial" w:eastAsia="Arial" w:hAnsi="Arial"/>
                <w:sz w:val="18"/>
                <w:szCs w:val="18"/>
                <w:color w:val="auto"/>
              </w:rPr>
              <w:t>144 %</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60" w:type="dxa"/>
            <w:vAlign w:val="bottom"/>
          </w:tcPr>
          <w:p>
            <w:pPr>
              <w:jc w:val="right"/>
              <w:ind w:right="13"/>
              <w:spacing w:after="0"/>
              <w:rPr>
                <w:sz w:val="20"/>
                <w:szCs w:val="20"/>
                <w:color w:val="auto"/>
              </w:rPr>
            </w:pPr>
            <w:r>
              <w:rPr>
                <w:rFonts w:ascii="Arial" w:cs="Arial" w:eastAsia="Arial" w:hAnsi="Arial"/>
                <w:sz w:val="18"/>
                <w:szCs w:val="18"/>
                <w:color w:val="auto"/>
              </w:rPr>
              <w:t>10,413</w:t>
            </w:r>
          </w:p>
        </w:tc>
        <w:tc>
          <w:tcPr>
            <w:tcW w:w="12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22 %</w:t>
            </w:r>
          </w:p>
        </w:tc>
      </w:tr>
      <w:tr>
        <w:trPr>
          <w:trHeight w:val="27"/>
        </w:trPr>
        <w:tc>
          <w:tcPr>
            <w:tcW w:w="29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Pr>
          <w:p>
            <w:pPr>
              <w:spacing w:after="0"/>
              <w:rPr>
                <w:sz w:val="2"/>
                <w:szCs w:val="2"/>
                <w:color w:val="auto"/>
              </w:rPr>
            </w:pPr>
          </w:p>
        </w:tc>
      </w:tr>
      <w:tr>
        <w:trPr>
          <w:trHeight w:val="250"/>
        </w:trPr>
        <w:tc>
          <w:tcPr>
            <w:tcW w:w="29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Cardiac/Neuromodulation</w:t>
            </w:r>
          </w:p>
        </w:tc>
        <w:tc>
          <w:tcPr>
            <w:tcW w:w="2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291"/>
              <w:spacing w:after="0"/>
              <w:rPr>
                <w:sz w:val="20"/>
                <w:szCs w:val="20"/>
                <w:color w:val="auto"/>
              </w:rPr>
            </w:pPr>
            <w:r>
              <w:rPr>
                <w:rFonts w:ascii="Arial" w:cs="Arial" w:eastAsia="Arial" w:hAnsi="Arial"/>
                <w:sz w:val="18"/>
                <w:szCs w:val="18"/>
                <w:color w:val="auto"/>
              </w:rPr>
              <w:t>356,064</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232"/>
              <w:spacing w:after="0"/>
              <w:rPr>
                <w:sz w:val="20"/>
                <w:szCs w:val="20"/>
                <w:color w:val="auto"/>
              </w:rPr>
            </w:pPr>
            <w:r>
              <w:rPr>
                <w:rFonts w:ascii="Arial" w:cs="Arial" w:eastAsia="Arial" w:hAnsi="Arial"/>
                <w:sz w:val="18"/>
                <w:szCs w:val="18"/>
                <w:color w:val="auto"/>
              </w:rPr>
              <w:t>330,921</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251"/>
              <w:spacing w:after="0"/>
              <w:rPr>
                <w:sz w:val="20"/>
                <w:szCs w:val="20"/>
                <w:color w:val="auto"/>
              </w:rPr>
            </w:pPr>
            <w:r>
              <w:rPr>
                <w:rFonts w:ascii="Arial" w:cs="Arial" w:eastAsia="Arial" w:hAnsi="Arial"/>
                <w:sz w:val="18"/>
                <w:szCs w:val="18"/>
                <w:color w:val="auto"/>
              </w:rPr>
              <w:t>328,455</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25,143</w:t>
            </w:r>
          </w:p>
        </w:tc>
        <w:tc>
          <w:tcPr>
            <w:tcW w:w="1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8 %</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2,466</w:t>
            </w:r>
          </w:p>
        </w:tc>
        <w:tc>
          <w:tcPr>
            <w:tcW w:w="1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1 %</w:t>
            </w:r>
          </w:p>
        </w:tc>
      </w:tr>
      <w:tr>
        <w:trPr>
          <w:trHeight w:val="243"/>
        </w:trPr>
        <w:tc>
          <w:tcPr>
            <w:tcW w:w="2960" w:type="dxa"/>
            <w:vAlign w:val="bottom"/>
          </w:tcPr>
          <w:p>
            <w:pPr>
              <w:ind w:left="180"/>
              <w:spacing w:after="0"/>
              <w:rPr>
                <w:sz w:val="20"/>
                <w:szCs w:val="20"/>
                <w:color w:val="auto"/>
              </w:rPr>
            </w:pPr>
            <w:r>
              <w:rPr>
                <w:rFonts w:ascii="Arial" w:cs="Arial" w:eastAsia="Arial" w:hAnsi="Arial"/>
                <w:sz w:val="18"/>
                <w:szCs w:val="18"/>
                <w:color w:val="auto"/>
              </w:rPr>
              <w:t>Electrochem</w:t>
            </w:r>
          </w:p>
        </w:tc>
        <w:tc>
          <w:tcPr>
            <w:tcW w:w="260" w:type="dxa"/>
            <w:vAlign w:val="bottom"/>
          </w:tcPr>
          <w:p>
            <w:pPr>
              <w:spacing w:after="0"/>
              <w:rPr>
                <w:sz w:val="21"/>
                <w:szCs w:val="21"/>
                <w:color w:val="auto"/>
              </w:rPr>
            </w:pPr>
          </w:p>
        </w:tc>
        <w:tc>
          <w:tcPr>
            <w:tcW w:w="1140" w:type="dxa"/>
            <w:vAlign w:val="bottom"/>
          </w:tcPr>
          <w:p>
            <w:pPr>
              <w:jc w:val="right"/>
              <w:ind w:right="291"/>
              <w:spacing w:after="0"/>
              <w:rPr>
                <w:sz w:val="20"/>
                <w:szCs w:val="20"/>
                <w:color w:val="auto"/>
              </w:rPr>
            </w:pPr>
            <w:r>
              <w:rPr>
                <w:rFonts w:ascii="Arial" w:cs="Arial" w:eastAsia="Arial" w:hAnsi="Arial"/>
                <w:sz w:val="18"/>
                <w:szCs w:val="18"/>
                <w:color w:val="auto"/>
              </w:rPr>
              <w:t>59,449</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00" w:type="dxa"/>
            <w:vAlign w:val="bottom"/>
          </w:tcPr>
          <w:p>
            <w:pPr>
              <w:jc w:val="right"/>
              <w:ind w:right="232"/>
              <w:spacing w:after="0"/>
              <w:rPr>
                <w:sz w:val="20"/>
                <w:szCs w:val="20"/>
                <w:color w:val="auto"/>
              </w:rPr>
            </w:pPr>
            <w:r>
              <w:rPr>
                <w:rFonts w:ascii="Arial" w:cs="Arial" w:eastAsia="Arial" w:hAnsi="Arial"/>
                <w:sz w:val="18"/>
                <w:szCs w:val="18"/>
                <w:color w:val="auto"/>
              </w:rPr>
              <w:t>81,757</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80" w:type="dxa"/>
            <w:vAlign w:val="bottom"/>
          </w:tcPr>
          <w:p>
            <w:pPr>
              <w:jc w:val="right"/>
              <w:ind w:right="251"/>
              <w:spacing w:after="0"/>
              <w:rPr>
                <w:sz w:val="20"/>
                <w:szCs w:val="20"/>
                <w:color w:val="auto"/>
              </w:rPr>
            </w:pPr>
            <w:r>
              <w:rPr>
                <w:rFonts w:ascii="Arial" w:cs="Arial" w:eastAsia="Arial" w:hAnsi="Arial"/>
                <w:sz w:val="18"/>
                <w:szCs w:val="18"/>
                <w:color w:val="auto"/>
              </w:rPr>
              <w:t>78,143</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(22,308)</w:t>
            </w:r>
          </w:p>
        </w:tc>
        <w:tc>
          <w:tcPr>
            <w:tcW w:w="100" w:type="dxa"/>
            <w:vAlign w:val="bottom"/>
          </w:tcPr>
          <w:p>
            <w:pPr>
              <w:spacing w:after="0"/>
              <w:rPr>
                <w:sz w:val="21"/>
                <w:szCs w:val="21"/>
                <w:color w:val="auto"/>
              </w:rPr>
            </w:pPr>
          </w:p>
        </w:tc>
        <w:tc>
          <w:tcPr>
            <w:tcW w:w="1060" w:type="dxa"/>
            <w:vAlign w:val="bottom"/>
          </w:tcPr>
          <w:p>
            <w:pPr>
              <w:jc w:val="right"/>
              <w:ind w:right="92"/>
              <w:spacing w:after="0"/>
              <w:rPr>
                <w:sz w:val="20"/>
                <w:szCs w:val="20"/>
                <w:color w:val="auto"/>
              </w:rPr>
            </w:pPr>
            <w:r>
              <w:rPr>
                <w:rFonts w:ascii="Arial" w:cs="Arial" w:eastAsia="Arial" w:hAnsi="Arial"/>
                <w:sz w:val="18"/>
                <w:szCs w:val="18"/>
                <w:color w:val="auto"/>
              </w:rPr>
              <w:t>(27)%</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60" w:type="dxa"/>
            <w:vAlign w:val="bottom"/>
          </w:tcPr>
          <w:p>
            <w:pPr>
              <w:jc w:val="right"/>
              <w:ind w:right="13"/>
              <w:spacing w:after="0"/>
              <w:rPr>
                <w:sz w:val="20"/>
                <w:szCs w:val="20"/>
                <w:color w:val="auto"/>
              </w:rPr>
            </w:pPr>
            <w:r>
              <w:rPr>
                <w:rFonts w:ascii="Arial" w:cs="Arial" w:eastAsia="Arial" w:hAnsi="Arial"/>
                <w:sz w:val="18"/>
                <w:szCs w:val="18"/>
                <w:color w:val="auto"/>
              </w:rPr>
              <w:t>3,614</w:t>
            </w:r>
          </w:p>
        </w:tc>
        <w:tc>
          <w:tcPr>
            <w:tcW w:w="12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5 %</w:t>
            </w:r>
          </w:p>
        </w:tc>
      </w:tr>
      <w:tr>
        <w:trPr>
          <w:trHeight w:val="27"/>
        </w:trPr>
        <w:tc>
          <w:tcPr>
            <w:tcW w:w="29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Pr>
          <w:p>
            <w:pPr>
              <w:spacing w:after="0"/>
              <w:rPr>
                <w:sz w:val="2"/>
                <w:szCs w:val="2"/>
                <w:color w:val="auto"/>
              </w:rPr>
            </w:pPr>
          </w:p>
        </w:tc>
      </w:tr>
      <w:tr>
        <w:trPr>
          <w:trHeight w:val="270"/>
        </w:trPr>
        <w:tc>
          <w:tcPr>
            <w:tcW w:w="29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w w:val="95"/>
              </w:rPr>
              <w:t>Elimination of interproduct line sales</w:t>
            </w:r>
          </w:p>
        </w:tc>
        <w:tc>
          <w:tcPr>
            <w:tcW w:w="2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231"/>
              <w:spacing w:after="0"/>
              <w:rPr>
                <w:sz w:val="20"/>
                <w:szCs w:val="20"/>
                <w:color w:val="auto"/>
              </w:rPr>
            </w:pPr>
            <w:r>
              <w:rPr>
                <w:rFonts w:ascii="Arial" w:cs="Arial" w:eastAsia="Arial" w:hAnsi="Arial"/>
                <w:sz w:val="18"/>
                <w:szCs w:val="18"/>
                <w:color w:val="auto"/>
              </w:rPr>
              <w:t>(1,744)</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(1,744)</w:t>
            </w:r>
          </w:p>
        </w:tc>
        <w:tc>
          <w:tcPr>
            <w:tcW w:w="10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gridSpan w:val="2"/>
            <w:shd w:val="clear" w:color="auto" w:fill="CCEEFF"/>
          </w:tcPr>
          <w:p>
            <w:pPr>
              <w:jc w:val="center"/>
              <w:ind w:right="60"/>
              <w:spacing w:after="0"/>
              <w:rPr>
                <w:sz w:val="20"/>
                <w:szCs w:val="20"/>
                <w:color w:val="auto"/>
              </w:rPr>
            </w:pPr>
            <w:r>
              <w:rPr>
                <w:rFonts w:ascii="Arial" w:cs="Arial" w:eastAsia="Arial" w:hAnsi="Arial"/>
                <w:sz w:val="18"/>
                <w:szCs w:val="18"/>
                <w:color w:val="auto"/>
              </w:rPr>
              <w:t>NA</w:t>
            </w:r>
          </w:p>
        </w:tc>
        <w:tc>
          <w:tcPr>
            <w:tcW w:w="18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 %</w:t>
            </w:r>
          </w:p>
        </w:tc>
      </w:tr>
      <w:tr>
        <w:trPr>
          <w:trHeight w:val="237"/>
        </w:trPr>
        <w:tc>
          <w:tcPr>
            <w:tcW w:w="2960" w:type="dxa"/>
            <w:vAlign w:val="bottom"/>
          </w:tcPr>
          <w:p>
            <w:pPr>
              <w:ind w:left="380"/>
              <w:spacing w:after="0"/>
              <w:rPr>
                <w:sz w:val="20"/>
                <w:szCs w:val="20"/>
                <w:color w:val="auto"/>
              </w:rPr>
            </w:pPr>
            <w:r>
              <w:rPr>
                <w:rFonts w:ascii="Arial" w:cs="Arial" w:eastAsia="Arial" w:hAnsi="Arial"/>
                <w:sz w:val="18"/>
                <w:szCs w:val="18"/>
                <w:color w:val="auto"/>
              </w:rPr>
              <w:t>Total sales</w:t>
            </w:r>
          </w:p>
        </w:tc>
        <w:tc>
          <w:tcPr>
            <w:tcW w:w="26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291"/>
              <w:spacing w:after="0"/>
              <w:rPr>
                <w:sz w:val="20"/>
                <w:szCs w:val="20"/>
                <w:color w:val="auto"/>
              </w:rPr>
            </w:pPr>
            <w:r>
              <w:rPr>
                <w:rFonts w:ascii="Arial" w:cs="Arial" w:eastAsia="Arial" w:hAnsi="Arial"/>
                <w:sz w:val="18"/>
                <w:szCs w:val="18"/>
                <w:color w:val="auto"/>
              </w:rPr>
              <w:t>800,414</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232"/>
              <w:spacing w:after="0"/>
              <w:rPr>
                <w:sz w:val="20"/>
                <w:szCs w:val="20"/>
                <w:color w:val="auto"/>
              </w:rPr>
            </w:pPr>
            <w:r>
              <w:rPr>
                <w:rFonts w:ascii="Arial" w:cs="Arial" w:eastAsia="Arial" w:hAnsi="Arial"/>
                <w:sz w:val="18"/>
                <w:szCs w:val="18"/>
                <w:color w:val="auto"/>
              </w:rPr>
              <w:t>687,787</w:t>
            </w: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251"/>
              <w:spacing w:after="0"/>
              <w:rPr>
                <w:sz w:val="20"/>
                <w:szCs w:val="20"/>
                <w:color w:val="auto"/>
              </w:rPr>
            </w:pPr>
            <w:r>
              <w:rPr>
                <w:rFonts w:ascii="Arial" w:cs="Arial" w:eastAsia="Arial" w:hAnsi="Arial"/>
                <w:sz w:val="18"/>
                <w:szCs w:val="18"/>
                <w:color w:val="auto"/>
              </w:rPr>
              <w:t>663,945</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112,627</w:t>
            </w:r>
          </w:p>
        </w:tc>
        <w:tc>
          <w:tcPr>
            <w:tcW w:w="100" w:type="dxa"/>
            <w:vAlign w:val="bottom"/>
          </w:tcPr>
          <w:p>
            <w:pPr>
              <w:spacing w:after="0"/>
              <w:rPr>
                <w:sz w:val="20"/>
                <w:szCs w:val="20"/>
                <w:color w:val="auto"/>
              </w:rPr>
            </w:pPr>
          </w:p>
        </w:tc>
        <w:tc>
          <w:tcPr>
            <w:tcW w:w="1060" w:type="dxa"/>
            <w:vAlign w:val="bottom"/>
            <w:tcBorders>
              <w:top w:val="single" w:sz="8" w:color="auto"/>
            </w:tcBorders>
          </w:tcPr>
          <w:p>
            <w:pPr>
              <w:jc w:val="right"/>
              <w:ind w:right="92"/>
              <w:spacing w:after="0"/>
              <w:rPr>
                <w:sz w:val="20"/>
                <w:szCs w:val="20"/>
                <w:color w:val="auto"/>
              </w:rPr>
            </w:pPr>
            <w:r>
              <w:rPr>
                <w:rFonts w:ascii="Arial" w:cs="Arial" w:eastAsia="Arial" w:hAnsi="Arial"/>
                <w:sz w:val="18"/>
                <w:szCs w:val="18"/>
                <w:color w:val="auto"/>
              </w:rPr>
              <w:t>16 %</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760" w:type="dxa"/>
            <w:vAlign w:val="bottom"/>
            <w:tcBorders>
              <w:top w:val="single" w:sz="8" w:color="auto"/>
            </w:tcBorders>
          </w:tcPr>
          <w:p>
            <w:pPr>
              <w:jc w:val="right"/>
              <w:ind w:right="13"/>
              <w:spacing w:after="0"/>
              <w:rPr>
                <w:sz w:val="20"/>
                <w:szCs w:val="20"/>
                <w:color w:val="auto"/>
              </w:rPr>
            </w:pPr>
            <w:r>
              <w:rPr>
                <w:rFonts w:ascii="Arial" w:cs="Arial" w:eastAsia="Arial" w:hAnsi="Arial"/>
                <w:sz w:val="18"/>
                <w:szCs w:val="18"/>
                <w:color w:val="auto"/>
              </w:rPr>
              <w:t>23,842</w:t>
            </w:r>
          </w:p>
        </w:tc>
        <w:tc>
          <w:tcPr>
            <w:tcW w:w="120" w:type="dxa"/>
            <w:vAlign w:val="bottom"/>
          </w:tcPr>
          <w:p>
            <w:pPr>
              <w:spacing w:after="0"/>
              <w:rPr>
                <w:sz w:val="20"/>
                <w:szCs w:val="20"/>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4 %</w:t>
            </w:r>
          </w:p>
        </w:tc>
      </w:tr>
      <w:tr>
        <w:trPr>
          <w:trHeight w:val="27"/>
        </w:trPr>
        <w:tc>
          <w:tcPr>
            <w:tcW w:w="29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Pr>
          <w:p>
            <w:pPr>
              <w:spacing w:after="0"/>
              <w:rPr>
                <w:sz w:val="2"/>
                <w:szCs w:val="2"/>
                <w:color w:val="auto"/>
              </w:rPr>
            </w:pPr>
          </w:p>
        </w:tc>
      </w:tr>
      <w:tr>
        <w:trPr>
          <w:trHeight w:val="270"/>
        </w:trPr>
        <w:tc>
          <w:tcPr>
            <w:tcW w:w="29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Cost of sales</w:t>
            </w:r>
          </w:p>
        </w:tc>
        <w:tc>
          <w:tcPr>
            <w:tcW w:w="2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291"/>
              <w:spacing w:after="0"/>
              <w:rPr>
                <w:sz w:val="20"/>
                <w:szCs w:val="20"/>
                <w:color w:val="auto"/>
              </w:rPr>
            </w:pPr>
            <w:r>
              <w:rPr>
                <w:rFonts w:ascii="Arial" w:cs="Arial" w:eastAsia="Arial" w:hAnsi="Arial"/>
                <w:sz w:val="18"/>
                <w:szCs w:val="18"/>
                <w:color w:val="auto"/>
              </w:rPr>
              <w:t>565,279</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232"/>
              <w:spacing w:after="0"/>
              <w:rPr>
                <w:sz w:val="20"/>
                <w:szCs w:val="20"/>
                <w:color w:val="auto"/>
              </w:rPr>
            </w:pPr>
            <w:r>
              <w:rPr>
                <w:rFonts w:ascii="Arial" w:cs="Arial" w:eastAsia="Arial" w:hAnsi="Arial"/>
                <w:sz w:val="18"/>
                <w:szCs w:val="18"/>
                <w:color w:val="auto"/>
              </w:rPr>
              <w:t>456,389</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251"/>
              <w:spacing w:after="0"/>
              <w:rPr>
                <w:sz w:val="20"/>
                <w:szCs w:val="20"/>
                <w:color w:val="auto"/>
              </w:rPr>
            </w:pPr>
            <w:r>
              <w:rPr>
                <w:rFonts w:ascii="Arial" w:cs="Arial" w:eastAsia="Arial" w:hAnsi="Arial"/>
                <w:sz w:val="18"/>
                <w:szCs w:val="18"/>
                <w:color w:val="auto"/>
              </w:rPr>
              <w:t>444,632</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108,890</w:t>
            </w:r>
          </w:p>
        </w:tc>
        <w:tc>
          <w:tcPr>
            <w:tcW w:w="10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24 %</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11,757</w:t>
            </w:r>
          </w:p>
        </w:tc>
        <w:tc>
          <w:tcPr>
            <w:tcW w:w="12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3 %</w:t>
            </w:r>
          </w:p>
        </w:tc>
      </w:tr>
      <w:tr>
        <w:trPr>
          <w:trHeight w:val="237"/>
        </w:trPr>
        <w:tc>
          <w:tcPr>
            <w:tcW w:w="2960" w:type="dxa"/>
            <w:vAlign w:val="bottom"/>
          </w:tcPr>
          <w:p>
            <w:pPr>
              <w:ind w:left="380"/>
              <w:spacing w:after="0"/>
              <w:rPr>
                <w:sz w:val="20"/>
                <w:szCs w:val="20"/>
                <w:color w:val="auto"/>
              </w:rPr>
            </w:pPr>
            <w:r>
              <w:rPr>
                <w:rFonts w:ascii="Arial" w:cs="Arial" w:eastAsia="Arial" w:hAnsi="Arial"/>
                <w:sz w:val="18"/>
                <w:szCs w:val="18"/>
                <w:color w:val="auto"/>
              </w:rPr>
              <w:t>Gross profit</w:t>
            </w:r>
          </w:p>
        </w:tc>
        <w:tc>
          <w:tcPr>
            <w:tcW w:w="26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291"/>
              <w:spacing w:after="0"/>
              <w:rPr>
                <w:sz w:val="20"/>
                <w:szCs w:val="20"/>
                <w:color w:val="auto"/>
              </w:rPr>
            </w:pPr>
            <w:r>
              <w:rPr>
                <w:rFonts w:ascii="Arial" w:cs="Arial" w:eastAsia="Arial" w:hAnsi="Arial"/>
                <w:sz w:val="18"/>
                <w:szCs w:val="18"/>
                <w:color w:val="auto"/>
              </w:rPr>
              <w:t>235,135</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232"/>
              <w:spacing w:after="0"/>
              <w:rPr>
                <w:sz w:val="20"/>
                <w:szCs w:val="20"/>
                <w:color w:val="auto"/>
              </w:rPr>
            </w:pPr>
            <w:r>
              <w:rPr>
                <w:rFonts w:ascii="Arial" w:cs="Arial" w:eastAsia="Arial" w:hAnsi="Arial"/>
                <w:sz w:val="18"/>
                <w:szCs w:val="18"/>
                <w:color w:val="auto"/>
              </w:rPr>
              <w:t>231,398</w:t>
            </w: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251"/>
              <w:spacing w:after="0"/>
              <w:rPr>
                <w:sz w:val="20"/>
                <w:szCs w:val="20"/>
                <w:color w:val="auto"/>
              </w:rPr>
            </w:pPr>
            <w:r>
              <w:rPr>
                <w:rFonts w:ascii="Arial" w:cs="Arial" w:eastAsia="Arial" w:hAnsi="Arial"/>
                <w:sz w:val="18"/>
                <w:szCs w:val="18"/>
                <w:color w:val="auto"/>
              </w:rPr>
              <w:t>219,313</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3,737</w:t>
            </w:r>
          </w:p>
        </w:tc>
        <w:tc>
          <w:tcPr>
            <w:tcW w:w="100" w:type="dxa"/>
            <w:vAlign w:val="bottom"/>
          </w:tcPr>
          <w:p>
            <w:pPr>
              <w:spacing w:after="0"/>
              <w:rPr>
                <w:sz w:val="20"/>
                <w:szCs w:val="20"/>
                <w:color w:val="auto"/>
              </w:rPr>
            </w:pPr>
          </w:p>
        </w:tc>
        <w:tc>
          <w:tcPr>
            <w:tcW w:w="1060" w:type="dxa"/>
            <w:vAlign w:val="bottom"/>
            <w:tcBorders>
              <w:top w:val="single" w:sz="8" w:color="auto"/>
            </w:tcBorders>
          </w:tcPr>
          <w:p>
            <w:pPr>
              <w:jc w:val="right"/>
              <w:ind w:right="92"/>
              <w:spacing w:after="0"/>
              <w:rPr>
                <w:sz w:val="20"/>
                <w:szCs w:val="20"/>
                <w:color w:val="auto"/>
              </w:rPr>
            </w:pPr>
            <w:r>
              <w:rPr>
                <w:rFonts w:ascii="Arial" w:cs="Arial" w:eastAsia="Arial" w:hAnsi="Arial"/>
                <w:sz w:val="18"/>
                <w:szCs w:val="18"/>
                <w:color w:val="auto"/>
              </w:rPr>
              <w:t>2 %</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760" w:type="dxa"/>
            <w:vAlign w:val="bottom"/>
            <w:tcBorders>
              <w:top w:val="single" w:sz="8" w:color="auto"/>
            </w:tcBorders>
          </w:tcPr>
          <w:p>
            <w:pPr>
              <w:jc w:val="right"/>
              <w:ind w:right="13"/>
              <w:spacing w:after="0"/>
              <w:rPr>
                <w:sz w:val="20"/>
                <w:szCs w:val="20"/>
                <w:color w:val="auto"/>
              </w:rPr>
            </w:pPr>
            <w:r>
              <w:rPr>
                <w:rFonts w:ascii="Arial" w:cs="Arial" w:eastAsia="Arial" w:hAnsi="Arial"/>
                <w:sz w:val="18"/>
                <w:szCs w:val="18"/>
                <w:color w:val="auto"/>
              </w:rPr>
              <w:t>12,085</w:t>
            </w:r>
          </w:p>
        </w:tc>
        <w:tc>
          <w:tcPr>
            <w:tcW w:w="120" w:type="dxa"/>
            <w:vAlign w:val="bottom"/>
          </w:tcPr>
          <w:p>
            <w:pPr>
              <w:spacing w:after="0"/>
              <w:rPr>
                <w:sz w:val="20"/>
                <w:szCs w:val="20"/>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6 %</w:t>
            </w:r>
          </w:p>
        </w:tc>
      </w:tr>
      <w:tr>
        <w:trPr>
          <w:trHeight w:val="27"/>
        </w:trPr>
        <w:tc>
          <w:tcPr>
            <w:tcW w:w="29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Pr>
          <w:p>
            <w:pPr>
              <w:spacing w:after="0"/>
              <w:rPr>
                <w:sz w:val="2"/>
                <w:szCs w:val="2"/>
                <w:color w:val="auto"/>
              </w:rPr>
            </w:pPr>
          </w:p>
        </w:tc>
      </w:tr>
      <w:tr>
        <w:trPr>
          <w:trHeight w:val="250"/>
        </w:trPr>
        <w:tc>
          <w:tcPr>
            <w:tcW w:w="29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i w:val="1"/>
                <w:iCs w:val="1"/>
                <w:color w:val="auto"/>
              </w:rPr>
              <w:t>Gross profit as a % of sales</w:t>
            </w:r>
          </w:p>
        </w:tc>
        <w:tc>
          <w:tcPr>
            <w:tcW w:w="2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i w:val="1"/>
                <w:iCs w:val="1"/>
                <w:color w:val="auto"/>
              </w:rPr>
              <w:t>29.4 %</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i w:val="1"/>
                <w:iCs w:val="1"/>
                <w:color w:val="auto"/>
              </w:rPr>
              <w:t>33.6%</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i w:val="1"/>
                <w:iCs w:val="1"/>
                <w:color w:val="auto"/>
              </w:rPr>
              <w:t>33.0%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r>
      <w:tr>
        <w:trPr>
          <w:trHeight w:val="229"/>
        </w:trPr>
        <w:tc>
          <w:tcPr>
            <w:tcW w:w="2960" w:type="dxa"/>
            <w:vAlign w:val="bottom"/>
          </w:tcPr>
          <w:p>
            <w:pPr>
              <w:ind w:left="40"/>
              <w:spacing w:after="0"/>
              <w:rPr>
                <w:sz w:val="20"/>
                <w:szCs w:val="20"/>
                <w:color w:val="auto"/>
              </w:rPr>
            </w:pPr>
            <w:r>
              <w:rPr>
                <w:rFonts w:ascii="Arial" w:cs="Arial" w:eastAsia="Arial" w:hAnsi="Arial"/>
                <w:sz w:val="18"/>
                <w:szCs w:val="18"/>
                <w:color w:val="auto"/>
              </w:rPr>
              <w:t>Selling, general and administrative</w:t>
            </w:r>
          </w:p>
        </w:tc>
        <w:tc>
          <w:tcPr>
            <w:tcW w:w="26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tcPr>
          <w:p>
            <w:pPr>
              <w:spacing w:after="0"/>
              <w:rPr>
                <w:sz w:val="19"/>
                <w:szCs w:val="19"/>
                <w:color w:val="auto"/>
              </w:rPr>
            </w:pPr>
          </w:p>
        </w:tc>
      </w:tr>
      <w:tr>
        <w:trPr>
          <w:trHeight w:val="230"/>
        </w:trPr>
        <w:tc>
          <w:tcPr>
            <w:tcW w:w="2960" w:type="dxa"/>
            <w:vAlign w:val="bottom"/>
          </w:tcPr>
          <w:p>
            <w:pPr>
              <w:ind w:left="40"/>
              <w:spacing w:after="0"/>
              <w:rPr>
                <w:sz w:val="20"/>
                <w:szCs w:val="20"/>
                <w:color w:val="auto"/>
              </w:rPr>
            </w:pPr>
            <w:r>
              <w:rPr>
                <w:rFonts w:ascii="Arial" w:cs="Arial" w:eastAsia="Arial" w:hAnsi="Arial"/>
                <w:sz w:val="18"/>
                <w:szCs w:val="18"/>
                <w:color w:val="auto"/>
              </w:rPr>
              <w:t>expenses (SG&amp;A)</w:t>
            </w:r>
          </w:p>
        </w:tc>
        <w:tc>
          <w:tcPr>
            <w:tcW w:w="260" w:type="dxa"/>
            <w:vAlign w:val="bottom"/>
          </w:tcPr>
          <w:p>
            <w:pPr>
              <w:spacing w:after="0"/>
              <w:rPr>
                <w:sz w:val="20"/>
                <w:szCs w:val="20"/>
                <w:color w:val="auto"/>
              </w:rPr>
            </w:pPr>
          </w:p>
        </w:tc>
        <w:tc>
          <w:tcPr>
            <w:tcW w:w="1140" w:type="dxa"/>
            <w:vAlign w:val="bottom"/>
          </w:tcPr>
          <w:p>
            <w:pPr>
              <w:jc w:val="right"/>
              <w:ind w:right="291"/>
              <w:spacing w:after="0"/>
              <w:rPr>
                <w:sz w:val="20"/>
                <w:szCs w:val="20"/>
                <w:color w:val="auto"/>
              </w:rPr>
            </w:pPr>
            <w:r>
              <w:rPr>
                <w:rFonts w:ascii="Arial" w:cs="Arial" w:eastAsia="Arial" w:hAnsi="Arial"/>
                <w:sz w:val="18"/>
                <w:szCs w:val="18"/>
                <w:color w:val="auto"/>
              </w:rPr>
              <w:t>102,530</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00" w:type="dxa"/>
            <w:vAlign w:val="bottom"/>
          </w:tcPr>
          <w:p>
            <w:pPr>
              <w:jc w:val="right"/>
              <w:ind w:right="232"/>
              <w:spacing w:after="0"/>
              <w:rPr>
                <w:sz w:val="20"/>
                <w:szCs w:val="20"/>
                <w:color w:val="auto"/>
              </w:rPr>
            </w:pPr>
            <w:r>
              <w:rPr>
                <w:rFonts w:ascii="Arial" w:cs="Arial" w:eastAsia="Arial" w:hAnsi="Arial"/>
                <w:sz w:val="18"/>
                <w:szCs w:val="18"/>
                <w:color w:val="auto"/>
              </w:rPr>
              <w:t>90,602</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80" w:type="dxa"/>
            <w:vAlign w:val="bottom"/>
          </w:tcPr>
          <w:p>
            <w:pPr>
              <w:jc w:val="right"/>
              <w:ind w:right="251"/>
              <w:spacing w:after="0"/>
              <w:rPr>
                <w:sz w:val="20"/>
                <w:szCs w:val="20"/>
                <w:color w:val="auto"/>
              </w:rPr>
            </w:pPr>
            <w:r>
              <w:rPr>
                <w:rFonts w:ascii="Arial" w:cs="Arial" w:eastAsia="Arial" w:hAnsi="Arial"/>
                <w:sz w:val="18"/>
                <w:szCs w:val="18"/>
                <w:color w:val="auto"/>
              </w:rPr>
              <w:t>88,107</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00" w:type="dxa"/>
            <w:vAlign w:val="bottom"/>
          </w:tcPr>
          <w:p>
            <w:pPr>
              <w:jc w:val="right"/>
              <w:ind w:right="33"/>
              <w:spacing w:after="0"/>
              <w:rPr>
                <w:sz w:val="20"/>
                <w:szCs w:val="20"/>
                <w:color w:val="auto"/>
              </w:rPr>
            </w:pPr>
            <w:r>
              <w:rPr>
                <w:rFonts w:ascii="Arial" w:cs="Arial" w:eastAsia="Arial" w:hAnsi="Arial"/>
                <w:sz w:val="18"/>
                <w:szCs w:val="18"/>
                <w:color w:val="auto"/>
              </w:rPr>
              <w:t>11,928</w:t>
            </w:r>
          </w:p>
        </w:tc>
        <w:tc>
          <w:tcPr>
            <w:tcW w:w="100" w:type="dxa"/>
            <w:vAlign w:val="bottom"/>
          </w:tcPr>
          <w:p>
            <w:pPr>
              <w:spacing w:after="0"/>
              <w:rPr>
                <w:sz w:val="20"/>
                <w:szCs w:val="20"/>
                <w:color w:val="auto"/>
              </w:rPr>
            </w:pPr>
          </w:p>
        </w:tc>
        <w:tc>
          <w:tcPr>
            <w:tcW w:w="1060" w:type="dxa"/>
            <w:vAlign w:val="bottom"/>
          </w:tcPr>
          <w:p>
            <w:pPr>
              <w:jc w:val="right"/>
              <w:ind w:right="92"/>
              <w:spacing w:after="0"/>
              <w:rPr>
                <w:sz w:val="20"/>
                <w:szCs w:val="20"/>
                <w:color w:val="auto"/>
              </w:rPr>
            </w:pPr>
            <w:r>
              <w:rPr>
                <w:rFonts w:ascii="Arial" w:cs="Arial" w:eastAsia="Arial" w:hAnsi="Arial"/>
                <w:sz w:val="18"/>
                <w:szCs w:val="18"/>
                <w:color w:val="auto"/>
              </w:rPr>
              <w:t>13 %</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60" w:type="dxa"/>
            <w:vAlign w:val="bottom"/>
          </w:tcPr>
          <w:p>
            <w:pPr>
              <w:jc w:val="right"/>
              <w:ind w:right="13"/>
              <w:spacing w:after="0"/>
              <w:rPr>
                <w:sz w:val="20"/>
                <w:szCs w:val="20"/>
                <w:color w:val="auto"/>
              </w:rPr>
            </w:pPr>
            <w:r>
              <w:rPr>
                <w:rFonts w:ascii="Arial" w:cs="Arial" w:eastAsia="Arial" w:hAnsi="Arial"/>
                <w:sz w:val="18"/>
                <w:szCs w:val="18"/>
                <w:color w:val="auto"/>
              </w:rPr>
              <w:t>2,495</w:t>
            </w:r>
          </w:p>
        </w:tc>
        <w:tc>
          <w:tcPr>
            <w:tcW w:w="12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3 %</w:t>
            </w:r>
          </w:p>
        </w:tc>
      </w:tr>
      <w:tr>
        <w:trPr>
          <w:trHeight w:val="27"/>
        </w:trPr>
        <w:tc>
          <w:tcPr>
            <w:tcW w:w="29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Pr>
          <w:p>
            <w:pPr>
              <w:spacing w:after="0"/>
              <w:rPr>
                <w:sz w:val="2"/>
                <w:szCs w:val="2"/>
                <w:color w:val="auto"/>
              </w:rPr>
            </w:pPr>
          </w:p>
        </w:tc>
      </w:tr>
      <w:tr>
        <w:trPr>
          <w:trHeight w:val="250"/>
        </w:trPr>
        <w:tc>
          <w:tcPr>
            <w:tcW w:w="29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i w:val="1"/>
                <w:iCs w:val="1"/>
                <w:color w:val="auto"/>
              </w:rPr>
              <w:t>SG&amp;A as a % of sales</w:t>
            </w:r>
          </w:p>
        </w:tc>
        <w:tc>
          <w:tcPr>
            <w:tcW w:w="2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i w:val="1"/>
                <w:iCs w:val="1"/>
                <w:color w:val="auto"/>
              </w:rPr>
              <w:t>12.8 %</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i w:val="1"/>
                <w:iCs w:val="1"/>
                <w:color w:val="auto"/>
              </w:rPr>
              <w:t>13.2%</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i w:val="1"/>
                <w:iCs w:val="1"/>
                <w:color w:val="auto"/>
              </w:rPr>
              <w:t>13.3%</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r>
      <w:tr>
        <w:trPr>
          <w:trHeight w:val="229"/>
        </w:trPr>
        <w:tc>
          <w:tcPr>
            <w:tcW w:w="2960" w:type="dxa"/>
            <w:vAlign w:val="bottom"/>
          </w:tcPr>
          <w:p>
            <w:pPr>
              <w:ind w:left="40"/>
              <w:spacing w:after="0"/>
              <w:rPr>
                <w:sz w:val="20"/>
                <w:szCs w:val="20"/>
                <w:color w:val="auto"/>
              </w:rPr>
            </w:pPr>
            <w:r>
              <w:rPr>
                <w:rFonts w:ascii="Arial" w:cs="Arial" w:eastAsia="Arial" w:hAnsi="Arial"/>
                <w:sz w:val="18"/>
                <w:szCs w:val="18"/>
                <w:color w:val="auto"/>
                <w:w w:val="89"/>
              </w:rPr>
              <w:t>Research, development and engineering</w:t>
            </w:r>
          </w:p>
        </w:tc>
        <w:tc>
          <w:tcPr>
            <w:tcW w:w="26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tcPr>
          <w:p>
            <w:pPr>
              <w:spacing w:after="0"/>
              <w:rPr>
                <w:sz w:val="19"/>
                <w:szCs w:val="19"/>
                <w:color w:val="auto"/>
              </w:rPr>
            </w:pPr>
          </w:p>
        </w:tc>
      </w:tr>
      <w:tr>
        <w:trPr>
          <w:trHeight w:val="230"/>
        </w:trPr>
        <w:tc>
          <w:tcPr>
            <w:tcW w:w="2960" w:type="dxa"/>
            <w:vAlign w:val="bottom"/>
          </w:tcPr>
          <w:p>
            <w:pPr>
              <w:ind w:left="40"/>
              <w:spacing w:after="0"/>
              <w:rPr>
                <w:sz w:val="20"/>
                <w:szCs w:val="20"/>
                <w:color w:val="auto"/>
              </w:rPr>
            </w:pPr>
            <w:r>
              <w:rPr>
                <w:rFonts w:ascii="Arial" w:cs="Arial" w:eastAsia="Arial" w:hAnsi="Arial"/>
                <w:sz w:val="18"/>
                <w:szCs w:val="18"/>
                <w:color w:val="auto"/>
              </w:rPr>
              <w:t>costs, net (RD&amp;E)</w:t>
            </w:r>
          </w:p>
        </w:tc>
        <w:tc>
          <w:tcPr>
            <w:tcW w:w="260" w:type="dxa"/>
            <w:vAlign w:val="bottom"/>
          </w:tcPr>
          <w:p>
            <w:pPr>
              <w:spacing w:after="0"/>
              <w:rPr>
                <w:sz w:val="20"/>
                <w:szCs w:val="20"/>
                <w:color w:val="auto"/>
              </w:rPr>
            </w:pPr>
          </w:p>
        </w:tc>
        <w:tc>
          <w:tcPr>
            <w:tcW w:w="1140" w:type="dxa"/>
            <w:vAlign w:val="bottom"/>
          </w:tcPr>
          <w:p>
            <w:pPr>
              <w:jc w:val="right"/>
              <w:ind w:right="291"/>
              <w:spacing w:after="0"/>
              <w:rPr>
                <w:sz w:val="20"/>
                <w:szCs w:val="20"/>
                <w:color w:val="auto"/>
              </w:rPr>
            </w:pPr>
            <w:r>
              <w:rPr>
                <w:rFonts w:ascii="Arial" w:cs="Arial" w:eastAsia="Arial" w:hAnsi="Arial"/>
                <w:sz w:val="18"/>
                <w:szCs w:val="18"/>
                <w:color w:val="auto"/>
              </w:rPr>
              <w:t>52,995</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00" w:type="dxa"/>
            <w:vAlign w:val="bottom"/>
          </w:tcPr>
          <w:p>
            <w:pPr>
              <w:jc w:val="right"/>
              <w:ind w:right="232"/>
              <w:spacing w:after="0"/>
              <w:rPr>
                <w:sz w:val="20"/>
                <w:szCs w:val="20"/>
                <w:color w:val="auto"/>
              </w:rPr>
            </w:pPr>
            <w:r>
              <w:rPr>
                <w:rFonts w:ascii="Arial" w:cs="Arial" w:eastAsia="Arial" w:hAnsi="Arial"/>
                <w:sz w:val="18"/>
                <w:szCs w:val="18"/>
                <w:color w:val="auto"/>
              </w:rPr>
              <w:t>49,845</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80" w:type="dxa"/>
            <w:vAlign w:val="bottom"/>
          </w:tcPr>
          <w:p>
            <w:pPr>
              <w:jc w:val="right"/>
              <w:ind w:right="251"/>
              <w:spacing w:after="0"/>
              <w:rPr>
                <w:sz w:val="20"/>
                <w:szCs w:val="20"/>
                <w:color w:val="auto"/>
              </w:rPr>
            </w:pPr>
            <w:r>
              <w:rPr>
                <w:rFonts w:ascii="Arial" w:cs="Arial" w:eastAsia="Arial" w:hAnsi="Arial"/>
                <w:sz w:val="18"/>
                <w:szCs w:val="18"/>
                <w:color w:val="auto"/>
              </w:rPr>
              <w:t>54,077</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00" w:type="dxa"/>
            <w:vAlign w:val="bottom"/>
          </w:tcPr>
          <w:p>
            <w:pPr>
              <w:jc w:val="right"/>
              <w:ind w:right="33"/>
              <w:spacing w:after="0"/>
              <w:rPr>
                <w:sz w:val="20"/>
                <w:szCs w:val="20"/>
                <w:color w:val="auto"/>
              </w:rPr>
            </w:pPr>
            <w:r>
              <w:rPr>
                <w:rFonts w:ascii="Arial" w:cs="Arial" w:eastAsia="Arial" w:hAnsi="Arial"/>
                <w:sz w:val="18"/>
                <w:szCs w:val="18"/>
                <w:color w:val="auto"/>
              </w:rPr>
              <w:t>3,150</w:t>
            </w:r>
          </w:p>
        </w:tc>
        <w:tc>
          <w:tcPr>
            <w:tcW w:w="100" w:type="dxa"/>
            <w:vAlign w:val="bottom"/>
          </w:tcPr>
          <w:p>
            <w:pPr>
              <w:spacing w:after="0"/>
              <w:rPr>
                <w:sz w:val="20"/>
                <w:szCs w:val="20"/>
                <w:color w:val="auto"/>
              </w:rPr>
            </w:pPr>
          </w:p>
        </w:tc>
        <w:tc>
          <w:tcPr>
            <w:tcW w:w="1060" w:type="dxa"/>
            <w:vAlign w:val="bottom"/>
          </w:tcPr>
          <w:p>
            <w:pPr>
              <w:jc w:val="right"/>
              <w:ind w:right="92"/>
              <w:spacing w:after="0"/>
              <w:rPr>
                <w:sz w:val="20"/>
                <w:szCs w:val="20"/>
                <w:color w:val="auto"/>
              </w:rPr>
            </w:pPr>
            <w:r>
              <w:rPr>
                <w:rFonts w:ascii="Arial" w:cs="Arial" w:eastAsia="Arial" w:hAnsi="Arial"/>
                <w:sz w:val="18"/>
                <w:szCs w:val="18"/>
                <w:color w:val="auto"/>
              </w:rPr>
              <w:t>6 %</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(4,232)</w:t>
            </w:r>
          </w:p>
        </w:tc>
        <w:tc>
          <w:tcPr>
            <w:tcW w:w="12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(8)%</w:t>
            </w:r>
          </w:p>
        </w:tc>
      </w:tr>
      <w:tr>
        <w:trPr>
          <w:trHeight w:val="27"/>
        </w:trPr>
        <w:tc>
          <w:tcPr>
            <w:tcW w:w="29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Pr>
          <w:p>
            <w:pPr>
              <w:spacing w:after="0"/>
              <w:rPr>
                <w:sz w:val="2"/>
                <w:szCs w:val="2"/>
                <w:color w:val="auto"/>
              </w:rPr>
            </w:pPr>
          </w:p>
        </w:tc>
      </w:tr>
      <w:tr>
        <w:trPr>
          <w:trHeight w:val="250"/>
        </w:trPr>
        <w:tc>
          <w:tcPr>
            <w:tcW w:w="29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i w:val="1"/>
                <w:iCs w:val="1"/>
                <w:color w:val="auto"/>
              </w:rPr>
              <w:t>RD&amp;E as a % of sales</w:t>
            </w:r>
          </w:p>
        </w:tc>
        <w:tc>
          <w:tcPr>
            <w:tcW w:w="2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i w:val="1"/>
                <w:iCs w:val="1"/>
                <w:color w:val="auto"/>
              </w:rPr>
              <w:t>6.6 %</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i w:val="1"/>
                <w:iCs w:val="1"/>
                <w:color w:val="auto"/>
              </w:rPr>
              <w:t>7.2%</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i w:val="1"/>
                <w:iCs w:val="1"/>
                <w:color w:val="auto"/>
              </w:rPr>
              <w:t>8.1%</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r>
      <w:tr>
        <w:trPr>
          <w:trHeight w:val="243"/>
        </w:trPr>
        <w:tc>
          <w:tcPr>
            <w:tcW w:w="2960" w:type="dxa"/>
            <w:vAlign w:val="bottom"/>
          </w:tcPr>
          <w:p>
            <w:pPr>
              <w:ind w:left="40"/>
              <w:spacing w:after="0"/>
              <w:rPr>
                <w:sz w:val="20"/>
                <w:szCs w:val="20"/>
                <w:color w:val="auto"/>
              </w:rPr>
            </w:pPr>
            <w:r>
              <w:rPr>
                <w:rFonts w:ascii="Arial" w:cs="Arial" w:eastAsia="Arial" w:hAnsi="Arial"/>
                <w:sz w:val="18"/>
                <w:szCs w:val="18"/>
                <w:color w:val="auto"/>
              </w:rPr>
              <w:t>Other operating expenses, net</w:t>
            </w:r>
          </w:p>
        </w:tc>
        <w:tc>
          <w:tcPr>
            <w:tcW w:w="260" w:type="dxa"/>
            <w:vAlign w:val="bottom"/>
          </w:tcPr>
          <w:p>
            <w:pPr>
              <w:spacing w:after="0"/>
              <w:rPr>
                <w:sz w:val="21"/>
                <w:szCs w:val="21"/>
                <w:color w:val="auto"/>
              </w:rPr>
            </w:pPr>
          </w:p>
        </w:tc>
        <w:tc>
          <w:tcPr>
            <w:tcW w:w="1140" w:type="dxa"/>
            <w:vAlign w:val="bottom"/>
          </w:tcPr>
          <w:p>
            <w:pPr>
              <w:jc w:val="right"/>
              <w:ind w:right="291"/>
              <w:spacing w:after="0"/>
              <w:rPr>
                <w:sz w:val="20"/>
                <w:szCs w:val="20"/>
                <w:color w:val="auto"/>
              </w:rPr>
            </w:pPr>
            <w:r>
              <w:rPr>
                <w:rFonts w:ascii="Arial" w:cs="Arial" w:eastAsia="Arial" w:hAnsi="Arial"/>
                <w:sz w:val="18"/>
                <w:szCs w:val="18"/>
                <w:color w:val="auto"/>
              </w:rPr>
              <w:t>66,464</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00" w:type="dxa"/>
            <w:vAlign w:val="bottom"/>
          </w:tcPr>
          <w:p>
            <w:pPr>
              <w:jc w:val="right"/>
              <w:ind w:right="232"/>
              <w:spacing w:after="0"/>
              <w:rPr>
                <w:sz w:val="20"/>
                <w:szCs w:val="20"/>
                <w:color w:val="auto"/>
              </w:rPr>
            </w:pPr>
            <w:r>
              <w:rPr>
                <w:rFonts w:ascii="Arial" w:cs="Arial" w:eastAsia="Arial" w:hAnsi="Arial"/>
                <w:sz w:val="18"/>
                <w:szCs w:val="18"/>
                <w:color w:val="auto"/>
              </w:rPr>
              <w:t>15,297</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80" w:type="dxa"/>
            <w:vAlign w:val="bottom"/>
          </w:tcPr>
          <w:p>
            <w:pPr>
              <w:jc w:val="right"/>
              <w:ind w:right="251"/>
              <w:spacing w:after="0"/>
              <w:rPr>
                <w:sz w:val="20"/>
                <w:szCs w:val="20"/>
                <w:color w:val="auto"/>
              </w:rPr>
            </w:pPr>
            <w:r>
              <w:rPr>
                <w:rFonts w:ascii="Arial" w:cs="Arial" w:eastAsia="Arial" w:hAnsi="Arial"/>
                <w:sz w:val="18"/>
                <w:szCs w:val="18"/>
                <w:color w:val="auto"/>
              </w:rPr>
              <w:t>15,790</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00" w:type="dxa"/>
            <w:vAlign w:val="bottom"/>
          </w:tcPr>
          <w:p>
            <w:pPr>
              <w:jc w:val="right"/>
              <w:ind w:right="33"/>
              <w:spacing w:after="0"/>
              <w:rPr>
                <w:sz w:val="20"/>
                <w:szCs w:val="20"/>
                <w:color w:val="auto"/>
              </w:rPr>
            </w:pPr>
            <w:r>
              <w:rPr>
                <w:rFonts w:ascii="Arial" w:cs="Arial" w:eastAsia="Arial" w:hAnsi="Arial"/>
                <w:sz w:val="18"/>
                <w:szCs w:val="18"/>
                <w:color w:val="auto"/>
              </w:rPr>
              <w:t>51,167</w:t>
            </w:r>
          </w:p>
        </w:tc>
        <w:tc>
          <w:tcPr>
            <w:tcW w:w="100" w:type="dxa"/>
            <w:vAlign w:val="bottom"/>
          </w:tcPr>
          <w:p>
            <w:pPr>
              <w:spacing w:after="0"/>
              <w:rPr>
                <w:sz w:val="21"/>
                <w:szCs w:val="21"/>
                <w:color w:val="auto"/>
              </w:rPr>
            </w:pPr>
          </w:p>
        </w:tc>
        <w:tc>
          <w:tcPr>
            <w:tcW w:w="1060" w:type="dxa"/>
            <w:vAlign w:val="bottom"/>
          </w:tcPr>
          <w:p>
            <w:pPr>
              <w:jc w:val="right"/>
              <w:ind w:right="92"/>
              <w:spacing w:after="0"/>
              <w:rPr>
                <w:sz w:val="20"/>
                <w:szCs w:val="20"/>
                <w:color w:val="auto"/>
              </w:rPr>
            </w:pPr>
            <w:r>
              <w:rPr>
                <w:rFonts w:ascii="Arial" w:cs="Arial" w:eastAsia="Arial" w:hAnsi="Arial"/>
                <w:sz w:val="18"/>
                <w:szCs w:val="18"/>
                <w:color w:val="auto"/>
              </w:rPr>
              <w:t>334 %</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(493)</w:t>
            </w:r>
          </w:p>
        </w:tc>
        <w:tc>
          <w:tcPr>
            <w:tcW w:w="12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(3)%</w:t>
            </w:r>
          </w:p>
        </w:tc>
      </w:tr>
      <w:tr>
        <w:trPr>
          <w:trHeight w:val="27"/>
        </w:trPr>
        <w:tc>
          <w:tcPr>
            <w:tcW w:w="296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r>
      <w:tr>
        <w:trPr>
          <w:trHeight w:val="244"/>
        </w:trPr>
        <w:tc>
          <w:tcPr>
            <w:tcW w:w="29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Operating income</w:t>
            </w:r>
          </w:p>
        </w:tc>
        <w:tc>
          <w:tcPr>
            <w:tcW w:w="2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291"/>
              <w:spacing w:after="0"/>
              <w:rPr>
                <w:sz w:val="20"/>
                <w:szCs w:val="20"/>
                <w:color w:val="auto"/>
              </w:rPr>
            </w:pPr>
            <w:r>
              <w:rPr>
                <w:rFonts w:ascii="Arial" w:cs="Arial" w:eastAsia="Arial" w:hAnsi="Arial"/>
                <w:sz w:val="18"/>
                <w:szCs w:val="18"/>
                <w:color w:val="auto"/>
              </w:rPr>
              <w:t>13,146</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232"/>
              <w:spacing w:after="0"/>
              <w:rPr>
                <w:sz w:val="20"/>
                <w:szCs w:val="20"/>
                <w:color w:val="auto"/>
              </w:rPr>
            </w:pPr>
            <w:r>
              <w:rPr>
                <w:rFonts w:ascii="Arial" w:cs="Arial" w:eastAsia="Arial" w:hAnsi="Arial"/>
                <w:sz w:val="18"/>
                <w:szCs w:val="18"/>
                <w:color w:val="auto"/>
              </w:rPr>
              <w:t>75,654</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251"/>
              <w:spacing w:after="0"/>
              <w:rPr>
                <w:sz w:val="20"/>
                <w:szCs w:val="20"/>
                <w:color w:val="auto"/>
              </w:rPr>
            </w:pPr>
            <w:r>
              <w:rPr>
                <w:rFonts w:ascii="Arial" w:cs="Arial" w:eastAsia="Arial" w:hAnsi="Arial"/>
                <w:sz w:val="18"/>
                <w:szCs w:val="18"/>
                <w:color w:val="auto"/>
              </w:rPr>
              <w:t>61,339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(62,508)</w:t>
            </w:r>
          </w:p>
        </w:tc>
        <w:tc>
          <w:tcPr>
            <w:tcW w:w="1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(83)%</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14,315</w:t>
            </w:r>
          </w:p>
        </w:tc>
        <w:tc>
          <w:tcPr>
            <w:tcW w:w="1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23 %</w:t>
            </w:r>
          </w:p>
        </w:tc>
      </w:tr>
      <w:tr>
        <w:trPr>
          <w:trHeight w:val="243"/>
        </w:trPr>
        <w:tc>
          <w:tcPr>
            <w:tcW w:w="2960" w:type="dxa"/>
            <w:vAlign w:val="bottom"/>
          </w:tcPr>
          <w:p>
            <w:pPr>
              <w:ind w:left="380"/>
              <w:spacing w:after="0"/>
              <w:rPr>
                <w:sz w:val="20"/>
                <w:szCs w:val="20"/>
                <w:color w:val="auto"/>
              </w:rPr>
            </w:pPr>
            <w:r>
              <w:rPr>
                <w:rFonts w:ascii="Arial" w:cs="Arial" w:eastAsia="Arial" w:hAnsi="Arial"/>
                <w:sz w:val="18"/>
                <w:szCs w:val="18"/>
                <w:i w:val="1"/>
                <w:iCs w:val="1"/>
                <w:color w:val="auto"/>
              </w:rPr>
              <w:t>Operating margin</w:t>
            </w:r>
          </w:p>
        </w:tc>
        <w:tc>
          <w:tcPr>
            <w:tcW w:w="260" w:type="dxa"/>
            <w:vAlign w:val="bottom"/>
          </w:tcPr>
          <w:p>
            <w:pPr>
              <w:spacing w:after="0"/>
              <w:rPr>
                <w:sz w:val="21"/>
                <w:szCs w:val="21"/>
                <w:color w:val="auto"/>
              </w:rPr>
            </w:pPr>
          </w:p>
        </w:tc>
        <w:tc>
          <w:tcPr>
            <w:tcW w:w="1140" w:type="dxa"/>
            <w:vAlign w:val="bottom"/>
          </w:tcPr>
          <w:p>
            <w:pPr>
              <w:jc w:val="right"/>
              <w:ind w:right="91"/>
              <w:spacing w:after="0"/>
              <w:rPr>
                <w:sz w:val="20"/>
                <w:szCs w:val="20"/>
                <w:color w:val="auto"/>
              </w:rPr>
            </w:pPr>
            <w:r>
              <w:rPr>
                <w:rFonts w:ascii="Arial" w:cs="Arial" w:eastAsia="Arial" w:hAnsi="Arial"/>
                <w:sz w:val="18"/>
                <w:szCs w:val="18"/>
                <w:i w:val="1"/>
                <w:iCs w:val="1"/>
                <w:color w:val="auto"/>
              </w:rPr>
              <w:t>1.6 %</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00" w:type="dxa"/>
            <w:vAlign w:val="bottom"/>
          </w:tcPr>
          <w:p>
            <w:pPr>
              <w:jc w:val="right"/>
              <w:ind w:right="92"/>
              <w:spacing w:after="0"/>
              <w:rPr>
                <w:sz w:val="20"/>
                <w:szCs w:val="20"/>
                <w:color w:val="auto"/>
              </w:rPr>
            </w:pPr>
            <w:r>
              <w:rPr>
                <w:rFonts w:ascii="Arial" w:cs="Arial" w:eastAsia="Arial" w:hAnsi="Arial"/>
                <w:sz w:val="18"/>
                <w:szCs w:val="18"/>
                <w:i w:val="1"/>
                <w:iCs w:val="1"/>
                <w:color w:val="auto"/>
              </w:rPr>
              <w:t>11.0%</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80" w:type="dxa"/>
            <w:vAlign w:val="bottom"/>
          </w:tcPr>
          <w:p>
            <w:pPr>
              <w:jc w:val="right"/>
              <w:ind w:right="91"/>
              <w:spacing w:after="0"/>
              <w:rPr>
                <w:sz w:val="20"/>
                <w:szCs w:val="20"/>
                <w:color w:val="auto"/>
              </w:rPr>
            </w:pPr>
            <w:r>
              <w:rPr>
                <w:rFonts w:ascii="Arial" w:cs="Arial" w:eastAsia="Arial" w:hAnsi="Arial"/>
                <w:sz w:val="18"/>
                <w:szCs w:val="18"/>
                <w:i w:val="1"/>
                <w:iCs w:val="1"/>
                <w:color w:val="auto"/>
              </w:rPr>
              <w:t>9.2%</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00" w:type="dxa"/>
            <w:vAlign w:val="bottom"/>
          </w:tcPr>
          <w:p>
            <w:pPr>
              <w:spacing w:after="0"/>
              <w:rPr>
                <w:sz w:val="21"/>
                <w:szCs w:val="21"/>
                <w:color w:val="auto"/>
              </w:rPr>
            </w:pPr>
          </w:p>
        </w:tc>
      </w:tr>
      <w:tr>
        <w:trPr>
          <w:trHeight w:val="27"/>
        </w:trPr>
        <w:tc>
          <w:tcPr>
            <w:tcW w:w="29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Pr>
          <w:p>
            <w:pPr>
              <w:spacing w:after="0"/>
              <w:rPr>
                <w:sz w:val="2"/>
                <w:szCs w:val="2"/>
                <w:color w:val="auto"/>
              </w:rPr>
            </w:pPr>
          </w:p>
        </w:tc>
      </w:tr>
      <w:tr>
        <w:trPr>
          <w:trHeight w:val="250"/>
        </w:trPr>
        <w:tc>
          <w:tcPr>
            <w:tcW w:w="29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Interest expense</w:t>
            </w:r>
          </w:p>
        </w:tc>
        <w:tc>
          <w:tcPr>
            <w:tcW w:w="2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291"/>
              <w:spacing w:after="0"/>
              <w:rPr>
                <w:sz w:val="20"/>
                <w:szCs w:val="20"/>
                <w:color w:val="auto"/>
              </w:rPr>
            </w:pPr>
            <w:r>
              <w:rPr>
                <w:rFonts w:ascii="Arial" w:cs="Arial" w:eastAsia="Arial" w:hAnsi="Arial"/>
                <w:sz w:val="18"/>
                <w:szCs w:val="18"/>
                <w:color w:val="auto"/>
              </w:rPr>
              <w:t>33,513</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232"/>
              <w:spacing w:after="0"/>
              <w:rPr>
                <w:sz w:val="20"/>
                <w:szCs w:val="20"/>
                <w:color w:val="auto"/>
              </w:rPr>
            </w:pPr>
            <w:r>
              <w:rPr>
                <w:rFonts w:ascii="Arial" w:cs="Arial" w:eastAsia="Arial" w:hAnsi="Arial"/>
                <w:sz w:val="18"/>
                <w:szCs w:val="18"/>
                <w:color w:val="auto"/>
              </w:rPr>
              <w:t>4,252</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251"/>
              <w:spacing w:after="0"/>
              <w:rPr>
                <w:sz w:val="20"/>
                <w:szCs w:val="20"/>
                <w:color w:val="auto"/>
              </w:rPr>
            </w:pPr>
            <w:r>
              <w:rPr>
                <w:rFonts w:ascii="Arial" w:cs="Arial" w:eastAsia="Arial" w:hAnsi="Arial"/>
                <w:sz w:val="18"/>
                <w:szCs w:val="18"/>
                <w:color w:val="auto"/>
              </w:rPr>
              <w:t>11,261</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29,261</w:t>
            </w:r>
          </w:p>
        </w:tc>
        <w:tc>
          <w:tcPr>
            <w:tcW w:w="1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688 %</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(7,009)</w:t>
            </w:r>
          </w:p>
        </w:tc>
        <w:tc>
          <w:tcPr>
            <w:tcW w:w="1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(62)%</w:t>
            </w:r>
          </w:p>
        </w:tc>
      </w:tr>
      <w:tr>
        <w:trPr>
          <w:trHeight w:val="229"/>
        </w:trPr>
        <w:tc>
          <w:tcPr>
            <w:tcW w:w="2960" w:type="dxa"/>
            <w:vAlign w:val="bottom"/>
          </w:tcPr>
          <w:p>
            <w:pPr>
              <w:ind w:left="40"/>
              <w:spacing w:after="0"/>
              <w:rPr>
                <w:sz w:val="20"/>
                <w:szCs w:val="20"/>
                <w:color w:val="auto"/>
              </w:rPr>
            </w:pPr>
            <w:r>
              <w:rPr>
                <w:rFonts w:ascii="Arial" w:cs="Arial" w:eastAsia="Arial" w:hAnsi="Arial"/>
                <w:sz w:val="18"/>
                <w:szCs w:val="18"/>
                <w:color w:val="auto"/>
                <w:w w:val="95"/>
              </w:rPr>
              <w:t>(Gain) loss on cost and equity method</w:t>
            </w:r>
          </w:p>
        </w:tc>
        <w:tc>
          <w:tcPr>
            <w:tcW w:w="26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tcPr>
          <w:p>
            <w:pPr>
              <w:spacing w:after="0"/>
              <w:rPr>
                <w:sz w:val="19"/>
                <w:szCs w:val="19"/>
                <w:color w:val="auto"/>
              </w:rPr>
            </w:pPr>
          </w:p>
        </w:tc>
      </w:tr>
      <w:tr>
        <w:trPr>
          <w:trHeight w:val="230"/>
        </w:trPr>
        <w:tc>
          <w:tcPr>
            <w:tcW w:w="2960" w:type="dxa"/>
            <w:vAlign w:val="bottom"/>
          </w:tcPr>
          <w:p>
            <w:pPr>
              <w:ind w:left="40"/>
              <w:spacing w:after="0"/>
              <w:rPr>
                <w:sz w:val="20"/>
                <w:szCs w:val="20"/>
                <w:color w:val="auto"/>
              </w:rPr>
            </w:pPr>
            <w:r>
              <w:rPr>
                <w:rFonts w:ascii="Arial" w:cs="Arial" w:eastAsia="Arial" w:hAnsi="Arial"/>
                <w:sz w:val="18"/>
                <w:szCs w:val="18"/>
                <w:color w:val="auto"/>
              </w:rPr>
              <w:t>investments, net</w:t>
            </w:r>
          </w:p>
        </w:tc>
        <w:tc>
          <w:tcPr>
            <w:tcW w:w="260" w:type="dxa"/>
            <w:vAlign w:val="bottom"/>
          </w:tcPr>
          <w:p>
            <w:pPr>
              <w:spacing w:after="0"/>
              <w:rPr>
                <w:sz w:val="20"/>
                <w:szCs w:val="20"/>
                <w:color w:val="auto"/>
              </w:rPr>
            </w:pPr>
          </w:p>
        </w:tc>
        <w:tc>
          <w:tcPr>
            <w:tcW w:w="1140" w:type="dxa"/>
            <w:vAlign w:val="bottom"/>
          </w:tcPr>
          <w:p>
            <w:pPr>
              <w:jc w:val="right"/>
              <w:ind w:right="231"/>
              <w:spacing w:after="0"/>
              <w:rPr>
                <w:sz w:val="20"/>
                <w:szCs w:val="20"/>
                <w:color w:val="auto"/>
              </w:rPr>
            </w:pPr>
            <w:r>
              <w:rPr>
                <w:rFonts w:ascii="Arial" w:cs="Arial" w:eastAsia="Arial" w:hAnsi="Arial"/>
                <w:sz w:val="18"/>
                <w:szCs w:val="18"/>
                <w:color w:val="auto"/>
              </w:rPr>
              <w:t>(3,350)</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00" w:type="dxa"/>
            <w:vAlign w:val="bottom"/>
          </w:tcPr>
          <w:p>
            <w:pPr>
              <w:jc w:val="right"/>
              <w:ind w:right="172"/>
              <w:spacing w:after="0"/>
              <w:rPr>
                <w:sz w:val="20"/>
                <w:szCs w:val="20"/>
                <w:color w:val="auto"/>
              </w:rPr>
            </w:pPr>
            <w:r>
              <w:rPr>
                <w:rFonts w:ascii="Arial" w:cs="Arial" w:eastAsia="Arial" w:hAnsi="Arial"/>
                <w:sz w:val="18"/>
                <w:szCs w:val="18"/>
                <w:color w:val="auto"/>
              </w:rPr>
              <w:t>(4,370)</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80" w:type="dxa"/>
            <w:vAlign w:val="bottom"/>
          </w:tcPr>
          <w:p>
            <w:pPr>
              <w:jc w:val="right"/>
              <w:ind w:right="251"/>
              <w:spacing w:after="0"/>
              <w:rPr>
                <w:sz w:val="20"/>
                <w:szCs w:val="20"/>
                <w:color w:val="auto"/>
              </w:rPr>
            </w:pPr>
            <w:r>
              <w:rPr>
                <w:rFonts w:ascii="Arial" w:cs="Arial" w:eastAsia="Arial" w:hAnsi="Arial"/>
                <w:sz w:val="18"/>
                <w:szCs w:val="18"/>
                <w:color w:val="auto"/>
              </w:rPr>
              <w:t>694</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00" w:type="dxa"/>
            <w:vAlign w:val="bottom"/>
          </w:tcPr>
          <w:p>
            <w:pPr>
              <w:jc w:val="right"/>
              <w:ind w:right="33"/>
              <w:spacing w:after="0"/>
              <w:rPr>
                <w:sz w:val="20"/>
                <w:szCs w:val="20"/>
                <w:color w:val="auto"/>
              </w:rPr>
            </w:pPr>
            <w:r>
              <w:rPr>
                <w:rFonts w:ascii="Arial" w:cs="Arial" w:eastAsia="Arial" w:hAnsi="Arial"/>
                <w:sz w:val="18"/>
                <w:szCs w:val="18"/>
                <w:color w:val="auto"/>
              </w:rPr>
              <w:t>1,020</w:t>
            </w:r>
          </w:p>
        </w:tc>
        <w:tc>
          <w:tcPr>
            <w:tcW w:w="100" w:type="dxa"/>
            <w:vAlign w:val="bottom"/>
          </w:tcPr>
          <w:p>
            <w:pPr>
              <w:spacing w:after="0"/>
              <w:rPr>
                <w:sz w:val="20"/>
                <w:szCs w:val="20"/>
                <w:color w:val="auto"/>
              </w:rPr>
            </w:pPr>
          </w:p>
        </w:tc>
        <w:tc>
          <w:tcPr>
            <w:tcW w:w="1060" w:type="dxa"/>
            <w:vAlign w:val="bottom"/>
          </w:tcPr>
          <w:p>
            <w:pPr>
              <w:jc w:val="right"/>
              <w:ind w:right="92"/>
              <w:spacing w:after="0"/>
              <w:rPr>
                <w:sz w:val="20"/>
                <w:szCs w:val="20"/>
                <w:color w:val="auto"/>
              </w:rPr>
            </w:pPr>
            <w:r>
              <w:rPr>
                <w:rFonts w:ascii="Arial" w:cs="Arial" w:eastAsia="Arial" w:hAnsi="Arial"/>
                <w:sz w:val="18"/>
                <w:szCs w:val="18"/>
                <w:color w:val="auto"/>
              </w:rPr>
              <w:t>(23)%</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(5,064)</w:t>
            </w:r>
          </w:p>
        </w:tc>
        <w:tc>
          <w:tcPr>
            <w:tcW w:w="120" w:type="dxa"/>
            <w:vAlign w:val="bottom"/>
          </w:tcPr>
          <w:p>
            <w:pPr>
              <w:spacing w:after="0"/>
              <w:rPr>
                <w:sz w:val="20"/>
                <w:szCs w:val="20"/>
                <w:color w:val="auto"/>
              </w:rPr>
            </w:pPr>
          </w:p>
        </w:tc>
        <w:tc>
          <w:tcPr>
            <w:tcW w:w="900" w:type="dxa"/>
            <w:vAlign w:val="bottom"/>
          </w:tcPr>
          <w:p>
            <w:pPr>
              <w:jc w:val="right"/>
              <w:ind w:right="152"/>
              <w:spacing w:after="0"/>
              <w:rPr>
                <w:sz w:val="20"/>
                <w:szCs w:val="20"/>
                <w:color w:val="auto"/>
              </w:rPr>
            </w:pPr>
            <w:r>
              <w:rPr>
                <w:rFonts w:ascii="Arial" w:cs="Arial" w:eastAsia="Arial" w:hAnsi="Arial"/>
                <w:sz w:val="18"/>
                <w:szCs w:val="18"/>
                <w:color w:val="auto"/>
              </w:rPr>
              <w:t>NA</w:t>
            </w:r>
          </w:p>
        </w:tc>
      </w:tr>
      <w:tr>
        <w:trPr>
          <w:trHeight w:val="27"/>
        </w:trPr>
        <w:tc>
          <w:tcPr>
            <w:tcW w:w="29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Pr>
          <w:p>
            <w:pPr>
              <w:spacing w:after="0"/>
              <w:rPr>
                <w:sz w:val="2"/>
                <w:szCs w:val="2"/>
                <w:color w:val="auto"/>
              </w:rPr>
            </w:pPr>
          </w:p>
        </w:tc>
      </w:tr>
      <w:tr>
        <w:trPr>
          <w:trHeight w:val="250"/>
        </w:trPr>
        <w:tc>
          <w:tcPr>
            <w:tcW w:w="29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(income) expense, net</w:t>
            </w:r>
          </w:p>
        </w:tc>
        <w:tc>
          <w:tcPr>
            <w:tcW w:w="2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231"/>
              <w:spacing w:after="0"/>
              <w:rPr>
                <w:sz w:val="20"/>
                <w:szCs w:val="20"/>
                <w:color w:val="auto"/>
              </w:rPr>
            </w:pPr>
            <w:r>
              <w:rPr>
                <w:rFonts w:ascii="Arial" w:cs="Arial" w:eastAsia="Arial" w:hAnsi="Arial"/>
                <w:sz w:val="18"/>
                <w:szCs w:val="18"/>
                <w:color w:val="auto"/>
              </w:rPr>
              <w:t>(1,317)</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72"/>
              <w:spacing w:after="0"/>
              <w:rPr>
                <w:sz w:val="20"/>
                <w:szCs w:val="20"/>
                <w:color w:val="auto"/>
              </w:rPr>
            </w:pPr>
            <w:r>
              <w:rPr>
                <w:rFonts w:ascii="Arial" w:cs="Arial" w:eastAsia="Arial" w:hAnsi="Arial"/>
                <w:sz w:val="18"/>
                <w:szCs w:val="18"/>
                <w:color w:val="auto"/>
              </w:rPr>
              <w:t>(807)</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251"/>
              <w:spacing w:after="0"/>
              <w:rPr>
                <w:sz w:val="20"/>
                <w:szCs w:val="20"/>
                <w:color w:val="auto"/>
              </w:rPr>
            </w:pPr>
            <w:r>
              <w:rPr>
                <w:rFonts w:ascii="Arial" w:cs="Arial" w:eastAsia="Arial" w:hAnsi="Arial"/>
                <w:sz w:val="18"/>
                <w:szCs w:val="18"/>
                <w:color w:val="auto"/>
              </w:rPr>
              <w:t>546</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(510)</w:t>
            </w:r>
          </w:p>
        </w:tc>
        <w:tc>
          <w:tcPr>
            <w:tcW w:w="1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272"/>
              <w:spacing w:after="0"/>
              <w:rPr>
                <w:sz w:val="20"/>
                <w:szCs w:val="20"/>
                <w:color w:val="auto"/>
              </w:rPr>
            </w:pPr>
            <w:r>
              <w:rPr>
                <w:rFonts w:ascii="Arial" w:cs="Arial" w:eastAsia="Arial" w:hAnsi="Arial"/>
                <w:sz w:val="18"/>
                <w:szCs w:val="18"/>
                <w:color w:val="auto"/>
              </w:rPr>
              <w:t>63%</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(1,353)</w:t>
            </w:r>
          </w:p>
        </w:tc>
        <w:tc>
          <w:tcPr>
            <w:tcW w:w="1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52"/>
              <w:spacing w:after="0"/>
              <w:rPr>
                <w:sz w:val="20"/>
                <w:szCs w:val="20"/>
                <w:color w:val="auto"/>
              </w:rPr>
            </w:pPr>
            <w:r>
              <w:rPr>
                <w:rFonts w:ascii="Arial" w:cs="Arial" w:eastAsia="Arial" w:hAnsi="Arial"/>
                <w:sz w:val="18"/>
                <w:szCs w:val="18"/>
                <w:color w:val="auto"/>
              </w:rPr>
              <w:t>NA</w:t>
            </w:r>
          </w:p>
        </w:tc>
      </w:tr>
      <w:tr>
        <w:trPr>
          <w:trHeight w:val="243"/>
        </w:trPr>
        <w:tc>
          <w:tcPr>
            <w:tcW w:w="2960" w:type="dxa"/>
            <w:vAlign w:val="bottom"/>
          </w:tcPr>
          <w:p>
            <w:pPr>
              <w:ind w:left="40"/>
              <w:spacing w:after="0"/>
              <w:rPr>
                <w:sz w:val="20"/>
                <w:szCs w:val="20"/>
                <w:color w:val="auto"/>
              </w:rPr>
            </w:pPr>
            <w:r>
              <w:rPr>
                <w:rFonts w:ascii="Arial" w:cs="Arial" w:eastAsia="Arial" w:hAnsi="Arial"/>
                <w:sz w:val="18"/>
                <w:szCs w:val="18"/>
                <w:color w:val="auto"/>
              </w:rPr>
              <w:t>Provision (benefit) for income taxes</w:t>
            </w:r>
          </w:p>
        </w:tc>
        <w:tc>
          <w:tcPr>
            <w:tcW w:w="260" w:type="dxa"/>
            <w:vAlign w:val="bottom"/>
          </w:tcPr>
          <w:p>
            <w:pPr>
              <w:spacing w:after="0"/>
              <w:rPr>
                <w:sz w:val="21"/>
                <w:szCs w:val="21"/>
                <w:color w:val="auto"/>
              </w:rPr>
            </w:pPr>
          </w:p>
        </w:tc>
        <w:tc>
          <w:tcPr>
            <w:tcW w:w="1140" w:type="dxa"/>
            <w:vAlign w:val="bottom"/>
          </w:tcPr>
          <w:p>
            <w:pPr>
              <w:jc w:val="right"/>
              <w:ind w:right="231"/>
              <w:spacing w:after="0"/>
              <w:rPr>
                <w:sz w:val="20"/>
                <w:szCs w:val="20"/>
                <w:color w:val="auto"/>
              </w:rPr>
            </w:pPr>
            <w:r>
              <w:rPr>
                <w:rFonts w:ascii="Arial" w:cs="Arial" w:eastAsia="Arial" w:hAnsi="Arial"/>
                <w:sz w:val="18"/>
                <w:szCs w:val="18"/>
                <w:color w:val="auto"/>
              </w:rPr>
              <w:t>(8,106)</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00" w:type="dxa"/>
            <w:vAlign w:val="bottom"/>
          </w:tcPr>
          <w:p>
            <w:pPr>
              <w:jc w:val="right"/>
              <w:ind w:right="232"/>
              <w:spacing w:after="0"/>
              <w:rPr>
                <w:sz w:val="20"/>
                <w:szCs w:val="20"/>
                <w:color w:val="auto"/>
              </w:rPr>
            </w:pPr>
            <w:r>
              <w:rPr>
                <w:rFonts w:ascii="Arial" w:cs="Arial" w:eastAsia="Arial" w:hAnsi="Arial"/>
                <w:sz w:val="18"/>
                <w:szCs w:val="18"/>
                <w:color w:val="auto"/>
              </w:rPr>
              <w:t>21,121</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80" w:type="dxa"/>
            <w:vAlign w:val="bottom"/>
          </w:tcPr>
          <w:p>
            <w:pPr>
              <w:jc w:val="right"/>
              <w:ind w:right="251"/>
              <w:spacing w:after="0"/>
              <w:rPr>
                <w:sz w:val="20"/>
                <w:szCs w:val="20"/>
                <w:color w:val="auto"/>
              </w:rPr>
            </w:pPr>
            <w:r>
              <w:rPr>
                <w:rFonts w:ascii="Arial" w:cs="Arial" w:eastAsia="Arial" w:hAnsi="Arial"/>
                <w:sz w:val="18"/>
                <w:szCs w:val="18"/>
                <w:color w:val="auto"/>
              </w:rPr>
              <w:t>12,571</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(29,227)</w:t>
            </w:r>
          </w:p>
        </w:tc>
        <w:tc>
          <w:tcPr>
            <w:tcW w:w="100" w:type="dxa"/>
            <w:vAlign w:val="bottom"/>
          </w:tcPr>
          <w:p>
            <w:pPr>
              <w:spacing w:after="0"/>
              <w:rPr>
                <w:sz w:val="21"/>
                <w:szCs w:val="21"/>
                <w:color w:val="auto"/>
              </w:rPr>
            </w:pPr>
          </w:p>
        </w:tc>
        <w:tc>
          <w:tcPr>
            <w:tcW w:w="1160" w:type="dxa"/>
            <w:vAlign w:val="bottom"/>
            <w:gridSpan w:val="2"/>
          </w:tcPr>
          <w:p>
            <w:pPr>
              <w:jc w:val="center"/>
              <w:ind w:right="60"/>
              <w:spacing w:after="0"/>
              <w:rPr>
                <w:sz w:val="20"/>
                <w:szCs w:val="20"/>
                <w:color w:val="auto"/>
              </w:rPr>
            </w:pPr>
            <w:r>
              <w:rPr>
                <w:rFonts w:ascii="Arial" w:cs="Arial" w:eastAsia="Arial" w:hAnsi="Arial"/>
                <w:sz w:val="18"/>
                <w:szCs w:val="18"/>
                <w:color w:val="auto"/>
              </w:rPr>
              <w:t>NA</w:t>
            </w:r>
          </w:p>
        </w:tc>
        <w:tc>
          <w:tcPr>
            <w:tcW w:w="180" w:type="dxa"/>
            <w:vAlign w:val="bottom"/>
          </w:tcPr>
          <w:p>
            <w:pPr>
              <w:spacing w:after="0"/>
              <w:rPr>
                <w:sz w:val="21"/>
                <w:szCs w:val="21"/>
                <w:color w:val="auto"/>
              </w:rPr>
            </w:pPr>
          </w:p>
        </w:tc>
        <w:tc>
          <w:tcPr>
            <w:tcW w:w="760" w:type="dxa"/>
            <w:vAlign w:val="bottom"/>
          </w:tcPr>
          <w:p>
            <w:pPr>
              <w:jc w:val="right"/>
              <w:ind w:right="13"/>
              <w:spacing w:after="0"/>
              <w:rPr>
                <w:sz w:val="20"/>
                <w:szCs w:val="20"/>
                <w:color w:val="auto"/>
              </w:rPr>
            </w:pPr>
            <w:r>
              <w:rPr>
                <w:rFonts w:ascii="Arial" w:cs="Arial" w:eastAsia="Arial" w:hAnsi="Arial"/>
                <w:sz w:val="18"/>
                <w:szCs w:val="18"/>
                <w:color w:val="auto"/>
              </w:rPr>
              <w:t>8,550</w:t>
            </w:r>
          </w:p>
        </w:tc>
        <w:tc>
          <w:tcPr>
            <w:tcW w:w="12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68 %</w:t>
            </w:r>
          </w:p>
        </w:tc>
      </w:tr>
      <w:tr>
        <w:trPr>
          <w:trHeight w:val="27"/>
        </w:trPr>
        <w:tc>
          <w:tcPr>
            <w:tcW w:w="29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Pr>
          <w:p>
            <w:pPr>
              <w:spacing w:after="0"/>
              <w:rPr>
                <w:sz w:val="2"/>
                <w:szCs w:val="2"/>
                <w:color w:val="auto"/>
              </w:rPr>
            </w:pPr>
          </w:p>
        </w:tc>
      </w:tr>
      <w:tr>
        <w:trPr>
          <w:trHeight w:val="270"/>
        </w:trPr>
        <w:tc>
          <w:tcPr>
            <w:tcW w:w="29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i w:val="1"/>
                <w:iCs w:val="1"/>
                <w:color w:val="auto"/>
              </w:rPr>
              <w:t>Effective tax rate</w:t>
            </w:r>
          </w:p>
        </w:tc>
        <w:tc>
          <w:tcPr>
            <w:tcW w:w="2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i w:val="1"/>
                <w:iCs w:val="1"/>
                <w:color w:val="auto"/>
              </w:rPr>
              <w:t>51.6 %</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i w:val="1"/>
                <w:iCs w:val="1"/>
                <w:color w:val="auto"/>
              </w:rPr>
              <w:t>27.6%</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i w:val="1"/>
                <w:iCs w:val="1"/>
                <w:color w:val="auto"/>
              </w:rPr>
              <w:t>25.7%</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spacing w:after="0"/>
              <w:rPr>
                <w:sz w:val="23"/>
                <w:szCs w:val="23"/>
                <w:color w:val="auto"/>
              </w:rPr>
            </w:pPr>
          </w:p>
        </w:tc>
      </w:tr>
      <w:tr>
        <w:trPr>
          <w:trHeight w:val="297"/>
        </w:trPr>
        <w:tc>
          <w:tcPr>
            <w:tcW w:w="2960" w:type="dxa"/>
            <w:vAlign w:val="bottom"/>
            <w:tcBorders>
              <w:bottom w:val="single" w:sz="8" w:color="CCEEFF"/>
            </w:tcBorders>
          </w:tcPr>
          <w:p>
            <w:pPr>
              <w:ind w:left="380"/>
              <w:spacing w:after="0"/>
              <w:rPr>
                <w:sz w:val="20"/>
                <w:szCs w:val="20"/>
                <w:color w:val="auto"/>
              </w:rPr>
            </w:pPr>
            <w:r>
              <w:rPr>
                <w:rFonts w:ascii="Arial" w:cs="Arial" w:eastAsia="Arial" w:hAnsi="Arial"/>
                <w:sz w:val="18"/>
                <w:szCs w:val="18"/>
                <w:color w:val="auto"/>
              </w:rPr>
              <w:t>Net income (loss)</w:t>
            </w:r>
          </w:p>
        </w:tc>
        <w:tc>
          <w:tcPr>
            <w:tcW w:w="26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bottom w:val="single" w:sz="8" w:color="auto"/>
            </w:tcBorders>
          </w:tcPr>
          <w:p>
            <w:pPr>
              <w:jc w:val="right"/>
              <w:ind w:right="231"/>
              <w:spacing w:after="0"/>
              <w:rPr>
                <w:sz w:val="20"/>
                <w:szCs w:val="20"/>
                <w:color w:val="auto"/>
              </w:rPr>
            </w:pPr>
            <w:r>
              <w:rPr>
                <w:rFonts w:ascii="Arial" w:cs="Arial" w:eastAsia="Arial" w:hAnsi="Arial"/>
                <w:sz w:val="18"/>
                <w:szCs w:val="18"/>
                <w:color w:val="auto"/>
              </w:rPr>
              <w:t>(7,594)</w:t>
            </w:r>
          </w:p>
        </w:tc>
        <w:tc>
          <w:tcPr>
            <w:tcW w:w="100" w:type="dxa"/>
            <w:vAlign w:val="bottom"/>
            <w:tcBorders>
              <w:bottom w:val="single" w:sz="8" w:color="CCEEFF"/>
            </w:tcBorders>
          </w:tcPr>
          <w:p>
            <w:pPr>
              <w:spacing w:after="0"/>
              <w:rPr>
                <w:sz w:val="24"/>
                <w:szCs w:val="24"/>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auto"/>
            </w:tcBorders>
          </w:tcPr>
          <w:p>
            <w:pPr>
              <w:jc w:val="right"/>
              <w:ind w:right="232"/>
              <w:spacing w:after="0"/>
              <w:rPr>
                <w:sz w:val="20"/>
                <w:szCs w:val="20"/>
                <w:color w:val="auto"/>
              </w:rPr>
            </w:pPr>
            <w:r>
              <w:rPr>
                <w:rFonts w:ascii="Arial" w:cs="Arial" w:eastAsia="Arial" w:hAnsi="Arial"/>
                <w:sz w:val="18"/>
                <w:szCs w:val="18"/>
                <w:color w:val="auto"/>
              </w:rPr>
              <w:t>55,458</w:t>
            </w:r>
          </w:p>
        </w:tc>
        <w:tc>
          <w:tcPr>
            <w:tcW w:w="100" w:type="dxa"/>
            <w:vAlign w:val="bottom"/>
            <w:tcBorders>
              <w:bottom w:val="single" w:sz="8" w:color="CCEEFF"/>
            </w:tcBorders>
          </w:tcPr>
          <w:p>
            <w:pPr>
              <w:spacing w:after="0"/>
              <w:rPr>
                <w:sz w:val="24"/>
                <w:szCs w:val="24"/>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top w:val="single" w:sz="8" w:color="auto"/>
              <w:bottom w:val="single" w:sz="8" w:color="auto"/>
            </w:tcBorders>
          </w:tcPr>
          <w:p>
            <w:pPr>
              <w:jc w:val="right"/>
              <w:ind w:right="251"/>
              <w:spacing w:after="0"/>
              <w:rPr>
                <w:sz w:val="20"/>
                <w:szCs w:val="20"/>
                <w:color w:val="auto"/>
              </w:rPr>
            </w:pPr>
            <w:r>
              <w:rPr>
                <w:rFonts w:ascii="Arial" w:cs="Arial" w:eastAsia="Arial" w:hAnsi="Arial"/>
                <w:sz w:val="18"/>
                <w:szCs w:val="18"/>
                <w:color w:val="auto"/>
              </w:rPr>
              <w:t>36,267</w:t>
            </w:r>
          </w:p>
        </w:tc>
        <w:tc>
          <w:tcPr>
            <w:tcW w:w="100" w:type="dxa"/>
            <w:vAlign w:val="bottom"/>
            <w:tcBorders>
              <w:bottom w:val="single" w:sz="8" w:color="CCEEFF"/>
            </w:tcBorders>
          </w:tcPr>
          <w:p>
            <w:pPr>
              <w:spacing w:after="0"/>
              <w:rPr>
                <w:sz w:val="24"/>
                <w:szCs w:val="24"/>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(63,052)</w:t>
            </w:r>
          </w:p>
        </w:tc>
        <w:tc>
          <w:tcPr>
            <w:tcW w:w="100" w:type="dxa"/>
            <w:vAlign w:val="bottom"/>
            <w:tcBorders>
              <w:bottom w:val="single" w:sz="8" w:color="CCEEFF"/>
            </w:tcBorders>
          </w:tcPr>
          <w:p>
            <w:pPr>
              <w:spacing w:after="0"/>
              <w:rPr>
                <w:sz w:val="24"/>
                <w:szCs w:val="24"/>
                <w:color w:val="auto"/>
              </w:rPr>
            </w:pPr>
          </w:p>
        </w:tc>
        <w:tc>
          <w:tcPr>
            <w:tcW w:w="1060" w:type="dxa"/>
            <w:vAlign w:val="bottom"/>
            <w:tcBorders>
              <w:top w:val="single" w:sz="8" w:color="auto"/>
              <w:bottom w:val="single" w:sz="8" w:color="auto"/>
            </w:tcBorders>
          </w:tcPr>
          <w:p>
            <w:pPr>
              <w:jc w:val="right"/>
              <w:ind w:right="92"/>
              <w:spacing w:after="0"/>
              <w:rPr>
                <w:sz w:val="20"/>
                <w:szCs w:val="20"/>
                <w:color w:val="auto"/>
              </w:rPr>
            </w:pPr>
            <w:r>
              <w:rPr>
                <w:rFonts w:ascii="Arial" w:cs="Arial" w:eastAsia="Arial" w:hAnsi="Arial"/>
                <w:sz w:val="18"/>
                <w:szCs w:val="18"/>
                <w:color w:val="auto"/>
              </w:rPr>
              <w:t>(114)%</w:t>
            </w:r>
          </w:p>
        </w:tc>
        <w:tc>
          <w:tcPr>
            <w:tcW w:w="100" w:type="dxa"/>
            <w:vAlign w:val="bottom"/>
            <w:tcBorders>
              <w:bottom w:val="single" w:sz="8" w:color="CCEEFF"/>
            </w:tcBorders>
          </w:tcPr>
          <w:p>
            <w:pPr>
              <w:spacing w:after="0"/>
              <w:rPr>
                <w:sz w:val="24"/>
                <w:szCs w:val="24"/>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Borders>
              <w:top w:val="single" w:sz="8" w:color="auto"/>
              <w:bottom w:val="single" w:sz="8" w:color="auto"/>
            </w:tcBorders>
          </w:tcPr>
          <w:p>
            <w:pPr>
              <w:jc w:val="right"/>
              <w:ind w:right="13"/>
              <w:spacing w:after="0"/>
              <w:rPr>
                <w:sz w:val="20"/>
                <w:szCs w:val="20"/>
                <w:color w:val="auto"/>
              </w:rPr>
            </w:pPr>
            <w:r>
              <w:rPr>
                <w:rFonts w:ascii="Arial" w:cs="Arial" w:eastAsia="Arial" w:hAnsi="Arial"/>
                <w:sz w:val="18"/>
                <w:szCs w:val="18"/>
                <w:color w:val="auto"/>
              </w:rPr>
              <w:t>19,191</w:t>
            </w:r>
          </w:p>
        </w:tc>
        <w:tc>
          <w:tcPr>
            <w:tcW w:w="120" w:type="dxa"/>
            <w:vAlign w:val="bottom"/>
            <w:tcBorders>
              <w:bottom w:val="single" w:sz="8" w:color="CCEEFF"/>
            </w:tcBorders>
          </w:tcPr>
          <w:p>
            <w:pPr>
              <w:spacing w:after="0"/>
              <w:rPr>
                <w:sz w:val="24"/>
                <w:szCs w:val="24"/>
                <w:color w:val="auto"/>
              </w:rPr>
            </w:pPr>
          </w:p>
        </w:tc>
        <w:tc>
          <w:tcPr>
            <w:tcW w:w="90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94"/>
              </w:rPr>
              <w:t>53%</w:t>
            </w:r>
          </w:p>
        </w:tc>
      </w:tr>
      <w:tr>
        <w:trPr>
          <w:trHeight w:val="237"/>
        </w:trPr>
        <w:tc>
          <w:tcPr>
            <w:tcW w:w="29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i w:val="1"/>
                <w:iCs w:val="1"/>
                <w:color w:val="auto"/>
              </w:rPr>
              <w:t>Net margin</w:t>
            </w:r>
          </w:p>
        </w:tc>
        <w:tc>
          <w:tcPr>
            <w:tcW w:w="26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i w:val="1"/>
                <w:iCs w:val="1"/>
                <w:color w:val="auto"/>
              </w:rPr>
              <w:t>(0.9)%</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i w:val="1"/>
                <w:iCs w:val="1"/>
                <w:color w:val="auto"/>
              </w:rPr>
              <w:t>8.1%</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ind w:right="91"/>
              <w:spacing w:after="0"/>
              <w:rPr>
                <w:sz w:val="20"/>
                <w:szCs w:val="20"/>
                <w:color w:val="auto"/>
              </w:rPr>
            </w:pPr>
            <w:r>
              <w:rPr>
                <w:rFonts w:ascii="Arial" w:cs="Arial" w:eastAsia="Arial" w:hAnsi="Arial"/>
                <w:sz w:val="18"/>
                <w:szCs w:val="18"/>
                <w:i w:val="1"/>
                <w:iCs w:val="1"/>
                <w:color w:val="auto"/>
              </w:rPr>
              <w:t>5.5%</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0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76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spacing w:after="0"/>
              <w:rPr>
                <w:sz w:val="20"/>
                <w:szCs w:val="20"/>
                <w:color w:val="auto"/>
              </w:rPr>
            </w:pPr>
          </w:p>
        </w:tc>
      </w:tr>
      <w:tr>
        <w:trPr>
          <w:trHeight w:val="243"/>
        </w:trPr>
        <w:tc>
          <w:tcPr>
            <w:tcW w:w="2960" w:type="dxa"/>
            <w:vAlign w:val="bottom"/>
          </w:tcPr>
          <w:p>
            <w:pPr>
              <w:ind w:left="40"/>
              <w:spacing w:after="0"/>
              <w:rPr>
                <w:sz w:val="20"/>
                <w:szCs w:val="20"/>
                <w:color w:val="auto"/>
              </w:rPr>
            </w:pPr>
            <w:r>
              <w:rPr>
                <w:rFonts w:ascii="Arial" w:cs="Arial" w:eastAsia="Arial" w:hAnsi="Arial"/>
                <w:sz w:val="18"/>
                <w:szCs w:val="18"/>
                <w:color w:val="auto"/>
              </w:rPr>
              <w:t>Diluted earnings (loss) per share</w:t>
            </w: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1140" w:type="dxa"/>
            <w:vAlign w:val="bottom"/>
          </w:tcPr>
          <w:p>
            <w:pPr>
              <w:jc w:val="right"/>
              <w:ind w:right="231"/>
              <w:spacing w:after="0"/>
              <w:rPr>
                <w:sz w:val="20"/>
                <w:szCs w:val="20"/>
                <w:color w:val="auto"/>
              </w:rPr>
            </w:pPr>
            <w:r>
              <w:rPr>
                <w:rFonts w:ascii="Arial" w:cs="Arial" w:eastAsia="Arial" w:hAnsi="Arial"/>
                <w:sz w:val="18"/>
                <w:szCs w:val="18"/>
                <w:color w:val="auto"/>
              </w:rPr>
              <w:t>(0.29)</w:t>
            </w:r>
          </w:p>
        </w:tc>
        <w:tc>
          <w:tcPr>
            <w:tcW w:w="10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232"/>
              <w:spacing w:after="0"/>
              <w:rPr>
                <w:sz w:val="20"/>
                <w:szCs w:val="20"/>
                <w:color w:val="auto"/>
              </w:rPr>
            </w:pPr>
            <w:r>
              <w:rPr>
                <w:rFonts w:ascii="Arial" w:cs="Arial" w:eastAsia="Arial" w:hAnsi="Arial"/>
                <w:sz w:val="18"/>
                <w:szCs w:val="18"/>
                <w:color w:val="auto"/>
              </w:rPr>
              <w:t>2.14</w:t>
            </w:r>
          </w:p>
        </w:tc>
        <w:tc>
          <w:tcPr>
            <w:tcW w:w="10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251"/>
              <w:spacing w:after="0"/>
              <w:rPr>
                <w:sz w:val="20"/>
                <w:szCs w:val="20"/>
                <w:color w:val="auto"/>
              </w:rPr>
            </w:pPr>
            <w:r>
              <w:rPr>
                <w:rFonts w:ascii="Arial" w:cs="Arial" w:eastAsia="Arial" w:hAnsi="Arial"/>
                <w:sz w:val="18"/>
                <w:szCs w:val="18"/>
                <w:color w:val="auto"/>
              </w:rPr>
              <w:t>1.43</w:t>
            </w:r>
          </w:p>
        </w:tc>
        <w:tc>
          <w:tcPr>
            <w:tcW w:w="10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(2.43)</w:t>
            </w:r>
          </w:p>
        </w:tc>
        <w:tc>
          <w:tcPr>
            <w:tcW w:w="100" w:type="dxa"/>
            <w:vAlign w:val="bottom"/>
          </w:tcPr>
          <w:p>
            <w:pPr>
              <w:spacing w:after="0"/>
              <w:rPr>
                <w:sz w:val="21"/>
                <w:szCs w:val="21"/>
                <w:color w:val="auto"/>
              </w:rPr>
            </w:pPr>
          </w:p>
        </w:tc>
        <w:tc>
          <w:tcPr>
            <w:tcW w:w="1060" w:type="dxa"/>
            <w:vAlign w:val="bottom"/>
          </w:tcPr>
          <w:p>
            <w:pPr>
              <w:jc w:val="right"/>
              <w:ind w:right="92"/>
              <w:spacing w:after="0"/>
              <w:rPr>
                <w:sz w:val="20"/>
                <w:szCs w:val="20"/>
                <w:color w:val="auto"/>
              </w:rPr>
            </w:pPr>
            <w:r>
              <w:rPr>
                <w:rFonts w:ascii="Arial" w:cs="Arial" w:eastAsia="Arial" w:hAnsi="Arial"/>
                <w:sz w:val="18"/>
                <w:szCs w:val="18"/>
                <w:color w:val="auto"/>
              </w:rPr>
              <w:t>(114)%</w:t>
            </w:r>
          </w:p>
        </w:tc>
        <w:tc>
          <w:tcPr>
            <w:tcW w:w="10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Pr>
          <w:p>
            <w:pPr>
              <w:jc w:val="right"/>
              <w:ind w:right="13"/>
              <w:spacing w:after="0"/>
              <w:rPr>
                <w:sz w:val="20"/>
                <w:szCs w:val="20"/>
                <w:color w:val="auto"/>
              </w:rPr>
            </w:pPr>
            <w:r>
              <w:rPr>
                <w:rFonts w:ascii="Arial" w:cs="Arial" w:eastAsia="Arial" w:hAnsi="Arial"/>
                <w:sz w:val="18"/>
                <w:szCs w:val="18"/>
                <w:color w:val="auto"/>
              </w:rPr>
              <w:t>0.71</w:t>
            </w:r>
          </w:p>
        </w:tc>
        <w:tc>
          <w:tcPr>
            <w:tcW w:w="120" w:type="dxa"/>
            <w:vAlign w:val="bottom"/>
          </w:tcPr>
          <w:p>
            <w:pPr>
              <w:spacing w:after="0"/>
              <w:rPr>
                <w:sz w:val="21"/>
                <w:szCs w:val="21"/>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w w:val="94"/>
              </w:rPr>
              <w:t>50%</w:t>
            </w:r>
          </w:p>
        </w:tc>
      </w:tr>
      <w:tr>
        <w:trPr>
          <w:trHeight w:val="486"/>
        </w:trPr>
        <w:tc>
          <w:tcPr>
            <w:tcW w:w="29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0" w:type="dxa"/>
            <w:vAlign w:val="bottom"/>
            <w:gridSpan w:val="3"/>
          </w:tcPr>
          <w:p>
            <w:pPr>
              <w:jc w:val="right"/>
              <w:ind w:right="50"/>
              <w:spacing w:after="0"/>
              <w:rPr>
                <w:sz w:val="20"/>
                <w:szCs w:val="20"/>
                <w:color w:val="auto"/>
              </w:rPr>
            </w:pPr>
            <w:r>
              <w:rPr>
                <w:rFonts w:ascii="Arial" w:cs="Arial" w:eastAsia="Arial" w:hAnsi="Arial"/>
                <w:sz w:val="18"/>
                <w:szCs w:val="18"/>
                <w:color w:val="auto"/>
              </w:rPr>
              <w:t>- 48 -</w:t>
            </w: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00" w:type="dxa"/>
            <w:vAlign w:val="bottom"/>
          </w:tcPr>
          <w:p>
            <w:pPr>
              <w:spacing w:after="0"/>
              <w:rPr>
                <w:sz w:val="24"/>
                <w:szCs w:val="24"/>
                <w:color w:val="auto"/>
              </w:rPr>
            </w:pPr>
          </w:p>
        </w:tc>
      </w:tr>
    </w:tbl>
    <w:p>
      <w:pPr>
        <w:sectPr>
          <w:pgSz w:w="11900" w:h="16838" w:orient="portrait"/>
          <w:cols w:equalWidth="0" w:num="1">
            <w:col w:w="11420"/>
          </w:cols>
          <w:pgMar w:left="240" w:top="796" w:right="239" w:bottom="1440" w:gutter="0" w:footer="0" w:header="0"/>
        </w:sectPr>
      </w:pPr>
    </w:p>
    <w:bookmarkStart w:id="49" w:name="page50"/>
    <w:bookmarkEnd w:id="49"/>
    <w:p>
      <w:pPr>
        <w:spacing w:after="0"/>
        <w:rPr>
          <w:sz w:val="20"/>
          <w:szCs w:val="20"/>
          <w:color w:val="auto"/>
        </w:rPr>
      </w:pPr>
      <w:r>
        <w:rPr>
          <w:rFonts w:ascii="Arial" w:cs="Arial" w:eastAsia="Arial" w:hAnsi="Arial"/>
          <w:sz w:val="18"/>
          <w:szCs w:val="18"/>
          <w:b w:val="1"/>
          <w:bCs w:val="1"/>
          <w:u w:val="single" w:color="auto"/>
          <w:color w:val="auto"/>
        </w:rPr>
        <w:t>Fiscal 2015 Compared with Fiscal 2014</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Sales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Changes to sales by major product lines were as follows (dollars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32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6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Year Ended</w:t>
            </w:r>
          </w:p>
        </w:tc>
        <w:tc>
          <w:tcPr>
            <w:tcW w:w="10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520" w:type="dxa"/>
            <w:vAlign w:val="bottom"/>
            <w:tcBorders>
              <w:bottom w:val="single" w:sz="8" w:color="auto"/>
            </w:tcBorders>
            <w:gridSpan w:val="3"/>
          </w:tcPr>
          <w:p>
            <w:pPr>
              <w:ind w:left="640"/>
              <w:spacing w:after="0"/>
              <w:rPr>
                <w:sz w:val="20"/>
                <w:szCs w:val="20"/>
                <w:color w:val="auto"/>
              </w:rPr>
            </w:pPr>
            <w:r>
              <w:rPr>
                <w:rFonts w:ascii="Arial" w:cs="Arial" w:eastAsia="Arial" w:hAnsi="Arial"/>
                <w:sz w:val="14"/>
                <w:szCs w:val="14"/>
                <w:b w:val="1"/>
                <w:bCs w:val="1"/>
                <w:color w:val="auto"/>
                <w:w w:val="96"/>
              </w:rPr>
              <w:t>2015 vs. 2014</w:t>
            </w:r>
          </w:p>
        </w:tc>
        <w:tc>
          <w:tcPr>
            <w:tcW w:w="840" w:type="dxa"/>
            <w:vAlign w:val="bottom"/>
            <w:tcBorders>
              <w:bottom w:val="single" w:sz="8" w:color="auto"/>
            </w:tcBorders>
          </w:tcPr>
          <w:p>
            <w:pPr>
              <w:spacing w:after="0"/>
              <w:rPr>
                <w:sz w:val="16"/>
                <w:szCs w:val="16"/>
                <w:color w:val="auto"/>
              </w:rPr>
            </w:pPr>
          </w:p>
        </w:tc>
      </w:tr>
      <w:tr>
        <w:trPr>
          <w:trHeight w:val="152"/>
        </w:trPr>
        <w:tc>
          <w:tcPr>
            <w:tcW w:w="53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280" w:type="dxa"/>
            <w:vAlign w:val="bottom"/>
            <w:gridSpan w:val="2"/>
          </w:tcPr>
          <w:p>
            <w:pPr>
              <w:ind w:left="120"/>
              <w:spacing w:after="0" w:line="153" w:lineRule="exact"/>
              <w:rPr>
                <w:sz w:val="20"/>
                <w:szCs w:val="20"/>
                <w:color w:val="auto"/>
              </w:rPr>
            </w:pPr>
            <w:r>
              <w:rPr>
                <w:rFonts w:ascii="Arial" w:cs="Arial" w:eastAsia="Arial" w:hAnsi="Arial"/>
                <w:sz w:val="14"/>
                <w:szCs w:val="14"/>
                <w:b w:val="1"/>
                <w:bCs w:val="1"/>
                <w:color w:val="auto"/>
              </w:rPr>
              <w:t>January 1,</w:t>
            </w:r>
          </w:p>
        </w:tc>
        <w:tc>
          <w:tcPr>
            <w:tcW w:w="340" w:type="dxa"/>
            <w:vAlign w:val="bottom"/>
          </w:tcPr>
          <w:p>
            <w:pPr>
              <w:spacing w:after="0"/>
              <w:rPr>
                <w:sz w:val="13"/>
                <w:szCs w:val="13"/>
                <w:color w:val="auto"/>
              </w:rPr>
            </w:pPr>
          </w:p>
        </w:tc>
        <w:tc>
          <w:tcPr>
            <w:tcW w:w="1180" w:type="dxa"/>
            <w:vAlign w:val="bottom"/>
            <w:gridSpan w:val="2"/>
          </w:tcPr>
          <w:p>
            <w:pPr>
              <w:ind w:left="20"/>
              <w:spacing w:after="0" w:line="153" w:lineRule="exact"/>
              <w:rPr>
                <w:sz w:val="20"/>
                <w:szCs w:val="20"/>
                <w:color w:val="auto"/>
              </w:rPr>
            </w:pPr>
            <w:r>
              <w:rPr>
                <w:rFonts w:ascii="Arial" w:cs="Arial" w:eastAsia="Arial" w:hAnsi="Arial"/>
                <w:sz w:val="14"/>
                <w:szCs w:val="14"/>
                <w:b w:val="1"/>
                <w:bCs w:val="1"/>
                <w:color w:val="auto"/>
              </w:rPr>
              <w:t>January 2,</w:t>
            </w:r>
          </w:p>
        </w:tc>
        <w:tc>
          <w:tcPr>
            <w:tcW w:w="300" w:type="dxa"/>
            <w:vAlign w:val="bottom"/>
          </w:tcPr>
          <w:p>
            <w:pPr>
              <w:spacing w:after="0"/>
              <w:rPr>
                <w:sz w:val="13"/>
                <w:szCs w:val="13"/>
                <w:color w:val="auto"/>
              </w:rPr>
            </w:pPr>
          </w:p>
        </w:tc>
        <w:tc>
          <w:tcPr>
            <w:tcW w:w="1140" w:type="dxa"/>
            <w:vAlign w:val="bottom"/>
          </w:tcPr>
          <w:p>
            <w:pPr>
              <w:jc w:val="right"/>
              <w:ind w:right="596"/>
              <w:spacing w:after="0" w:line="153" w:lineRule="exact"/>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40" w:type="dxa"/>
            <w:vAlign w:val="bottom"/>
          </w:tcPr>
          <w:p>
            <w:pPr>
              <w:jc w:val="right"/>
              <w:ind w:right="394"/>
              <w:spacing w:after="0" w:line="153" w:lineRule="exact"/>
              <w:rPr>
                <w:sz w:val="20"/>
                <w:szCs w:val="20"/>
                <w:color w:val="auto"/>
              </w:rPr>
            </w:pPr>
            <w:r>
              <w:rPr>
                <w:rFonts w:ascii="Arial" w:cs="Arial" w:eastAsia="Arial" w:hAnsi="Arial"/>
                <w:sz w:val="14"/>
                <w:szCs w:val="14"/>
                <w:b w:val="1"/>
                <w:bCs w:val="1"/>
                <w:color w:val="auto"/>
              </w:rPr>
              <w:t>%</w:t>
            </w:r>
          </w:p>
        </w:tc>
      </w:tr>
      <w:tr>
        <w:trPr>
          <w:trHeight w:val="192"/>
        </w:trPr>
        <w:tc>
          <w:tcPr>
            <w:tcW w:w="53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180" w:type="dxa"/>
            <w:vAlign w:val="bottom"/>
          </w:tcPr>
          <w:p>
            <w:pPr>
              <w:jc w:val="right"/>
              <w:ind w:right="496"/>
              <w:spacing w:after="0"/>
              <w:rPr>
                <w:sz w:val="20"/>
                <w:szCs w:val="20"/>
                <w:color w:val="auto"/>
              </w:rPr>
            </w:pPr>
            <w:r>
              <w:rPr>
                <w:rFonts w:ascii="Arial" w:cs="Arial" w:eastAsia="Arial" w:hAnsi="Arial"/>
                <w:sz w:val="14"/>
                <w:szCs w:val="14"/>
                <w:b w:val="1"/>
                <w:bCs w:val="1"/>
                <w:color w:val="auto"/>
              </w:rPr>
              <w:t>2016</w:t>
            </w: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080" w:type="dxa"/>
            <w:vAlign w:val="bottom"/>
          </w:tcPr>
          <w:p>
            <w:pPr>
              <w:jc w:val="right"/>
              <w:ind w:right="474"/>
              <w:spacing w:after="0"/>
              <w:rPr>
                <w:sz w:val="20"/>
                <w:szCs w:val="20"/>
                <w:color w:val="auto"/>
              </w:rPr>
            </w:pPr>
            <w:r>
              <w:rPr>
                <w:rFonts w:ascii="Arial" w:cs="Arial" w:eastAsia="Arial" w:hAnsi="Arial"/>
                <w:sz w:val="14"/>
                <w:szCs w:val="14"/>
                <w:b w:val="1"/>
                <w:bCs w:val="1"/>
                <w:color w:val="auto"/>
              </w:rPr>
              <w:t>2015</w:t>
            </w: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520" w:type="dxa"/>
            <w:vAlign w:val="bottom"/>
            <w:gridSpan w:val="3"/>
          </w:tcPr>
          <w:p>
            <w:pPr>
              <w:ind w:left="180"/>
              <w:spacing w:after="0"/>
              <w:rPr>
                <w:sz w:val="20"/>
                <w:szCs w:val="20"/>
                <w:color w:val="auto"/>
              </w:rPr>
            </w:pPr>
            <w:r>
              <w:rPr>
                <w:rFonts w:ascii="Arial" w:cs="Arial" w:eastAsia="Arial" w:hAnsi="Arial"/>
                <w:sz w:val="14"/>
                <w:szCs w:val="14"/>
                <w:b w:val="1"/>
                <w:bCs w:val="1"/>
                <w:color w:val="auto"/>
              </w:rPr>
              <w:t>Change</w:t>
            </w:r>
          </w:p>
        </w:tc>
        <w:tc>
          <w:tcPr>
            <w:tcW w:w="840" w:type="dxa"/>
            <w:vAlign w:val="bottom"/>
          </w:tcPr>
          <w:p>
            <w:pPr>
              <w:jc w:val="right"/>
              <w:ind w:right="234"/>
              <w:spacing w:after="0"/>
              <w:rPr>
                <w:sz w:val="20"/>
                <w:szCs w:val="20"/>
                <w:color w:val="auto"/>
              </w:rPr>
            </w:pPr>
            <w:r>
              <w:rPr>
                <w:rFonts w:ascii="Arial" w:cs="Arial" w:eastAsia="Arial" w:hAnsi="Arial"/>
                <w:sz w:val="14"/>
                <w:szCs w:val="14"/>
                <w:b w:val="1"/>
                <w:bCs w:val="1"/>
                <w:color w:val="auto"/>
                <w:w w:val="97"/>
              </w:rPr>
              <w:t>Change</w:t>
            </w:r>
          </w:p>
        </w:tc>
      </w:tr>
      <w:tr>
        <w:trPr>
          <w:trHeight w:val="250"/>
        </w:trPr>
        <w:tc>
          <w:tcPr>
            <w:tcW w:w="532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Sales:</w:t>
            </w:r>
          </w:p>
        </w:tc>
        <w:tc>
          <w:tcPr>
            <w:tcW w:w="240" w:type="dxa"/>
            <w:vAlign w:val="bottom"/>
            <w:tcBorders>
              <w:top w:val="single" w:sz="8" w:color="auto"/>
              <w:bottom w:val="single" w:sz="8" w:color="CCEEFF"/>
            </w:tcBorders>
            <w:shd w:val="clear" w:color="auto" w:fill="CCEEFF"/>
          </w:tcPr>
          <w:p>
            <w:pPr>
              <w:spacing w:after="0"/>
              <w:rPr>
                <w:sz w:val="21"/>
                <w:szCs w:val="21"/>
                <w:color w:val="auto"/>
              </w:rPr>
            </w:pPr>
          </w:p>
        </w:tc>
        <w:tc>
          <w:tcPr>
            <w:tcW w:w="11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340" w:type="dxa"/>
            <w:vAlign w:val="bottom"/>
            <w:tcBorders>
              <w:top w:val="single" w:sz="8" w:color="auto"/>
              <w:bottom w:val="single" w:sz="8" w:color="CCEEFF"/>
            </w:tcBorders>
            <w:shd w:val="clear" w:color="auto" w:fill="CCEEFF"/>
          </w:tcPr>
          <w:p>
            <w:pPr>
              <w:spacing w:after="0"/>
              <w:rPr>
                <w:sz w:val="21"/>
                <w:szCs w:val="21"/>
                <w:color w:val="auto"/>
              </w:rPr>
            </w:pPr>
          </w:p>
        </w:tc>
        <w:tc>
          <w:tcPr>
            <w:tcW w:w="10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300" w:type="dxa"/>
            <w:vAlign w:val="bottom"/>
            <w:tcBorders>
              <w:top w:val="single" w:sz="8" w:color="auto"/>
              <w:bottom w:val="single" w:sz="8" w:color="CCEEFF"/>
            </w:tcBorders>
            <w:shd w:val="clear" w:color="auto" w:fill="CCEEFF"/>
          </w:tcPr>
          <w:p>
            <w:pPr>
              <w:spacing w:after="0"/>
              <w:rPr>
                <w:sz w:val="21"/>
                <w:szCs w:val="21"/>
                <w:color w:val="auto"/>
              </w:rPr>
            </w:pPr>
          </w:p>
        </w:tc>
        <w:tc>
          <w:tcPr>
            <w:tcW w:w="114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CCEEFF"/>
            </w:tcBorders>
            <w:shd w:val="clear" w:color="auto" w:fill="CCEEFF"/>
          </w:tcPr>
          <w:p>
            <w:pPr>
              <w:spacing w:after="0"/>
              <w:rPr>
                <w:sz w:val="21"/>
                <w:szCs w:val="21"/>
                <w:color w:val="auto"/>
              </w:rPr>
            </w:pPr>
          </w:p>
        </w:tc>
        <w:tc>
          <w:tcPr>
            <w:tcW w:w="840" w:type="dxa"/>
            <w:vAlign w:val="bottom"/>
            <w:tcBorders>
              <w:top w:val="single" w:sz="8" w:color="auto"/>
              <w:bottom w:val="single" w:sz="8" w:color="CCEEFF"/>
            </w:tcBorders>
            <w:shd w:val="clear" w:color="auto" w:fill="CCEEFF"/>
          </w:tcPr>
          <w:p>
            <w:pPr>
              <w:spacing w:after="0"/>
              <w:rPr>
                <w:sz w:val="21"/>
                <w:szCs w:val="21"/>
                <w:color w:val="auto"/>
              </w:rPr>
            </w:pPr>
          </w:p>
        </w:tc>
      </w:tr>
      <w:tr>
        <w:trPr>
          <w:trHeight w:val="243"/>
        </w:trPr>
        <w:tc>
          <w:tcPr>
            <w:tcW w:w="5320" w:type="dxa"/>
            <w:vAlign w:val="bottom"/>
          </w:tcPr>
          <w:p>
            <w:pPr>
              <w:ind w:left="280"/>
              <w:spacing w:after="0"/>
              <w:rPr>
                <w:sz w:val="20"/>
                <w:szCs w:val="20"/>
                <w:color w:val="auto"/>
              </w:rPr>
            </w:pPr>
            <w:r>
              <w:rPr>
                <w:rFonts w:ascii="Arial" w:cs="Arial" w:eastAsia="Arial" w:hAnsi="Arial"/>
                <w:sz w:val="18"/>
                <w:szCs w:val="18"/>
                <w:color w:val="auto"/>
              </w:rPr>
              <w:t>Advanced Surgical, Orthopaedics, and Portable Medical</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180" w:type="dxa"/>
            <w:vAlign w:val="bottom"/>
          </w:tcPr>
          <w:p>
            <w:pPr>
              <w:jc w:val="right"/>
              <w:ind w:right="36"/>
              <w:spacing w:after="0"/>
              <w:rPr>
                <w:sz w:val="20"/>
                <w:szCs w:val="20"/>
                <w:color w:val="auto"/>
              </w:rPr>
            </w:pPr>
            <w:r>
              <w:rPr>
                <w:rFonts w:ascii="Arial" w:cs="Arial" w:eastAsia="Arial" w:hAnsi="Arial"/>
                <w:sz w:val="18"/>
                <w:szCs w:val="18"/>
                <w:color w:val="auto"/>
              </w:rPr>
              <w:t>243,385</w:t>
            </w:r>
          </w:p>
        </w:tc>
        <w:tc>
          <w:tcPr>
            <w:tcW w:w="100" w:type="dxa"/>
            <w:vAlign w:val="bottom"/>
          </w:tcPr>
          <w:p>
            <w:pPr>
              <w:spacing w:after="0"/>
              <w:rPr>
                <w:sz w:val="21"/>
                <w:szCs w:val="21"/>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14"/>
              <w:spacing w:after="0"/>
              <w:rPr>
                <w:sz w:val="20"/>
                <w:szCs w:val="20"/>
                <w:color w:val="auto"/>
              </w:rPr>
            </w:pPr>
            <w:r>
              <w:rPr>
                <w:rFonts w:ascii="Arial" w:cs="Arial" w:eastAsia="Arial" w:hAnsi="Arial"/>
                <w:sz w:val="18"/>
                <w:szCs w:val="18"/>
                <w:color w:val="auto"/>
              </w:rPr>
              <w:t>216,339</w:t>
            </w:r>
          </w:p>
        </w:tc>
        <w:tc>
          <w:tcPr>
            <w:tcW w:w="10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16"/>
              <w:spacing w:after="0"/>
              <w:rPr>
                <w:sz w:val="20"/>
                <w:szCs w:val="20"/>
                <w:color w:val="auto"/>
              </w:rPr>
            </w:pPr>
            <w:r>
              <w:rPr>
                <w:rFonts w:ascii="Arial" w:cs="Arial" w:eastAsia="Arial" w:hAnsi="Arial"/>
                <w:sz w:val="18"/>
                <w:szCs w:val="18"/>
                <w:color w:val="auto"/>
              </w:rPr>
              <w:t>27,046</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13 %</w:t>
            </w:r>
          </w:p>
        </w:tc>
      </w:tr>
      <w:tr>
        <w:trPr>
          <w:trHeight w:val="27"/>
        </w:trPr>
        <w:tc>
          <w:tcPr>
            <w:tcW w:w="53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50"/>
        </w:trPr>
        <w:tc>
          <w:tcPr>
            <w:tcW w:w="53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Cardio and Vascular</w:t>
            </w:r>
          </w:p>
        </w:tc>
        <w:tc>
          <w:tcPr>
            <w:tcW w:w="24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143,260</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58,770</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84,490</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144 %</w:t>
            </w:r>
          </w:p>
        </w:tc>
      </w:tr>
      <w:tr>
        <w:trPr>
          <w:trHeight w:val="243"/>
        </w:trPr>
        <w:tc>
          <w:tcPr>
            <w:tcW w:w="5320" w:type="dxa"/>
            <w:vAlign w:val="bottom"/>
          </w:tcPr>
          <w:p>
            <w:pPr>
              <w:ind w:left="280"/>
              <w:spacing w:after="0"/>
              <w:rPr>
                <w:sz w:val="20"/>
                <w:szCs w:val="20"/>
                <w:color w:val="auto"/>
              </w:rPr>
            </w:pPr>
            <w:r>
              <w:rPr>
                <w:rFonts w:ascii="Arial" w:cs="Arial" w:eastAsia="Arial" w:hAnsi="Arial"/>
                <w:sz w:val="18"/>
                <w:szCs w:val="18"/>
                <w:color w:val="auto"/>
              </w:rPr>
              <w:t>Cardiac/Neuromodulation</w:t>
            </w:r>
          </w:p>
        </w:tc>
        <w:tc>
          <w:tcPr>
            <w:tcW w:w="240" w:type="dxa"/>
            <w:vAlign w:val="bottom"/>
          </w:tcPr>
          <w:p>
            <w:pPr>
              <w:spacing w:after="0"/>
              <w:rPr>
                <w:sz w:val="21"/>
                <w:szCs w:val="21"/>
                <w:color w:val="auto"/>
              </w:rPr>
            </w:pPr>
          </w:p>
        </w:tc>
        <w:tc>
          <w:tcPr>
            <w:tcW w:w="1180" w:type="dxa"/>
            <w:vAlign w:val="bottom"/>
          </w:tcPr>
          <w:p>
            <w:pPr>
              <w:jc w:val="right"/>
              <w:ind w:right="36"/>
              <w:spacing w:after="0"/>
              <w:rPr>
                <w:sz w:val="20"/>
                <w:szCs w:val="20"/>
                <w:color w:val="auto"/>
              </w:rPr>
            </w:pPr>
            <w:r>
              <w:rPr>
                <w:rFonts w:ascii="Arial" w:cs="Arial" w:eastAsia="Arial" w:hAnsi="Arial"/>
                <w:sz w:val="18"/>
                <w:szCs w:val="18"/>
                <w:color w:val="auto"/>
              </w:rPr>
              <w:t>356,064</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80" w:type="dxa"/>
            <w:vAlign w:val="bottom"/>
          </w:tcPr>
          <w:p>
            <w:pPr>
              <w:jc w:val="right"/>
              <w:ind w:right="14"/>
              <w:spacing w:after="0"/>
              <w:rPr>
                <w:sz w:val="20"/>
                <w:szCs w:val="20"/>
                <w:color w:val="auto"/>
              </w:rPr>
            </w:pPr>
            <w:r>
              <w:rPr>
                <w:rFonts w:ascii="Arial" w:cs="Arial" w:eastAsia="Arial" w:hAnsi="Arial"/>
                <w:sz w:val="18"/>
                <w:szCs w:val="18"/>
                <w:color w:val="auto"/>
              </w:rPr>
              <w:t>330,921</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40" w:type="dxa"/>
            <w:vAlign w:val="bottom"/>
          </w:tcPr>
          <w:p>
            <w:pPr>
              <w:jc w:val="right"/>
              <w:ind w:right="16"/>
              <w:spacing w:after="0"/>
              <w:rPr>
                <w:sz w:val="20"/>
                <w:szCs w:val="20"/>
                <w:color w:val="auto"/>
              </w:rPr>
            </w:pPr>
            <w:r>
              <w:rPr>
                <w:rFonts w:ascii="Arial" w:cs="Arial" w:eastAsia="Arial" w:hAnsi="Arial"/>
                <w:sz w:val="18"/>
                <w:szCs w:val="18"/>
                <w:color w:val="auto"/>
              </w:rPr>
              <w:t>25,143</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8 %</w:t>
            </w:r>
          </w:p>
        </w:tc>
      </w:tr>
      <w:tr>
        <w:trPr>
          <w:trHeight w:val="27"/>
        </w:trPr>
        <w:tc>
          <w:tcPr>
            <w:tcW w:w="53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50"/>
        </w:trPr>
        <w:tc>
          <w:tcPr>
            <w:tcW w:w="53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Electrochem</w:t>
            </w:r>
          </w:p>
        </w:tc>
        <w:tc>
          <w:tcPr>
            <w:tcW w:w="24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59,449</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81,757</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(22,308)</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w:t>
            </w:r>
          </w:p>
        </w:tc>
      </w:tr>
      <w:tr>
        <w:trPr>
          <w:trHeight w:val="243"/>
        </w:trPr>
        <w:tc>
          <w:tcPr>
            <w:tcW w:w="5320" w:type="dxa"/>
            <w:vAlign w:val="bottom"/>
          </w:tcPr>
          <w:p>
            <w:pPr>
              <w:ind w:left="280"/>
              <w:spacing w:after="0"/>
              <w:rPr>
                <w:sz w:val="20"/>
                <w:szCs w:val="20"/>
                <w:color w:val="auto"/>
              </w:rPr>
            </w:pPr>
            <w:r>
              <w:rPr>
                <w:rFonts w:ascii="Arial" w:cs="Arial" w:eastAsia="Arial" w:hAnsi="Arial"/>
                <w:sz w:val="18"/>
                <w:szCs w:val="18"/>
                <w:color w:val="auto"/>
              </w:rPr>
              <w:t>Elimination of interproduct line sales</w:t>
            </w:r>
          </w:p>
        </w:tc>
        <w:tc>
          <w:tcPr>
            <w:tcW w:w="24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(1,744)</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(1,744)</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40" w:type="dxa"/>
            <w:vAlign w:val="bottom"/>
          </w:tcPr>
          <w:p>
            <w:pPr>
              <w:jc w:val="right"/>
              <w:ind w:right="154"/>
              <w:spacing w:after="0"/>
              <w:rPr>
                <w:sz w:val="20"/>
                <w:szCs w:val="20"/>
                <w:color w:val="auto"/>
              </w:rPr>
            </w:pPr>
            <w:r>
              <w:rPr>
                <w:rFonts w:ascii="Arial" w:cs="Arial" w:eastAsia="Arial" w:hAnsi="Arial"/>
                <w:sz w:val="18"/>
                <w:szCs w:val="18"/>
                <w:color w:val="auto"/>
              </w:rPr>
              <w:t>NA</w:t>
            </w:r>
          </w:p>
        </w:tc>
      </w:tr>
      <w:tr>
        <w:trPr>
          <w:trHeight w:val="27"/>
        </w:trPr>
        <w:tc>
          <w:tcPr>
            <w:tcW w:w="53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r>
      <w:tr>
        <w:trPr>
          <w:trHeight w:val="257"/>
        </w:trPr>
        <w:tc>
          <w:tcPr>
            <w:tcW w:w="53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sales</w:t>
            </w: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auto"/>
            </w:tcBorders>
            <w:shd w:val="clear" w:color="auto" w:fill="CCEEFF"/>
          </w:tcPr>
          <w:p>
            <w:pPr>
              <w:jc w:val="right"/>
              <w:ind w:right="36"/>
              <w:spacing w:after="0"/>
              <w:rPr>
                <w:sz w:val="20"/>
                <w:szCs w:val="20"/>
                <w:color w:val="auto"/>
              </w:rPr>
            </w:pPr>
            <w:r>
              <w:rPr>
                <w:rFonts w:ascii="Arial" w:cs="Arial" w:eastAsia="Arial" w:hAnsi="Arial"/>
                <w:sz w:val="18"/>
                <w:szCs w:val="18"/>
                <w:color w:val="auto"/>
              </w:rPr>
              <w:t>800,414</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687,787</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shd w:val="clear" w:color="auto" w:fill="CCEEFF"/>
          </w:tcPr>
          <w:p>
            <w:pPr>
              <w:jc w:val="right"/>
              <w:ind w:right="16"/>
              <w:spacing w:after="0"/>
              <w:rPr>
                <w:sz w:val="20"/>
                <w:szCs w:val="20"/>
                <w:color w:val="auto"/>
              </w:rPr>
            </w:pPr>
            <w:r>
              <w:rPr>
                <w:rFonts w:ascii="Arial" w:cs="Arial" w:eastAsia="Arial" w:hAnsi="Arial"/>
                <w:sz w:val="18"/>
                <w:szCs w:val="18"/>
                <w:color w:val="auto"/>
              </w:rPr>
              <w:t>112,627</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auto"/>
            </w:tcBorders>
            <w:shd w:val="clear" w:color="auto" w:fill="CCEEFF"/>
          </w:tcPr>
          <w:p>
            <w:pPr>
              <w:spacing w:after="0"/>
              <w:rPr>
                <w:sz w:val="22"/>
                <w:szCs w:val="22"/>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16 %</w:t>
            </w:r>
          </w:p>
        </w:tc>
      </w:tr>
      <w:tr>
        <w:trPr>
          <w:trHeight w:val="20"/>
        </w:trPr>
        <w:tc>
          <w:tcPr>
            <w:tcW w:w="53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Changes to sales by business segments were as follows (dollars in thousands):</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30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64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Year Ended</w:t>
            </w:r>
          </w:p>
        </w:tc>
        <w:tc>
          <w:tcPr>
            <w:tcW w:w="10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520" w:type="dxa"/>
            <w:vAlign w:val="bottom"/>
            <w:tcBorders>
              <w:bottom w:val="single" w:sz="8" w:color="auto"/>
            </w:tcBorders>
            <w:gridSpan w:val="3"/>
          </w:tcPr>
          <w:p>
            <w:pPr>
              <w:ind w:left="640"/>
              <w:spacing w:after="0"/>
              <w:rPr>
                <w:sz w:val="20"/>
                <w:szCs w:val="20"/>
                <w:color w:val="auto"/>
              </w:rPr>
            </w:pPr>
            <w:r>
              <w:rPr>
                <w:rFonts w:ascii="Arial" w:cs="Arial" w:eastAsia="Arial" w:hAnsi="Arial"/>
                <w:sz w:val="14"/>
                <w:szCs w:val="14"/>
                <w:b w:val="1"/>
                <w:bCs w:val="1"/>
                <w:color w:val="auto"/>
                <w:w w:val="96"/>
              </w:rPr>
              <w:t>2015 vs. 2014</w:t>
            </w:r>
          </w:p>
        </w:tc>
        <w:tc>
          <w:tcPr>
            <w:tcW w:w="840" w:type="dxa"/>
            <w:vAlign w:val="bottom"/>
            <w:tcBorders>
              <w:bottom w:val="single" w:sz="8" w:color="auto"/>
            </w:tcBorders>
          </w:tcPr>
          <w:p>
            <w:pPr>
              <w:spacing w:after="0"/>
              <w:rPr>
                <w:sz w:val="16"/>
                <w:szCs w:val="16"/>
                <w:color w:val="auto"/>
              </w:rPr>
            </w:pPr>
          </w:p>
        </w:tc>
      </w:tr>
      <w:tr>
        <w:trPr>
          <w:trHeight w:val="152"/>
        </w:trPr>
        <w:tc>
          <w:tcPr>
            <w:tcW w:w="53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280" w:type="dxa"/>
            <w:vAlign w:val="bottom"/>
            <w:gridSpan w:val="2"/>
          </w:tcPr>
          <w:p>
            <w:pPr>
              <w:ind w:left="120"/>
              <w:spacing w:after="0" w:line="153" w:lineRule="exact"/>
              <w:rPr>
                <w:sz w:val="20"/>
                <w:szCs w:val="20"/>
                <w:color w:val="auto"/>
              </w:rPr>
            </w:pPr>
            <w:r>
              <w:rPr>
                <w:rFonts w:ascii="Arial" w:cs="Arial" w:eastAsia="Arial" w:hAnsi="Arial"/>
                <w:sz w:val="14"/>
                <w:szCs w:val="14"/>
                <w:b w:val="1"/>
                <w:bCs w:val="1"/>
                <w:color w:val="auto"/>
              </w:rPr>
              <w:t>January 1,</w:t>
            </w:r>
          </w:p>
        </w:tc>
        <w:tc>
          <w:tcPr>
            <w:tcW w:w="360" w:type="dxa"/>
            <w:vAlign w:val="bottom"/>
          </w:tcPr>
          <w:p>
            <w:pPr>
              <w:spacing w:after="0"/>
              <w:rPr>
                <w:sz w:val="13"/>
                <w:szCs w:val="13"/>
                <w:color w:val="auto"/>
              </w:rPr>
            </w:pPr>
          </w:p>
        </w:tc>
        <w:tc>
          <w:tcPr>
            <w:tcW w:w="1180" w:type="dxa"/>
            <w:vAlign w:val="bottom"/>
            <w:gridSpan w:val="2"/>
          </w:tcPr>
          <w:p>
            <w:pPr>
              <w:ind w:left="20"/>
              <w:spacing w:after="0" w:line="153" w:lineRule="exact"/>
              <w:rPr>
                <w:sz w:val="20"/>
                <w:szCs w:val="20"/>
                <w:color w:val="auto"/>
              </w:rPr>
            </w:pPr>
            <w:r>
              <w:rPr>
                <w:rFonts w:ascii="Arial" w:cs="Arial" w:eastAsia="Arial" w:hAnsi="Arial"/>
                <w:sz w:val="14"/>
                <w:szCs w:val="14"/>
                <w:b w:val="1"/>
                <w:bCs w:val="1"/>
                <w:color w:val="auto"/>
              </w:rPr>
              <w:t>January 2,</w:t>
            </w:r>
          </w:p>
        </w:tc>
        <w:tc>
          <w:tcPr>
            <w:tcW w:w="300" w:type="dxa"/>
            <w:vAlign w:val="bottom"/>
          </w:tcPr>
          <w:p>
            <w:pPr>
              <w:spacing w:after="0"/>
              <w:rPr>
                <w:sz w:val="13"/>
                <w:szCs w:val="13"/>
                <w:color w:val="auto"/>
              </w:rPr>
            </w:pPr>
          </w:p>
        </w:tc>
        <w:tc>
          <w:tcPr>
            <w:tcW w:w="1140" w:type="dxa"/>
            <w:vAlign w:val="bottom"/>
          </w:tcPr>
          <w:p>
            <w:pPr>
              <w:jc w:val="right"/>
              <w:ind w:right="597"/>
              <w:spacing w:after="0" w:line="153" w:lineRule="exact"/>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40" w:type="dxa"/>
            <w:vAlign w:val="bottom"/>
          </w:tcPr>
          <w:p>
            <w:pPr>
              <w:jc w:val="right"/>
              <w:ind w:right="395"/>
              <w:spacing w:after="0" w:line="153" w:lineRule="exact"/>
              <w:rPr>
                <w:sz w:val="20"/>
                <w:szCs w:val="20"/>
                <w:color w:val="auto"/>
              </w:rPr>
            </w:pPr>
            <w:r>
              <w:rPr>
                <w:rFonts w:ascii="Arial" w:cs="Arial" w:eastAsia="Arial" w:hAnsi="Arial"/>
                <w:sz w:val="14"/>
                <w:szCs w:val="14"/>
                <w:b w:val="1"/>
                <w:bCs w:val="1"/>
                <w:color w:val="auto"/>
              </w:rPr>
              <w:t>%</w:t>
            </w:r>
          </w:p>
        </w:tc>
      </w:tr>
      <w:tr>
        <w:trPr>
          <w:trHeight w:val="192"/>
        </w:trPr>
        <w:tc>
          <w:tcPr>
            <w:tcW w:w="53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180" w:type="dxa"/>
            <w:vAlign w:val="bottom"/>
          </w:tcPr>
          <w:p>
            <w:pPr>
              <w:jc w:val="right"/>
              <w:ind w:right="477"/>
              <w:spacing w:after="0"/>
              <w:rPr>
                <w:sz w:val="20"/>
                <w:szCs w:val="20"/>
                <w:color w:val="auto"/>
              </w:rPr>
            </w:pPr>
            <w:r>
              <w:rPr>
                <w:rFonts w:ascii="Arial" w:cs="Arial" w:eastAsia="Arial" w:hAnsi="Arial"/>
                <w:sz w:val="14"/>
                <w:szCs w:val="14"/>
                <w:b w:val="1"/>
                <w:bCs w:val="1"/>
                <w:color w:val="auto"/>
              </w:rPr>
              <w:t>2016</w:t>
            </w:r>
          </w:p>
        </w:tc>
        <w:tc>
          <w:tcPr>
            <w:tcW w:w="10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080" w:type="dxa"/>
            <w:vAlign w:val="bottom"/>
          </w:tcPr>
          <w:p>
            <w:pPr>
              <w:jc w:val="right"/>
              <w:ind w:right="495"/>
              <w:spacing w:after="0"/>
              <w:rPr>
                <w:sz w:val="20"/>
                <w:szCs w:val="20"/>
                <w:color w:val="auto"/>
              </w:rPr>
            </w:pPr>
            <w:r>
              <w:rPr>
                <w:rFonts w:ascii="Arial" w:cs="Arial" w:eastAsia="Arial" w:hAnsi="Arial"/>
                <w:sz w:val="14"/>
                <w:szCs w:val="14"/>
                <w:b w:val="1"/>
                <w:bCs w:val="1"/>
                <w:color w:val="auto"/>
              </w:rPr>
              <w:t>2015</w:t>
            </w: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520" w:type="dxa"/>
            <w:vAlign w:val="bottom"/>
            <w:gridSpan w:val="3"/>
          </w:tcPr>
          <w:p>
            <w:pPr>
              <w:ind w:left="180"/>
              <w:spacing w:after="0"/>
              <w:rPr>
                <w:sz w:val="20"/>
                <w:szCs w:val="20"/>
                <w:color w:val="auto"/>
              </w:rPr>
            </w:pPr>
            <w:r>
              <w:rPr>
                <w:rFonts w:ascii="Arial" w:cs="Arial" w:eastAsia="Arial" w:hAnsi="Arial"/>
                <w:sz w:val="14"/>
                <w:szCs w:val="14"/>
                <w:b w:val="1"/>
                <w:bCs w:val="1"/>
                <w:color w:val="auto"/>
              </w:rPr>
              <w:t>Change</w:t>
            </w:r>
          </w:p>
        </w:tc>
        <w:tc>
          <w:tcPr>
            <w:tcW w:w="840" w:type="dxa"/>
            <w:vAlign w:val="bottom"/>
          </w:tcPr>
          <w:p>
            <w:pPr>
              <w:jc w:val="right"/>
              <w:ind w:right="235"/>
              <w:spacing w:after="0"/>
              <w:rPr>
                <w:sz w:val="20"/>
                <w:szCs w:val="20"/>
                <w:color w:val="auto"/>
              </w:rPr>
            </w:pPr>
            <w:r>
              <w:rPr>
                <w:rFonts w:ascii="Arial" w:cs="Arial" w:eastAsia="Arial" w:hAnsi="Arial"/>
                <w:sz w:val="14"/>
                <w:szCs w:val="14"/>
                <w:b w:val="1"/>
                <w:bCs w:val="1"/>
                <w:color w:val="auto"/>
                <w:w w:val="97"/>
              </w:rPr>
              <w:t>Change</w:t>
            </w:r>
          </w:p>
        </w:tc>
      </w:tr>
      <w:tr>
        <w:trPr>
          <w:trHeight w:val="250"/>
        </w:trPr>
        <w:tc>
          <w:tcPr>
            <w:tcW w:w="53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Sales:</w:t>
            </w:r>
          </w:p>
        </w:tc>
        <w:tc>
          <w:tcPr>
            <w:tcW w:w="240" w:type="dxa"/>
            <w:vAlign w:val="bottom"/>
            <w:tcBorders>
              <w:top w:val="single" w:sz="8" w:color="auto"/>
              <w:bottom w:val="single" w:sz="8" w:color="CCEEFF"/>
            </w:tcBorders>
            <w:shd w:val="clear" w:color="auto" w:fill="CCEEFF"/>
          </w:tcPr>
          <w:p>
            <w:pPr>
              <w:spacing w:after="0"/>
              <w:rPr>
                <w:sz w:val="21"/>
                <w:szCs w:val="21"/>
                <w:color w:val="auto"/>
              </w:rPr>
            </w:pPr>
          </w:p>
        </w:tc>
        <w:tc>
          <w:tcPr>
            <w:tcW w:w="11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360" w:type="dxa"/>
            <w:vAlign w:val="bottom"/>
            <w:tcBorders>
              <w:top w:val="single" w:sz="8" w:color="auto"/>
              <w:bottom w:val="single" w:sz="8" w:color="CCEEFF"/>
            </w:tcBorders>
            <w:shd w:val="clear" w:color="auto" w:fill="CCEEFF"/>
          </w:tcPr>
          <w:p>
            <w:pPr>
              <w:spacing w:after="0"/>
              <w:rPr>
                <w:sz w:val="21"/>
                <w:szCs w:val="21"/>
                <w:color w:val="auto"/>
              </w:rPr>
            </w:pPr>
          </w:p>
        </w:tc>
        <w:tc>
          <w:tcPr>
            <w:tcW w:w="10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300" w:type="dxa"/>
            <w:vAlign w:val="bottom"/>
            <w:tcBorders>
              <w:top w:val="single" w:sz="8" w:color="auto"/>
              <w:bottom w:val="single" w:sz="8" w:color="CCEEFF"/>
            </w:tcBorders>
            <w:shd w:val="clear" w:color="auto" w:fill="CCEEFF"/>
          </w:tcPr>
          <w:p>
            <w:pPr>
              <w:spacing w:after="0"/>
              <w:rPr>
                <w:sz w:val="21"/>
                <w:szCs w:val="21"/>
                <w:color w:val="auto"/>
              </w:rPr>
            </w:pPr>
          </w:p>
        </w:tc>
        <w:tc>
          <w:tcPr>
            <w:tcW w:w="114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CCEEFF"/>
            </w:tcBorders>
            <w:shd w:val="clear" w:color="auto" w:fill="CCEEFF"/>
          </w:tcPr>
          <w:p>
            <w:pPr>
              <w:spacing w:after="0"/>
              <w:rPr>
                <w:sz w:val="21"/>
                <w:szCs w:val="21"/>
                <w:color w:val="auto"/>
              </w:rPr>
            </w:pPr>
          </w:p>
        </w:tc>
        <w:tc>
          <w:tcPr>
            <w:tcW w:w="840" w:type="dxa"/>
            <w:vAlign w:val="bottom"/>
            <w:tcBorders>
              <w:top w:val="single" w:sz="8" w:color="auto"/>
              <w:bottom w:val="single" w:sz="8" w:color="CCEEFF"/>
            </w:tcBorders>
            <w:shd w:val="clear" w:color="auto" w:fill="CCEEFF"/>
          </w:tcPr>
          <w:p>
            <w:pPr>
              <w:spacing w:after="0"/>
              <w:rPr>
                <w:sz w:val="21"/>
                <w:szCs w:val="21"/>
                <w:color w:val="auto"/>
              </w:rPr>
            </w:pPr>
          </w:p>
        </w:tc>
      </w:tr>
      <w:tr>
        <w:trPr>
          <w:trHeight w:val="243"/>
        </w:trPr>
        <w:tc>
          <w:tcPr>
            <w:tcW w:w="5300" w:type="dxa"/>
            <w:vAlign w:val="bottom"/>
          </w:tcPr>
          <w:p>
            <w:pPr>
              <w:ind w:left="280"/>
              <w:spacing w:after="0"/>
              <w:rPr>
                <w:sz w:val="20"/>
                <w:szCs w:val="20"/>
                <w:color w:val="auto"/>
              </w:rPr>
            </w:pPr>
            <w:r>
              <w:rPr>
                <w:rFonts w:ascii="Arial" w:cs="Arial" w:eastAsia="Arial" w:hAnsi="Arial"/>
                <w:sz w:val="18"/>
                <w:szCs w:val="18"/>
                <w:color w:val="auto"/>
              </w:rPr>
              <w:t>Greatbatch Medical</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180" w:type="dxa"/>
            <w:vAlign w:val="bottom"/>
          </w:tcPr>
          <w:p>
            <w:pPr>
              <w:jc w:val="right"/>
              <w:ind w:right="17"/>
              <w:spacing w:after="0"/>
              <w:rPr>
                <w:sz w:val="20"/>
                <w:szCs w:val="20"/>
                <w:color w:val="auto"/>
              </w:rPr>
            </w:pPr>
            <w:r>
              <w:rPr>
                <w:rFonts w:ascii="Arial" w:cs="Arial" w:eastAsia="Arial" w:hAnsi="Arial"/>
                <w:sz w:val="18"/>
                <w:szCs w:val="18"/>
                <w:color w:val="auto"/>
              </w:rPr>
              <w:t>649,977</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15"/>
              <w:spacing w:after="0"/>
              <w:rPr>
                <w:sz w:val="20"/>
                <w:szCs w:val="20"/>
                <w:color w:val="auto"/>
              </w:rPr>
            </w:pPr>
            <w:r>
              <w:rPr>
                <w:rFonts w:ascii="Arial" w:cs="Arial" w:eastAsia="Arial" w:hAnsi="Arial"/>
                <w:sz w:val="18"/>
                <w:szCs w:val="18"/>
                <w:color w:val="auto"/>
              </w:rPr>
              <w:t>678,285</w:t>
            </w:r>
          </w:p>
        </w:tc>
        <w:tc>
          <w:tcPr>
            <w:tcW w:w="10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(28,308)</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(4)%</w:t>
            </w:r>
          </w:p>
        </w:tc>
      </w:tr>
      <w:tr>
        <w:trPr>
          <w:trHeight w:val="27"/>
        </w:trPr>
        <w:tc>
          <w:tcPr>
            <w:tcW w:w="53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50"/>
        </w:trPr>
        <w:tc>
          <w:tcPr>
            <w:tcW w:w="53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QiG</w:t>
            </w:r>
          </w:p>
        </w:tc>
        <w:tc>
          <w:tcPr>
            <w:tcW w:w="24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13,571</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9,502</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4,069</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43 %</w:t>
            </w:r>
          </w:p>
        </w:tc>
      </w:tr>
      <w:tr>
        <w:trPr>
          <w:trHeight w:val="243"/>
        </w:trPr>
        <w:tc>
          <w:tcPr>
            <w:tcW w:w="5300" w:type="dxa"/>
            <w:vAlign w:val="bottom"/>
          </w:tcPr>
          <w:p>
            <w:pPr>
              <w:ind w:left="280"/>
              <w:spacing w:after="0"/>
              <w:rPr>
                <w:sz w:val="20"/>
                <w:szCs w:val="20"/>
                <w:color w:val="auto"/>
              </w:rPr>
            </w:pPr>
            <w:r>
              <w:rPr>
                <w:rFonts w:ascii="Arial" w:cs="Arial" w:eastAsia="Arial" w:hAnsi="Arial"/>
                <w:sz w:val="18"/>
                <w:szCs w:val="18"/>
                <w:color w:val="auto"/>
              </w:rPr>
              <w:t>Lake Region Medical</w:t>
            </w:r>
          </w:p>
        </w:tc>
        <w:tc>
          <w:tcPr>
            <w:tcW w:w="240" w:type="dxa"/>
            <w:vAlign w:val="bottom"/>
          </w:tcPr>
          <w:p>
            <w:pPr>
              <w:spacing w:after="0"/>
              <w:rPr>
                <w:sz w:val="21"/>
                <w:szCs w:val="21"/>
                <w:color w:val="auto"/>
              </w:rPr>
            </w:pPr>
          </w:p>
        </w:tc>
        <w:tc>
          <w:tcPr>
            <w:tcW w:w="1180" w:type="dxa"/>
            <w:vAlign w:val="bottom"/>
          </w:tcPr>
          <w:p>
            <w:pPr>
              <w:jc w:val="right"/>
              <w:ind w:right="17"/>
              <w:spacing w:after="0"/>
              <w:rPr>
                <w:sz w:val="20"/>
                <w:szCs w:val="20"/>
                <w:color w:val="auto"/>
              </w:rPr>
            </w:pPr>
            <w:r>
              <w:rPr>
                <w:rFonts w:ascii="Arial" w:cs="Arial" w:eastAsia="Arial" w:hAnsi="Arial"/>
                <w:sz w:val="18"/>
                <w:szCs w:val="18"/>
                <w:color w:val="auto"/>
              </w:rPr>
              <w:t>139,819</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1140" w:type="dxa"/>
            <w:vAlign w:val="bottom"/>
          </w:tcPr>
          <w:p>
            <w:pPr>
              <w:jc w:val="right"/>
              <w:ind w:right="17"/>
              <w:spacing w:after="0"/>
              <w:rPr>
                <w:sz w:val="20"/>
                <w:szCs w:val="20"/>
                <w:color w:val="auto"/>
              </w:rPr>
            </w:pPr>
            <w:r>
              <w:rPr>
                <w:rFonts w:ascii="Arial" w:cs="Arial" w:eastAsia="Arial" w:hAnsi="Arial"/>
                <w:sz w:val="18"/>
                <w:szCs w:val="18"/>
                <w:color w:val="auto"/>
              </w:rPr>
              <w:t>139,819</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100 %</w:t>
            </w:r>
          </w:p>
        </w:tc>
      </w:tr>
      <w:tr>
        <w:trPr>
          <w:trHeight w:val="27"/>
        </w:trPr>
        <w:tc>
          <w:tcPr>
            <w:tcW w:w="53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70"/>
        </w:trPr>
        <w:tc>
          <w:tcPr>
            <w:tcW w:w="53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Elimination of intersegment sales</w:t>
            </w:r>
          </w:p>
        </w:tc>
        <w:tc>
          <w:tcPr>
            <w:tcW w:w="24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(2,953)</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(2,953)</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ind w:right="155"/>
              <w:spacing w:after="0"/>
              <w:rPr>
                <w:sz w:val="20"/>
                <w:szCs w:val="20"/>
                <w:color w:val="auto"/>
              </w:rPr>
            </w:pPr>
            <w:r>
              <w:rPr>
                <w:rFonts w:ascii="Arial" w:cs="Arial" w:eastAsia="Arial" w:hAnsi="Arial"/>
                <w:sz w:val="18"/>
                <w:szCs w:val="18"/>
                <w:color w:val="auto"/>
              </w:rPr>
              <w:t>NA</w:t>
            </w:r>
          </w:p>
        </w:tc>
      </w:tr>
      <w:tr>
        <w:trPr>
          <w:trHeight w:val="257"/>
        </w:trPr>
        <w:tc>
          <w:tcPr>
            <w:tcW w:w="5300" w:type="dxa"/>
            <w:vAlign w:val="bottom"/>
          </w:tcPr>
          <w:p>
            <w:pPr>
              <w:ind w:left="500"/>
              <w:spacing w:after="0"/>
              <w:rPr>
                <w:sz w:val="20"/>
                <w:szCs w:val="20"/>
                <w:color w:val="auto"/>
              </w:rPr>
            </w:pPr>
            <w:r>
              <w:rPr>
                <w:rFonts w:ascii="Arial" w:cs="Arial" w:eastAsia="Arial" w:hAnsi="Arial"/>
                <w:sz w:val="18"/>
                <w:szCs w:val="18"/>
                <w:color w:val="auto"/>
              </w:rPr>
              <w:t>Total sales</w:t>
            </w: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bottom w:val="single" w:sz="8" w:color="auto"/>
            </w:tcBorders>
          </w:tcPr>
          <w:p>
            <w:pPr>
              <w:jc w:val="right"/>
              <w:ind w:right="17"/>
              <w:spacing w:after="0"/>
              <w:rPr>
                <w:sz w:val="20"/>
                <w:szCs w:val="20"/>
                <w:color w:val="auto"/>
              </w:rPr>
            </w:pPr>
            <w:r>
              <w:rPr>
                <w:rFonts w:ascii="Arial" w:cs="Arial" w:eastAsia="Arial" w:hAnsi="Arial"/>
                <w:sz w:val="18"/>
                <w:szCs w:val="18"/>
                <w:color w:val="auto"/>
              </w:rPr>
              <w:t>800,414</w:t>
            </w:r>
          </w:p>
        </w:tc>
        <w:tc>
          <w:tcPr>
            <w:tcW w:w="100" w:type="dxa"/>
            <w:vAlign w:val="bottom"/>
          </w:tcPr>
          <w:p>
            <w:pPr>
              <w:spacing w:after="0"/>
              <w:rPr>
                <w:sz w:val="22"/>
                <w:szCs w:val="22"/>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080" w:type="dxa"/>
            <w:vAlign w:val="bottom"/>
            <w:tcBorders>
              <w:top w:val="single" w:sz="8" w:color="auto"/>
              <w:bottom w:val="single" w:sz="8" w:color="auto"/>
            </w:tcBorders>
          </w:tcPr>
          <w:p>
            <w:pPr>
              <w:jc w:val="right"/>
              <w:ind w:right="15"/>
              <w:spacing w:after="0"/>
              <w:rPr>
                <w:sz w:val="20"/>
                <w:szCs w:val="20"/>
                <w:color w:val="auto"/>
              </w:rPr>
            </w:pPr>
            <w:r>
              <w:rPr>
                <w:rFonts w:ascii="Arial" w:cs="Arial" w:eastAsia="Arial" w:hAnsi="Arial"/>
                <w:sz w:val="18"/>
                <w:szCs w:val="18"/>
                <w:color w:val="auto"/>
              </w:rPr>
              <w:t>687,787</w:t>
            </w:r>
          </w:p>
        </w:tc>
        <w:tc>
          <w:tcPr>
            <w:tcW w:w="100" w:type="dxa"/>
            <w:vAlign w:val="bottom"/>
          </w:tcPr>
          <w:p>
            <w:pPr>
              <w:spacing w:after="0"/>
              <w:rPr>
                <w:sz w:val="22"/>
                <w:szCs w:val="22"/>
                <w:color w:val="auto"/>
              </w:rPr>
            </w:pPr>
          </w:p>
        </w:tc>
        <w:tc>
          <w:tcPr>
            <w:tcW w:w="30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bottom w:val="single" w:sz="8" w:color="auto"/>
            </w:tcBorders>
          </w:tcPr>
          <w:p>
            <w:pPr>
              <w:jc w:val="right"/>
              <w:ind w:right="17"/>
              <w:spacing w:after="0"/>
              <w:rPr>
                <w:sz w:val="20"/>
                <w:szCs w:val="20"/>
                <w:color w:val="auto"/>
              </w:rPr>
            </w:pPr>
            <w:r>
              <w:rPr>
                <w:rFonts w:ascii="Arial" w:cs="Arial" w:eastAsia="Arial" w:hAnsi="Arial"/>
                <w:sz w:val="18"/>
                <w:szCs w:val="18"/>
                <w:color w:val="auto"/>
              </w:rPr>
              <w:t>112,627</w:t>
            </w:r>
          </w:p>
        </w:tc>
        <w:tc>
          <w:tcPr>
            <w:tcW w:w="100" w:type="dxa"/>
            <w:vAlign w:val="bottom"/>
          </w:tcPr>
          <w:p>
            <w:pPr>
              <w:spacing w:after="0"/>
              <w:rPr>
                <w:sz w:val="22"/>
                <w:szCs w:val="22"/>
                <w:color w:val="auto"/>
              </w:rPr>
            </w:pPr>
          </w:p>
        </w:tc>
        <w:tc>
          <w:tcPr>
            <w:tcW w:w="280" w:type="dxa"/>
            <w:vAlign w:val="bottom"/>
            <w:tcBorders>
              <w:top w:val="single" w:sz="8" w:color="auto"/>
              <w:bottom w:val="single" w:sz="8" w:color="auto"/>
            </w:tcBorders>
          </w:tcPr>
          <w:p>
            <w:pPr>
              <w:spacing w:after="0"/>
              <w:rPr>
                <w:sz w:val="22"/>
                <w:szCs w:val="22"/>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16 %</w:t>
            </w:r>
          </w:p>
        </w:tc>
      </w:tr>
      <w:tr>
        <w:trPr>
          <w:trHeight w:val="20"/>
        </w:trPr>
        <w:tc>
          <w:tcPr>
            <w:tcW w:w="53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In connection with our acquisition of Lake Region Medical, we have recast our revenue by product line into the following four categories:</w:t>
      </w:r>
    </w:p>
    <w:p>
      <w:pPr>
        <w:spacing w:after="0" w:line="225" w:lineRule="exact"/>
        <w:rPr>
          <w:sz w:val="20"/>
          <w:szCs w:val="20"/>
          <w:color w:val="auto"/>
        </w:rPr>
      </w:pPr>
    </w:p>
    <w:p>
      <w:pPr>
        <w:ind w:left="260" w:right="420" w:hanging="252"/>
        <w:spacing w:after="0" w:line="277" w:lineRule="auto"/>
        <w:tabs>
          <w:tab w:leader="none" w:pos="260" w:val="left"/>
        </w:tabs>
        <w:numPr>
          <w:ilvl w:val="0"/>
          <w:numId w:val="20"/>
        </w:numPr>
        <w:rPr>
          <w:rFonts w:ascii="Arial" w:cs="Arial" w:eastAsia="Arial" w:hAnsi="Arial"/>
          <w:sz w:val="18"/>
          <w:szCs w:val="18"/>
          <w:color w:val="auto"/>
        </w:rPr>
      </w:pPr>
      <w:r>
        <w:rPr>
          <w:rFonts w:ascii="Arial" w:cs="Arial" w:eastAsia="Arial" w:hAnsi="Arial"/>
          <w:sz w:val="18"/>
          <w:szCs w:val="18"/>
          <w:u w:val="single" w:color="auto"/>
          <w:color w:val="auto"/>
        </w:rPr>
        <w:t>Advanced Surgical, Orthopaedics, and Portable Medical</w:t>
      </w:r>
      <w:r>
        <w:rPr>
          <w:rFonts w:ascii="Arial" w:cs="Arial" w:eastAsia="Arial" w:hAnsi="Arial"/>
          <w:sz w:val="18"/>
          <w:szCs w:val="18"/>
          <w:color w:val="auto"/>
        </w:rPr>
        <w:t xml:space="preserve"> </w:t>
      </w:r>
      <w:r>
        <w:rPr>
          <w:rFonts w:ascii="Arial" w:cs="Arial" w:eastAsia="Arial" w:hAnsi="Arial"/>
          <w:sz w:val="18"/>
          <w:szCs w:val="18"/>
          <w:b w:val="1"/>
          <w:bCs w:val="1"/>
          <w:i w:val="1"/>
          <w:iCs w:val="1"/>
          <w:color w:val="auto"/>
        </w:rPr>
        <w:t>–</w:t>
      </w:r>
      <w:r>
        <w:rPr>
          <w:rFonts w:ascii="Arial" w:cs="Arial" w:eastAsia="Arial" w:hAnsi="Arial"/>
          <w:sz w:val="18"/>
          <w:szCs w:val="18"/>
          <w:color w:val="auto"/>
        </w:rPr>
        <w:t xml:space="preserve"> Includes legacy Greatbatch Orthopaedics and Portable Medical product line sales plus the legacy Lake Region Medical Advanced Surgical product line sales.</w:t>
      </w:r>
    </w:p>
    <w:p>
      <w:pPr>
        <w:spacing w:after="0" w:line="170" w:lineRule="exact"/>
        <w:rPr>
          <w:rFonts w:ascii="Arial" w:cs="Arial" w:eastAsia="Arial" w:hAnsi="Arial"/>
          <w:sz w:val="18"/>
          <w:szCs w:val="18"/>
          <w:color w:val="auto"/>
        </w:rPr>
      </w:pPr>
    </w:p>
    <w:p>
      <w:pPr>
        <w:ind w:left="260" w:right="140" w:hanging="252"/>
        <w:spacing w:after="0" w:line="277" w:lineRule="auto"/>
        <w:tabs>
          <w:tab w:leader="none" w:pos="260" w:val="left"/>
        </w:tabs>
        <w:numPr>
          <w:ilvl w:val="0"/>
          <w:numId w:val="20"/>
        </w:numPr>
        <w:rPr>
          <w:rFonts w:ascii="Arial" w:cs="Arial" w:eastAsia="Arial" w:hAnsi="Arial"/>
          <w:sz w:val="18"/>
          <w:szCs w:val="18"/>
          <w:color w:val="auto"/>
        </w:rPr>
      </w:pPr>
      <w:r>
        <w:rPr>
          <w:rFonts w:ascii="Arial" w:cs="Arial" w:eastAsia="Arial" w:hAnsi="Arial"/>
          <w:sz w:val="18"/>
          <w:szCs w:val="18"/>
          <w:u w:val="single" w:color="auto"/>
          <w:color w:val="auto"/>
        </w:rPr>
        <w:t>Cardio and Vascular</w:t>
      </w:r>
      <w:r>
        <w:rPr>
          <w:rFonts w:ascii="Arial" w:cs="Arial" w:eastAsia="Arial" w:hAnsi="Arial"/>
          <w:sz w:val="18"/>
          <w:szCs w:val="18"/>
          <w:color w:val="auto"/>
        </w:rPr>
        <w:t xml:space="preserve"> </w:t>
      </w:r>
      <w:r>
        <w:rPr>
          <w:rFonts w:ascii="Arial" w:cs="Arial" w:eastAsia="Arial" w:hAnsi="Arial"/>
          <w:sz w:val="18"/>
          <w:szCs w:val="18"/>
          <w:b w:val="1"/>
          <w:bCs w:val="1"/>
          <w:i w:val="1"/>
          <w:iCs w:val="1"/>
          <w:color w:val="auto"/>
        </w:rPr>
        <w:t>–</w:t>
      </w:r>
      <w:r>
        <w:rPr>
          <w:rFonts w:ascii="Arial" w:cs="Arial" w:eastAsia="Arial" w:hAnsi="Arial"/>
          <w:sz w:val="18"/>
          <w:szCs w:val="18"/>
          <w:color w:val="auto"/>
        </w:rPr>
        <w:t xml:space="preserve"> Includes the legacy Greatbatch Vascular product line sales plus the legacy Lake Region Medical Cardio and Vascular product line sales less the legacy Lake Region Medical Cardiac/Neuromodulation sales.</w:t>
      </w:r>
    </w:p>
    <w:p>
      <w:pPr>
        <w:spacing w:after="0" w:line="170" w:lineRule="exact"/>
        <w:rPr>
          <w:rFonts w:ascii="Arial" w:cs="Arial" w:eastAsia="Arial" w:hAnsi="Arial"/>
          <w:sz w:val="18"/>
          <w:szCs w:val="18"/>
          <w:color w:val="auto"/>
        </w:rPr>
      </w:pPr>
    </w:p>
    <w:p>
      <w:pPr>
        <w:ind w:left="260" w:right="1120" w:hanging="252"/>
        <w:spacing w:after="0" w:line="277" w:lineRule="auto"/>
        <w:tabs>
          <w:tab w:leader="none" w:pos="260" w:val="left"/>
        </w:tabs>
        <w:numPr>
          <w:ilvl w:val="0"/>
          <w:numId w:val="20"/>
        </w:numPr>
        <w:rPr>
          <w:rFonts w:ascii="Arial" w:cs="Arial" w:eastAsia="Arial" w:hAnsi="Arial"/>
          <w:sz w:val="18"/>
          <w:szCs w:val="18"/>
          <w:color w:val="auto"/>
        </w:rPr>
      </w:pPr>
      <w:r>
        <w:rPr>
          <w:rFonts w:ascii="Arial" w:cs="Arial" w:eastAsia="Arial" w:hAnsi="Arial"/>
          <w:sz w:val="18"/>
          <w:szCs w:val="18"/>
          <w:u w:val="single" w:color="auto"/>
          <w:color w:val="auto"/>
        </w:rPr>
        <w:t>Cardiac/Neuromodulation</w:t>
      </w:r>
      <w:r>
        <w:rPr>
          <w:rFonts w:ascii="Arial" w:cs="Arial" w:eastAsia="Arial" w:hAnsi="Arial"/>
          <w:sz w:val="18"/>
          <w:szCs w:val="18"/>
          <w:color w:val="auto"/>
        </w:rPr>
        <w:t xml:space="preserve"> </w:t>
      </w:r>
      <w:r>
        <w:rPr>
          <w:rFonts w:ascii="Arial" w:cs="Arial" w:eastAsia="Arial" w:hAnsi="Arial"/>
          <w:sz w:val="18"/>
          <w:szCs w:val="18"/>
          <w:b w:val="1"/>
          <w:bCs w:val="1"/>
          <w:i w:val="1"/>
          <w:iCs w:val="1"/>
          <w:color w:val="auto"/>
        </w:rPr>
        <w:t>–</w:t>
      </w:r>
      <w:r>
        <w:rPr>
          <w:rFonts w:ascii="Arial" w:cs="Arial" w:eastAsia="Arial" w:hAnsi="Arial"/>
          <w:sz w:val="18"/>
          <w:szCs w:val="18"/>
          <w:color w:val="auto"/>
        </w:rPr>
        <w:t xml:space="preserve"> Includes the legacy Greatbatch Cardiac/Neuromodulation and QiG sales plus the legacy Lake Region Medical Cardiac/Neuromodulation sales previously included in their Cardio and Vascular product line sales.</w:t>
      </w:r>
    </w:p>
    <w:p>
      <w:pPr>
        <w:spacing w:after="0" w:line="170" w:lineRule="exact"/>
        <w:rPr>
          <w:rFonts w:ascii="Arial" w:cs="Arial" w:eastAsia="Arial" w:hAnsi="Arial"/>
          <w:sz w:val="18"/>
          <w:szCs w:val="18"/>
          <w:color w:val="auto"/>
        </w:rPr>
      </w:pPr>
    </w:p>
    <w:p>
      <w:pPr>
        <w:ind w:left="260" w:hanging="252"/>
        <w:spacing w:after="0"/>
        <w:tabs>
          <w:tab w:leader="none" w:pos="260" w:val="left"/>
        </w:tabs>
        <w:numPr>
          <w:ilvl w:val="0"/>
          <w:numId w:val="20"/>
        </w:numPr>
        <w:rPr>
          <w:rFonts w:ascii="Arial" w:cs="Arial" w:eastAsia="Arial" w:hAnsi="Arial"/>
          <w:sz w:val="18"/>
          <w:szCs w:val="18"/>
          <w:color w:val="auto"/>
        </w:rPr>
      </w:pPr>
      <w:r>
        <w:rPr>
          <w:rFonts w:ascii="Arial" w:cs="Arial" w:eastAsia="Arial" w:hAnsi="Arial"/>
          <w:sz w:val="18"/>
          <w:szCs w:val="18"/>
          <w:u w:val="single" w:color="auto"/>
          <w:color w:val="auto"/>
        </w:rPr>
        <w:t>Electrochem</w:t>
      </w:r>
      <w:r>
        <w:rPr>
          <w:rFonts w:ascii="Arial" w:cs="Arial" w:eastAsia="Arial" w:hAnsi="Arial"/>
          <w:sz w:val="18"/>
          <w:szCs w:val="18"/>
          <w:color w:val="auto"/>
        </w:rPr>
        <w:t xml:space="preserve"> </w:t>
      </w:r>
      <w:r>
        <w:rPr>
          <w:rFonts w:ascii="Arial" w:cs="Arial" w:eastAsia="Arial" w:hAnsi="Arial"/>
          <w:sz w:val="18"/>
          <w:szCs w:val="18"/>
          <w:b w:val="1"/>
          <w:bCs w:val="1"/>
          <w:i w:val="1"/>
          <w:iCs w:val="1"/>
          <w:color w:val="auto"/>
        </w:rPr>
        <w:t>–</w:t>
      </w:r>
      <w:r>
        <w:rPr>
          <w:rFonts w:ascii="Arial" w:cs="Arial" w:eastAsia="Arial" w:hAnsi="Arial"/>
          <w:sz w:val="18"/>
          <w:szCs w:val="18"/>
          <w:color w:val="auto"/>
        </w:rPr>
        <w:t xml:space="preserve"> Includes the legacy Greatbatch Energy, Military and Environmental product line sales.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Total 2015 sales increased 16% to $800.4 million. The most significant drivers of this increase were as follows:</w:t>
      </w:r>
    </w:p>
    <w:p>
      <w:pPr>
        <w:spacing w:after="0" w:line="225" w:lineRule="exact"/>
        <w:rPr>
          <w:sz w:val="20"/>
          <w:szCs w:val="20"/>
          <w:color w:val="auto"/>
        </w:rPr>
      </w:pPr>
    </w:p>
    <w:p>
      <w:pPr>
        <w:ind w:left="260" w:hanging="252"/>
        <w:spacing w:after="0" w:line="255" w:lineRule="auto"/>
        <w:tabs>
          <w:tab w:leader="none" w:pos="2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Fiscal year 2015 Advanced Surgical, Orthopaedics, and Portable Medical sales increased 13% compared to the same period of 2014 and includes $37.9 million of sales from the former Lake Region Medical since the date of acquisition. During 2015, this product line continued to be negatively impacted by the weakening Euro, which reduced sales by approximately $14.5 million in comparison to the prior year. On an organic constant currency basis, our Advanced Surgical, Orthopaedics, and Portable Medical sales increased 2% in comparison to 2014 primarily due to orthopaedics market growth and new customer wins partially offset by lower portable medical sales due to our refocusing this product line’s product offerings to products that have higher profitability.</w:t>
      </w:r>
    </w:p>
    <w:p>
      <w:pPr>
        <w:spacing w:after="0" w:line="193" w:lineRule="exact"/>
        <w:rPr>
          <w:rFonts w:ascii="Arial" w:cs="Arial" w:eastAsia="Arial" w:hAnsi="Arial"/>
          <w:sz w:val="18"/>
          <w:szCs w:val="18"/>
          <w:color w:val="auto"/>
        </w:rPr>
      </w:pPr>
    </w:p>
    <w:p>
      <w:pPr>
        <w:ind w:left="260" w:hanging="252"/>
        <w:spacing w:after="0" w:line="257" w:lineRule="auto"/>
        <w:tabs>
          <w:tab w:leader="none" w:pos="2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During 2015, our Cardio and Vascular sales increased $84.5 million in comparison to the prior year and includes $88.8 million of sales from the former Lake Region Medical since the date of acquisition. On an organic constant currency basis, our Cardio and Vascular sales decreased 7% in comparison to 2014 due to the end of life on some legacy products. This decrease was partially offset during the fourth quarter of 2015, as our customers built safety stock in anticipation of our product line transfers to our Tijuana, Mexico facility in the first quarter of 2016. We expect our product line transfer to Mexico will position us to be more competitive in both new and existing markets.</w:t>
      </w:r>
    </w:p>
    <w:p>
      <w:pPr>
        <w:sectPr>
          <w:pgSz w:w="11900" w:h="16838" w:orient="portrait"/>
          <w:cols w:equalWidth="0" w:num="1">
            <w:col w:w="11360"/>
          </w:cols>
          <w:pgMar w:left="240" w:top="796" w:right="299" w:bottom="1440" w:gutter="0" w:footer="0" w:header="0"/>
        </w:sectPr>
      </w:pPr>
    </w:p>
    <w:p>
      <w:pPr>
        <w:spacing w:after="0" w:line="323" w:lineRule="exact"/>
        <w:rPr>
          <w:sz w:val="20"/>
          <w:szCs w:val="20"/>
          <w:color w:val="auto"/>
        </w:rPr>
      </w:pPr>
    </w:p>
    <w:p>
      <w:pPr>
        <w:jc w:val="center"/>
        <w:ind w:right="-59"/>
        <w:spacing w:after="0"/>
        <w:rPr>
          <w:sz w:val="20"/>
          <w:szCs w:val="20"/>
          <w:color w:val="auto"/>
        </w:rPr>
      </w:pPr>
      <w:r>
        <w:rPr>
          <w:rFonts w:ascii="Arial" w:cs="Arial" w:eastAsia="Arial" w:hAnsi="Arial"/>
          <w:sz w:val="16"/>
          <w:szCs w:val="16"/>
          <w:color w:val="auto"/>
        </w:rPr>
        <w:t>- 49 -</w:t>
      </w:r>
    </w:p>
    <w:p>
      <w:pPr>
        <w:sectPr>
          <w:pgSz w:w="11900" w:h="16838" w:orient="portrait"/>
          <w:cols w:equalWidth="0" w:num="1">
            <w:col w:w="11360"/>
          </w:cols>
          <w:pgMar w:left="240" w:top="796" w:right="299" w:bottom="1440" w:gutter="0" w:footer="0" w:header="0"/>
          <w:type w:val="continuous"/>
        </w:sectPr>
      </w:pPr>
    </w:p>
    <w:bookmarkStart w:id="50" w:name="page51"/>
    <w:bookmarkEnd w:id="50"/>
    <w:p>
      <w:pPr>
        <w:ind w:left="260" w:hanging="252"/>
        <w:spacing w:after="0" w:line="259" w:lineRule="auto"/>
        <w:tabs>
          <w:tab w:leader="none" w:pos="2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For 2015, our Cardiac/Neuromodulation sales increased $25.1 million or 8% in comparison to 2014 and includes $13.7 million of sales from the former Lake Region Medical since the date of acquisition. On an organic constant currency basis, our Cardiac/Neuromodulation sales increased 2% in comparison to the prior year primarily due to a neuromodulation customer product launch, which was partially offset by the runoff of end of life products from our legacy cardiac customers.</w:t>
      </w:r>
    </w:p>
    <w:p>
      <w:pPr>
        <w:spacing w:after="0" w:line="186" w:lineRule="exact"/>
        <w:rPr>
          <w:rFonts w:ascii="Arial" w:cs="Arial" w:eastAsia="Arial" w:hAnsi="Arial"/>
          <w:sz w:val="18"/>
          <w:szCs w:val="18"/>
          <w:color w:val="auto"/>
        </w:rPr>
      </w:pPr>
    </w:p>
    <w:p>
      <w:pPr>
        <w:ind w:left="260" w:right="60" w:hanging="252"/>
        <w:spacing w:after="0" w:line="264" w:lineRule="auto"/>
        <w:tabs>
          <w:tab w:leader="none" w:pos="2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Full year 2015 Electrochem sales declined 27%. This decrease was primarily due to the slowdown in the energy markets, which has caused customers to reduce drilling and exploration volumes. We expect the slowdown in the energy markets to continue to be a headwind to Electrochem sales through the end of 2016.</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Gross Profit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Changes to our Gross Margin percentage was primarily due to the following:</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560" w:type="dxa"/>
            <w:vAlign w:val="bottom"/>
          </w:tcPr>
          <w:p>
            <w:pPr>
              <w:spacing w:after="0"/>
              <w:rPr>
                <w:sz w:val="14"/>
                <w:szCs w:val="14"/>
                <w:color w:val="auto"/>
              </w:rPr>
            </w:pPr>
          </w:p>
        </w:tc>
        <w:tc>
          <w:tcPr>
            <w:tcW w:w="1640" w:type="dxa"/>
            <w:vAlign w:val="bottom"/>
          </w:tcPr>
          <w:p>
            <w:pPr>
              <w:jc w:val="right"/>
              <w:ind w:right="435"/>
              <w:spacing w:after="0"/>
              <w:rPr>
                <w:sz w:val="20"/>
                <w:szCs w:val="20"/>
                <w:color w:val="auto"/>
              </w:rPr>
            </w:pPr>
            <w:r>
              <w:rPr>
                <w:rFonts w:ascii="Arial" w:cs="Arial" w:eastAsia="Arial" w:hAnsi="Arial"/>
                <w:sz w:val="14"/>
                <w:szCs w:val="14"/>
                <w:b w:val="1"/>
                <w:bCs w:val="1"/>
                <w:color w:val="auto"/>
              </w:rPr>
              <w:t>2015-2014</w:t>
            </w:r>
          </w:p>
        </w:tc>
      </w:tr>
      <w:tr>
        <w:trPr>
          <w:trHeight w:val="192"/>
        </w:trPr>
        <w:tc>
          <w:tcPr>
            <w:tcW w:w="6560" w:type="dxa"/>
            <w:vAlign w:val="bottom"/>
            <w:tcBorders>
              <w:bottom w:val="single" w:sz="8" w:color="CCEEFF"/>
            </w:tcBorders>
          </w:tcPr>
          <w:p>
            <w:pPr>
              <w:spacing w:after="0"/>
              <w:rPr>
                <w:sz w:val="16"/>
                <w:szCs w:val="16"/>
                <w:color w:val="auto"/>
              </w:rPr>
            </w:pPr>
          </w:p>
        </w:tc>
        <w:tc>
          <w:tcPr>
            <w:tcW w:w="1640" w:type="dxa"/>
            <w:vAlign w:val="bottom"/>
            <w:tcBorders>
              <w:bottom w:val="single" w:sz="8" w:color="auto"/>
            </w:tcBorders>
          </w:tcPr>
          <w:p>
            <w:pPr>
              <w:jc w:val="right"/>
              <w:ind w:right="235"/>
              <w:spacing w:after="0"/>
              <w:rPr>
                <w:sz w:val="20"/>
                <w:szCs w:val="20"/>
                <w:color w:val="auto"/>
              </w:rPr>
            </w:pPr>
            <w:r>
              <w:rPr>
                <w:rFonts w:ascii="Arial" w:cs="Arial" w:eastAsia="Arial" w:hAnsi="Arial"/>
                <w:sz w:val="14"/>
                <w:szCs w:val="14"/>
                <w:b w:val="1"/>
                <w:bCs w:val="1"/>
                <w:color w:val="auto"/>
              </w:rPr>
              <w:t>% Point Change</w:t>
            </w:r>
          </w:p>
        </w:tc>
      </w:tr>
      <w:tr>
        <w:trPr>
          <w:trHeight w:val="270"/>
        </w:trPr>
        <w:tc>
          <w:tcPr>
            <w:tcW w:w="6560" w:type="dxa"/>
            <w:vAlign w:val="bottom"/>
            <w:shd w:val="clear" w:color="auto" w:fill="CCEEFF"/>
          </w:tcPr>
          <w:p>
            <w:pPr>
              <w:ind w:left="40"/>
              <w:spacing w:after="0" w:line="270" w:lineRule="exact"/>
              <w:rPr>
                <w:sz w:val="20"/>
                <w:szCs w:val="20"/>
                <w:color w:val="auto"/>
              </w:rPr>
            </w:pPr>
            <w:r>
              <w:rPr>
                <w:rFonts w:ascii="Arial" w:cs="Arial" w:eastAsia="Arial" w:hAnsi="Arial"/>
                <w:sz w:val="18"/>
                <w:szCs w:val="18"/>
                <w:color w:val="auto"/>
              </w:rPr>
              <w:t>Performance-based compensation</w:t>
            </w:r>
            <w:r>
              <w:rPr>
                <w:rFonts w:ascii="Arial" w:cs="Arial" w:eastAsia="Arial" w:hAnsi="Arial"/>
                <w:sz w:val="25"/>
                <w:szCs w:val="25"/>
                <w:color w:val="auto"/>
                <w:vertAlign w:val="superscript"/>
              </w:rPr>
              <w:t>(a)</w:t>
            </w:r>
          </w:p>
        </w:tc>
        <w:tc>
          <w:tcPr>
            <w:tcW w:w="1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0.9 %</w:t>
            </w:r>
          </w:p>
        </w:tc>
      </w:tr>
      <w:tr>
        <w:trPr>
          <w:trHeight w:val="270"/>
        </w:trPr>
        <w:tc>
          <w:tcPr>
            <w:tcW w:w="6560" w:type="dxa"/>
            <w:vAlign w:val="bottom"/>
          </w:tcPr>
          <w:p>
            <w:pPr>
              <w:ind w:left="40"/>
              <w:spacing w:after="0" w:line="270" w:lineRule="exact"/>
              <w:rPr>
                <w:sz w:val="20"/>
                <w:szCs w:val="20"/>
                <w:color w:val="auto"/>
              </w:rPr>
            </w:pPr>
            <w:r>
              <w:rPr>
                <w:rFonts w:ascii="Arial" w:cs="Arial" w:eastAsia="Arial" w:hAnsi="Arial"/>
                <w:sz w:val="18"/>
                <w:szCs w:val="18"/>
                <w:color w:val="auto"/>
              </w:rPr>
              <w:t>Production efficiencies, volume and mix</w:t>
            </w:r>
            <w:r>
              <w:rPr>
                <w:rFonts w:ascii="Arial" w:cs="Arial" w:eastAsia="Arial" w:hAnsi="Arial"/>
                <w:sz w:val="25"/>
                <w:szCs w:val="25"/>
                <w:color w:val="auto"/>
                <w:vertAlign w:val="superscript"/>
              </w:rPr>
              <w:t>(b)</w:t>
            </w:r>
          </w:p>
        </w:tc>
        <w:tc>
          <w:tcPr>
            <w:tcW w:w="1640" w:type="dxa"/>
            <w:vAlign w:val="bottom"/>
          </w:tcPr>
          <w:p>
            <w:pPr>
              <w:jc w:val="right"/>
              <w:spacing w:after="0"/>
              <w:rPr>
                <w:sz w:val="20"/>
                <w:szCs w:val="20"/>
                <w:color w:val="auto"/>
              </w:rPr>
            </w:pPr>
            <w:r>
              <w:rPr>
                <w:rFonts w:ascii="Arial" w:cs="Arial" w:eastAsia="Arial" w:hAnsi="Arial"/>
                <w:sz w:val="18"/>
                <w:szCs w:val="18"/>
                <w:color w:val="auto"/>
              </w:rPr>
              <w:t>0.1 %</w:t>
            </w:r>
          </w:p>
        </w:tc>
      </w:tr>
      <w:tr>
        <w:trPr>
          <w:trHeight w:val="270"/>
        </w:trPr>
        <w:tc>
          <w:tcPr>
            <w:tcW w:w="6560" w:type="dxa"/>
            <w:vAlign w:val="bottom"/>
            <w:shd w:val="clear" w:color="auto" w:fill="CCEEFF"/>
          </w:tcPr>
          <w:p>
            <w:pPr>
              <w:ind w:left="40"/>
              <w:spacing w:after="0" w:line="270" w:lineRule="exact"/>
              <w:rPr>
                <w:sz w:val="20"/>
                <w:szCs w:val="20"/>
                <w:color w:val="auto"/>
              </w:rPr>
            </w:pPr>
            <w:r>
              <w:rPr>
                <w:rFonts w:ascii="Arial" w:cs="Arial" w:eastAsia="Arial" w:hAnsi="Arial"/>
                <w:sz w:val="18"/>
                <w:szCs w:val="18"/>
                <w:color w:val="auto"/>
              </w:rPr>
              <w:t>Impact of Lake Region Medical acquisition</w:t>
            </w:r>
            <w:r>
              <w:rPr>
                <w:rFonts w:ascii="Arial" w:cs="Arial" w:eastAsia="Arial" w:hAnsi="Arial"/>
                <w:sz w:val="25"/>
                <w:szCs w:val="25"/>
                <w:color w:val="auto"/>
                <w:vertAlign w:val="superscript"/>
              </w:rPr>
              <w:t>(c)</w:t>
            </w:r>
          </w:p>
        </w:tc>
        <w:tc>
          <w:tcPr>
            <w:tcW w:w="1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w:t>
            </w:r>
          </w:p>
        </w:tc>
      </w:tr>
      <w:tr>
        <w:trPr>
          <w:trHeight w:val="243"/>
        </w:trPr>
        <w:tc>
          <w:tcPr>
            <w:tcW w:w="6560" w:type="dxa"/>
            <w:vAlign w:val="bottom"/>
          </w:tcPr>
          <w:p>
            <w:pPr>
              <w:ind w:left="40"/>
              <w:spacing w:after="0"/>
              <w:rPr>
                <w:sz w:val="20"/>
                <w:szCs w:val="20"/>
                <w:color w:val="auto"/>
              </w:rPr>
            </w:pPr>
            <w:r>
              <w:rPr>
                <w:rFonts w:ascii="Arial" w:cs="Arial" w:eastAsia="Arial" w:hAnsi="Arial"/>
                <w:sz w:val="18"/>
                <w:szCs w:val="18"/>
                <w:color w:val="auto"/>
              </w:rPr>
              <w:t>Other</w:t>
            </w:r>
          </w:p>
        </w:tc>
        <w:tc>
          <w:tcPr>
            <w:tcW w:w="1640" w:type="dxa"/>
            <w:vAlign w:val="bottom"/>
          </w:tcPr>
          <w:p>
            <w:pPr>
              <w:jc w:val="right"/>
              <w:spacing w:after="0"/>
              <w:rPr>
                <w:sz w:val="20"/>
                <w:szCs w:val="20"/>
                <w:color w:val="auto"/>
              </w:rPr>
            </w:pPr>
            <w:r>
              <w:rPr>
                <w:rFonts w:ascii="Arial" w:cs="Arial" w:eastAsia="Arial" w:hAnsi="Arial"/>
                <w:sz w:val="18"/>
                <w:szCs w:val="18"/>
                <w:color w:val="auto"/>
              </w:rPr>
              <w:t>(0.1)%</w:t>
            </w:r>
          </w:p>
        </w:tc>
      </w:tr>
      <w:tr>
        <w:trPr>
          <w:trHeight w:val="27"/>
        </w:trPr>
        <w:tc>
          <w:tcPr>
            <w:tcW w:w="6560" w:type="dxa"/>
            <w:vAlign w:val="bottom"/>
            <w:tcBorders>
              <w:bottom w:val="single" w:sz="8" w:color="CCEEFF"/>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r>
      <w:tr>
        <w:trPr>
          <w:trHeight w:val="257"/>
        </w:trPr>
        <w:tc>
          <w:tcPr>
            <w:tcW w:w="65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Total percentage point change to gross profit as a percentage of sales</w:t>
            </w:r>
          </w:p>
        </w:tc>
        <w:tc>
          <w:tcPr>
            <w:tcW w:w="1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(4.2)%</w:t>
            </w:r>
          </w:p>
        </w:tc>
      </w:tr>
      <w:tr>
        <w:trPr>
          <w:trHeight w:val="20"/>
        </w:trPr>
        <w:tc>
          <w:tcPr>
            <w:tcW w:w="6560" w:type="dxa"/>
            <w:vAlign w:val="bottom"/>
          </w:tcPr>
          <w:p>
            <w:pPr>
              <w:spacing w:after="0" w:line="20" w:lineRule="exact"/>
              <w:rPr>
                <w:sz w:val="1"/>
                <w:szCs w:val="1"/>
                <w:color w:val="auto"/>
              </w:rPr>
            </w:pPr>
          </w:p>
        </w:tc>
        <w:tc>
          <w:tcPr>
            <w:tcW w:w="164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ind w:left="260" w:hanging="252"/>
        <w:spacing w:after="0"/>
        <w:tabs>
          <w:tab w:leader="none" w:pos="260" w:val="left"/>
        </w:tabs>
        <w:numPr>
          <w:ilvl w:val="0"/>
          <w:numId w:val="23"/>
        </w:numPr>
        <w:rPr>
          <w:rFonts w:ascii="Arial" w:cs="Arial" w:eastAsia="Arial" w:hAnsi="Arial"/>
          <w:sz w:val="16"/>
          <w:szCs w:val="16"/>
          <w:color w:val="auto"/>
        </w:rPr>
      </w:pPr>
      <w:r>
        <w:rPr>
          <w:rFonts w:ascii="Arial" w:cs="Arial" w:eastAsia="Arial" w:hAnsi="Arial"/>
          <w:sz w:val="16"/>
          <w:szCs w:val="16"/>
          <w:color w:val="auto"/>
        </w:rPr>
        <w:t>Amount represents the change in performance-based compensation versus the prior year period and is recorded based upon the actual results achieved.</w:t>
      </w:r>
    </w:p>
    <w:p>
      <w:pPr>
        <w:spacing w:after="0" w:line="248" w:lineRule="exact"/>
        <w:rPr>
          <w:rFonts w:ascii="Arial" w:cs="Arial" w:eastAsia="Arial" w:hAnsi="Arial"/>
          <w:sz w:val="16"/>
          <w:szCs w:val="16"/>
          <w:color w:val="auto"/>
        </w:rPr>
      </w:pPr>
    </w:p>
    <w:p>
      <w:pPr>
        <w:ind w:left="340" w:right="280" w:hanging="332"/>
        <w:spacing w:after="0" w:line="277" w:lineRule="auto"/>
        <w:tabs>
          <w:tab w:leader="none" w:pos="3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Our Gross Margin percentage benefited from production efficiencies gained at our manufacturing facilities as a result of our various lean and supply chain initiatives, which was partially offset by a higher sales mix of lower margin products.</w:t>
      </w:r>
    </w:p>
    <w:p>
      <w:pPr>
        <w:spacing w:after="0" w:line="170" w:lineRule="exact"/>
        <w:rPr>
          <w:rFonts w:ascii="Arial" w:cs="Arial" w:eastAsia="Arial" w:hAnsi="Arial"/>
          <w:sz w:val="18"/>
          <w:szCs w:val="18"/>
          <w:color w:val="auto"/>
        </w:rPr>
      </w:pPr>
    </w:p>
    <w:p>
      <w:pPr>
        <w:ind w:left="340" w:right="400" w:hanging="332"/>
        <w:spacing w:after="0" w:line="277" w:lineRule="auto"/>
        <w:tabs>
          <w:tab w:leader="none" w:pos="3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Amount represents the impact to our gross profit percentage related to the acquisition of Lake Region Medical in October 2015 and includes $23.0 million of inventory step-up amortization.</w:t>
      </w:r>
    </w:p>
    <w:p>
      <w:pPr>
        <w:spacing w:after="0" w:line="170" w:lineRule="exact"/>
        <w:rPr>
          <w:sz w:val="20"/>
          <w:szCs w:val="20"/>
          <w:color w:val="auto"/>
        </w:rPr>
      </w:pPr>
    </w:p>
    <w:p>
      <w:pPr>
        <w:ind w:right="180"/>
        <w:spacing w:after="0" w:line="259" w:lineRule="auto"/>
        <w:rPr>
          <w:sz w:val="20"/>
          <w:szCs w:val="20"/>
          <w:color w:val="auto"/>
        </w:rPr>
      </w:pPr>
      <w:r>
        <w:rPr>
          <w:rFonts w:ascii="Arial" w:cs="Arial" w:eastAsia="Arial" w:hAnsi="Arial"/>
          <w:sz w:val="18"/>
          <w:szCs w:val="18"/>
          <w:color w:val="auto"/>
        </w:rPr>
        <w:t>In the short-term, we expect our Gross Margins to be negatively impacted by the Lake Region Medical acquisition, which historically has had lower gross margins than legacy Greatbatch, as well as continued pricing pressure from our OEM customers. However, over the long-term, we expect to see our Gross Margin improve as we rationalize the manufacturing footprint across both the legacy Greatbatch and legacy Lake Region Medical facilities - See “Cost Savings and Consolidation Efforts” section of this Item.</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SG&amp;A Expenses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Changes to SG&amp;A expenses were primarily due to the following (in thousands):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680" w:type="dxa"/>
            <w:vAlign w:val="bottom"/>
          </w:tcPr>
          <w:p>
            <w:pPr>
              <w:spacing w:after="0"/>
              <w:rPr>
                <w:sz w:val="14"/>
                <w:szCs w:val="14"/>
                <w:color w:val="auto"/>
              </w:rPr>
            </w:pPr>
          </w:p>
        </w:tc>
        <w:tc>
          <w:tcPr>
            <w:tcW w:w="1520" w:type="dxa"/>
            <w:vAlign w:val="bottom"/>
            <w:gridSpan w:val="2"/>
          </w:tcPr>
          <w:p>
            <w:pPr>
              <w:jc w:val="right"/>
              <w:ind w:right="373"/>
              <w:spacing w:after="0"/>
              <w:rPr>
                <w:sz w:val="20"/>
                <w:szCs w:val="20"/>
                <w:color w:val="auto"/>
              </w:rPr>
            </w:pPr>
            <w:r>
              <w:rPr>
                <w:rFonts w:ascii="Arial" w:cs="Arial" w:eastAsia="Arial" w:hAnsi="Arial"/>
                <w:sz w:val="14"/>
                <w:szCs w:val="14"/>
                <w:b w:val="1"/>
                <w:bCs w:val="1"/>
                <w:color w:val="auto"/>
              </w:rPr>
              <w:t>2015-2014</w:t>
            </w:r>
          </w:p>
        </w:tc>
      </w:tr>
      <w:tr>
        <w:trPr>
          <w:trHeight w:val="192"/>
        </w:trPr>
        <w:tc>
          <w:tcPr>
            <w:tcW w:w="6680" w:type="dxa"/>
            <w:vAlign w:val="bottom"/>
            <w:tcBorders>
              <w:bottom w:val="single" w:sz="8" w:color="CCEEFF"/>
            </w:tcBorders>
          </w:tcPr>
          <w:p>
            <w:pPr>
              <w:spacing w:after="0"/>
              <w:rPr>
                <w:sz w:val="16"/>
                <w:szCs w:val="16"/>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960" w:type="dxa"/>
            <w:vAlign w:val="bottom"/>
            <w:tcBorders>
              <w:bottom w:val="single" w:sz="8" w:color="auto"/>
            </w:tcBorders>
          </w:tcPr>
          <w:p>
            <w:pPr>
              <w:jc w:val="right"/>
              <w:ind w:right="393"/>
              <w:spacing w:after="0"/>
              <w:rPr>
                <w:sz w:val="20"/>
                <w:szCs w:val="20"/>
                <w:color w:val="auto"/>
              </w:rPr>
            </w:pPr>
            <w:r>
              <w:rPr>
                <w:rFonts w:ascii="Arial" w:cs="Arial" w:eastAsia="Arial" w:hAnsi="Arial"/>
                <w:sz w:val="14"/>
                <w:szCs w:val="14"/>
                <w:b w:val="1"/>
                <w:bCs w:val="1"/>
                <w:color w:val="auto"/>
                <w:w w:val="89"/>
              </w:rPr>
              <w:t>Change</w:t>
            </w:r>
          </w:p>
        </w:tc>
      </w:tr>
      <w:tr>
        <w:trPr>
          <w:trHeight w:val="270"/>
        </w:trPr>
        <w:tc>
          <w:tcPr>
            <w:tcW w:w="6680" w:type="dxa"/>
            <w:vAlign w:val="bottom"/>
            <w:shd w:val="clear" w:color="auto" w:fill="CCEEFF"/>
          </w:tcPr>
          <w:p>
            <w:pPr>
              <w:ind w:left="40"/>
              <w:spacing w:after="0" w:line="270" w:lineRule="exact"/>
              <w:rPr>
                <w:sz w:val="20"/>
                <w:szCs w:val="20"/>
                <w:color w:val="auto"/>
              </w:rPr>
            </w:pPr>
            <w:r>
              <w:rPr>
                <w:rFonts w:ascii="Arial" w:cs="Arial" w:eastAsia="Arial" w:hAnsi="Arial"/>
                <w:sz w:val="18"/>
                <w:szCs w:val="18"/>
                <w:color w:val="auto"/>
              </w:rPr>
              <w:t>Performance-based compensation</w:t>
            </w:r>
            <w:r>
              <w:rPr>
                <w:rFonts w:ascii="Arial" w:cs="Arial" w:eastAsia="Arial" w:hAnsi="Arial"/>
                <w:sz w:val="25"/>
                <w:szCs w:val="25"/>
                <w:color w:val="auto"/>
                <w:vertAlign w:val="superscript"/>
              </w:rPr>
              <w:t>(a)</w:t>
            </w:r>
          </w:p>
        </w:tc>
        <w:tc>
          <w:tcPr>
            <w:tcW w:w="560" w:type="dxa"/>
            <w:vAlign w:val="bottom"/>
            <w:shd w:val="clear" w:color="auto" w:fill="CCEEFF"/>
          </w:tcPr>
          <w:p>
            <w:pPr>
              <w:jc w:val="right"/>
              <w:ind w:right="359"/>
              <w:spacing w:after="0"/>
              <w:rPr>
                <w:sz w:val="20"/>
                <w:szCs w:val="20"/>
                <w:color w:val="auto"/>
              </w:rPr>
            </w:pPr>
            <w:r>
              <w:rPr>
                <w:rFonts w:ascii="Arial" w:cs="Arial" w:eastAsia="Arial" w:hAnsi="Arial"/>
                <w:sz w:val="18"/>
                <w:szCs w:val="18"/>
                <w:color w:val="auto"/>
                <w:w w:val="9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(4,051)</w:t>
            </w:r>
          </w:p>
        </w:tc>
      </w:tr>
      <w:tr>
        <w:trPr>
          <w:trHeight w:val="270"/>
        </w:trPr>
        <w:tc>
          <w:tcPr>
            <w:tcW w:w="6680" w:type="dxa"/>
            <w:vAlign w:val="bottom"/>
          </w:tcPr>
          <w:p>
            <w:pPr>
              <w:ind w:left="40"/>
              <w:spacing w:after="0" w:line="270" w:lineRule="exact"/>
              <w:rPr>
                <w:sz w:val="20"/>
                <w:szCs w:val="20"/>
                <w:color w:val="auto"/>
              </w:rPr>
            </w:pPr>
            <w:r>
              <w:rPr>
                <w:rFonts w:ascii="Arial" w:cs="Arial" w:eastAsia="Arial" w:hAnsi="Arial"/>
                <w:sz w:val="18"/>
                <w:szCs w:val="18"/>
                <w:color w:val="auto"/>
              </w:rPr>
              <w:t>Legal fees</w:t>
            </w:r>
            <w:r>
              <w:rPr>
                <w:rFonts w:ascii="Arial" w:cs="Arial" w:eastAsia="Arial" w:hAnsi="Arial"/>
                <w:sz w:val="25"/>
                <w:szCs w:val="25"/>
                <w:color w:val="auto"/>
                <w:vertAlign w:val="superscript"/>
              </w:rPr>
              <w:t>(b)</w:t>
            </w:r>
          </w:p>
        </w:tc>
        <w:tc>
          <w:tcPr>
            <w:tcW w:w="560" w:type="dxa"/>
            <w:vAlign w:val="bottom"/>
          </w:tcPr>
          <w:p>
            <w:pPr>
              <w:spacing w:after="0"/>
              <w:rPr>
                <w:sz w:val="23"/>
                <w:szCs w:val="23"/>
                <w:color w:val="auto"/>
              </w:rPr>
            </w:pPr>
          </w:p>
        </w:tc>
        <w:tc>
          <w:tcPr>
            <w:tcW w:w="960" w:type="dxa"/>
            <w:vAlign w:val="bottom"/>
          </w:tcPr>
          <w:p>
            <w:pPr>
              <w:jc w:val="right"/>
              <w:ind w:right="13"/>
              <w:spacing w:after="0"/>
              <w:rPr>
                <w:sz w:val="20"/>
                <w:szCs w:val="20"/>
                <w:color w:val="auto"/>
              </w:rPr>
            </w:pPr>
            <w:r>
              <w:rPr>
                <w:rFonts w:ascii="Arial" w:cs="Arial" w:eastAsia="Arial" w:hAnsi="Arial"/>
                <w:sz w:val="18"/>
                <w:szCs w:val="18"/>
                <w:color w:val="auto"/>
              </w:rPr>
              <w:t>1,569</w:t>
            </w:r>
          </w:p>
        </w:tc>
      </w:tr>
      <w:tr>
        <w:trPr>
          <w:trHeight w:val="270"/>
        </w:trPr>
        <w:tc>
          <w:tcPr>
            <w:tcW w:w="6680" w:type="dxa"/>
            <w:vAlign w:val="bottom"/>
            <w:shd w:val="clear" w:color="auto" w:fill="CCEEFF"/>
          </w:tcPr>
          <w:p>
            <w:pPr>
              <w:ind w:left="40"/>
              <w:spacing w:after="0" w:line="270" w:lineRule="exact"/>
              <w:rPr>
                <w:sz w:val="20"/>
                <w:szCs w:val="20"/>
                <w:color w:val="auto"/>
              </w:rPr>
            </w:pPr>
            <w:r>
              <w:rPr>
                <w:rFonts w:ascii="Arial" w:cs="Arial" w:eastAsia="Arial" w:hAnsi="Arial"/>
                <w:sz w:val="18"/>
                <w:szCs w:val="18"/>
                <w:color w:val="auto"/>
              </w:rPr>
              <w:t>Impact of Lake Region Medical acquisition</w:t>
            </w:r>
            <w:r>
              <w:rPr>
                <w:rFonts w:ascii="Arial" w:cs="Arial" w:eastAsia="Arial" w:hAnsi="Arial"/>
                <w:sz w:val="25"/>
                <w:szCs w:val="25"/>
                <w:color w:val="auto"/>
                <w:vertAlign w:val="superscript"/>
              </w:rPr>
              <w:t>(c)</w:t>
            </w:r>
          </w:p>
        </w:tc>
        <w:tc>
          <w:tcPr>
            <w:tcW w:w="560" w:type="dxa"/>
            <w:vAlign w:val="bottom"/>
            <w:shd w:val="clear" w:color="auto" w:fill="CCEEFF"/>
          </w:tcPr>
          <w:p>
            <w:pPr>
              <w:spacing w:after="0"/>
              <w:rPr>
                <w:sz w:val="23"/>
                <w:szCs w:val="23"/>
                <w:color w:val="auto"/>
              </w:rPr>
            </w:pPr>
          </w:p>
        </w:tc>
        <w:tc>
          <w:tcPr>
            <w:tcW w:w="96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14,823</w:t>
            </w:r>
          </w:p>
        </w:tc>
      </w:tr>
      <w:tr>
        <w:trPr>
          <w:trHeight w:val="243"/>
        </w:trPr>
        <w:tc>
          <w:tcPr>
            <w:tcW w:w="6680" w:type="dxa"/>
            <w:vAlign w:val="bottom"/>
          </w:tcPr>
          <w:p>
            <w:pPr>
              <w:ind w:left="40"/>
              <w:spacing w:after="0"/>
              <w:rPr>
                <w:sz w:val="20"/>
                <w:szCs w:val="20"/>
                <w:color w:val="auto"/>
              </w:rPr>
            </w:pPr>
            <w:r>
              <w:rPr>
                <w:rFonts w:ascii="Arial" w:cs="Arial" w:eastAsia="Arial" w:hAnsi="Arial"/>
                <w:sz w:val="18"/>
                <w:szCs w:val="18"/>
                <w:color w:val="auto"/>
              </w:rPr>
              <w:t>Other</w:t>
            </w:r>
          </w:p>
        </w:tc>
        <w:tc>
          <w:tcPr>
            <w:tcW w:w="56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(413)</w:t>
            </w:r>
          </w:p>
        </w:tc>
      </w:tr>
      <w:tr>
        <w:trPr>
          <w:trHeight w:val="27"/>
        </w:trPr>
        <w:tc>
          <w:tcPr>
            <w:tcW w:w="6680" w:type="dxa"/>
            <w:vAlign w:val="bottom"/>
            <w:tcBorders>
              <w:bottom w:val="single" w:sz="8" w:color="CCEEFF"/>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57"/>
        </w:trPr>
        <w:tc>
          <w:tcPr>
            <w:tcW w:w="66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Net increase in SG&amp;A</w:t>
            </w:r>
          </w:p>
        </w:tc>
        <w:tc>
          <w:tcPr>
            <w:tcW w:w="560" w:type="dxa"/>
            <w:vAlign w:val="bottom"/>
            <w:tcBorders>
              <w:bottom w:val="single" w:sz="8" w:color="auto"/>
            </w:tcBorders>
            <w:shd w:val="clear" w:color="auto" w:fill="CCEEFF"/>
          </w:tcPr>
          <w:p>
            <w:pPr>
              <w:jc w:val="right"/>
              <w:ind w:right="359"/>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11,928</w:t>
            </w:r>
          </w:p>
        </w:tc>
      </w:tr>
      <w:tr>
        <w:trPr>
          <w:trHeight w:val="20"/>
        </w:trPr>
        <w:tc>
          <w:tcPr>
            <w:tcW w:w="668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ind w:left="340" w:hanging="332"/>
        <w:spacing w:after="0"/>
        <w:tabs>
          <w:tab w:leader="none" w:pos="340" w:val="left"/>
        </w:tabs>
        <w:numPr>
          <w:ilvl w:val="0"/>
          <w:numId w:val="24"/>
        </w:numPr>
        <w:rPr>
          <w:rFonts w:ascii="Arial" w:cs="Arial" w:eastAsia="Arial" w:hAnsi="Arial"/>
          <w:sz w:val="16"/>
          <w:szCs w:val="16"/>
          <w:color w:val="auto"/>
        </w:rPr>
      </w:pPr>
      <w:r>
        <w:rPr>
          <w:rFonts w:ascii="Arial" w:cs="Arial" w:eastAsia="Arial" w:hAnsi="Arial"/>
          <w:sz w:val="16"/>
          <w:szCs w:val="16"/>
          <w:color w:val="auto"/>
        </w:rPr>
        <w:t>Amount represents the change in performance-based compensation versus the prior year and is recorded based upon the actual results achieved.</w:t>
      </w:r>
    </w:p>
    <w:p>
      <w:pPr>
        <w:spacing w:after="0" w:line="248" w:lineRule="exact"/>
        <w:rPr>
          <w:rFonts w:ascii="Arial" w:cs="Arial" w:eastAsia="Arial" w:hAnsi="Arial"/>
          <w:sz w:val="16"/>
          <w:szCs w:val="16"/>
          <w:color w:val="auto"/>
        </w:rPr>
      </w:pPr>
    </w:p>
    <w:p>
      <w:pPr>
        <w:jc w:val="both"/>
        <w:ind w:left="340" w:right="60" w:hanging="332"/>
        <w:spacing w:after="0" w:line="286" w:lineRule="auto"/>
        <w:tabs>
          <w:tab w:leader="none" w:pos="340" w:val="left"/>
        </w:tabs>
        <w:numPr>
          <w:ilvl w:val="0"/>
          <w:numId w:val="24"/>
        </w:numPr>
        <w:rPr>
          <w:rFonts w:ascii="Arial" w:cs="Arial" w:eastAsia="Arial" w:hAnsi="Arial"/>
          <w:sz w:val="17"/>
          <w:szCs w:val="17"/>
          <w:color w:val="auto"/>
        </w:rPr>
      </w:pPr>
      <w:r>
        <w:rPr>
          <w:rFonts w:ascii="Arial" w:cs="Arial" w:eastAsia="Arial" w:hAnsi="Arial"/>
          <w:sz w:val="17"/>
          <w:szCs w:val="17"/>
          <w:color w:val="auto"/>
        </w:rPr>
        <w:t>Amount represents an increase in legal costs compared to the prior year and includes higher intellectual property (“IP”) related defense costs, as well as other corporate initiatives. In 2013, we filed suit against one of our cardiac/neuromodulation competitors alleging they were infringing on our IP. Costs associated with this litigation accounted for $1.9 million of the increase in SG&amp;A expenses from 2014 to 2015.</w:t>
      </w:r>
    </w:p>
    <w:p>
      <w:pPr>
        <w:spacing w:after="0" w:line="165" w:lineRule="exact"/>
        <w:rPr>
          <w:rFonts w:ascii="Arial" w:cs="Arial" w:eastAsia="Arial" w:hAnsi="Arial"/>
          <w:sz w:val="17"/>
          <w:szCs w:val="17"/>
          <w:color w:val="auto"/>
        </w:rPr>
      </w:pPr>
    </w:p>
    <w:p>
      <w:pPr>
        <w:ind w:left="340" w:right="240" w:hanging="332"/>
        <w:spacing w:after="0" w:line="277" w:lineRule="auto"/>
        <w:tabs>
          <w:tab w:leader="none" w:pos="3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Amount represents the incremental SG&amp;A expenses related to the acquisition of Lake Region Medical in October 2015 and CCC acquired in August 2014.</w:t>
      </w:r>
    </w:p>
    <w:p>
      <w:pPr>
        <w:sectPr>
          <w:pgSz w:w="11900" w:h="16838" w:orient="portrait"/>
          <w:cols w:equalWidth="0" w:num="1">
            <w:col w:w="11300"/>
          </w:cols>
          <w:pgMar w:left="240" w:top="909" w:right="35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jc w:val="center"/>
        <w:ind w:right="-119"/>
        <w:spacing w:after="0"/>
        <w:rPr>
          <w:sz w:val="20"/>
          <w:szCs w:val="20"/>
          <w:color w:val="auto"/>
        </w:rPr>
      </w:pPr>
      <w:r>
        <w:rPr>
          <w:rFonts w:ascii="Arial" w:cs="Arial" w:eastAsia="Arial" w:hAnsi="Arial"/>
          <w:sz w:val="16"/>
          <w:szCs w:val="16"/>
          <w:color w:val="auto"/>
        </w:rPr>
        <w:t>- 50 -</w:t>
      </w:r>
    </w:p>
    <w:p>
      <w:pPr>
        <w:sectPr>
          <w:pgSz w:w="11900" w:h="16838" w:orient="portrait"/>
          <w:cols w:equalWidth="0" w:num="1">
            <w:col w:w="11300"/>
          </w:cols>
          <w:pgMar w:left="240" w:top="909" w:right="359" w:bottom="1440" w:gutter="0" w:footer="0" w:header="0"/>
          <w:type w:val="continuous"/>
        </w:sectPr>
      </w:pPr>
    </w:p>
    <w:bookmarkStart w:id="51" w:name="page52"/>
    <w:bookmarkEnd w:id="51"/>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RD&amp;E Expenses, Net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Net RD&amp;E costs were as follows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70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64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Year Ended</w:t>
            </w:r>
          </w:p>
        </w:tc>
        <w:tc>
          <w:tcPr>
            <w:tcW w:w="10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57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280" w:type="dxa"/>
            <w:vAlign w:val="bottom"/>
            <w:gridSpan w:val="2"/>
          </w:tcPr>
          <w:p>
            <w:pPr>
              <w:ind w:left="120"/>
              <w:spacing w:after="0" w:line="153" w:lineRule="exact"/>
              <w:rPr>
                <w:sz w:val="20"/>
                <w:szCs w:val="20"/>
                <w:color w:val="auto"/>
              </w:rPr>
            </w:pPr>
            <w:r>
              <w:rPr>
                <w:rFonts w:ascii="Arial" w:cs="Arial" w:eastAsia="Arial" w:hAnsi="Arial"/>
                <w:sz w:val="14"/>
                <w:szCs w:val="14"/>
                <w:b w:val="1"/>
                <w:bCs w:val="1"/>
                <w:color w:val="auto"/>
              </w:rPr>
              <w:t>January 1,</w:t>
            </w:r>
          </w:p>
        </w:tc>
        <w:tc>
          <w:tcPr>
            <w:tcW w:w="360" w:type="dxa"/>
            <w:vAlign w:val="bottom"/>
          </w:tcPr>
          <w:p>
            <w:pPr>
              <w:spacing w:after="0"/>
              <w:rPr>
                <w:sz w:val="13"/>
                <w:szCs w:val="13"/>
                <w:color w:val="auto"/>
              </w:rPr>
            </w:pPr>
          </w:p>
        </w:tc>
        <w:tc>
          <w:tcPr>
            <w:tcW w:w="1180" w:type="dxa"/>
            <w:vAlign w:val="bottom"/>
            <w:gridSpan w:val="2"/>
          </w:tcPr>
          <w:p>
            <w:pPr>
              <w:ind w:left="20"/>
              <w:spacing w:after="0" w:line="153" w:lineRule="exact"/>
              <w:rPr>
                <w:sz w:val="20"/>
                <w:szCs w:val="20"/>
                <w:color w:val="auto"/>
              </w:rPr>
            </w:pPr>
            <w:r>
              <w:rPr>
                <w:rFonts w:ascii="Arial" w:cs="Arial" w:eastAsia="Arial" w:hAnsi="Arial"/>
                <w:sz w:val="14"/>
                <w:szCs w:val="14"/>
                <w:b w:val="1"/>
                <w:bCs w:val="1"/>
                <w:color w:val="auto"/>
              </w:rPr>
              <w:t>January 2,</w:t>
            </w:r>
          </w:p>
        </w:tc>
        <w:tc>
          <w:tcPr>
            <w:tcW w:w="300" w:type="dxa"/>
            <w:vAlign w:val="bottom"/>
          </w:tcPr>
          <w:p>
            <w:pPr>
              <w:spacing w:after="0"/>
              <w:rPr>
                <w:sz w:val="13"/>
                <w:szCs w:val="13"/>
                <w:color w:val="auto"/>
              </w:rPr>
            </w:pPr>
          </w:p>
        </w:tc>
        <w:tc>
          <w:tcPr>
            <w:tcW w:w="1140" w:type="dxa"/>
            <w:vAlign w:val="bottom"/>
            <w:vMerge w:val="restart"/>
          </w:tcPr>
          <w:p>
            <w:pPr>
              <w:jc w:val="right"/>
              <w:ind w:right="394"/>
              <w:spacing w:after="0"/>
              <w:rPr>
                <w:sz w:val="20"/>
                <w:szCs w:val="20"/>
                <w:color w:val="auto"/>
              </w:rPr>
            </w:pPr>
            <w:r>
              <w:rPr>
                <w:rFonts w:ascii="Arial" w:cs="Arial" w:eastAsia="Arial" w:hAnsi="Arial"/>
                <w:sz w:val="14"/>
                <w:szCs w:val="14"/>
                <w:b w:val="1"/>
                <w:bCs w:val="1"/>
                <w:color w:val="auto"/>
              </w:rPr>
              <w:t>Change</w:t>
            </w:r>
          </w:p>
        </w:tc>
        <w:tc>
          <w:tcPr>
            <w:tcW w:w="0" w:type="dxa"/>
            <w:vAlign w:val="bottom"/>
          </w:tcPr>
          <w:p>
            <w:pPr>
              <w:spacing w:after="0"/>
              <w:rPr>
                <w:sz w:val="1"/>
                <w:szCs w:val="1"/>
                <w:color w:val="auto"/>
              </w:rPr>
            </w:pPr>
          </w:p>
        </w:tc>
      </w:tr>
      <w:tr>
        <w:trPr>
          <w:trHeight w:val="192"/>
        </w:trPr>
        <w:tc>
          <w:tcPr>
            <w:tcW w:w="570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jc w:val="right"/>
              <w:ind w:right="499"/>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497"/>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5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Research, development and engineering costs</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59,767</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58,974</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793</w:t>
            </w:r>
          </w:p>
        </w:tc>
        <w:tc>
          <w:tcPr>
            <w:tcW w:w="0" w:type="dxa"/>
            <w:vAlign w:val="bottom"/>
          </w:tcPr>
          <w:p>
            <w:pPr>
              <w:spacing w:after="0"/>
              <w:rPr>
                <w:sz w:val="1"/>
                <w:szCs w:val="1"/>
                <w:color w:val="auto"/>
              </w:rPr>
            </w:pPr>
          </w:p>
        </w:tc>
      </w:tr>
      <w:tr>
        <w:trPr>
          <w:trHeight w:val="243"/>
        </w:trPr>
        <w:tc>
          <w:tcPr>
            <w:tcW w:w="5700" w:type="dxa"/>
            <w:vAlign w:val="bottom"/>
          </w:tcPr>
          <w:p>
            <w:pPr>
              <w:ind w:left="40"/>
              <w:spacing w:after="0"/>
              <w:rPr>
                <w:sz w:val="20"/>
                <w:szCs w:val="20"/>
                <w:color w:val="auto"/>
              </w:rPr>
            </w:pPr>
            <w:r>
              <w:rPr>
                <w:rFonts w:ascii="Arial" w:cs="Arial" w:eastAsia="Arial" w:hAnsi="Arial"/>
                <w:sz w:val="18"/>
                <w:szCs w:val="18"/>
                <w:color w:val="auto"/>
              </w:rPr>
              <w:t>Less: cost reimbursements</w:t>
            </w:r>
          </w:p>
        </w:tc>
        <w:tc>
          <w:tcPr>
            <w:tcW w:w="26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(6,772)</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(9,129)</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40" w:type="dxa"/>
            <w:vAlign w:val="bottom"/>
          </w:tcPr>
          <w:p>
            <w:pPr>
              <w:jc w:val="right"/>
              <w:ind w:right="14"/>
              <w:spacing w:after="0"/>
              <w:rPr>
                <w:sz w:val="20"/>
                <w:szCs w:val="20"/>
                <w:color w:val="auto"/>
              </w:rPr>
            </w:pPr>
            <w:r>
              <w:rPr>
                <w:rFonts w:ascii="Arial" w:cs="Arial" w:eastAsia="Arial" w:hAnsi="Arial"/>
                <w:sz w:val="18"/>
                <w:szCs w:val="18"/>
                <w:color w:val="auto"/>
              </w:rPr>
              <w:t>2,357</w:t>
            </w:r>
          </w:p>
        </w:tc>
        <w:tc>
          <w:tcPr>
            <w:tcW w:w="0" w:type="dxa"/>
            <w:vAlign w:val="bottom"/>
          </w:tcPr>
          <w:p>
            <w:pPr>
              <w:spacing w:after="0"/>
              <w:rPr>
                <w:sz w:val="1"/>
                <w:szCs w:val="1"/>
                <w:color w:val="auto"/>
              </w:rPr>
            </w:pPr>
          </w:p>
        </w:tc>
      </w:tr>
      <w:tr>
        <w:trPr>
          <w:trHeight w:val="27"/>
        </w:trPr>
        <w:tc>
          <w:tcPr>
            <w:tcW w:w="57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57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Total RD&amp;E, net</w:t>
            </w: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8"/>
                <w:szCs w:val="18"/>
                <w:color w:val="auto"/>
              </w:rPr>
              <w:t>52,995</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auto"/>
            </w:tcBorders>
            <w:shd w:val="clear" w:color="auto" w:fill="CCEEFF"/>
          </w:tcPr>
          <w:p>
            <w:pPr>
              <w:jc w:val="right"/>
              <w:ind w:right="17"/>
              <w:spacing w:after="0"/>
              <w:rPr>
                <w:sz w:val="20"/>
                <w:szCs w:val="20"/>
                <w:color w:val="auto"/>
              </w:rPr>
            </w:pPr>
            <w:r>
              <w:rPr>
                <w:rFonts w:ascii="Arial" w:cs="Arial" w:eastAsia="Arial" w:hAnsi="Arial"/>
                <w:sz w:val="18"/>
                <w:szCs w:val="18"/>
                <w:color w:val="auto"/>
              </w:rPr>
              <w:t>49,845</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3,150</w:t>
            </w:r>
          </w:p>
        </w:tc>
        <w:tc>
          <w:tcPr>
            <w:tcW w:w="0" w:type="dxa"/>
            <w:vAlign w:val="bottom"/>
          </w:tcPr>
          <w:p>
            <w:pPr>
              <w:spacing w:after="0"/>
              <w:rPr>
                <w:sz w:val="1"/>
                <w:szCs w:val="1"/>
                <w:color w:val="auto"/>
              </w:rPr>
            </w:pPr>
          </w:p>
        </w:tc>
      </w:tr>
      <w:tr>
        <w:trPr>
          <w:trHeight w:val="20"/>
        </w:trPr>
        <w:tc>
          <w:tcPr>
            <w:tcW w:w="57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right="180"/>
        <w:spacing w:after="0" w:line="257" w:lineRule="auto"/>
        <w:rPr>
          <w:sz w:val="20"/>
          <w:szCs w:val="20"/>
          <w:color w:val="auto"/>
        </w:rPr>
      </w:pPr>
      <w:r>
        <w:rPr>
          <w:rFonts w:ascii="Arial" w:cs="Arial" w:eastAsia="Arial" w:hAnsi="Arial"/>
          <w:sz w:val="18"/>
          <w:szCs w:val="18"/>
          <w:color w:val="auto"/>
        </w:rPr>
        <w:t>Net RD&amp;E for 2015 increased $3.2 million to $53.0 million. Excluding the impact of the Lake Region Medical acquisition, which added $1.8 million to RD&amp;E expenses in 2015, the increase in RD&amp;E was primarily attributable to lower customer cost reimbursements. The $2.4 million decrease in customer cost reimbursements relates to the expiration of certain government grants acquired in our NeuroNexus acquisition, which we were not eligible to renew, as well as the timing of achievement of customer milestones. This increase was partially offset by lower performance-based compensation of $2.5 million, which was recorded based upon actual results achieved.</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Operating Expenses, Net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OOE was comprised of the following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70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64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Year Ended</w:t>
            </w:r>
          </w:p>
        </w:tc>
        <w:tc>
          <w:tcPr>
            <w:tcW w:w="10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57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280" w:type="dxa"/>
            <w:vAlign w:val="bottom"/>
            <w:gridSpan w:val="2"/>
          </w:tcPr>
          <w:p>
            <w:pPr>
              <w:ind w:left="120"/>
              <w:spacing w:after="0" w:line="153" w:lineRule="exact"/>
              <w:rPr>
                <w:sz w:val="20"/>
                <w:szCs w:val="20"/>
                <w:color w:val="auto"/>
              </w:rPr>
            </w:pPr>
            <w:r>
              <w:rPr>
                <w:rFonts w:ascii="Arial" w:cs="Arial" w:eastAsia="Arial" w:hAnsi="Arial"/>
                <w:sz w:val="14"/>
                <w:szCs w:val="14"/>
                <w:b w:val="1"/>
                <w:bCs w:val="1"/>
                <w:color w:val="auto"/>
              </w:rPr>
              <w:t>January 1,</w:t>
            </w:r>
          </w:p>
        </w:tc>
        <w:tc>
          <w:tcPr>
            <w:tcW w:w="360" w:type="dxa"/>
            <w:vAlign w:val="bottom"/>
          </w:tcPr>
          <w:p>
            <w:pPr>
              <w:spacing w:after="0"/>
              <w:rPr>
                <w:sz w:val="13"/>
                <w:szCs w:val="13"/>
                <w:color w:val="auto"/>
              </w:rPr>
            </w:pPr>
          </w:p>
        </w:tc>
        <w:tc>
          <w:tcPr>
            <w:tcW w:w="1180" w:type="dxa"/>
            <w:vAlign w:val="bottom"/>
            <w:gridSpan w:val="2"/>
          </w:tcPr>
          <w:p>
            <w:pPr>
              <w:ind w:left="20"/>
              <w:spacing w:after="0" w:line="153" w:lineRule="exact"/>
              <w:rPr>
                <w:sz w:val="20"/>
                <w:szCs w:val="20"/>
                <w:color w:val="auto"/>
              </w:rPr>
            </w:pPr>
            <w:r>
              <w:rPr>
                <w:rFonts w:ascii="Arial" w:cs="Arial" w:eastAsia="Arial" w:hAnsi="Arial"/>
                <w:sz w:val="14"/>
                <w:szCs w:val="14"/>
                <w:b w:val="1"/>
                <w:bCs w:val="1"/>
                <w:color w:val="auto"/>
              </w:rPr>
              <w:t>January 2,</w:t>
            </w:r>
          </w:p>
        </w:tc>
        <w:tc>
          <w:tcPr>
            <w:tcW w:w="300" w:type="dxa"/>
            <w:vAlign w:val="bottom"/>
          </w:tcPr>
          <w:p>
            <w:pPr>
              <w:spacing w:after="0"/>
              <w:rPr>
                <w:sz w:val="13"/>
                <w:szCs w:val="13"/>
                <w:color w:val="auto"/>
              </w:rPr>
            </w:pPr>
          </w:p>
        </w:tc>
        <w:tc>
          <w:tcPr>
            <w:tcW w:w="1140" w:type="dxa"/>
            <w:vAlign w:val="bottom"/>
            <w:vMerge w:val="restart"/>
          </w:tcPr>
          <w:p>
            <w:pPr>
              <w:jc w:val="right"/>
              <w:ind w:right="392"/>
              <w:spacing w:after="0"/>
              <w:rPr>
                <w:sz w:val="20"/>
                <w:szCs w:val="20"/>
                <w:color w:val="auto"/>
              </w:rPr>
            </w:pPr>
            <w:r>
              <w:rPr>
                <w:rFonts w:ascii="Arial" w:cs="Arial" w:eastAsia="Arial" w:hAnsi="Arial"/>
                <w:sz w:val="14"/>
                <w:szCs w:val="14"/>
                <w:b w:val="1"/>
                <w:bCs w:val="1"/>
                <w:color w:val="auto"/>
              </w:rPr>
              <w:t>Change</w:t>
            </w:r>
          </w:p>
        </w:tc>
        <w:tc>
          <w:tcPr>
            <w:tcW w:w="0" w:type="dxa"/>
            <w:vAlign w:val="bottom"/>
          </w:tcPr>
          <w:p>
            <w:pPr>
              <w:spacing w:after="0"/>
              <w:rPr>
                <w:sz w:val="1"/>
                <w:szCs w:val="1"/>
                <w:color w:val="auto"/>
              </w:rPr>
            </w:pPr>
          </w:p>
        </w:tc>
      </w:tr>
      <w:tr>
        <w:trPr>
          <w:trHeight w:val="192"/>
        </w:trPr>
        <w:tc>
          <w:tcPr>
            <w:tcW w:w="570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jc w:val="right"/>
              <w:ind w:right="495"/>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494"/>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70"/>
        </w:trPr>
        <w:tc>
          <w:tcPr>
            <w:tcW w:w="5700" w:type="dxa"/>
            <w:vAlign w:val="bottom"/>
            <w:shd w:val="clear" w:color="auto" w:fill="CCEEFF"/>
          </w:tcPr>
          <w:p>
            <w:pPr>
              <w:ind w:left="40"/>
              <w:spacing w:after="0" w:line="270" w:lineRule="exact"/>
              <w:rPr>
                <w:sz w:val="20"/>
                <w:szCs w:val="20"/>
                <w:color w:val="auto"/>
              </w:rPr>
            </w:pPr>
            <w:r>
              <w:rPr>
                <w:rFonts w:ascii="Arial" w:cs="Arial" w:eastAsia="Arial" w:hAnsi="Arial"/>
                <w:sz w:val="18"/>
                <w:szCs w:val="18"/>
                <w:color w:val="auto"/>
              </w:rPr>
              <w:t>2014 investments in capacity and capabilities</w:t>
            </w:r>
            <w:r>
              <w:rPr>
                <w:rFonts w:ascii="Arial" w:cs="Arial" w:eastAsia="Arial" w:hAnsi="Arial"/>
                <w:sz w:val="25"/>
                <w:szCs w:val="25"/>
                <w:color w:val="auto"/>
                <w:vertAlign w:val="superscript"/>
              </w:rPr>
              <w:t>(a)</w:t>
            </w:r>
          </w:p>
        </w:tc>
        <w:tc>
          <w:tcPr>
            <w:tcW w:w="26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18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23,037</w:t>
            </w:r>
          </w:p>
        </w:tc>
        <w:tc>
          <w:tcPr>
            <w:tcW w:w="100" w:type="dxa"/>
            <w:vAlign w:val="bottom"/>
            <w:shd w:val="clear" w:color="auto" w:fill="CCEEFF"/>
          </w:tcPr>
          <w:p>
            <w:pPr>
              <w:spacing w:after="0"/>
              <w:rPr>
                <w:sz w:val="23"/>
                <w:szCs w:val="23"/>
                <w:color w:val="auto"/>
              </w:rPr>
            </w:pPr>
          </w:p>
        </w:tc>
        <w:tc>
          <w:tcPr>
            <w:tcW w:w="36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08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8,925</w:t>
            </w:r>
          </w:p>
        </w:tc>
        <w:tc>
          <w:tcPr>
            <w:tcW w:w="100" w:type="dxa"/>
            <w:vAlign w:val="bottom"/>
            <w:shd w:val="clear" w:color="auto" w:fill="CCEEFF"/>
          </w:tcPr>
          <w:p>
            <w:pPr>
              <w:spacing w:after="0"/>
              <w:rPr>
                <w:sz w:val="23"/>
                <w:szCs w:val="23"/>
                <w:color w:val="auto"/>
              </w:rPr>
            </w:pPr>
          </w:p>
        </w:tc>
        <w:tc>
          <w:tcPr>
            <w:tcW w:w="30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4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14,112</w:t>
            </w:r>
          </w:p>
        </w:tc>
        <w:tc>
          <w:tcPr>
            <w:tcW w:w="0" w:type="dxa"/>
            <w:vAlign w:val="bottom"/>
          </w:tcPr>
          <w:p>
            <w:pPr>
              <w:spacing w:after="0"/>
              <w:rPr>
                <w:sz w:val="1"/>
                <w:szCs w:val="1"/>
                <w:color w:val="auto"/>
              </w:rPr>
            </w:pPr>
          </w:p>
        </w:tc>
      </w:tr>
      <w:tr>
        <w:trPr>
          <w:trHeight w:val="270"/>
        </w:trPr>
        <w:tc>
          <w:tcPr>
            <w:tcW w:w="5700" w:type="dxa"/>
            <w:vAlign w:val="bottom"/>
          </w:tcPr>
          <w:p>
            <w:pPr>
              <w:ind w:left="40"/>
              <w:spacing w:after="0" w:line="270" w:lineRule="exact"/>
              <w:rPr>
                <w:sz w:val="20"/>
                <w:szCs w:val="20"/>
                <w:color w:val="auto"/>
              </w:rPr>
            </w:pPr>
            <w:r>
              <w:rPr>
                <w:rFonts w:ascii="Arial" w:cs="Arial" w:eastAsia="Arial" w:hAnsi="Arial"/>
                <w:sz w:val="18"/>
                <w:szCs w:val="18"/>
                <w:color w:val="auto"/>
              </w:rPr>
              <w:t>Orthopaedic facility optimization</w:t>
            </w:r>
            <w:r>
              <w:rPr>
                <w:rFonts w:ascii="Arial" w:cs="Arial" w:eastAsia="Arial" w:hAnsi="Arial"/>
                <w:sz w:val="25"/>
                <w:szCs w:val="25"/>
                <w:color w:val="auto"/>
                <w:vertAlign w:val="superscript"/>
              </w:rPr>
              <w:t>(a)</w:t>
            </w:r>
          </w:p>
        </w:tc>
        <w:tc>
          <w:tcPr>
            <w:tcW w:w="260" w:type="dxa"/>
            <w:vAlign w:val="bottom"/>
          </w:tcPr>
          <w:p>
            <w:pPr>
              <w:spacing w:after="0"/>
              <w:rPr>
                <w:sz w:val="23"/>
                <w:szCs w:val="23"/>
                <w:color w:val="auto"/>
              </w:rPr>
            </w:pPr>
          </w:p>
        </w:tc>
        <w:tc>
          <w:tcPr>
            <w:tcW w:w="1180" w:type="dxa"/>
            <w:vAlign w:val="bottom"/>
          </w:tcPr>
          <w:p>
            <w:pPr>
              <w:jc w:val="right"/>
              <w:ind w:right="15"/>
              <w:spacing w:after="0"/>
              <w:rPr>
                <w:sz w:val="20"/>
                <w:szCs w:val="20"/>
                <w:color w:val="auto"/>
              </w:rPr>
            </w:pPr>
            <w:r>
              <w:rPr>
                <w:rFonts w:ascii="Arial" w:cs="Arial" w:eastAsia="Arial" w:hAnsi="Arial"/>
                <w:sz w:val="18"/>
                <w:szCs w:val="18"/>
                <w:color w:val="auto"/>
              </w:rPr>
              <w:t>1,395</w:t>
            </w:r>
          </w:p>
        </w:tc>
        <w:tc>
          <w:tcPr>
            <w:tcW w:w="1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080" w:type="dxa"/>
            <w:vAlign w:val="bottom"/>
          </w:tcPr>
          <w:p>
            <w:pPr>
              <w:jc w:val="right"/>
              <w:ind w:right="14"/>
              <w:spacing w:after="0"/>
              <w:rPr>
                <w:sz w:val="20"/>
                <w:szCs w:val="20"/>
                <w:color w:val="auto"/>
              </w:rPr>
            </w:pPr>
            <w:r>
              <w:rPr>
                <w:rFonts w:ascii="Arial" w:cs="Arial" w:eastAsia="Arial" w:hAnsi="Arial"/>
                <w:sz w:val="18"/>
                <w:szCs w:val="18"/>
                <w:color w:val="auto"/>
              </w:rPr>
              <w:t>1,317</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140" w:type="dxa"/>
            <w:vAlign w:val="bottom"/>
          </w:tcPr>
          <w:p>
            <w:pPr>
              <w:jc w:val="right"/>
              <w:ind w:right="12"/>
              <w:spacing w:after="0"/>
              <w:rPr>
                <w:sz w:val="20"/>
                <w:szCs w:val="20"/>
                <w:color w:val="auto"/>
              </w:rPr>
            </w:pPr>
            <w:r>
              <w:rPr>
                <w:rFonts w:ascii="Arial" w:cs="Arial" w:eastAsia="Arial" w:hAnsi="Arial"/>
                <w:sz w:val="18"/>
                <w:szCs w:val="18"/>
                <w:color w:val="auto"/>
              </w:rPr>
              <w:t>78</w:t>
            </w:r>
          </w:p>
        </w:tc>
        <w:tc>
          <w:tcPr>
            <w:tcW w:w="0" w:type="dxa"/>
            <w:vAlign w:val="bottom"/>
          </w:tcPr>
          <w:p>
            <w:pPr>
              <w:spacing w:after="0"/>
              <w:rPr>
                <w:sz w:val="1"/>
                <w:szCs w:val="1"/>
                <w:color w:val="auto"/>
              </w:rPr>
            </w:pPr>
          </w:p>
        </w:tc>
      </w:tr>
      <w:tr>
        <w:trPr>
          <w:trHeight w:val="270"/>
        </w:trPr>
        <w:tc>
          <w:tcPr>
            <w:tcW w:w="5700" w:type="dxa"/>
            <w:vAlign w:val="bottom"/>
            <w:shd w:val="clear" w:color="auto" w:fill="CCEEFF"/>
          </w:tcPr>
          <w:p>
            <w:pPr>
              <w:ind w:left="40"/>
              <w:spacing w:after="0" w:line="270" w:lineRule="exact"/>
              <w:rPr>
                <w:sz w:val="20"/>
                <w:szCs w:val="20"/>
                <w:color w:val="auto"/>
              </w:rPr>
            </w:pPr>
            <w:r>
              <w:rPr>
                <w:rFonts w:ascii="Arial" w:cs="Arial" w:eastAsia="Arial" w:hAnsi="Arial"/>
                <w:sz w:val="18"/>
                <w:szCs w:val="18"/>
                <w:color w:val="auto"/>
              </w:rPr>
              <w:t>2013 operating unit realignment</w:t>
            </w:r>
            <w:r>
              <w:rPr>
                <w:rFonts w:ascii="Arial" w:cs="Arial" w:eastAsia="Arial" w:hAnsi="Arial"/>
                <w:sz w:val="25"/>
                <w:szCs w:val="25"/>
                <w:color w:val="auto"/>
                <w:vertAlign w:val="superscript"/>
              </w:rPr>
              <w:t>(a)</w:t>
            </w:r>
          </w:p>
        </w:tc>
        <w:tc>
          <w:tcPr>
            <w:tcW w:w="260" w:type="dxa"/>
            <w:vAlign w:val="bottom"/>
            <w:shd w:val="clear" w:color="auto" w:fill="CCEEFF"/>
          </w:tcPr>
          <w:p>
            <w:pPr>
              <w:spacing w:after="0"/>
              <w:rPr>
                <w:sz w:val="23"/>
                <w:szCs w:val="23"/>
                <w:color w:val="auto"/>
              </w:rPr>
            </w:pPr>
          </w:p>
        </w:tc>
        <w:tc>
          <w:tcPr>
            <w:tcW w:w="12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shd w:val="clear" w:color="auto" w:fill="CCEEFF"/>
          </w:tcPr>
          <w:p>
            <w:pPr>
              <w:spacing w:after="0"/>
              <w:rPr>
                <w:sz w:val="23"/>
                <w:szCs w:val="23"/>
                <w:color w:val="auto"/>
              </w:rPr>
            </w:pPr>
          </w:p>
        </w:tc>
        <w:tc>
          <w:tcPr>
            <w:tcW w:w="108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1,017</w:t>
            </w:r>
          </w:p>
        </w:tc>
        <w:tc>
          <w:tcPr>
            <w:tcW w:w="100" w:type="dxa"/>
            <w:vAlign w:val="bottom"/>
            <w:shd w:val="clear" w:color="auto" w:fill="CCEEFF"/>
          </w:tcPr>
          <w:p>
            <w:pPr>
              <w:spacing w:after="0"/>
              <w:rPr>
                <w:sz w:val="23"/>
                <w:szCs w:val="23"/>
                <w:color w:val="auto"/>
              </w:rPr>
            </w:pPr>
          </w:p>
        </w:tc>
        <w:tc>
          <w:tcPr>
            <w:tcW w:w="300" w:type="dxa"/>
            <w:vAlign w:val="bottom"/>
            <w:shd w:val="clear" w:color="auto" w:fill="CCEEFF"/>
          </w:tcPr>
          <w:p>
            <w:pPr>
              <w:spacing w:after="0"/>
              <w:rPr>
                <w:sz w:val="23"/>
                <w:szCs w:val="23"/>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(1,017)</w:t>
            </w:r>
          </w:p>
        </w:tc>
        <w:tc>
          <w:tcPr>
            <w:tcW w:w="0" w:type="dxa"/>
            <w:vAlign w:val="bottom"/>
          </w:tcPr>
          <w:p>
            <w:pPr>
              <w:spacing w:after="0"/>
              <w:rPr>
                <w:sz w:val="1"/>
                <w:szCs w:val="1"/>
                <w:color w:val="auto"/>
              </w:rPr>
            </w:pPr>
          </w:p>
        </w:tc>
      </w:tr>
      <w:tr>
        <w:trPr>
          <w:trHeight w:val="270"/>
        </w:trPr>
        <w:tc>
          <w:tcPr>
            <w:tcW w:w="5700" w:type="dxa"/>
            <w:vAlign w:val="bottom"/>
          </w:tcPr>
          <w:p>
            <w:pPr>
              <w:ind w:left="40"/>
              <w:spacing w:after="0" w:line="270" w:lineRule="exact"/>
              <w:rPr>
                <w:sz w:val="20"/>
                <w:szCs w:val="20"/>
                <w:color w:val="auto"/>
              </w:rPr>
            </w:pPr>
            <w:r>
              <w:rPr>
                <w:rFonts w:ascii="Arial" w:cs="Arial" w:eastAsia="Arial" w:hAnsi="Arial"/>
                <w:sz w:val="18"/>
                <w:szCs w:val="18"/>
                <w:color w:val="auto"/>
              </w:rPr>
              <w:t>Legacy Lake Region consolidations</w:t>
            </w:r>
            <w:r>
              <w:rPr>
                <w:rFonts w:ascii="Arial" w:cs="Arial" w:eastAsia="Arial" w:hAnsi="Arial"/>
                <w:sz w:val="25"/>
                <w:szCs w:val="25"/>
                <w:color w:val="auto"/>
                <w:vertAlign w:val="superscript"/>
              </w:rPr>
              <w:t>(a)</w:t>
            </w:r>
          </w:p>
        </w:tc>
        <w:tc>
          <w:tcPr>
            <w:tcW w:w="260" w:type="dxa"/>
            <w:vAlign w:val="bottom"/>
          </w:tcPr>
          <w:p>
            <w:pPr>
              <w:spacing w:after="0"/>
              <w:rPr>
                <w:sz w:val="23"/>
                <w:szCs w:val="23"/>
                <w:color w:val="auto"/>
              </w:rPr>
            </w:pPr>
          </w:p>
        </w:tc>
        <w:tc>
          <w:tcPr>
            <w:tcW w:w="1180" w:type="dxa"/>
            <w:vAlign w:val="bottom"/>
          </w:tcPr>
          <w:p>
            <w:pPr>
              <w:jc w:val="right"/>
              <w:ind w:right="15"/>
              <w:spacing w:after="0"/>
              <w:rPr>
                <w:sz w:val="20"/>
                <w:szCs w:val="20"/>
                <w:color w:val="auto"/>
              </w:rPr>
            </w:pPr>
            <w:r>
              <w:rPr>
                <w:rFonts w:ascii="Arial" w:cs="Arial" w:eastAsia="Arial" w:hAnsi="Arial"/>
                <w:sz w:val="18"/>
                <w:szCs w:val="18"/>
                <w:color w:val="auto"/>
              </w:rPr>
              <w:t>1,961</w:t>
            </w:r>
          </w:p>
        </w:tc>
        <w:tc>
          <w:tcPr>
            <w:tcW w:w="1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1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3"/>
                <w:szCs w:val="23"/>
                <w:color w:val="auto"/>
              </w:rPr>
            </w:pPr>
          </w:p>
        </w:tc>
        <w:tc>
          <w:tcPr>
            <w:tcW w:w="1140" w:type="dxa"/>
            <w:vAlign w:val="bottom"/>
          </w:tcPr>
          <w:p>
            <w:pPr>
              <w:jc w:val="right"/>
              <w:ind w:right="12"/>
              <w:spacing w:after="0"/>
              <w:rPr>
                <w:sz w:val="20"/>
                <w:szCs w:val="20"/>
                <w:color w:val="auto"/>
              </w:rPr>
            </w:pPr>
            <w:r>
              <w:rPr>
                <w:rFonts w:ascii="Arial" w:cs="Arial" w:eastAsia="Arial" w:hAnsi="Arial"/>
                <w:sz w:val="18"/>
                <w:szCs w:val="18"/>
                <w:color w:val="auto"/>
              </w:rPr>
              <w:t>1,961</w:t>
            </w:r>
          </w:p>
        </w:tc>
        <w:tc>
          <w:tcPr>
            <w:tcW w:w="0" w:type="dxa"/>
            <w:vAlign w:val="bottom"/>
          </w:tcPr>
          <w:p>
            <w:pPr>
              <w:spacing w:after="0"/>
              <w:rPr>
                <w:sz w:val="1"/>
                <w:szCs w:val="1"/>
                <w:color w:val="auto"/>
              </w:rPr>
            </w:pPr>
          </w:p>
        </w:tc>
      </w:tr>
      <w:tr>
        <w:trPr>
          <w:trHeight w:val="270"/>
        </w:trPr>
        <w:tc>
          <w:tcPr>
            <w:tcW w:w="5700" w:type="dxa"/>
            <w:vAlign w:val="bottom"/>
            <w:shd w:val="clear" w:color="auto" w:fill="CCEEFF"/>
          </w:tcPr>
          <w:p>
            <w:pPr>
              <w:ind w:left="40"/>
              <w:spacing w:after="0" w:line="270" w:lineRule="exact"/>
              <w:rPr>
                <w:sz w:val="20"/>
                <w:szCs w:val="20"/>
                <w:color w:val="auto"/>
              </w:rPr>
            </w:pPr>
            <w:r>
              <w:rPr>
                <w:rFonts w:ascii="Arial" w:cs="Arial" w:eastAsia="Arial" w:hAnsi="Arial"/>
                <w:sz w:val="18"/>
                <w:szCs w:val="18"/>
                <w:color w:val="auto"/>
              </w:rPr>
              <w:t>Other consolidation and optimization income</w:t>
            </w:r>
            <w:r>
              <w:rPr>
                <w:rFonts w:ascii="Arial" w:cs="Arial" w:eastAsia="Arial" w:hAnsi="Arial"/>
                <w:sz w:val="25"/>
                <w:szCs w:val="25"/>
                <w:color w:val="auto"/>
                <w:vertAlign w:val="superscript"/>
              </w:rPr>
              <w:t>(a)</w:t>
            </w:r>
          </w:p>
        </w:tc>
        <w:tc>
          <w:tcPr>
            <w:tcW w:w="260" w:type="dxa"/>
            <w:vAlign w:val="bottom"/>
            <w:shd w:val="clear" w:color="auto" w:fill="CCEEFF"/>
          </w:tcPr>
          <w:p>
            <w:pPr>
              <w:spacing w:after="0"/>
              <w:rPr>
                <w:sz w:val="23"/>
                <w:szCs w:val="23"/>
                <w:color w:val="auto"/>
              </w:rPr>
            </w:pPr>
          </w:p>
        </w:tc>
        <w:tc>
          <w:tcPr>
            <w:tcW w:w="12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shd w:val="clear" w:color="auto" w:fill="CCEEFF"/>
          </w:tcPr>
          <w:p>
            <w:pPr>
              <w:spacing w:after="0"/>
              <w:rPr>
                <w:sz w:val="23"/>
                <w:szCs w:val="23"/>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(71)</w:t>
            </w:r>
          </w:p>
        </w:tc>
        <w:tc>
          <w:tcPr>
            <w:tcW w:w="100" w:type="dxa"/>
            <w:vAlign w:val="bottom"/>
            <w:shd w:val="clear" w:color="auto" w:fill="CCEEFF"/>
          </w:tcPr>
          <w:p>
            <w:pPr>
              <w:spacing w:after="0"/>
              <w:rPr>
                <w:sz w:val="23"/>
                <w:szCs w:val="23"/>
                <w:color w:val="auto"/>
              </w:rPr>
            </w:pPr>
          </w:p>
        </w:tc>
        <w:tc>
          <w:tcPr>
            <w:tcW w:w="300" w:type="dxa"/>
            <w:vAlign w:val="bottom"/>
            <w:shd w:val="clear" w:color="auto" w:fill="CCEEFF"/>
          </w:tcPr>
          <w:p>
            <w:pPr>
              <w:spacing w:after="0"/>
              <w:rPr>
                <w:sz w:val="23"/>
                <w:szCs w:val="23"/>
                <w:color w:val="auto"/>
              </w:rPr>
            </w:pPr>
          </w:p>
        </w:tc>
        <w:tc>
          <w:tcPr>
            <w:tcW w:w="114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71</w:t>
            </w:r>
          </w:p>
        </w:tc>
        <w:tc>
          <w:tcPr>
            <w:tcW w:w="0" w:type="dxa"/>
            <w:vAlign w:val="bottom"/>
          </w:tcPr>
          <w:p>
            <w:pPr>
              <w:spacing w:after="0"/>
              <w:rPr>
                <w:sz w:val="1"/>
                <w:szCs w:val="1"/>
                <w:color w:val="auto"/>
              </w:rPr>
            </w:pPr>
          </w:p>
        </w:tc>
      </w:tr>
      <w:tr>
        <w:trPr>
          <w:trHeight w:val="270"/>
        </w:trPr>
        <w:tc>
          <w:tcPr>
            <w:tcW w:w="5700" w:type="dxa"/>
            <w:vAlign w:val="bottom"/>
          </w:tcPr>
          <w:p>
            <w:pPr>
              <w:ind w:left="40"/>
              <w:spacing w:after="0" w:line="270" w:lineRule="exact"/>
              <w:rPr>
                <w:sz w:val="20"/>
                <w:szCs w:val="20"/>
                <w:color w:val="auto"/>
              </w:rPr>
            </w:pPr>
            <w:r>
              <w:rPr>
                <w:rFonts w:ascii="Arial" w:cs="Arial" w:eastAsia="Arial" w:hAnsi="Arial"/>
                <w:sz w:val="18"/>
                <w:szCs w:val="18"/>
                <w:color w:val="auto"/>
              </w:rPr>
              <w:t>Acquisition and integration costs</w:t>
            </w:r>
            <w:r>
              <w:rPr>
                <w:rFonts w:ascii="Arial" w:cs="Arial" w:eastAsia="Arial" w:hAnsi="Arial"/>
                <w:sz w:val="25"/>
                <w:szCs w:val="25"/>
                <w:color w:val="auto"/>
                <w:vertAlign w:val="superscript"/>
              </w:rPr>
              <w:t>(b)</w:t>
            </w:r>
          </w:p>
        </w:tc>
        <w:tc>
          <w:tcPr>
            <w:tcW w:w="260" w:type="dxa"/>
            <w:vAlign w:val="bottom"/>
          </w:tcPr>
          <w:p>
            <w:pPr>
              <w:spacing w:after="0"/>
              <w:rPr>
                <w:sz w:val="23"/>
                <w:szCs w:val="23"/>
                <w:color w:val="auto"/>
              </w:rPr>
            </w:pPr>
          </w:p>
        </w:tc>
        <w:tc>
          <w:tcPr>
            <w:tcW w:w="1180" w:type="dxa"/>
            <w:vAlign w:val="bottom"/>
          </w:tcPr>
          <w:p>
            <w:pPr>
              <w:jc w:val="right"/>
              <w:ind w:right="15"/>
              <w:spacing w:after="0"/>
              <w:rPr>
                <w:sz w:val="20"/>
                <w:szCs w:val="20"/>
                <w:color w:val="auto"/>
              </w:rPr>
            </w:pPr>
            <w:r>
              <w:rPr>
                <w:rFonts w:ascii="Arial" w:cs="Arial" w:eastAsia="Arial" w:hAnsi="Arial"/>
                <w:sz w:val="18"/>
                <w:szCs w:val="18"/>
                <w:color w:val="auto"/>
              </w:rPr>
              <w:t>33,449</w:t>
            </w:r>
          </w:p>
        </w:tc>
        <w:tc>
          <w:tcPr>
            <w:tcW w:w="1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080" w:type="dxa"/>
            <w:vAlign w:val="bottom"/>
          </w:tcPr>
          <w:p>
            <w:pPr>
              <w:jc w:val="right"/>
              <w:ind w:right="14"/>
              <w:spacing w:after="0"/>
              <w:rPr>
                <w:sz w:val="20"/>
                <w:szCs w:val="20"/>
                <w:color w:val="auto"/>
              </w:rPr>
            </w:pPr>
            <w:r>
              <w:rPr>
                <w:rFonts w:ascii="Arial" w:cs="Arial" w:eastAsia="Arial" w:hAnsi="Arial"/>
                <w:sz w:val="18"/>
                <w:szCs w:val="18"/>
                <w:color w:val="auto"/>
              </w:rPr>
              <w:t>3</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140" w:type="dxa"/>
            <w:vAlign w:val="bottom"/>
          </w:tcPr>
          <w:p>
            <w:pPr>
              <w:jc w:val="right"/>
              <w:ind w:right="12"/>
              <w:spacing w:after="0"/>
              <w:rPr>
                <w:sz w:val="20"/>
                <w:szCs w:val="20"/>
                <w:color w:val="auto"/>
              </w:rPr>
            </w:pPr>
            <w:r>
              <w:rPr>
                <w:rFonts w:ascii="Arial" w:cs="Arial" w:eastAsia="Arial" w:hAnsi="Arial"/>
                <w:sz w:val="18"/>
                <w:szCs w:val="18"/>
                <w:color w:val="auto"/>
              </w:rPr>
              <w:t>33,446</w:t>
            </w:r>
          </w:p>
        </w:tc>
        <w:tc>
          <w:tcPr>
            <w:tcW w:w="0" w:type="dxa"/>
            <w:vAlign w:val="bottom"/>
          </w:tcPr>
          <w:p>
            <w:pPr>
              <w:spacing w:after="0"/>
              <w:rPr>
                <w:sz w:val="1"/>
                <w:szCs w:val="1"/>
                <w:color w:val="auto"/>
              </w:rPr>
            </w:pPr>
          </w:p>
        </w:tc>
      </w:tr>
      <w:tr>
        <w:trPr>
          <w:trHeight w:val="270"/>
        </w:trPr>
        <w:tc>
          <w:tcPr>
            <w:tcW w:w="5700" w:type="dxa"/>
            <w:vAlign w:val="bottom"/>
            <w:shd w:val="clear" w:color="auto" w:fill="CCEEFF"/>
          </w:tcPr>
          <w:p>
            <w:pPr>
              <w:ind w:left="40"/>
              <w:spacing w:after="0" w:line="270" w:lineRule="exact"/>
              <w:rPr>
                <w:sz w:val="20"/>
                <w:szCs w:val="20"/>
                <w:color w:val="auto"/>
              </w:rPr>
            </w:pPr>
            <w:r>
              <w:rPr>
                <w:rFonts w:ascii="Arial" w:cs="Arial" w:eastAsia="Arial" w:hAnsi="Arial"/>
                <w:sz w:val="18"/>
                <w:szCs w:val="18"/>
                <w:color w:val="auto"/>
              </w:rPr>
              <w:t>Asset dispositions, severance and other</w:t>
            </w:r>
            <w:r>
              <w:rPr>
                <w:rFonts w:ascii="Arial" w:cs="Arial" w:eastAsia="Arial" w:hAnsi="Arial"/>
                <w:sz w:val="25"/>
                <w:szCs w:val="25"/>
                <w:color w:val="auto"/>
                <w:vertAlign w:val="superscript"/>
              </w:rPr>
              <w:t>(c)</w:t>
            </w:r>
          </w:p>
        </w:tc>
        <w:tc>
          <w:tcPr>
            <w:tcW w:w="260" w:type="dxa"/>
            <w:vAlign w:val="bottom"/>
            <w:tcBorders>
              <w:bottom w:val="single" w:sz="8" w:color="auto"/>
            </w:tcBorders>
            <w:shd w:val="clear" w:color="auto" w:fill="CCEEFF"/>
          </w:tcPr>
          <w:p>
            <w:pPr>
              <w:spacing w:after="0"/>
              <w:rPr>
                <w:sz w:val="23"/>
                <w:szCs w:val="23"/>
                <w:color w:val="auto"/>
              </w:rPr>
            </w:pPr>
          </w:p>
        </w:tc>
        <w:tc>
          <w:tcPr>
            <w:tcW w:w="118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6,622</w:t>
            </w:r>
          </w:p>
        </w:tc>
        <w:tc>
          <w:tcPr>
            <w:tcW w:w="100" w:type="dxa"/>
            <w:vAlign w:val="bottom"/>
            <w:shd w:val="clear" w:color="auto" w:fill="CCEEFF"/>
          </w:tcPr>
          <w:p>
            <w:pPr>
              <w:spacing w:after="0"/>
              <w:rPr>
                <w:sz w:val="23"/>
                <w:szCs w:val="23"/>
                <w:color w:val="auto"/>
              </w:rPr>
            </w:pPr>
          </w:p>
        </w:tc>
        <w:tc>
          <w:tcPr>
            <w:tcW w:w="360" w:type="dxa"/>
            <w:vAlign w:val="bottom"/>
            <w:tcBorders>
              <w:bottom w:val="single" w:sz="8" w:color="auto"/>
            </w:tcBorders>
            <w:shd w:val="clear" w:color="auto" w:fill="CCEEFF"/>
          </w:tcPr>
          <w:p>
            <w:pPr>
              <w:spacing w:after="0"/>
              <w:rPr>
                <w:sz w:val="23"/>
                <w:szCs w:val="23"/>
                <w:color w:val="auto"/>
              </w:rPr>
            </w:pPr>
          </w:p>
        </w:tc>
        <w:tc>
          <w:tcPr>
            <w:tcW w:w="108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4,106</w:t>
            </w:r>
          </w:p>
        </w:tc>
        <w:tc>
          <w:tcPr>
            <w:tcW w:w="100" w:type="dxa"/>
            <w:vAlign w:val="bottom"/>
            <w:shd w:val="clear" w:color="auto" w:fill="CCEEFF"/>
          </w:tcPr>
          <w:p>
            <w:pPr>
              <w:spacing w:after="0"/>
              <w:rPr>
                <w:sz w:val="23"/>
                <w:szCs w:val="23"/>
                <w:color w:val="auto"/>
              </w:rPr>
            </w:pPr>
          </w:p>
        </w:tc>
        <w:tc>
          <w:tcPr>
            <w:tcW w:w="300" w:type="dxa"/>
            <w:vAlign w:val="bottom"/>
            <w:tcBorders>
              <w:bottom w:val="single" w:sz="8" w:color="auto"/>
            </w:tcBorders>
            <w:shd w:val="clear" w:color="auto" w:fill="CCEEFF"/>
          </w:tcPr>
          <w:p>
            <w:pPr>
              <w:spacing w:after="0"/>
              <w:rPr>
                <w:sz w:val="23"/>
                <w:szCs w:val="23"/>
                <w:color w:val="auto"/>
              </w:rPr>
            </w:pPr>
          </w:p>
        </w:tc>
        <w:tc>
          <w:tcPr>
            <w:tcW w:w="114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2,516</w:t>
            </w:r>
          </w:p>
        </w:tc>
        <w:tc>
          <w:tcPr>
            <w:tcW w:w="0" w:type="dxa"/>
            <w:vAlign w:val="bottom"/>
          </w:tcPr>
          <w:p>
            <w:pPr>
              <w:spacing w:after="0"/>
              <w:rPr>
                <w:sz w:val="1"/>
                <w:szCs w:val="1"/>
                <w:color w:val="auto"/>
              </w:rPr>
            </w:pPr>
          </w:p>
        </w:tc>
      </w:tr>
      <w:tr>
        <w:trPr>
          <w:trHeight w:val="257"/>
        </w:trPr>
        <w:tc>
          <w:tcPr>
            <w:tcW w:w="5700" w:type="dxa"/>
            <w:vAlign w:val="bottom"/>
          </w:tcPr>
          <w:p>
            <w:pPr>
              <w:ind w:left="380"/>
              <w:spacing w:after="0"/>
              <w:rPr>
                <w:sz w:val="20"/>
                <w:szCs w:val="20"/>
                <w:color w:val="auto"/>
              </w:rPr>
            </w:pPr>
            <w:r>
              <w:rPr>
                <w:rFonts w:ascii="Arial" w:cs="Arial" w:eastAsia="Arial" w:hAnsi="Arial"/>
                <w:sz w:val="18"/>
                <w:szCs w:val="18"/>
                <w:color w:val="auto"/>
              </w:rPr>
              <w:t>Total other operating expenses, net</w:t>
            </w:r>
          </w:p>
        </w:tc>
        <w:tc>
          <w:tcPr>
            <w:tcW w:w="26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auto"/>
            </w:tcBorders>
          </w:tcPr>
          <w:p>
            <w:pPr>
              <w:jc w:val="right"/>
              <w:ind w:right="15"/>
              <w:spacing w:after="0"/>
              <w:rPr>
                <w:sz w:val="20"/>
                <w:szCs w:val="20"/>
                <w:color w:val="auto"/>
              </w:rPr>
            </w:pPr>
            <w:r>
              <w:rPr>
                <w:rFonts w:ascii="Arial" w:cs="Arial" w:eastAsia="Arial" w:hAnsi="Arial"/>
                <w:sz w:val="18"/>
                <w:szCs w:val="18"/>
                <w:color w:val="auto"/>
              </w:rPr>
              <w:t>66,464</w:t>
            </w:r>
          </w:p>
        </w:tc>
        <w:tc>
          <w:tcPr>
            <w:tcW w:w="100" w:type="dxa"/>
            <w:vAlign w:val="bottom"/>
          </w:tcPr>
          <w:p>
            <w:pPr>
              <w:spacing w:after="0"/>
              <w:rPr>
                <w:sz w:val="22"/>
                <w:szCs w:val="22"/>
                <w:color w:val="auto"/>
              </w:rPr>
            </w:pPr>
          </w:p>
        </w:tc>
        <w:tc>
          <w:tcPr>
            <w:tcW w:w="36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auto"/>
            </w:tcBorders>
          </w:tcPr>
          <w:p>
            <w:pPr>
              <w:jc w:val="right"/>
              <w:ind w:right="14"/>
              <w:spacing w:after="0"/>
              <w:rPr>
                <w:sz w:val="20"/>
                <w:szCs w:val="20"/>
                <w:color w:val="auto"/>
              </w:rPr>
            </w:pPr>
            <w:r>
              <w:rPr>
                <w:rFonts w:ascii="Arial" w:cs="Arial" w:eastAsia="Arial" w:hAnsi="Arial"/>
                <w:sz w:val="18"/>
                <w:szCs w:val="18"/>
                <w:color w:val="auto"/>
              </w:rPr>
              <w:t>15,297</w:t>
            </w:r>
          </w:p>
        </w:tc>
        <w:tc>
          <w:tcPr>
            <w:tcW w:w="100" w:type="dxa"/>
            <w:vAlign w:val="bottom"/>
          </w:tcPr>
          <w:p>
            <w:pPr>
              <w:spacing w:after="0"/>
              <w:rPr>
                <w:sz w:val="22"/>
                <w:szCs w:val="22"/>
                <w:color w:val="auto"/>
              </w:rPr>
            </w:pPr>
          </w:p>
        </w:tc>
        <w:tc>
          <w:tcPr>
            <w:tcW w:w="30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color w:val="auto"/>
              </w:rPr>
              <w:t>51,167</w:t>
            </w:r>
          </w:p>
        </w:tc>
        <w:tc>
          <w:tcPr>
            <w:tcW w:w="0" w:type="dxa"/>
            <w:vAlign w:val="bottom"/>
          </w:tcPr>
          <w:p>
            <w:pPr>
              <w:spacing w:after="0"/>
              <w:rPr>
                <w:sz w:val="1"/>
                <w:szCs w:val="1"/>
                <w:color w:val="auto"/>
              </w:rPr>
            </w:pPr>
          </w:p>
        </w:tc>
      </w:tr>
      <w:tr>
        <w:trPr>
          <w:trHeight w:val="20"/>
        </w:trPr>
        <w:tc>
          <w:tcPr>
            <w:tcW w:w="57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ind w:left="340" w:right="260" w:hanging="332"/>
        <w:spacing w:after="0" w:line="342" w:lineRule="auto"/>
        <w:tabs>
          <w:tab w:leader="none" w:pos="340" w:val="left"/>
        </w:tabs>
        <w:numPr>
          <w:ilvl w:val="0"/>
          <w:numId w:val="25"/>
        </w:numPr>
        <w:rPr>
          <w:rFonts w:ascii="Arial" w:cs="Arial" w:eastAsia="Arial" w:hAnsi="Arial"/>
          <w:sz w:val="16"/>
          <w:szCs w:val="16"/>
          <w:color w:val="auto"/>
        </w:rPr>
      </w:pPr>
      <w:r>
        <w:rPr>
          <w:rFonts w:ascii="Arial" w:cs="Arial" w:eastAsia="Arial" w:hAnsi="Arial"/>
          <w:sz w:val="16"/>
          <w:szCs w:val="16"/>
          <w:color w:val="auto"/>
        </w:rPr>
        <w:t>Refer to the “Cost Savings and Consolidation Efforts” section of this Item and Note 13 “Other Operating Expenses, Net” of the Notes to Consolidated Financial Statements contained in Item 8 of this report for disclosures related to the timing and level of remaining expenditures for these initiatives.</w:t>
      </w:r>
    </w:p>
    <w:p>
      <w:pPr>
        <w:spacing w:after="0" w:line="123" w:lineRule="exact"/>
        <w:rPr>
          <w:rFonts w:ascii="Arial" w:cs="Arial" w:eastAsia="Arial" w:hAnsi="Arial"/>
          <w:sz w:val="16"/>
          <w:szCs w:val="16"/>
          <w:color w:val="auto"/>
        </w:rPr>
      </w:pPr>
    </w:p>
    <w:p>
      <w:pPr>
        <w:ind w:left="340" w:right="340" w:hanging="332"/>
        <w:spacing w:after="0" w:line="259" w:lineRule="auto"/>
        <w:tabs>
          <w:tab w:leader="none" w:pos="340" w:val="left"/>
        </w:tabs>
        <w:numPr>
          <w:ilvl w:val="0"/>
          <w:numId w:val="25"/>
        </w:numPr>
        <w:rPr>
          <w:rFonts w:ascii="Arial" w:cs="Arial" w:eastAsia="Arial" w:hAnsi="Arial"/>
          <w:sz w:val="18"/>
          <w:szCs w:val="18"/>
          <w:color w:val="auto"/>
        </w:rPr>
      </w:pPr>
      <w:r>
        <w:rPr>
          <w:rFonts w:ascii="Arial" w:cs="Arial" w:eastAsia="Arial" w:hAnsi="Arial"/>
          <w:sz w:val="18"/>
          <w:szCs w:val="18"/>
          <w:color w:val="auto"/>
        </w:rPr>
        <w:t>During 2015, we incurred $23.7 million in transaction costs related to the acquisition of Lake Region Medical. These costs primarily relate to professional and consulting fees incurred in connection with the due diligence efforts of this acquisition. Additionally, during 2015, we incurred $8.6 million in Lake Region Medical integration costs, which primarily included change-in-control payments to former Lake Region Medical executives, professional and consulting fees, and travel costs.</w:t>
      </w:r>
    </w:p>
    <w:p>
      <w:pPr>
        <w:spacing w:after="0" w:line="186" w:lineRule="exact"/>
        <w:rPr>
          <w:rFonts w:ascii="Arial" w:cs="Arial" w:eastAsia="Arial" w:hAnsi="Arial"/>
          <w:sz w:val="18"/>
          <w:szCs w:val="18"/>
          <w:color w:val="auto"/>
        </w:rPr>
      </w:pPr>
    </w:p>
    <w:p>
      <w:pPr>
        <w:ind w:left="340" w:hanging="332"/>
        <w:spacing w:after="0" w:line="279" w:lineRule="auto"/>
        <w:tabs>
          <w:tab w:leader="none" w:pos="340" w:val="left"/>
        </w:tabs>
        <w:numPr>
          <w:ilvl w:val="0"/>
          <w:numId w:val="25"/>
        </w:numPr>
        <w:rPr>
          <w:rFonts w:ascii="Arial" w:cs="Arial" w:eastAsia="Arial" w:hAnsi="Arial"/>
          <w:sz w:val="17"/>
          <w:szCs w:val="17"/>
          <w:color w:val="auto"/>
        </w:rPr>
      </w:pPr>
      <w:r>
        <w:rPr>
          <w:rFonts w:ascii="Arial" w:cs="Arial" w:eastAsia="Arial" w:hAnsi="Arial"/>
          <w:sz w:val="17"/>
          <w:szCs w:val="17"/>
          <w:color w:val="auto"/>
        </w:rPr>
        <w:t>During 2015 and 2014, we recorded losses in connection with various asset disposals and write-downs. During 2015, we incurred $6.0 million in legal and professional costs in connection with the pending Spin-off of Nuvectra. During 2014, we incurred $0.9 million of expense related to the separation of our Senior Vice President, Human Resources. Additionally, during 2014, Greatbatch Medical recorded charges in connection with its business reorganization to align its contract manufacturing operations. Costs incurred primarily related to consulting and IT development.</w:t>
      </w:r>
    </w:p>
    <w:p>
      <w:pPr>
        <w:spacing w:after="0" w:line="171" w:lineRule="exact"/>
        <w:rPr>
          <w:sz w:val="20"/>
          <w:szCs w:val="20"/>
          <w:color w:val="auto"/>
        </w:rPr>
      </w:pPr>
    </w:p>
    <w:p>
      <w:pPr>
        <w:ind w:left="60" w:right="260"/>
        <w:spacing w:after="0" w:line="286" w:lineRule="auto"/>
        <w:rPr>
          <w:sz w:val="20"/>
          <w:szCs w:val="20"/>
          <w:color w:val="auto"/>
        </w:rPr>
      </w:pPr>
      <w:r>
        <w:rPr>
          <w:rFonts w:ascii="Arial" w:cs="Arial" w:eastAsia="Arial" w:hAnsi="Arial"/>
          <w:sz w:val="17"/>
          <w:szCs w:val="17"/>
          <w:color w:val="auto"/>
        </w:rPr>
        <w:t>We continually evaluate our operating structure in order to maximize efficiencies and drive margin expansion. For 2016, other operating expenses, net are expected to be approximately $60 million to $70 million, as we continue to invest in our capacity and capabilities and the integration of Lake Region Medical. See “Cost Savings and Consolidation Efforts” contained in this Item for further details on these initiatives.</w:t>
      </w:r>
    </w:p>
    <w:p>
      <w:pPr>
        <w:sectPr>
          <w:pgSz w:w="11900" w:h="16838" w:orient="portrait"/>
          <w:cols w:equalWidth="0" w:num="1">
            <w:col w:w="11400"/>
          </w:cols>
          <w:pgMar w:left="240" w:top="1440" w:right="259" w:bottom="1440" w:gutter="0" w:footer="0" w:header="0"/>
        </w:sectPr>
      </w:pPr>
    </w:p>
    <w:p>
      <w:pPr>
        <w:spacing w:after="0" w:line="301"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- 51 -</w:t>
      </w:r>
    </w:p>
    <w:p>
      <w:pPr>
        <w:sectPr>
          <w:pgSz w:w="11900" w:h="16838" w:orient="portrait"/>
          <w:cols w:equalWidth="0" w:num="1">
            <w:col w:w="11400"/>
          </w:cols>
          <w:pgMar w:left="240" w:top="1440" w:right="259" w:bottom="1440" w:gutter="0" w:footer="0" w:header="0"/>
          <w:type w:val="continuous"/>
        </w:sectPr>
      </w:pPr>
    </w:p>
    <w:bookmarkStart w:id="52" w:name="page53"/>
    <w:bookmarkEnd w:id="52"/>
    <w:p>
      <w:pPr>
        <w:spacing w:after="0"/>
        <w:rPr>
          <w:sz w:val="20"/>
          <w:szCs w:val="20"/>
          <w:color w:val="auto"/>
        </w:rPr>
      </w:pPr>
      <w:r>
        <w:rPr>
          <w:rFonts w:ascii="Arial" w:cs="Arial" w:eastAsia="Arial" w:hAnsi="Arial"/>
          <w:sz w:val="18"/>
          <w:szCs w:val="18"/>
          <w:b w:val="1"/>
          <w:bCs w:val="1"/>
          <w:i w:val="1"/>
          <w:iCs w:val="1"/>
          <w:color w:val="auto"/>
        </w:rPr>
        <w:t>Interest Expense</w:t>
      </w:r>
    </w:p>
    <w:p>
      <w:pPr>
        <w:spacing w:after="0" w:line="225" w:lineRule="exact"/>
        <w:rPr>
          <w:sz w:val="20"/>
          <w:szCs w:val="20"/>
          <w:color w:val="auto"/>
        </w:rPr>
      </w:pPr>
    </w:p>
    <w:p>
      <w:pPr>
        <w:ind w:right="140"/>
        <w:spacing w:after="0" w:line="257" w:lineRule="auto"/>
        <w:rPr>
          <w:sz w:val="20"/>
          <w:szCs w:val="20"/>
          <w:color w:val="auto"/>
        </w:rPr>
      </w:pPr>
      <w:r>
        <w:rPr>
          <w:rFonts w:ascii="Arial" w:cs="Arial" w:eastAsia="Arial" w:hAnsi="Arial"/>
          <w:sz w:val="18"/>
          <w:szCs w:val="18"/>
          <w:color w:val="auto"/>
        </w:rPr>
        <w:t>Interest expense for 2015 increased $29.3 million in comparison to 2014. This increase was primarily due to the $1.8 billion of debt incurred in connection with the Lake Region Medical acquisition, as well as $9.5 million in one-time transaction costs (i.e. debt commitment fees, interest rate swap termination costs, debt extinguishment charges) incurred in connection with our acquisition of Lake Region Medical. Additionally, the current weighted average interest rate on our senior secured credit facility is 5.69% compared to 1.79% for 2014. See Note 9 “Debt” of the Notes to Consolidated Financial Statements contained in Item 8 of this report.</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Gain on Cost and Equity Method Investments</w:t>
      </w:r>
    </w:p>
    <w:p>
      <w:pPr>
        <w:spacing w:after="0" w:line="225" w:lineRule="exact"/>
        <w:rPr>
          <w:sz w:val="20"/>
          <w:szCs w:val="20"/>
          <w:color w:val="auto"/>
        </w:rPr>
      </w:pPr>
    </w:p>
    <w:p>
      <w:pPr>
        <w:spacing w:after="0" w:line="293" w:lineRule="auto"/>
        <w:rPr>
          <w:sz w:val="20"/>
          <w:szCs w:val="20"/>
          <w:color w:val="auto"/>
        </w:rPr>
      </w:pPr>
      <w:r>
        <w:rPr>
          <w:rFonts w:ascii="Arial" w:cs="Arial" w:eastAsia="Arial" w:hAnsi="Arial"/>
          <w:sz w:val="16"/>
          <w:szCs w:val="16"/>
          <w:color w:val="auto"/>
        </w:rPr>
        <w:t>During 2015, we recognized a $4.7 million gain and received a $3.6 million cash distribution from our equity method investment, which contributed to the $3.4 million net gain on cost and equity method investments for the year. During 2014, we sold one of our cost method investments, which resulted in a pre-tax gain of $3.2 million and contributed to the overall gain on cost and equity method investments for the year. As of January 1, 2016 and January 2, 2015, we held $20.6 million and $14.5 million, respectively. The total carrying value of these investments is reviewed quarterly for changes in circumstance or the occurrence of events that suggest our investment may not be recoverable. These investments are in start-up research and development companies whose fair value is highly subjective in nature and subject to significant fluctuations in the future that could result in material gains or losses.</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(Income) Expense, Net</w:t>
      </w:r>
    </w:p>
    <w:p>
      <w:pPr>
        <w:spacing w:after="0" w:line="225" w:lineRule="exact"/>
        <w:rPr>
          <w:sz w:val="20"/>
          <w:szCs w:val="20"/>
          <w:color w:val="auto"/>
        </w:rPr>
      </w:pPr>
    </w:p>
    <w:p>
      <w:pPr>
        <w:jc w:val="both"/>
        <w:ind w:right="60"/>
        <w:spacing w:after="0" w:line="286" w:lineRule="auto"/>
        <w:rPr>
          <w:sz w:val="20"/>
          <w:szCs w:val="20"/>
          <w:color w:val="auto"/>
        </w:rPr>
      </w:pPr>
      <w:r>
        <w:rPr>
          <w:rFonts w:ascii="Arial" w:cs="Arial" w:eastAsia="Arial" w:hAnsi="Arial"/>
          <w:sz w:val="17"/>
          <w:szCs w:val="17"/>
          <w:color w:val="auto"/>
        </w:rPr>
        <w:t>Other (income) expense, net primarily includes the impact of foreign currency exchange rate fluctuations on transactions denominated in foreign currencies. We recognized a gain of $1.3 million in 2015 and a gain of $1.3 million in 2014, primarily due to the strengthening of the U.S. dollar relative to the Euro. We generally do not expect foreign currency exchange rate fluctuations to have a material impact on our net results of operations.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Provision (Benefit) for Income Taxes</w:t>
      </w:r>
    </w:p>
    <w:p>
      <w:pPr>
        <w:spacing w:after="0" w:line="117" w:lineRule="exact"/>
        <w:rPr>
          <w:sz w:val="20"/>
          <w:szCs w:val="20"/>
          <w:color w:val="auto"/>
        </w:rPr>
      </w:pPr>
    </w:p>
    <w:p>
      <w:pPr>
        <w:ind w:right="20"/>
        <w:spacing w:after="0" w:line="293" w:lineRule="auto"/>
        <w:rPr>
          <w:sz w:val="20"/>
          <w:szCs w:val="20"/>
          <w:color w:val="auto"/>
        </w:rPr>
      </w:pPr>
      <w:r>
        <w:rPr>
          <w:rFonts w:ascii="Arial" w:cs="Arial" w:eastAsia="Arial" w:hAnsi="Arial"/>
          <w:sz w:val="16"/>
          <w:szCs w:val="16"/>
          <w:color w:val="auto"/>
        </w:rPr>
        <w:t>The effective tax rate for fiscal year 2015 was 51.6% compared to 27.6% for fiscal year 2014. On an adjusted basis, our effective tax rate was 22.1% for 2015 compared to 28.8% for 2014. The 2015 and 2014 GAAP and adjusted effective tax rates include the benefit of the Federal research and development tax credit (“R&amp;D Tax Credit”), which was reinstated in the fourth quarter of 2015 and fourth quarter of 2014, respectively. As required, the R&amp;D Tax Credit is recognized in the quarter the legislation is enacted. In addition to the above, the 2015 GAAP and adjusted effective tax rates benefited from higher income in lower tax jurisdictions, which was partially offset by nondeductible transaction costs in connection with the acquisition of Lake Region Medical and the pending spin-off of Nuvectra. These nondeductible transaction costs are not tax-effected for purposes of calculating adjusted diluted EPS amounts.</w:t>
      </w:r>
    </w:p>
    <w:p>
      <w:pPr>
        <w:spacing w:after="0" w:line="57" w:lineRule="exact"/>
        <w:rPr>
          <w:sz w:val="20"/>
          <w:szCs w:val="20"/>
          <w:color w:val="auto"/>
        </w:rPr>
      </w:pPr>
    </w:p>
    <w:p>
      <w:pPr>
        <w:spacing w:after="0" w:line="279" w:lineRule="auto"/>
        <w:rPr>
          <w:sz w:val="20"/>
          <w:szCs w:val="20"/>
          <w:color w:val="auto"/>
        </w:rPr>
      </w:pPr>
      <w:r>
        <w:rPr>
          <w:rFonts w:ascii="Arial" w:cs="Arial" w:eastAsia="Arial" w:hAnsi="Arial"/>
          <w:sz w:val="17"/>
          <w:szCs w:val="17"/>
          <w:color w:val="auto"/>
        </w:rPr>
        <w:t>The stand-alone U.S. component of the effective tax rate for 2015 reflected a $13.1 million benefit on $42.1 million of pre-tax book loss (31.2%) versus $18.5 million tax expense on $56.8 million of pre-tax book income (32.6%) for 2014. The foreign source income carries a lower overall effective tax rate than U.S. income. The stand-alone International component of the effective tax rate for 2015 reflected a tax expense of $5.0 million on $26.5 million of pre-tax book income (19.0%) versus a tax expense of $2.6 million on $19.8 million of pre-tax book income (13.3%) for 2014.</w:t>
      </w:r>
    </w:p>
    <w:p>
      <w:pPr>
        <w:spacing w:after="0" w:line="30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- 52 -</w:t>
      </w:r>
    </w:p>
    <w:p>
      <w:pPr>
        <w:sectPr>
          <w:pgSz w:w="11900" w:h="16838" w:orient="portrait"/>
          <w:cols w:equalWidth="0" w:num="1">
            <w:col w:w="11400"/>
          </w:cols>
          <w:pgMar w:left="240" w:top="909" w:right="259" w:bottom="1440" w:gutter="0" w:footer="0" w:header="0"/>
        </w:sectPr>
      </w:pPr>
    </w:p>
    <w:bookmarkStart w:id="53" w:name="page54"/>
    <w:bookmarkEnd w:id="53"/>
    <w:p>
      <w:pPr>
        <w:spacing w:after="0"/>
        <w:rPr>
          <w:sz w:val="20"/>
          <w:szCs w:val="20"/>
          <w:color w:val="auto"/>
        </w:rPr>
      </w:pPr>
      <w:r>
        <w:rPr>
          <w:rFonts w:ascii="Arial" w:cs="Arial" w:eastAsia="Arial" w:hAnsi="Arial"/>
          <w:sz w:val="18"/>
          <w:szCs w:val="18"/>
          <w:color w:val="auto"/>
        </w:rPr>
        <w:t>The provision (benefit) for income taxes for 2015 differs from the U.S. statutory rate due to the following (dollars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80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gridSpan w:val="3"/>
          </w:tcPr>
          <w:p>
            <w:pPr>
              <w:ind w:left="760"/>
              <w:spacing w:after="0"/>
              <w:rPr>
                <w:sz w:val="20"/>
                <w:szCs w:val="20"/>
                <w:color w:val="auto"/>
              </w:rPr>
            </w:pPr>
            <w:r>
              <w:rPr>
                <w:rFonts w:ascii="Arial" w:cs="Arial" w:eastAsia="Arial" w:hAnsi="Arial"/>
                <w:sz w:val="14"/>
                <w:szCs w:val="14"/>
                <w:b w:val="1"/>
                <w:bCs w:val="1"/>
                <w:color w:val="auto"/>
              </w:rPr>
              <w:t>U.S.</w:t>
            </w:r>
          </w:p>
        </w:tc>
        <w:tc>
          <w:tcPr>
            <w:tcW w:w="8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gridSpan w:val="3"/>
          </w:tcPr>
          <w:p>
            <w:pPr>
              <w:ind w:left="480"/>
              <w:spacing w:after="0"/>
              <w:rPr>
                <w:sz w:val="20"/>
                <w:szCs w:val="20"/>
                <w:color w:val="auto"/>
              </w:rPr>
            </w:pPr>
            <w:r>
              <w:rPr>
                <w:rFonts w:ascii="Arial" w:cs="Arial" w:eastAsia="Arial" w:hAnsi="Arial"/>
                <w:sz w:val="14"/>
                <w:szCs w:val="14"/>
                <w:b w:val="1"/>
                <w:bCs w:val="1"/>
                <w:color w:val="auto"/>
              </w:rPr>
              <w:t>International</w:t>
            </w:r>
          </w:p>
        </w:tc>
        <w:tc>
          <w:tcPr>
            <w:tcW w:w="72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gridSpan w:val="3"/>
          </w:tcPr>
          <w:p>
            <w:pPr>
              <w:ind w:left="580"/>
              <w:spacing w:after="0"/>
              <w:rPr>
                <w:sz w:val="20"/>
                <w:szCs w:val="20"/>
                <w:color w:val="auto"/>
              </w:rPr>
            </w:pPr>
            <w:r>
              <w:rPr>
                <w:rFonts w:ascii="Arial" w:cs="Arial" w:eastAsia="Arial" w:hAnsi="Arial"/>
                <w:sz w:val="14"/>
                <w:szCs w:val="14"/>
                <w:b w:val="1"/>
                <w:bCs w:val="1"/>
                <w:color w:val="auto"/>
              </w:rPr>
              <w:t>Combined</w:t>
            </w:r>
          </w:p>
        </w:tc>
        <w:tc>
          <w:tcPr>
            <w:tcW w:w="760" w:type="dxa"/>
            <w:vAlign w:val="bottom"/>
            <w:tcBorders>
              <w:bottom w:val="single" w:sz="8" w:color="auto"/>
            </w:tcBorders>
          </w:tcPr>
          <w:p>
            <w:pPr>
              <w:spacing w:after="0"/>
              <w:rPr>
                <w:sz w:val="16"/>
                <w:szCs w:val="16"/>
                <w:color w:val="auto"/>
              </w:rPr>
            </w:pPr>
          </w:p>
        </w:tc>
      </w:tr>
      <w:tr>
        <w:trPr>
          <w:trHeight w:val="264"/>
        </w:trPr>
        <w:tc>
          <w:tcPr>
            <w:tcW w:w="38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493"/>
              <w:spacing w:after="0"/>
              <w:rPr>
                <w:sz w:val="20"/>
                <w:szCs w:val="20"/>
                <w:color w:val="auto"/>
              </w:rPr>
            </w:pPr>
            <w:r>
              <w:rPr>
                <w:rFonts w:ascii="Arial" w:cs="Arial" w:eastAsia="Arial" w:hAnsi="Arial"/>
                <w:sz w:val="14"/>
                <w:szCs w:val="14"/>
                <w:b w:val="1"/>
                <w:bCs w:val="1"/>
                <w:color w:val="auto"/>
              </w:rPr>
              <w:t>$</w:t>
            </w: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412"/>
              <w:spacing w:after="0"/>
              <w:rPr>
                <w:sz w:val="20"/>
                <w:szCs w:val="20"/>
                <w:color w:val="auto"/>
              </w:rPr>
            </w:pPr>
            <w:r>
              <w:rPr>
                <w:rFonts w:ascii="Arial" w:cs="Arial" w:eastAsia="Arial" w:hAnsi="Arial"/>
                <w:sz w:val="14"/>
                <w:szCs w:val="14"/>
                <w:b w:val="1"/>
                <w:bCs w:val="1"/>
                <w:color w:val="auto"/>
              </w:rPr>
              <w:t>%</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493"/>
              <w:spacing w:after="0"/>
              <w:rPr>
                <w:sz w:val="20"/>
                <w:szCs w:val="20"/>
                <w:color w:val="auto"/>
              </w:rPr>
            </w:pPr>
            <w:r>
              <w:rPr>
                <w:rFonts w:ascii="Arial" w:cs="Arial" w:eastAsia="Arial" w:hAnsi="Arial"/>
                <w:sz w:val="14"/>
                <w:szCs w:val="14"/>
                <w:b w:val="1"/>
                <w:bCs w:val="1"/>
                <w:color w:val="auto"/>
              </w:rPr>
              <w:t>$</w:t>
            </w:r>
          </w:p>
        </w:tc>
        <w:tc>
          <w:tcPr>
            <w:tcW w:w="100" w:type="dxa"/>
            <w:vAlign w:val="bottom"/>
            <w:tcBorders>
              <w:bottom w:val="single" w:sz="8" w:color="CCEEFF"/>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392"/>
              <w:spacing w:after="0"/>
              <w:rPr>
                <w:sz w:val="20"/>
                <w:szCs w:val="20"/>
                <w:color w:val="auto"/>
              </w:rPr>
            </w:pPr>
            <w:r>
              <w:rPr>
                <w:rFonts w:ascii="Arial" w:cs="Arial" w:eastAsia="Arial" w:hAnsi="Arial"/>
                <w:sz w:val="14"/>
                <w:szCs w:val="14"/>
                <w:b w:val="1"/>
                <w:bCs w:val="1"/>
                <w:color w:val="auto"/>
              </w:rPr>
              <w:t>%</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392"/>
              <w:spacing w:after="0"/>
              <w:rPr>
                <w:sz w:val="20"/>
                <w:szCs w:val="20"/>
                <w:color w:val="auto"/>
              </w:rPr>
            </w:pPr>
            <w:r>
              <w:rPr>
                <w:rFonts w:ascii="Arial" w:cs="Arial" w:eastAsia="Arial" w:hAnsi="Arial"/>
                <w:sz w:val="14"/>
                <w:szCs w:val="14"/>
                <w:b w:val="1"/>
                <w:bCs w:val="1"/>
                <w:color w:val="auto"/>
              </w:rPr>
              <w:t>%</w:t>
            </w:r>
          </w:p>
        </w:tc>
      </w:tr>
      <w:tr>
        <w:trPr>
          <w:trHeight w:val="263"/>
        </w:trPr>
        <w:tc>
          <w:tcPr>
            <w:tcW w:w="3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w w:val="98"/>
              </w:rPr>
              <w:t>Income (loss) before provision for income taxes</w:t>
            </w: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(42,166)</w:t>
            </w:r>
          </w:p>
        </w:tc>
        <w:tc>
          <w:tcPr>
            <w:tcW w:w="12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spacing w:after="0"/>
              <w:rPr>
                <w:sz w:val="22"/>
                <w:szCs w:val="22"/>
                <w:color w:val="auto"/>
              </w:rPr>
            </w:pPr>
          </w:p>
        </w:tc>
        <w:tc>
          <w:tcPr>
            <w:tcW w:w="86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8"/>
                <w:szCs w:val="18"/>
                <w:color w:val="auto"/>
              </w:rPr>
              <w:t>26,466</w:t>
            </w:r>
          </w:p>
        </w:tc>
        <w:tc>
          <w:tcPr>
            <w:tcW w:w="10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CCEEFF"/>
            </w:tcBorders>
            <w:shd w:val="clear" w:color="auto" w:fill="CCEEFF"/>
          </w:tcPr>
          <w:p>
            <w:pPr>
              <w:spacing w:after="0"/>
              <w:rPr>
                <w:sz w:val="22"/>
                <w:szCs w:val="22"/>
                <w:color w:val="auto"/>
              </w:rPr>
            </w:pPr>
          </w:p>
        </w:tc>
        <w:tc>
          <w:tcPr>
            <w:tcW w:w="7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(15,700)</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760" w:type="dxa"/>
            <w:vAlign w:val="bottom"/>
            <w:tcBorders>
              <w:bottom w:val="single" w:sz="8" w:color="CCEEFF"/>
            </w:tcBorders>
            <w:shd w:val="clear" w:color="auto" w:fill="CCEEFF"/>
          </w:tcPr>
          <w:p>
            <w:pPr>
              <w:spacing w:after="0"/>
              <w:rPr>
                <w:sz w:val="22"/>
                <w:szCs w:val="22"/>
                <w:color w:val="auto"/>
              </w:rPr>
            </w:pPr>
          </w:p>
        </w:tc>
      </w:tr>
      <w:tr>
        <w:trPr>
          <w:trHeight w:val="20"/>
        </w:trPr>
        <w:tc>
          <w:tcPr>
            <w:tcW w:w="38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r>
      <w:tr>
        <w:trPr>
          <w:trHeight w:val="176"/>
        </w:trPr>
        <w:tc>
          <w:tcPr>
            <w:tcW w:w="38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760" w:type="dxa"/>
            <w:vAlign w:val="bottom"/>
          </w:tcPr>
          <w:p>
            <w:pPr>
              <w:spacing w:after="0"/>
              <w:rPr>
                <w:sz w:val="15"/>
                <w:szCs w:val="15"/>
                <w:color w:val="auto"/>
              </w:rPr>
            </w:pPr>
          </w:p>
        </w:tc>
      </w:tr>
      <w:tr>
        <w:trPr>
          <w:trHeight w:val="250"/>
        </w:trPr>
        <w:tc>
          <w:tcPr>
            <w:tcW w:w="3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Provision (benefit) at statutory rate</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(14,758)</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35.0 %</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9,263</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35.0 %</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(5,495)</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35.0 %</w:t>
            </w:r>
          </w:p>
        </w:tc>
      </w:tr>
      <w:tr>
        <w:trPr>
          <w:trHeight w:val="243"/>
        </w:trPr>
        <w:tc>
          <w:tcPr>
            <w:tcW w:w="3800" w:type="dxa"/>
            <w:vAlign w:val="bottom"/>
          </w:tcPr>
          <w:p>
            <w:pPr>
              <w:ind w:left="40"/>
              <w:spacing w:after="0"/>
              <w:rPr>
                <w:sz w:val="20"/>
                <w:szCs w:val="20"/>
                <w:color w:val="auto"/>
              </w:rPr>
            </w:pPr>
            <w:r>
              <w:rPr>
                <w:rFonts w:ascii="Arial" w:cs="Arial" w:eastAsia="Arial" w:hAnsi="Arial"/>
                <w:sz w:val="18"/>
                <w:szCs w:val="18"/>
                <w:color w:val="auto"/>
              </w:rPr>
              <w:t>Federal tax credits</w:t>
            </w:r>
          </w:p>
        </w:tc>
        <w:tc>
          <w:tcPr>
            <w:tcW w:w="36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(1,850)</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60" w:type="dxa"/>
            <w:vAlign w:val="bottom"/>
          </w:tcPr>
          <w:p>
            <w:pPr>
              <w:jc w:val="right"/>
              <w:ind w:right="152"/>
              <w:spacing w:after="0"/>
              <w:rPr>
                <w:sz w:val="20"/>
                <w:szCs w:val="20"/>
                <w:color w:val="auto"/>
              </w:rPr>
            </w:pPr>
            <w:r>
              <w:rPr>
                <w:rFonts w:ascii="Arial" w:cs="Arial" w:eastAsia="Arial" w:hAnsi="Arial"/>
                <w:sz w:val="18"/>
                <w:szCs w:val="18"/>
                <w:color w:val="auto"/>
              </w:rPr>
              <w:t>4.4</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380" w:type="dxa"/>
            <w:vAlign w:val="bottom"/>
            <w:gridSpan w:val="3"/>
          </w:tcPr>
          <w:p>
            <w:pPr>
              <w:jc w:val="right"/>
              <w:ind w:right="620"/>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(1,850)</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760" w:type="dxa"/>
            <w:vAlign w:val="bottom"/>
          </w:tcPr>
          <w:p>
            <w:pPr>
              <w:jc w:val="right"/>
              <w:ind w:right="132"/>
              <w:spacing w:after="0"/>
              <w:rPr>
                <w:sz w:val="20"/>
                <w:szCs w:val="20"/>
                <w:color w:val="auto"/>
              </w:rPr>
            </w:pPr>
            <w:r>
              <w:rPr>
                <w:rFonts w:ascii="Arial" w:cs="Arial" w:eastAsia="Arial" w:hAnsi="Arial"/>
                <w:sz w:val="18"/>
                <w:szCs w:val="18"/>
                <w:color w:val="auto"/>
              </w:rPr>
              <w:t>11.8</w:t>
            </w:r>
          </w:p>
        </w:tc>
      </w:tr>
      <w:tr>
        <w:trPr>
          <w:trHeight w:val="27"/>
        </w:trPr>
        <w:tc>
          <w:tcPr>
            <w:tcW w:w="3800" w:type="dxa"/>
            <w:vAlign w:val="bottom"/>
          </w:tcPr>
          <w:p>
            <w:pPr>
              <w:spacing w:after="0"/>
              <w:rPr>
                <w:sz w:val="2"/>
                <w:szCs w:val="2"/>
                <w:color w:val="auto"/>
              </w:rPr>
            </w:pPr>
          </w:p>
        </w:tc>
        <w:tc>
          <w:tcPr>
            <w:tcW w:w="3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760" w:type="dxa"/>
            <w:vAlign w:val="bottom"/>
          </w:tcPr>
          <w:p>
            <w:pPr>
              <w:spacing w:after="0"/>
              <w:rPr>
                <w:sz w:val="2"/>
                <w:szCs w:val="2"/>
                <w:color w:val="auto"/>
              </w:rPr>
            </w:pPr>
          </w:p>
        </w:tc>
      </w:tr>
      <w:tr>
        <w:trPr>
          <w:trHeight w:val="250"/>
        </w:trPr>
        <w:tc>
          <w:tcPr>
            <w:tcW w:w="3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Foreign rate differential</w:t>
            </w:r>
          </w:p>
        </w:tc>
        <w:tc>
          <w:tcPr>
            <w:tcW w:w="3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(331)</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52"/>
              <w:spacing w:after="0"/>
              <w:rPr>
                <w:sz w:val="20"/>
                <w:szCs w:val="20"/>
                <w:color w:val="auto"/>
              </w:rPr>
            </w:pPr>
            <w:r>
              <w:rPr>
                <w:rFonts w:ascii="Arial" w:cs="Arial" w:eastAsia="Arial" w:hAnsi="Arial"/>
                <w:sz w:val="18"/>
                <w:szCs w:val="18"/>
                <w:color w:val="auto"/>
              </w:rPr>
              <w:t>0.8</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(2,849)</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(10.8)</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(3,180)</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132"/>
              <w:spacing w:after="0"/>
              <w:rPr>
                <w:sz w:val="20"/>
                <w:szCs w:val="20"/>
                <w:color w:val="auto"/>
              </w:rPr>
            </w:pPr>
            <w:r>
              <w:rPr>
                <w:rFonts w:ascii="Arial" w:cs="Arial" w:eastAsia="Arial" w:hAnsi="Arial"/>
                <w:sz w:val="18"/>
                <w:szCs w:val="18"/>
                <w:color w:val="auto"/>
              </w:rPr>
              <w:t>20.2</w:t>
            </w:r>
          </w:p>
        </w:tc>
      </w:tr>
      <w:tr>
        <w:trPr>
          <w:trHeight w:val="243"/>
        </w:trPr>
        <w:tc>
          <w:tcPr>
            <w:tcW w:w="3800" w:type="dxa"/>
            <w:vAlign w:val="bottom"/>
          </w:tcPr>
          <w:p>
            <w:pPr>
              <w:ind w:left="40"/>
              <w:spacing w:after="0"/>
              <w:rPr>
                <w:sz w:val="20"/>
                <w:szCs w:val="20"/>
                <w:color w:val="auto"/>
              </w:rPr>
            </w:pPr>
            <w:r>
              <w:rPr>
                <w:rFonts w:ascii="Arial" w:cs="Arial" w:eastAsia="Arial" w:hAnsi="Arial"/>
                <w:sz w:val="18"/>
                <w:szCs w:val="18"/>
                <w:color w:val="auto"/>
              </w:rPr>
              <w:t>Uncertain tax positions</w:t>
            </w:r>
          </w:p>
        </w:tc>
        <w:tc>
          <w:tcPr>
            <w:tcW w:w="36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(531)</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60" w:type="dxa"/>
            <w:vAlign w:val="bottom"/>
          </w:tcPr>
          <w:p>
            <w:pPr>
              <w:jc w:val="right"/>
              <w:ind w:right="152"/>
              <w:spacing w:after="0"/>
              <w:rPr>
                <w:sz w:val="20"/>
                <w:szCs w:val="20"/>
                <w:color w:val="auto"/>
              </w:rPr>
            </w:pPr>
            <w:r>
              <w:rPr>
                <w:rFonts w:ascii="Arial" w:cs="Arial" w:eastAsia="Arial" w:hAnsi="Arial"/>
                <w:sz w:val="18"/>
                <w:szCs w:val="18"/>
                <w:color w:val="auto"/>
              </w:rPr>
              <w:t>1.3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380" w:type="dxa"/>
            <w:vAlign w:val="bottom"/>
            <w:gridSpan w:val="3"/>
          </w:tcPr>
          <w:p>
            <w:pPr>
              <w:jc w:val="right"/>
              <w:ind w:right="620"/>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(531)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760" w:type="dxa"/>
            <w:vAlign w:val="bottom"/>
          </w:tcPr>
          <w:p>
            <w:pPr>
              <w:jc w:val="right"/>
              <w:ind w:right="132"/>
              <w:spacing w:after="0"/>
              <w:rPr>
                <w:sz w:val="20"/>
                <w:szCs w:val="20"/>
                <w:color w:val="auto"/>
              </w:rPr>
            </w:pPr>
            <w:r>
              <w:rPr>
                <w:rFonts w:ascii="Arial" w:cs="Arial" w:eastAsia="Arial" w:hAnsi="Arial"/>
                <w:sz w:val="18"/>
                <w:szCs w:val="18"/>
                <w:color w:val="auto"/>
              </w:rPr>
              <w:t>3.4</w:t>
            </w:r>
          </w:p>
        </w:tc>
      </w:tr>
      <w:tr>
        <w:trPr>
          <w:trHeight w:val="27"/>
        </w:trPr>
        <w:tc>
          <w:tcPr>
            <w:tcW w:w="3800" w:type="dxa"/>
            <w:vAlign w:val="bottom"/>
          </w:tcPr>
          <w:p>
            <w:pPr>
              <w:spacing w:after="0"/>
              <w:rPr>
                <w:sz w:val="2"/>
                <w:szCs w:val="2"/>
                <w:color w:val="auto"/>
              </w:rPr>
            </w:pPr>
          </w:p>
        </w:tc>
        <w:tc>
          <w:tcPr>
            <w:tcW w:w="3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760" w:type="dxa"/>
            <w:vAlign w:val="bottom"/>
          </w:tcPr>
          <w:p>
            <w:pPr>
              <w:spacing w:after="0"/>
              <w:rPr>
                <w:sz w:val="2"/>
                <w:szCs w:val="2"/>
                <w:color w:val="auto"/>
              </w:rPr>
            </w:pPr>
          </w:p>
        </w:tc>
      </w:tr>
      <w:tr>
        <w:trPr>
          <w:trHeight w:val="250"/>
        </w:trPr>
        <w:tc>
          <w:tcPr>
            <w:tcW w:w="3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State taxes, net of federal benefit</w:t>
            </w:r>
          </w:p>
        </w:tc>
        <w:tc>
          <w:tcPr>
            <w:tcW w:w="3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(1,490)</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52"/>
              <w:spacing w:after="0"/>
              <w:rPr>
                <w:sz w:val="20"/>
                <w:szCs w:val="20"/>
                <w:color w:val="auto"/>
              </w:rPr>
            </w:pPr>
            <w:r>
              <w:rPr>
                <w:rFonts w:ascii="Arial" w:cs="Arial" w:eastAsia="Arial" w:hAnsi="Arial"/>
                <w:sz w:val="18"/>
                <w:szCs w:val="18"/>
                <w:color w:val="auto"/>
              </w:rPr>
              <w:t>3.5</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gridSpan w:val="3"/>
            <w:shd w:val="clear" w:color="auto" w:fill="CCEEFF"/>
          </w:tcPr>
          <w:p>
            <w:pPr>
              <w:jc w:val="right"/>
              <w:ind w:right="620"/>
              <w:spacing w:after="0"/>
              <w:rPr>
                <w:sz w:val="20"/>
                <w:szCs w:val="20"/>
                <w:color w:val="auto"/>
              </w:rPr>
            </w:pPr>
            <w:r>
              <w:rPr>
                <w:rFonts w:ascii="Arial" w:cs="Arial" w:eastAsia="Arial" w:hAnsi="Arial"/>
                <w:sz w:val="18"/>
                <w:szCs w:val="18"/>
                <w:color w:val="auto"/>
              </w:rPr>
              <w:t>—</w:t>
            </w:r>
          </w:p>
        </w:tc>
        <w:tc>
          <w:tcPr>
            <w:tcW w:w="82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(1,490)</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132"/>
              <w:spacing w:after="0"/>
              <w:rPr>
                <w:sz w:val="20"/>
                <w:szCs w:val="20"/>
                <w:color w:val="auto"/>
              </w:rPr>
            </w:pPr>
            <w:r>
              <w:rPr>
                <w:rFonts w:ascii="Arial" w:cs="Arial" w:eastAsia="Arial" w:hAnsi="Arial"/>
                <w:sz w:val="18"/>
                <w:szCs w:val="18"/>
                <w:color w:val="auto"/>
              </w:rPr>
              <w:t>9.5</w:t>
            </w:r>
          </w:p>
        </w:tc>
      </w:tr>
      <w:tr>
        <w:trPr>
          <w:trHeight w:val="243"/>
        </w:trPr>
        <w:tc>
          <w:tcPr>
            <w:tcW w:w="3800" w:type="dxa"/>
            <w:vAlign w:val="bottom"/>
          </w:tcPr>
          <w:p>
            <w:pPr>
              <w:ind w:left="40"/>
              <w:spacing w:after="0"/>
              <w:rPr>
                <w:sz w:val="20"/>
                <w:szCs w:val="20"/>
                <w:color w:val="auto"/>
              </w:rPr>
            </w:pPr>
            <w:r>
              <w:rPr>
                <w:rFonts w:ascii="Arial" w:cs="Arial" w:eastAsia="Arial" w:hAnsi="Arial"/>
                <w:sz w:val="18"/>
                <w:szCs w:val="18"/>
                <w:color w:val="auto"/>
              </w:rPr>
              <w:t>Change in foreign tax rates</w:t>
            </w:r>
          </w:p>
        </w:tc>
        <w:tc>
          <w:tcPr>
            <w:tcW w:w="360" w:type="dxa"/>
            <w:vAlign w:val="bottom"/>
          </w:tcPr>
          <w:p>
            <w:pPr>
              <w:spacing w:after="0"/>
              <w:rPr>
                <w:sz w:val="21"/>
                <w:szCs w:val="21"/>
                <w:color w:val="auto"/>
              </w:rPr>
            </w:pPr>
          </w:p>
        </w:tc>
        <w:tc>
          <w:tcPr>
            <w:tcW w:w="1260" w:type="dxa"/>
            <w:vAlign w:val="bottom"/>
            <w:gridSpan w:val="3"/>
          </w:tcPr>
          <w:p>
            <w:pPr>
              <w:jc w:val="right"/>
              <w:ind w:right="48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(91)</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720" w:type="dxa"/>
            <w:vAlign w:val="bottom"/>
          </w:tcPr>
          <w:p>
            <w:pPr>
              <w:jc w:val="right"/>
              <w:ind w:right="72"/>
              <w:spacing w:after="0"/>
              <w:rPr>
                <w:sz w:val="20"/>
                <w:szCs w:val="20"/>
                <w:color w:val="auto"/>
              </w:rPr>
            </w:pPr>
            <w:r>
              <w:rPr>
                <w:rFonts w:ascii="Arial" w:cs="Arial" w:eastAsia="Arial" w:hAnsi="Arial"/>
                <w:sz w:val="18"/>
                <w:szCs w:val="18"/>
                <w:color w:val="auto"/>
              </w:rPr>
              <w:t>(0.3)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(91)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760" w:type="dxa"/>
            <w:vAlign w:val="bottom"/>
          </w:tcPr>
          <w:p>
            <w:pPr>
              <w:jc w:val="right"/>
              <w:ind w:right="132"/>
              <w:spacing w:after="0"/>
              <w:rPr>
                <w:sz w:val="20"/>
                <w:szCs w:val="20"/>
                <w:color w:val="auto"/>
              </w:rPr>
            </w:pPr>
            <w:r>
              <w:rPr>
                <w:rFonts w:ascii="Arial" w:cs="Arial" w:eastAsia="Arial" w:hAnsi="Arial"/>
                <w:sz w:val="18"/>
                <w:szCs w:val="18"/>
                <w:color w:val="auto"/>
              </w:rPr>
              <w:t>0.6</w:t>
            </w:r>
          </w:p>
        </w:tc>
      </w:tr>
      <w:tr>
        <w:trPr>
          <w:trHeight w:val="27"/>
        </w:trPr>
        <w:tc>
          <w:tcPr>
            <w:tcW w:w="3800" w:type="dxa"/>
            <w:vAlign w:val="bottom"/>
          </w:tcPr>
          <w:p>
            <w:pPr>
              <w:spacing w:after="0"/>
              <w:rPr>
                <w:sz w:val="2"/>
                <w:szCs w:val="2"/>
                <w:color w:val="auto"/>
              </w:rPr>
            </w:pPr>
          </w:p>
        </w:tc>
        <w:tc>
          <w:tcPr>
            <w:tcW w:w="3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760" w:type="dxa"/>
            <w:vAlign w:val="bottom"/>
          </w:tcPr>
          <w:p>
            <w:pPr>
              <w:spacing w:after="0"/>
              <w:rPr>
                <w:sz w:val="2"/>
                <w:szCs w:val="2"/>
                <w:color w:val="auto"/>
              </w:rPr>
            </w:pPr>
          </w:p>
        </w:tc>
      </w:tr>
      <w:tr>
        <w:trPr>
          <w:trHeight w:val="250"/>
        </w:trPr>
        <w:tc>
          <w:tcPr>
            <w:tcW w:w="3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Non-deductible transaction costs</w:t>
            </w:r>
          </w:p>
        </w:tc>
        <w:tc>
          <w:tcPr>
            <w:tcW w:w="3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4,867</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(11.5)</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gridSpan w:val="3"/>
            <w:shd w:val="clear" w:color="auto" w:fill="CCEEFF"/>
          </w:tcPr>
          <w:p>
            <w:pPr>
              <w:jc w:val="right"/>
              <w:ind w:right="620"/>
              <w:spacing w:after="0"/>
              <w:rPr>
                <w:sz w:val="20"/>
                <w:szCs w:val="20"/>
                <w:color w:val="auto"/>
              </w:rPr>
            </w:pPr>
            <w:r>
              <w:rPr>
                <w:rFonts w:ascii="Arial" w:cs="Arial" w:eastAsia="Arial" w:hAnsi="Arial"/>
                <w:sz w:val="18"/>
                <w:szCs w:val="18"/>
                <w:color w:val="auto"/>
              </w:rPr>
              <w:t>—</w:t>
            </w:r>
          </w:p>
        </w:tc>
        <w:tc>
          <w:tcPr>
            <w:tcW w:w="820" w:type="dxa"/>
            <w:vAlign w:val="bottom"/>
            <w:tcBorders>
              <w:bottom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4,867</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(31.0)</w:t>
            </w:r>
          </w:p>
        </w:tc>
      </w:tr>
      <w:tr>
        <w:trPr>
          <w:trHeight w:val="243"/>
        </w:trPr>
        <w:tc>
          <w:tcPr>
            <w:tcW w:w="3800" w:type="dxa"/>
            <w:vAlign w:val="bottom"/>
          </w:tcPr>
          <w:p>
            <w:pPr>
              <w:ind w:left="40"/>
              <w:spacing w:after="0"/>
              <w:rPr>
                <w:sz w:val="20"/>
                <w:szCs w:val="20"/>
                <w:color w:val="auto"/>
              </w:rPr>
            </w:pPr>
            <w:r>
              <w:rPr>
                <w:rFonts w:ascii="Arial" w:cs="Arial" w:eastAsia="Arial" w:hAnsi="Arial"/>
                <w:sz w:val="18"/>
                <w:szCs w:val="18"/>
                <w:color w:val="auto"/>
              </w:rPr>
              <w:t>Valuation allowance</w:t>
            </w:r>
          </w:p>
        </w:tc>
        <w:tc>
          <w:tcPr>
            <w:tcW w:w="360" w:type="dxa"/>
            <w:vAlign w:val="bottom"/>
          </w:tcPr>
          <w:p>
            <w:pPr>
              <w:spacing w:after="0"/>
              <w:rPr>
                <w:sz w:val="21"/>
                <w:szCs w:val="21"/>
                <w:color w:val="auto"/>
              </w:rPr>
            </w:pPr>
          </w:p>
        </w:tc>
        <w:tc>
          <w:tcPr>
            <w:tcW w:w="880" w:type="dxa"/>
            <w:vAlign w:val="bottom"/>
          </w:tcPr>
          <w:p>
            <w:pPr>
              <w:jc w:val="right"/>
              <w:ind w:right="13"/>
              <w:spacing w:after="0"/>
              <w:rPr>
                <w:sz w:val="20"/>
                <w:szCs w:val="20"/>
                <w:color w:val="auto"/>
              </w:rPr>
            </w:pPr>
            <w:r>
              <w:rPr>
                <w:rFonts w:ascii="Arial" w:cs="Arial" w:eastAsia="Arial" w:hAnsi="Arial"/>
                <w:sz w:val="18"/>
                <w:szCs w:val="18"/>
                <w:color w:val="auto"/>
              </w:rPr>
              <w:t>943</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60" w:type="dxa"/>
            <w:vAlign w:val="bottom"/>
          </w:tcPr>
          <w:p>
            <w:pPr>
              <w:jc w:val="right"/>
              <w:ind w:right="92"/>
              <w:spacing w:after="0"/>
              <w:rPr>
                <w:sz w:val="20"/>
                <w:szCs w:val="20"/>
                <w:color w:val="auto"/>
              </w:rPr>
            </w:pPr>
            <w:r>
              <w:rPr>
                <w:rFonts w:ascii="Arial" w:cs="Arial" w:eastAsia="Arial" w:hAnsi="Arial"/>
                <w:sz w:val="18"/>
                <w:szCs w:val="18"/>
                <w:color w:val="auto"/>
              </w:rPr>
              <w:t>(2.2)</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(317)</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720" w:type="dxa"/>
            <w:vAlign w:val="bottom"/>
          </w:tcPr>
          <w:p>
            <w:pPr>
              <w:jc w:val="right"/>
              <w:ind w:right="72"/>
              <w:spacing w:after="0"/>
              <w:rPr>
                <w:sz w:val="20"/>
                <w:szCs w:val="20"/>
                <w:color w:val="auto"/>
              </w:rPr>
            </w:pPr>
            <w:r>
              <w:rPr>
                <w:rFonts w:ascii="Arial" w:cs="Arial" w:eastAsia="Arial" w:hAnsi="Arial"/>
                <w:sz w:val="18"/>
                <w:szCs w:val="18"/>
                <w:color w:val="auto"/>
              </w:rPr>
              <w:t>(1.2)</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00" w:type="dxa"/>
            <w:vAlign w:val="bottom"/>
          </w:tcPr>
          <w:p>
            <w:pPr>
              <w:jc w:val="right"/>
              <w:ind w:right="33"/>
              <w:spacing w:after="0"/>
              <w:rPr>
                <w:sz w:val="20"/>
                <w:szCs w:val="20"/>
                <w:color w:val="auto"/>
              </w:rPr>
            </w:pPr>
            <w:r>
              <w:rPr>
                <w:rFonts w:ascii="Arial" w:cs="Arial" w:eastAsia="Arial" w:hAnsi="Arial"/>
                <w:sz w:val="18"/>
                <w:szCs w:val="18"/>
                <w:color w:val="auto"/>
              </w:rPr>
              <w:t>626</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760" w:type="dxa"/>
            <w:vAlign w:val="bottom"/>
          </w:tcPr>
          <w:p>
            <w:pPr>
              <w:jc w:val="right"/>
              <w:ind w:right="72"/>
              <w:spacing w:after="0"/>
              <w:rPr>
                <w:sz w:val="20"/>
                <w:szCs w:val="20"/>
                <w:color w:val="auto"/>
              </w:rPr>
            </w:pPr>
            <w:r>
              <w:rPr>
                <w:rFonts w:ascii="Arial" w:cs="Arial" w:eastAsia="Arial" w:hAnsi="Arial"/>
                <w:sz w:val="18"/>
                <w:szCs w:val="18"/>
                <w:color w:val="auto"/>
              </w:rPr>
              <w:t>(4.0)</w:t>
            </w:r>
          </w:p>
        </w:tc>
      </w:tr>
      <w:tr>
        <w:trPr>
          <w:trHeight w:val="27"/>
        </w:trPr>
        <w:tc>
          <w:tcPr>
            <w:tcW w:w="3800" w:type="dxa"/>
            <w:vAlign w:val="bottom"/>
          </w:tcPr>
          <w:p>
            <w:pPr>
              <w:spacing w:after="0"/>
              <w:rPr>
                <w:sz w:val="2"/>
                <w:szCs w:val="2"/>
                <w:color w:val="auto"/>
              </w:rPr>
            </w:pPr>
          </w:p>
        </w:tc>
        <w:tc>
          <w:tcPr>
            <w:tcW w:w="3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760" w:type="dxa"/>
            <w:vAlign w:val="bottom"/>
          </w:tcPr>
          <w:p>
            <w:pPr>
              <w:spacing w:after="0"/>
              <w:rPr>
                <w:sz w:val="2"/>
                <w:szCs w:val="2"/>
                <w:color w:val="auto"/>
              </w:rPr>
            </w:pPr>
          </w:p>
        </w:tc>
      </w:tr>
      <w:tr>
        <w:trPr>
          <w:trHeight w:val="270"/>
        </w:trPr>
        <w:tc>
          <w:tcPr>
            <w:tcW w:w="3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w:t>
            </w:r>
          </w:p>
        </w:tc>
        <w:tc>
          <w:tcPr>
            <w:tcW w:w="36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6</w:t>
            </w:r>
          </w:p>
        </w:tc>
        <w:tc>
          <w:tcPr>
            <w:tcW w:w="12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(968)</w:t>
            </w:r>
          </w:p>
        </w:tc>
        <w:tc>
          <w:tcPr>
            <w:tcW w:w="10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CCEEFF"/>
            </w:tcBorders>
            <w:shd w:val="clear" w:color="auto" w:fill="CCEEFF"/>
          </w:tcPr>
          <w:p>
            <w:pPr>
              <w:spacing w:after="0"/>
              <w:rPr>
                <w:sz w:val="23"/>
                <w:szCs w:val="23"/>
                <w:color w:val="auto"/>
              </w:rPr>
            </w:pPr>
          </w:p>
        </w:tc>
        <w:tc>
          <w:tcPr>
            <w:tcW w:w="72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(3.7)</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(962)</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ind w:right="132"/>
              <w:spacing w:after="0"/>
              <w:rPr>
                <w:sz w:val="20"/>
                <w:szCs w:val="20"/>
                <w:color w:val="auto"/>
              </w:rPr>
            </w:pPr>
            <w:r>
              <w:rPr>
                <w:rFonts w:ascii="Arial" w:cs="Arial" w:eastAsia="Arial" w:hAnsi="Arial"/>
                <w:sz w:val="18"/>
                <w:szCs w:val="18"/>
                <w:color w:val="auto"/>
              </w:rPr>
              <w:t>6.1</w:t>
            </w:r>
          </w:p>
        </w:tc>
      </w:tr>
      <w:tr>
        <w:trPr>
          <w:trHeight w:val="257"/>
        </w:trPr>
        <w:tc>
          <w:tcPr>
            <w:tcW w:w="3800" w:type="dxa"/>
            <w:vAlign w:val="bottom"/>
          </w:tcPr>
          <w:p>
            <w:pPr>
              <w:ind w:left="40"/>
              <w:spacing w:after="0"/>
              <w:rPr>
                <w:sz w:val="20"/>
                <w:szCs w:val="20"/>
                <w:color w:val="auto"/>
              </w:rPr>
            </w:pPr>
            <w:r>
              <w:rPr>
                <w:rFonts w:ascii="Arial" w:cs="Arial" w:eastAsia="Arial" w:hAnsi="Arial"/>
                <w:sz w:val="18"/>
                <w:szCs w:val="18"/>
                <w:color w:val="auto"/>
              </w:rPr>
              <w:t>Provision (benefit) for income taxes</w:t>
            </w: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(13,144)</w:t>
            </w:r>
          </w:p>
        </w:tc>
        <w:tc>
          <w:tcPr>
            <w:tcW w:w="120" w:type="dxa"/>
            <w:vAlign w:val="bottom"/>
          </w:tcPr>
          <w:p>
            <w:pPr>
              <w:spacing w:after="0"/>
              <w:rPr>
                <w:sz w:val="22"/>
                <w:szCs w:val="22"/>
                <w:color w:val="auto"/>
              </w:rPr>
            </w:pPr>
          </w:p>
        </w:tc>
        <w:tc>
          <w:tcPr>
            <w:tcW w:w="260" w:type="dxa"/>
            <w:vAlign w:val="bottom"/>
            <w:tcBorders>
              <w:top w:val="single" w:sz="8" w:color="auto"/>
              <w:bottom w:val="single" w:sz="8" w:color="auto"/>
            </w:tcBorders>
          </w:tcPr>
          <w:p>
            <w:pPr>
              <w:spacing w:after="0"/>
              <w:rPr>
                <w:sz w:val="22"/>
                <w:szCs w:val="22"/>
                <w:color w:val="auto"/>
              </w:rPr>
            </w:pP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31.2 %</w:t>
            </w:r>
          </w:p>
        </w:tc>
        <w:tc>
          <w:tcPr>
            <w:tcW w:w="100" w:type="dxa"/>
            <w:vAlign w:val="bottom"/>
          </w:tcPr>
          <w:p>
            <w:pPr>
              <w:spacing w:after="0"/>
              <w:rPr>
                <w:sz w:val="22"/>
                <w:szCs w:val="22"/>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880" w:type="dxa"/>
            <w:vAlign w:val="bottom"/>
            <w:tcBorders>
              <w:top w:val="single" w:sz="8" w:color="auto"/>
              <w:bottom w:val="single" w:sz="8" w:color="auto"/>
            </w:tcBorders>
          </w:tcPr>
          <w:p>
            <w:pPr>
              <w:jc w:val="right"/>
              <w:ind w:right="33"/>
              <w:spacing w:after="0"/>
              <w:rPr>
                <w:sz w:val="20"/>
                <w:szCs w:val="20"/>
                <w:color w:val="auto"/>
              </w:rPr>
            </w:pPr>
            <w:r>
              <w:rPr>
                <w:rFonts w:ascii="Arial" w:cs="Arial" w:eastAsia="Arial" w:hAnsi="Arial"/>
                <w:sz w:val="18"/>
                <w:szCs w:val="18"/>
                <w:color w:val="auto"/>
              </w:rPr>
              <w:t>5,038</w:t>
            </w:r>
          </w:p>
        </w:tc>
        <w:tc>
          <w:tcPr>
            <w:tcW w:w="100" w:type="dxa"/>
            <w:vAlign w:val="bottom"/>
          </w:tcPr>
          <w:p>
            <w:pPr>
              <w:spacing w:after="0"/>
              <w:rPr>
                <w:sz w:val="22"/>
                <w:szCs w:val="22"/>
                <w:color w:val="auto"/>
              </w:rPr>
            </w:pPr>
          </w:p>
        </w:tc>
        <w:tc>
          <w:tcPr>
            <w:tcW w:w="400" w:type="dxa"/>
            <w:vAlign w:val="bottom"/>
            <w:tcBorders>
              <w:top w:val="single" w:sz="8" w:color="auto"/>
              <w:bottom w:val="single" w:sz="8" w:color="auto"/>
            </w:tcBorders>
          </w:tcPr>
          <w:p>
            <w:pPr>
              <w:spacing w:after="0"/>
              <w:rPr>
                <w:sz w:val="22"/>
                <w:szCs w:val="22"/>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19.0 %</w:t>
            </w:r>
          </w:p>
        </w:tc>
        <w:tc>
          <w:tcPr>
            <w:tcW w:w="100" w:type="dxa"/>
            <w:vAlign w:val="bottom"/>
          </w:tcPr>
          <w:p>
            <w:pPr>
              <w:spacing w:after="0"/>
              <w:rPr>
                <w:sz w:val="22"/>
                <w:szCs w:val="22"/>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(8,106)</w:t>
            </w:r>
          </w:p>
        </w:tc>
        <w:tc>
          <w:tcPr>
            <w:tcW w:w="100" w:type="dxa"/>
            <w:vAlign w:val="bottom"/>
          </w:tcPr>
          <w:p>
            <w:pPr>
              <w:spacing w:after="0"/>
              <w:rPr>
                <w:sz w:val="22"/>
                <w:szCs w:val="22"/>
                <w:color w:val="auto"/>
              </w:rPr>
            </w:pPr>
          </w:p>
        </w:tc>
        <w:tc>
          <w:tcPr>
            <w:tcW w:w="360" w:type="dxa"/>
            <w:vAlign w:val="bottom"/>
            <w:tcBorders>
              <w:top w:val="single" w:sz="8" w:color="auto"/>
              <w:bottom w:val="single" w:sz="8" w:color="auto"/>
            </w:tcBorders>
          </w:tcPr>
          <w:p>
            <w:pPr>
              <w:spacing w:after="0"/>
              <w:rPr>
                <w:sz w:val="22"/>
                <w:szCs w:val="22"/>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51.6 %</w:t>
            </w:r>
          </w:p>
        </w:tc>
      </w:tr>
      <w:tr>
        <w:trPr>
          <w:trHeight w:val="20"/>
        </w:trPr>
        <w:tc>
          <w:tcPr>
            <w:tcW w:w="38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320"/>
        <w:spacing w:after="0" w:line="259" w:lineRule="auto"/>
        <w:rPr>
          <w:sz w:val="20"/>
          <w:szCs w:val="20"/>
          <w:color w:val="auto"/>
        </w:rPr>
      </w:pPr>
      <w:r>
        <w:rPr>
          <w:rFonts w:ascii="Arial" w:cs="Arial" w:eastAsia="Arial" w:hAnsi="Arial"/>
          <w:sz w:val="18"/>
          <w:szCs w:val="18"/>
          <w:color w:val="auto"/>
        </w:rPr>
        <w:t>The U.S. component of the rate reflects the impact of non-deductible transaction costs related to the acquisition of Lake Region Medical and the Nuvectra Spin-off, which resulted in a reduction in the overall U.S. benefit of 11.5%. The International component of the rate, which increased from 2014 to 2015, reflects a reduction in the foreign rate differential due to a decrease of taxable profits in lower tax jurisdictions as a result of additional costs incurred for ongoing expansion efforts.</w:t>
      </w:r>
    </w:p>
    <w:p>
      <w:pPr>
        <w:spacing w:after="0" w:line="187" w:lineRule="exact"/>
        <w:rPr>
          <w:sz w:val="20"/>
          <w:szCs w:val="20"/>
          <w:color w:val="auto"/>
        </w:rPr>
      </w:pPr>
    </w:p>
    <w:p>
      <w:pPr>
        <w:ind w:right="320"/>
        <w:spacing w:after="0" w:line="264" w:lineRule="auto"/>
        <w:rPr>
          <w:sz w:val="20"/>
          <w:szCs w:val="20"/>
          <w:color w:val="auto"/>
        </w:rPr>
      </w:pPr>
      <w:r>
        <w:rPr>
          <w:rFonts w:ascii="Arial" w:cs="Arial" w:eastAsia="Arial" w:hAnsi="Arial"/>
          <w:sz w:val="18"/>
          <w:szCs w:val="18"/>
          <w:color w:val="auto"/>
        </w:rPr>
        <w:t>There is a prospective potential for volatility of the effective tax rate due to several factors, including changes in the mix of pre-tax income and the jurisdictions to which it relates, business acquisitions, settlements with taxing authorities, and foreign currency exchange rate fluctuations. In addition, we continue to explore tax planning opportunities that may have a material impact on our effective tax rate.</w:t>
      </w:r>
    </w:p>
    <w:p>
      <w:pPr>
        <w:spacing w:after="0" w:line="181"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We believe it is reasonably possible that a reduction of approximately $0.1 million of the balance of unrecognized tax benefits may occur within the next twelve months as a result of the lapse of the statute of limitations and/or audit settlements, which would positively impact the effective tax rate in the period of reduction. As of January 1, 2016, approximately $8.5 million of unrecognized tax benefits would favorably impact the effect tax rate (net of federal impact on state issues), if recognized.</w:t>
      </w:r>
    </w:p>
    <w:p>
      <w:pPr>
        <w:spacing w:after="0" w:line="75"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Fiscal 2014 Compared with Fiscal 2013</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Sales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Changes to sales by major product lines were as follows (dollars in thousands):</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9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48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Year Ended</w:t>
            </w:r>
          </w:p>
        </w:tc>
        <w:tc>
          <w:tcPr>
            <w:tcW w:w="102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620" w:type="dxa"/>
            <w:vAlign w:val="bottom"/>
            <w:tcBorders>
              <w:bottom w:val="single" w:sz="8" w:color="auto"/>
            </w:tcBorders>
            <w:gridSpan w:val="3"/>
          </w:tcPr>
          <w:p>
            <w:pPr>
              <w:ind w:left="780"/>
              <w:spacing w:after="0"/>
              <w:rPr>
                <w:sz w:val="20"/>
                <w:szCs w:val="20"/>
                <w:color w:val="auto"/>
              </w:rPr>
            </w:pPr>
            <w:r>
              <w:rPr>
                <w:rFonts w:ascii="Arial" w:cs="Arial" w:eastAsia="Arial" w:hAnsi="Arial"/>
                <w:sz w:val="14"/>
                <w:szCs w:val="14"/>
                <w:b w:val="1"/>
                <w:bCs w:val="1"/>
                <w:color w:val="auto"/>
                <w:w w:val="91"/>
              </w:rPr>
              <w:t>2014 vs. 2013</w:t>
            </w:r>
          </w:p>
        </w:tc>
        <w:tc>
          <w:tcPr>
            <w:tcW w:w="1000" w:type="dxa"/>
            <w:vAlign w:val="bottom"/>
            <w:tcBorders>
              <w:bottom w:val="single" w:sz="8" w:color="auto"/>
            </w:tcBorders>
          </w:tcPr>
          <w:p>
            <w:pPr>
              <w:spacing w:after="0"/>
              <w:rPr>
                <w:sz w:val="16"/>
                <w:szCs w:val="16"/>
                <w:color w:val="auto"/>
              </w:rPr>
            </w:pPr>
          </w:p>
        </w:tc>
      </w:tr>
      <w:tr>
        <w:trPr>
          <w:trHeight w:val="152"/>
        </w:trPr>
        <w:tc>
          <w:tcPr>
            <w:tcW w:w="49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140" w:type="dxa"/>
            <w:vAlign w:val="bottom"/>
            <w:gridSpan w:val="2"/>
          </w:tcPr>
          <w:p>
            <w:pPr>
              <w:spacing w:after="0" w:line="153" w:lineRule="exact"/>
              <w:rPr>
                <w:sz w:val="20"/>
                <w:szCs w:val="20"/>
                <w:color w:val="auto"/>
              </w:rPr>
            </w:pPr>
            <w:r>
              <w:rPr>
                <w:rFonts w:ascii="Arial" w:cs="Arial" w:eastAsia="Arial" w:hAnsi="Arial"/>
                <w:sz w:val="14"/>
                <w:szCs w:val="14"/>
                <w:b w:val="1"/>
                <w:bCs w:val="1"/>
                <w:color w:val="auto"/>
              </w:rPr>
              <w:t>January 2,</w:t>
            </w:r>
          </w:p>
        </w:tc>
        <w:tc>
          <w:tcPr>
            <w:tcW w:w="340" w:type="dxa"/>
            <w:vAlign w:val="bottom"/>
          </w:tcPr>
          <w:p>
            <w:pPr>
              <w:spacing w:after="0"/>
              <w:rPr>
                <w:sz w:val="13"/>
                <w:szCs w:val="13"/>
                <w:color w:val="auto"/>
              </w:rPr>
            </w:pPr>
          </w:p>
        </w:tc>
        <w:tc>
          <w:tcPr>
            <w:tcW w:w="1140" w:type="dxa"/>
            <w:vAlign w:val="bottom"/>
            <w:gridSpan w:val="2"/>
          </w:tcPr>
          <w:p>
            <w:pPr>
              <w:spacing w:after="0" w:line="153" w:lineRule="exact"/>
              <w:rPr>
                <w:sz w:val="20"/>
                <w:szCs w:val="20"/>
                <w:color w:val="auto"/>
              </w:rPr>
            </w:pPr>
            <w:r>
              <w:rPr>
                <w:rFonts w:ascii="Arial" w:cs="Arial" w:eastAsia="Arial" w:hAnsi="Arial"/>
                <w:sz w:val="14"/>
                <w:szCs w:val="14"/>
                <w:b w:val="1"/>
                <w:bCs w:val="1"/>
                <w:color w:val="auto"/>
              </w:rPr>
              <w:t>January 3,</w:t>
            </w:r>
          </w:p>
        </w:tc>
        <w:tc>
          <w:tcPr>
            <w:tcW w:w="280" w:type="dxa"/>
            <w:vAlign w:val="bottom"/>
          </w:tcPr>
          <w:p>
            <w:pPr>
              <w:spacing w:after="0"/>
              <w:rPr>
                <w:sz w:val="13"/>
                <w:szCs w:val="13"/>
                <w:color w:val="auto"/>
              </w:rPr>
            </w:pPr>
          </w:p>
        </w:tc>
        <w:tc>
          <w:tcPr>
            <w:tcW w:w="1080" w:type="dxa"/>
            <w:vAlign w:val="bottom"/>
          </w:tcPr>
          <w:p>
            <w:pPr>
              <w:jc w:val="right"/>
              <w:ind w:right="556"/>
              <w:spacing w:after="0" w:line="153" w:lineRule="exact"/>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000" w:type="dxa"/>
            <w:vAlign w:val="bottom"/>
          </w:tcPr>
          <w:p>
            <w:pPr>
              <w:jc w:val="right"/>
              <w:ind w:right="554"/>
              <w:spacing w:after="0" w:line="153" w:lineRule="exact"/>
              <w:rPr>
                <w:sz w:val="20"/>
                <w:szCs w:val="20"/>
                <w:color w:val="auto"/>
              </w:rPr>
            </w:pPr>
            <w:r>
              <w:rPr>
                <w:rFonts w:ascii="Arial" w:cs="Arial" w:eastAsia="Arial" w:hAnsi="Arial"/>
                <w:sz w:val="14"/>
                <w:szCs w:val="14"/>
                <w:b w:val="1"/>
                <w:bCs w:val="1"/>
                <w:color w:val="auto"/>
              </w:rPr>
              <w:t>%</w:t>
            </w:r>
          </w:p>
        </w:tc>
      </w:tr>
      <w:tr>
        <w:trPr>
          <w:trHeight w:val="192"/>
        </w:trPr>
        <w:tc>
          <w:tcPr>
            <w:tcW w:w="49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040" w:type="dxa"/>
            <w:vAlign w:val="bottom"/>
          </w:tcPr>
          <w:p>
            <w:pPr>
              <w:jc w:val="right"/>
              <w:ind w:right="456"/>
              <w:spacing w:after="0"/>
              <w:rPr>
                <w:sz w:val="20"/>
                <w:szCs w:val="20"/>
                <w:color w:val="auto"/>
              </w:rPr>
            </w:pPr>
            <w:r>
              <w:rPr>
                <w:rFonts w:ascii="Arial" w:cs="Arial" w:eastAsia="Arial" w:hAnsi="Arial"/>
                <w:sz w:val="14"/>
                <w:szCs w:val="14"/>
                <w:b w:val="1"/>
                <w:bCs w:val="1"/>
                <w:color w:val="auto"/>
              </w:rPr>
              <w:t>2015</w:t>
            </w: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020" w:type="dxa"/>
            <w:vAlign w:val="bottom"/>
          </w:tcPr>
          <w:p>
            <w:pPr>
              <w:jc w:val="right"/>
              <w:ind w:right="434"/>
              <w:spacing w:after="0"/>
              <w:rPr>
                <w:sz w:val="20"/>
                <w:szCs w:val="20"/>
                <w:color w:val="auto"/>
              </w:rPr>
            </w:pPr>
            <w:r>
              <w:rPr>
                <w:rFonts w:ascii="Arial" w:cs="Arial" w:eastAsia="Arial" w:hAnsi="Arial"/>
                <w:sz w:val="14"/>
                <w:szCs w:val="14"/>
                <w:b w:val="1"/>
                <w:bCs w:val="1"/>
                <w:color w:val="auto"/>
              </w:rPr>
              <w:t>2014</w:t>
            </w: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620" w:type="dxa"/>
            <w:vAlign w:val="bottom"/>
            <w:gridSpan w:val="3"/>
          </w:tcPr>
          <w:p>
            <w:pPr>
              <w:ind w:left="160"/>
              <w:spacing w:after="0"/>
              <w:rPr>
                <w:sz w:val="20"/>
                <w:szCs w:val="20"/>
                <w:color w:val="auto"/>
              </w:rPr>
            </w:pPr>
            <w:r>
              <w:rPr>
                <w:rFonts w:ascii="Arial" w:cs="Arial" w:eastAsia="Arial" w:hAnsi="Arial"/>
                <w:sz w:val="14"/>
                <w:szCs w:val="14"/>
                <w:b w:val="1"/>
                <w:bCs w:val="1"/>
                <w:color w:val="auto"/>
              </w:rPr>
              <w:t>Change</w:t>
            </w:r>
          </w:p>
        </w:tc>
        <w:tc>
          <w:tcPr>
            <w:tcW w:w="1000" w:type="dxa"/>
            <w:vAlign w:val="bottom"/>
          </w:tcPr>
          <w:p>
            <w:pPr>
              <w:jc w:val="right"/>
              <w:ind w:right="394"/>
              <w:spacing w:after="0"/>
              <w:rPr>
                <w:sz w:val="20"/>
                <w:szCs w:val="20"/>
                <w:color w:val="auto"/>
              </w:rPr>
            </w:pPr>
            <w:r>
              <w:rPr>
                <w:rFonts w:ascii="Arial" w:cs="Arial" w:eastAsia="Arial" w:hAnsi="Arial"/>
                <w:sz w:val="14"/>
                <w:szCs w:val="14"/>
                <w:b w:val="1"/>
                <w:bCs w:val="1"/>
                <w:color w:val="auto"/>
                <w:w w:val="97"/>
              </w:rPr>
              <w:t>Change</w:t>
            </w:r>
          </w:p>
        </w:tc>
      </w:tr>
      <w:tr>
        <w:trPr>
          <w:trHeight w:val="250"/>
        </w:trPr>
        <w:tc>
          <w:tcPr>
            <w:tcW w:w="492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Sales:</w:t>
            </w:r>
          </w:p>
        </w:tc>
        <w:tc>
          <w:tcPr>
            <w:tcW w:w="660" w:type="dxa"/>
            <w:vAlign w:val="bottom"/>
            <w:tcBorders>
              <w:top w:val="single" w:sz="8" w:color="CCEEFF"/>
              <w:bottom w:val="single" w:sz="8" w:color="CCEEFF"/>
            </w:tcBorders>
            <w:shd w:val="clear" w:color="auto" w:fill="CCEEFF"/>
          </w:tcPr>
          <w:p>
            <w:pPr>
              <w:spacing w:after="0"/>
              <w:rPr>
                <w:sz w:val="21"/>
                <w:szCs w:val="21"/>
                <w:color w:val="auto"/>
              </w:rPr>
            </w:pPr>
          </w:p>
        </w:tc>
        <w:tc>
          <w:tcPr>
            <w:tcW w:w="320" w:type="dxa"/>
            <w:vAlign w:val="bottom"/>
            <w:tcBorders>
              <w:top w:val="single" w:sz="8" w:color="auto"/>
              <w:bottom w:val="single" w:sz="8" w:color="CCEEFF"/>
            </w:tcBorders>
            <w:shd w:val="clear" w:color="auto" w:fill="CCEEFF"/>
          </w:tcPr>
          <w:p>
            <w:pPr>
              <w:spacing w:after="0"/>
              <w:rPr>
                <w:sz w:val="21"/>
                <w:szCs w:val="21"/>
                <w:color w:val="auto"/>
              </w:rPr>
            </w:pPr>
          </w:p>
        </w:tc>
        <w:tc>
          <w:tcPr>
            <w:tcW w:w="104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340" w:type="dxa"/>
            <w:vAlign w:val="bottom"/>
            <w:tcBorders>
              <w:top w:val="single" w:sz="8" w:color="auto"/>
              <w:bottom w:val="single" w:sz="8" w:color="CCEEFF"/>
            </w:tcBorders>
            <w:shd w:val="clear" w:color="auto" w:fill="CCEEFF"/>
          </w:tcPr>
          <w:p>
            <w:pPr>
              <w:spacing w:after="0"/>
              <w:rPr>
                <w:sz w:val="21"/>
                <w:szCs w:val="21"/>
                <w:color w:val="auto"/>
              </w:rPr>
            </w:pPr>
          </w:p>
        </w:tc>
        <w:tc>
          <w:tcPr>
            <w:tcW w:w="102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CCEEFF"/>
            </w:tcBorders>
            <w:shd w:val="clear" w:color="auto" w:fill="CCEEFF"/>
          </w:tcPr>
          <w:p>
            <w:pPr>
              <w:spacing w:after="0"/>
              <w:rPr>
                <w:sz w:val="21"/>
                <w:szCs w:val="21"/>
                <w:color w:val="auto"/>
              </w:rPr>
            </w:pPr>
          </w:p>
        </w:tc>
        <w:tc>
          <w:tcPr>
            <w:tcW w:w="10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440" w:type="dxa"/>
            <w:vAlign w:val="bottom"/>
            <w:tcBorders>
              <w:top w:val="single" w:sz="8" w:color="auto"/>
              <w:bottom w:val="single" w:sz="8" w:color="CCEEFF"/>
            </w:tcBorders>
            <w:shd w:val="clear" w:color="auto" w:fill="CCEEFF"/>
          </w:tcPr>
          <w:p>
            <w:pPr>
              <w:spacing w:after="0"/>
              <w:rPr>
                <w:sz w:val="21"/>
                <w:szCs w:val="21"/>
                <w:color w:val="auto"/>
              </w:rPr>
            </w:pPr>
          </w:p>
        </w:tc>
        <w:tc>
          <w:tcPr>
            <w:tcW w:w="1000" w:type="dxa"/>
            <w:vAlign w:val="bottom"/>
            <w:tcBorders>
              <w:top w:val="single" w:sz="8" w:color="auto"/>
              <w:bottom w:val="single" w:sz="8" w:color="CCEEFF"/>
            </w:tcBorders>
            <w:shd w:val="clear" w:color="auto" w:fill="CCEEFF"/>
          </w:tcPr>
          <w:p>
            <w:pPr>
              <w:spacing w:after="0"/>
              <w:rPr>
                <w:sz w:val="21"/>
                <w:szCs w:val="21"/>
                <w:color w:val="auto"/>
              </w:rPr>
            </w:pPr>
          </w:p>
        </w:tc>
      </w:tr>
      <w:tr>
        <w:trPr>
          <w:trHeight w:val="243"/>
        </w:trPr>
        <w:tc>
          <w:tcPr>
            <w:tcW w:w="4920" w:type="dxa"/>
            <w:vAlign w:val="bottom"/>
          </w:tcPr>
          <w:p>
            <w:pPr>
              <w:ind w:left="280"/>
              <w:spacing w:after="0"/>
              <w:rPr>
                <w:sz w:val="20"/>
                <w:szCs w:val="20"/>
                <w:color w:val="auto"/>
              </w:rPr>
            </w:pPr>
            <w:r>
              <w:rPr>
                <w:rFonts w:ascii="Arial" w:cs="Arial" w:eastAsia="Arial" w:hAnsi="Arial"/>
                <w:sz w:val="18"/>
                <w:szCs w:val="18"/>
                <w:color w:val="auto"/>
              </w:rPr>
              <w:t>Advanced Surgical, Orthopaedics, and Portable Medical</w:t>
            </w:r>
          </w:p>
        </w:tc>
        <w:tc>
          <w:tcPr>
            <w:tcW w:w="9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36"/>
              <w:spacing w:after="0"/>
              <w:rPr>
                <w:sz w:val="20"/>
                <w:szCs w:val="20"/>
                <w:color w:val="auto"/>
              </w:rPr>
            </w:pPr>
            <w:r>
              <w:rPr>
                <w:rFonts w:ascii="Arial" w:cs="Arial" w:eastAsia="Arial" w:hAnsi="Arial"/>
                <w:sz w:val="18"/>
                <w:szCs w:val="18"/>
                <w:color w:val="auto"/>
              </w:rPr>
              <w:t>216,339</w:t>
            </w:r>
          </w:p>
        </w:tc>
        <w:tc>
          <w:tcPr>
            <w:tcW w:w="100" w:type="dxa"/>
            <w:vAlign w:val="bottom"/>
          </w:tcPr>
          <w:p>
            <w:pPr>
              <w:spacing w:after="0"/>
              <w:rPr>
                <w:sz w:val="21"/>
                <w:szCs w:val="21"/>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020" w:type="dxa"/>
            <w:vAlign w:val="bottom"/>
          </w:tcPr>
          <w:p>
            <w:pPr>
              <w:jc w:val="right"/>
              <w:ind w:right="14"/>
              <w:spacing w:after="0"/>
              <w:rPr>
                <w:sz w:val="20"/>
                <w:szCs w:val="20"/>
                <w:color w:val="auto"/>
              </w:rPr>
            </w:pPr>
            <w:r>
              <w:rPr>
                <w:rFonts w:ascii="Arial" w:cs="Arial" w:eastAsia="Arial" w:hAnsi="Arial"/>
                <w:sz w:val="18"/>
                <w:szCs w:val="18"/>
                <w:color w:val="auto"/>
              </w:rPr>
              <w:t>208,990</w:t>
            </w:r>
          </w:p>
        </w:tc>
        <w:tc>
          <w:tcPr>
            <w:tcW w:w="12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16"/>
              <w:spacing w:after="0"/>
              <w:rPr>
                <w:sz w:val="20"/>
                <w:szCs w:val="20"/>
                <w:color w:val="auto"/>
              </w:rPr>
            </w:pPr>
            <w:r>
              <w:rPr>
                <w:rFonts w:ascii="Arial" w:cs="Arial" w:eastAsia="Arial" w:hAnsi="Arial"/>
                <w:sz w:val="18"/>
                <w:szCs w:val="18"/>
                <w:color w:val="auto"/>
              </w:rPr>
              <w:t>7,349</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4%</w:t>
            </w:r>
          </w:p>
        </w:tc>
      </w:tr>
      <w:tr>
        <w:trPr>
          <w:trHeight w:val="27"/>
        </w:trPr>
        <w:tc>
          <w:tcPr>
            <w:tcW w:w="4920" w:type="dxa"/>
            <w:vAlign w:val="bottom"/>
          </w:tcPr>
          <w:p>
            <w:pPr>
              <w:spacing w:after="0"/>
              <w:rPr>
                <w:sz w:val="2"/>
                <w:szCs w:val="2"/>
                <w:color w:val="auto"/>
              </w:rPr>
            </w:pPr>
          </w:p>
        </w:tc>
        <w:tc>
          <w:tcPr>
            <w:tcW w:w="66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49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Cardio and Vascular</w:t>
            </w:r>
          </w:p>
        </w:tc>
        <w:tc>
          <w:tcPr>
            <w:tcW w:w="66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58,770</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48,357</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10,413</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w:t>
            </w:r>
          </w:p>
        </w:tc>
      </w:tr>
      <w:tr>
        <w:trPr>
          <w:trHeight w:val="243"/>
        </w:trPr>
        <w:tc>
          <w:tcPr>
            <w:tcW w:w="4920" w:type="dxa"/>
            <w:vAlign w:val="bottom"/>
          </w:tcPr>
          <w:p>
            <w:pPr>
              <w:ind w:left="280"/>
              <w:spacing w:after="0"/>
              <w:rPr>
                <w:sz w:val="20"/>
                <w:szCs w:val="20"/>
                <w:color w:val="auto"/>
              </w:rPr>
            </w:pPr>
            <w:r>
              <w:rPr>
                <w:rFonts w:ascii="Arial" w:cs="Arial" w:eastAsia="Arial" w:hAnsi="Arial"/>
                <w:sz w:val="18"/>
                <w:szCs w:val="18"/>
                <w:color w:val="auto"/>
              </w:rPr>
              <w:t>Cardiac/Neuromodulation</w:t>
            </w:r>
          </w:p>
        </w:tc>
        <w:tc>
          <w:tcPr>
            <w:tcW w:w="66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ind w:right="36"/>
              <w:spacing w:after="0"/>
              <w:rPr>
                <w:sz w:val="20"/>
                <w:szCs w:val="20"/>
                <w:color w:val="auto"/>
              </w:rPr>
            </w:pPr>
            <w:r>
              <w:rPr>
                <w:rFonts w:ascii="Arial" w:cs="Arial" w:eastAsia="Arial" w:hAnsi="Arial"/>
                <w:sz w:val="18"/>
                <w:szCs w:val="18"/>
                <w:color w:val="auto"/>
              </w:rPr>
              <w:t>330,921</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20" w:type="dxa"/>
            <w:vAlign w:val="bottom"/>
          </w:tcPr>
          <w:p>
            <w:pPr>
              <w:jc w:val="right"/>
              <w:ind w:right="14"/>
              <w:spacing w:after="0"/>
              <w:rPr>
                <w:sz w:val="20"/>
                <w:szCs w:val="20"/>
                <w:color w:val="auto"/>
              </w:rPr>
            </w:pPr>
            <w:r>
              <w:rPr>
                <w:rFonts w:ascii="Arial" w:cs="Arial" w:eastAsia="Arial" w:hAnsi="Arial"/>
                <w:sz w:val="18"/>
                <w:szCs w:val="18"/>
                <w:color w:val="auto"/>
              </w:rPr>
              <w:t>328,455</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tcPr>
          <w:p>
            <w:pPr>
              <w:jc w:val="right"/>
              <w:ind w:right="16"/>
              <w:spacing w:after="0"/>
              <w:rPr>
                <w:sz w:val="20"/>
                <w:szCs w:val="20"/>
                <w:color w:val="auto"/>
              </w:rPr>
            </w:pPr>
            <w:r>
              <w:rPr>
                <w:rFonts w:ascii="Arial" w:cs="Arial" w:eastAsia="Arial" w:hAnsi="Arial"/>
                <w:sz w:val="18"/>
                <w:szCs w:val="18"/>
                <w:color w:val="auto"/>
              </w:rPr>
              <w:t>2,466</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w:t>
            </w:r>
          </w:p>
        </w:tc>
      </w:tr>
      <w:tr>
        <w:trPr>
          <w:trHeight w:val="27"/>
        </w:trPr>
        <w:tc>
          <w:tcPr>
            <w:tcW w:w="4920" w:type="dxa"/>
            <w:vAlign w:val="bottom"/>
          </w:tcPr>
          <w:p>
            <w:pPr>
              <w:spacing w:after="0"/>
              <w:rPr>
                <w:sz w:val="2"/>
                <w:szCs w:val="2"/>
                <w:color w:val="auto"/>
              </w:rPr>
            </w:pPr>
          </w:p>
        </w:tc>
        <w:tc>
          <w:tcPr>
            <w:tcW w:w="66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49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Electrochem</w:t>
            </w:r>
          </w:p>
        </w:tc>
        <w:tc>
          <w:tcPr>
            <w:tcW w:w="66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81,757</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78,143</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3,614</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w:t>
            </w:r>
          </w:p>
        </w:tc>
      </w:tr>
      <w:tr>
        <w:trPr>
          <w:trHeight w:val="243"/>
        </w:trPr>
        <w:tc>
          <w:tcPr>
            <w:tcW w:w="4920" w:type="dxa"/>
            <w:vAlign w:val="bottom"/>
          </w:tcPr>
          <w:p>
            <w:pPr>
              <w:ind w:left="280"/>
              <w:spacing w:after="0"/>
              <w:rPr>
                <w:sz w:val="20"/>
                <w:szCs w:val="20"/>
                <w:color w:val="auto"/>
              </w:rPr>
            </w:pPr>
            <w:r>
              <w:rPr>
                <w:rFonts w:ascii="Arial" w:cs="Arial" w:eastAsia="Arial" w:hAnsi="Arial"/>
                <w:sz w:val="18"/>
                <w:szCs w:val="18"/>
                <w:color w:val="auto"/>
              </w:rPr>
              <w:t>Elimination of interproduct line sales</w:t>
            </w:r>
          </w:p>
        </w:tc>
        <w:tc>
          <w:tcPr>
            <w:tcW w:w="66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1"/>
                <w:szCs w:val="21"/>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1620" w:type="dxa"/>
            <w:vAlign w:val="bottom"/>
            <w:gridSpan w:val="3"/>
          </w:tcPr>
          <w:p>
            <w:pPr>
              <w:jc w:val="right"/>
              <w:ind w:right="640"/>
              <w:spacing w:after="0"/>
              <w:rPr>
                <w:sz w:val="20"/>
                <w:szCs w:val="20"/>
                <w:color w:val="auto"/>
              </w:rPr>
            </w:pPr>
            <w:r>
              <w:rPr>
                <w:rFonts w:ascii="Arial" w:cs="Arial" w:eastAsia="Arial" w:hAnsi="Arial"/>
                <w:sz w:val="18"/>
                <w:szCs w:val="18"/>
                <w:color w:val="auto"/>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7"/>
        </w:trPr>
        <w:tc>
          <w:tcPr>
            <w:tcW w:w="4920" w:type="dxa"/>
            <w:vAlign w:val="bottom"/>
            <w:tcBorders>
              <w:bottom w:val="single" w:sz="8" w:color="CCEEFF"/>
            </w:tcBorders>
          </w:tcPr>
          <w:p>
            <w:pPr>
              <w:spacing w:after="0"/>
              <w:rPr>
                <w:sz w:val="2"/>
                <w:szCs w:val="2"/>
                <w:color w:val="auto"/>
              </w:rPr>
            </w:pPr>
          </w:p>
        </w:tc>
        <w:tc>
          <w:tcPr>
            <w:tcW w:w="66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57"/>
        </w:trPr>
        <w:tc>
          <w:tcPr>
            <w:tcW w:w="4920" w:type="dxa"/>
            <w:vAlign w:val="bottom"/>
            <w:shd w:val="clear" w:color="auto" w:fill="CCEEFF"/>
          </w:tcPr>
          <w:p>
            <w:pPr>
              <w:ind w:left="280"/>
              <w:spacing w:after="0"/>
              <w:rPr>
                <w:sz w:val="20"/>
                <w:szCs w:val="20"/>
                <w:color w:val="auto"/>
              </w:rPr>
            </w:pPr>
            <w:r>
              <w:rPr>
                <w:rFonts w:ascii="Arial" w:cs="Arial" w:eastAsia="Arial" w:hAnsi="Arial"/>
                <w:sz w:val="18"/>
                <w:szCs w:val="18"/>
                <w:color w:val="auto"/>
              </w:rPr>
              <w:t>Total sales</w:t>
            </w:r>
          </w:p>
        </w:tc>
        <w:tc>
          <w:tcPr>
            <w:tcW w:w="9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jc w:val="right"/>
              <w:ind w:right="36"/>
              <w:spacing w:after="0"/>
              <w:rPr>
                <w:sz w:val="20"/>
                <w:szCs w:val="20"/>
                <w:color w:val="auto"/>
              </w:rPr>
            </w:pPr>
            <w:r>
              <w:rPr>
                <w:rFonts w:ascii="Arial" w:cs="Arial" w:eastAsia="Arial" w:hAnsi="Arial"/>
                <w:sz w:val="18"/>
                <w:szCs w:val="18"/>
                <w:color w:val="auto"/>
              </w:rPr>
              <w:t>687,787</w:t>
            </w:r>
          </w:p>
        </w:tc>
        <w:tc>
          <w:tcPr>
            <w:tcW w:w="100" w:type="dxa"/>
            <w:vAlign w:val="bottom"/>
            <w:shd w:val="clear" w:color="auto" w:fill="CCEEFF"/>
          </w:tcPr>
          <w:p>
            <w:pPr>
              <w:spacing w:after="0"/>
              <w:rPr>
                <w:sz w:val="22"/>
                <w:szCs w:val="22"/>
                <w:color w:val="auto"/>
              </w:rPr>
            </w:pPr>
          </w:p>
        </w:tc>
        <w:tc>
          <w:tcPr>
            <w:tcW w:w="34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02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663,945</w:t>
            </w:r>
          </w:p>
        </w:tc>
        <w:tc>
          <w:tcPr>
            <w:tcW w:w="120" w:type="dxa"/>
            <w:vAlign w:val="bottom"/>
            <w:shd w:val="clear" w:color="auto" w:fill="CCEEFF"/>
          </w:tcPr>
          <w:p>
            <w:pPr>
              <w:spacing w:after="0"/>
              <w:rPr>
                <w:sz w:val="22"/>
                <w:szCs w:val="22"/>
                <w:color w:val="auto"/>
              </w:rPr>
            </w:pPr>
          </w:p>
        </w:tc>
        <w:tc>
          <w:tcPr>
            <w:tcW w:w="2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080" w:type="dxa"/>
            <w:vAlign w:val="bottom"/>
            <w:shd w:val="clear" w:color="auto" w:fill="CCEEFF"/>
          </w:tcPr>
          <w:p>
            <w:pPr>
              <w:jc w:val="right"/>
              <w:ind w:right="16"/>
              <w:spacing w:after="0"/>
              <w:rPr>
                <w:sz w:val="20"/>
                <w:szCs w:val="20"/>
                <w:color w:val="auto"/>
              </w:rPr>
            </w:pPr>
            <w:r>
              <w:rPr>
                <w:rFonts w:ascii="Arial" w:cs="Arial" w:eastAsia="Arial" w:hAnsi="Arial"/>
                <w:sz w:val="18"/>
                <w:szCs w:val="18"/>
                <w:color w:val="auto"/>
              </w:rPr>
              <w:t>23,842</w:t>
            </w:r>
          </w:p>
        </w:tc>
        <w:tc>
          <w:tcPr>
            <w:tcW w:w="100" w:type="dxa"/>
            <w:vAlign w:val="bottom"/>
            <w:shd w:val="clear" w:color="auto" w:fill="CCEEFF"/>
          </w:tcPr>
          <w:p>
            <w:pPr>
              <w:spacing w:after="0"/>
              <w:rPr>
                <w:sz w:val="22"/>
                <w:szCs w:val="22"/>
                <w:color w:val="auto"/>
              </w:rPr>
            </w:pPr>
          </w:p>
        </w:tc>
        <w:tc>
          <w:tcPr>
            <w:tcW w:w="440" w:type="dxa"/>
            <w:vAlign w:val="bottom"/>
            <w:shd w:val="clear" w:color="auto" w:fill="CCEEFF"/>
          </w:tcPr>
          <w:p>
            <w:pPr>
              <w:spacing w:after="0"/>
              <w:rPr>
                <w:sz w:val="22"/>
                <w:szCs w:val="22"/>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w:t>
            </w:r>
          </w:p>
        </w:tc>
      </w:tr>
      <w:tr>
        <w:trPr>
          <w:trHeight w:val="20"/>
        </w:trPr>
        <w:tc>
          <w:tcPr>
            <w:tcW w:w="4920" w:type="dxa"/>
            <w:vAlign w:val="bottom"/>
            <w:tcBorders>
              <w:top w:val="single" w:sz="8" w:color="CCEEFF"/>
            </w:tcBorders>
          </w:tcPr>
          <w:p>
            <w:pPr>
              <w:spacing w:after="0" w:line="20" w:lineRule="exact"/>
              <w:rPr>
                <w:sz w:val="1"/>
                <w:szCs w:val="1"/>
                <w:color w:val="auto"/>
              </w:rPr>
            </w:pPr>
          </w:p>
        </w:tc>
        <w:tc>
          <w:tcPr>
            <w:tcW w:w="66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r>
      <w:tr>
        <w:trPr>
          <w:trHeight w:val="662"/>
        </w:trPr>
        <w:tc>
          <w:tcPr>
            <w:tcW w:w="4920" w:type="dxa"/>
            <w:vAlign w:val="bottom"/>
          </w:tcPr>
          <w:p>
            <w:pPr>
              <w:spacing w:after="0"/>
              <w:rPr>
                <w:sz w:val="24"/>
                <w:szCs w:val="24"/>
                <w:color w:val="auto"/>
              </w:rPr>
            </w:pPr>
          </w:p>
        </w:tc>
        <w:tc>
          <w:tcPr>
            <w:tcW w:w="980" w:type="dxa"/>
            <w:vAlign w:val="bottom"/>
            <w:gridSpan w:val="2"/>
          </w:tcPr>
          <w:p>
            <w:pPr>
              <w:jc w:val="right"/>
              <w:spacing w:after="0"/>
              <w:rPr>
                <w:sz w:val="20"/>
                <w:szCs w:val="20"/>
                <w:color w:val="auto"/>
              </w:rPr>
            </w:pPr>
            <w:r>
              <w:rPr>
                <w:rFonts w:ascii="Arial" w:cs="Arial" w:eastAsia="Arial" w:hAnsi="Arial"/>
                <w:sz w:val="18"/>
                <w:szCs w:val="18"/>
                <w:color w:val="auto"/>
              </w:rPr>
              <w:t>- 53 -</w:t>
            </w: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000" w:type="dxa"/>
            <w:vAlign w:val="bottom"/>
          </w:tcPr>
          <w:p>
            <w:pPr>
              <w:spacing w:after="0"/>
              <w:rPr>
                <w:sz w:val="24"/>
                <w:szCs w:val="24"/>
                <w:color w:val="auto"/>
              </w:rPr>
            </w:pPr>
          </w:p>
        </w:tc>
      </w:tr>
    </w:tbl>
    <w:p>
      <w:pPr>
        <w:sectPr>
          <w:pgSz w:w="11900" w:h="16838" w:orient="portrait"/>
          <w:cols w:equalWidth="0" w:num="1">
            <w:col w:w="11420"/>
          </w:cols>
          <w:pgMar w:left="240" w:top="909" w:right="239" w:bottom="1440" w:gutter="0" w:footer="0" w:header="0"/>
        </w:sectPr>
      </w:pPr>
    </w:p>
    <w:bookmarkStart w:id="54" w:name="page55"/>
    <w:bookmarkEnd w:id="54"/>
    <w:p>
      <w:pPr>
        <w:spacing w:after="0"/>
        <w:rPr>
          <w:sz w:val="20"/>
          <w:szCs w:val="20"/>
          <w:color w:val="auto"/>
        </w:rPr>
      </w:pPr>
      <w:r>
        <w:rPr>
          <w:rFonts w:ascii="Arial" w:cs="Arial" w:eastAsia="Arial" w:hAnsi="Arial"/>
          <w:sz w:val="18"/>
          <w:szCs w:val="18"/>
          <w:color w:val="auto"/>
        </w:rPr>
        <w:t>Changes to sales by business segment were as follows (dollars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64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54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Year Ended</w:t>
            </w:r>
          </w:p>
        </w:tc>
        <w:tc>
          <w:tcPr>
            <w:tcW w:w="102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500" w:type="dxa"/>
            <w:vAlign w:val="bottom"/>
            <w:tcBorders>
              <w:bottom w:val="single" w:sz="8" w:color="auto"/>
            </w:tcBorders>
            <w:gridSpan w:val="3"/>
          </w:tcPr>
          <w:p>
            <w:pPr>
              <w:ind w:left="660"/>
              <w:spacing w:after="0"/>
              <w:rPr>
                <w:sz w:val="20"/>
                <w:szCs w:val="20"/>
                <w:color w:val="auto"/>
              </w:rPr>
            </w:pPr>
            <w:r>
              <w:rPr>
                <w:rFonts w:ascii="Arial" w:cs="Arial" w:eastAsia="Arial" w:hAnsi="Arial"/>
                <w:sz w:val="14"/>
                <w:szCs w:val="14"/>
                <w:b w:val="1"/>
                <w:bCs w:val="1"/>
                <w:color w:val="auto"/>
                <w:w w:val="91"/>
              </w:rPr>
              <w:t>2014 vs. 2013</w:t>
            </w:r>
          </w:p>
        </w:tc>
        <w:tc>
          <w:tcPr>
            <w:tcW w:w="860" w:type="dxa"/>
            <w:vAlign w:val="bottom"/>
            <w:tcBorders>
              <w:bottom w:val="single" w:sz="8" w:color="auto"/>
            </w:tcBorders>
          </w:tcPr>
          <w:p>
            <w:pPr>
              <w:spacing w:after="0"/>
              <w:rPr>
                <w:sz w:val="16"/>
                <w:szCs w:val="16"/>
                <w:color w:val="auto"/>
              </w:rPr>
            </w:pPr>
          </w:p>
        </w:tc>
      </w:tr>
      <w:tr>
        <w:trPr>
          <w:trHeight w:val="152"/>
        </w:trPr>
        <w:tc>
          <w:tcPr>
            <w:tcW w:w="56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20" w:type="dxa"/>
            <w:vAlign w:val="bottom"/>
            <w:gridSpan w:val="2"/>
          </w:tcPr>
          <w:p>
            <w:pPr>
              <w:ind w:left="100"/>
              <w:spacing w:after="0" w:line="153" w:lineRule="exact"/>
              <w:rPr>
                <w:sz w:val="20"/>
                <w:szCs w:val="20"/>
                <w:color w:val="auto"/>
              </w:rPr>
            </w:pPr>
            <w:r>
              <w:rPr>
                <w:rFonts w:ascii="Arial" w:cs="Arial" w:eastAsia="Arial" w:hAnsi="Arial"/>
                <w:sz w:val="14"/>
                <w:szCs w:val="14"/>
                <w:b w:val="1"/>
                <w:bCs w:val="1"/>
                <w:color w:val="auto"/>
              </w:rPr>
              <w:t>January 2,</w:t>
            </w:r>
          </w:p>
        </w:tc>
        <w:tc>
          <w:tcPr>
            <w:tcW w:w="320" w:type="dxa"/>
            <w:vAlign w:val="bottom"/>
          </w:tcPr>
          <w:p>
            <w:pPr>
              <w:spacing w:after="0"/>
              <w:rPr>
                <w:sz w:val="13"/>
                <w:szCs w:val="13"/>
                <w:color w:val="auto"/>
              </w:rPr>
            </w:pPr>
          </w:p>
        </w:tc>
        <w:tc>
          <w:tcPr>
            <w:tcW w:w="1120" w:type="dxa"/>
            <w:vAlign w:val="bottom"/>
            <w:gridSpan w:val="2"/>
          </w:tcPr>
          <w:p>
            <w:pPr>
              <w:spacing w:after="0" w:line="153" w:lineRule="exact"/>
              <w:rPr>
                <w:sz w:val="20"/>
                <w:szCs w:val="20"/>
                <w:color w:val="auto"/>
              </w:rPr>
            </w:pPr>
            <w:r>
              <w:rPr>
                <w:rFonts w:ascii="Arial" w:cs="Arial" w:eastAsia="Arial" w:hAnsi="Arial"/>
                <w:sz w:val="14"/>
                <w:szCs w:val="14"/>
                <w:b w:val="1"/>
                <w:bCs w:val="1"/>
                <w:color w:val="auto"/>
              </w:rPr>
              <w:t>January 3,</w:t>
            </w:r>
          </w:p>
        </w:tc>
        <w:tc>
          <w:tcPr>
            <w:tcW w:w="280" w:type="dxa"/>
            <w:vAlign w:val="bottom"/>
          </w:tcPr>
          <w:p>
            <w:pPr>
              <w:spacing w:after="0"/>
              <w:rPr>
                <w:sz w:val="13"/>
                <w:szCs w:val="13"/>
                <w:color w:val="auto"/>
              </w:rPr>
            </w:pPr>
          </w:p>
        </w:tc>
        <w:tc>
          <w:tcPr>
            <w:tcW w:w="1060" w:type="dxa"/>
            <w:vAlign w:val="bottom"/>
          </w:tcPr>
          <w:p>
            <w:pPr>
              <w:jc w:val="right"/>
              <w:ind w:right="538"/>
              <w:spacing w:after="0" w:line="153"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860" w:type="dxa"/>
            <w:vAlign w:val="bottom"/>
          </w:tcPr>
          <w:p>
            <w:pPr>
              <w:jc w:val="right"/>
              <w:ind w:right="436"/>
              <w:spacing w:after="0" w:line="153" w:lineRule="exact"/>
              <w:rPr>
                <w:sz w:val="20"/>
                <w:szCs w:val="20"/>
                <w:color w:val="auto"/>
              </w:rPr>
            </w:pPr>
            <w:r>
              <w:rPr>
                <w:rFonts w:ascii="Arial" w:cs="Arial" w:eastAsia="Arial" w:hAnsi="Arial"/>
                <w:sz w:val="14"/>
                <w:szCs w:val="14"/>
                <w:b w:val="1"/>
                <w:bCs w:val="1"/>
                <w:color w:val="auto"/>
              </w:rPr>
              <w:t>%</w:t>
            </w:r>
          </w:p>
        </w:tc>
      </w:tr>
      <w:tr>
        <w:trPr>
          <w:trHeight w:val="192"/>
        </w:trPr>
        <w:tc>
          <w:tcPr>
            <w:tcW w:w="56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120" w:type="dxa"/>
            <w:vAlign w:val="bottom"/>
          </w:tcPr>
          <w:p>
            <w:pPr>
              <w:jc w:val="right"/>
              <w:ind w:right="438"/>
              <w:spacing w:after="0"/>
              <w:rPr>
                <w:sz w:val="20"/>
                <w:szCs w:val="20"/>
                <w:color w:val="auto"/>
              </w:rPr>
            </w:pPr>
            <w:r>
              <w:rPr>
                <w:rFonts w:ascii="Arial" w:cs="Arial" w:eastAsia="Arial" w:hAnsi="Arial"/>
                <w:sz w:val="14"/>
                <w:szCs w:val="14"/>
                <w:b w:val="1"/>
                <w:bCs w:val="1"/>
                <w:color w:val="auto"/>
              </w:rPr>
              <w:t>2015</w:t>
            </w:r>
          </w:p>
        </w:tc>
        <w:tc>
          <w:tcPr>
            <w:tcW w:w="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020" w:type="dxa"/>
            <w:vAlign w:val="bottom"/>
          </w:tcPr>
          <w:p>
            <w:pPr>
              <w:jc w:val="right"/>
              <w:ind w:right="436"/>
              <w:spacing w:after="0"/>
              <w:rPr>
                <w:sz w:val="20"/>
                <w:szCs w:val="20"/>
                <w:color w:val="auto"/>
              </w:rPr>
            </w:pPr>
            <w:r>
              <w:rPr>
                <w:rFonts w:ascii="Arial" w:cs="Arial" w:eastAsia="Arial" w:hAnsi="Arial"/>
                <w:sz w:val="14"/>
                <w:szCs w:val="14"/>
                <w:b w:val="1"/>
                <w:bCs w:val="1"/>
                <w:color w:val="auto"/>
              </w:rPr>
              <w:t>2014</w:t>
            </w: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500" w:type="dxa"/>
            <w:vAlign w:val="bottom"/>
            <w:gridSpan w:val="3"/>
          </w:tcPr>
          <w:p>
            <w:pPr>
              <w:ind w:left="160"/>
              <w:spacing w:after="0"/>
              <w:rPr>
                <w:sz w:val="20"/>
                <w:szCs w:val="20"/>
                <w:color w:val="auto"/>
              </w:rPr>
            </w:pPr>
            <w:r>
              <w:rPr>
                <w:rFonts w:ascii="Arial" w:cs="Arial" w:eastAsia="Arial" w:hAnsi="Arial"/>
                <w:sz w:val="14"/>
                <w:szCs w:val="14"/>
                <w:b w:val="1"/>
                <w:bCs w:val="1"/>
                <w:color w:val="auto"/>
              </w:rPr>
              <w:t>Change</w:t>
            </w:r>
          </w:p>
        </w:tc>
        <w:tc>
          <w:tcPr>
            <w:tcW w:w="860" w:type="dxa"/>
            <w:vAlign w:val="bottom"/>
          </w:tcPr>
          <w:p>
            <w:pPr>
              <w:jc w:val="right"/>
              <w:ind w:right="276"/>
              <w:spacing w:after="0"/>
              <w:rPr>
                <w:sz w:val="20"/>
                <w:szCs w:val="20"/>
                <w:color w:val="auto"/>
              </w:rPr>
            </w:pPr>
            <w:r>
              <w:rPr>
                <w:rFonts w:ascii="Arial" w:cs="Arial" w:eastAsia="Arial" w:hAnsi="Arial"/>
                <w:sz w:val="14"/>
                <w:szCs w:val="14"/>
                <w:b w:val="1"/>
                <w:bCs w:val="1"/>
                <w:color w:val="auto"/>
                <w:w w:val="93"/>
              </w:rPr>
              <w:t>Change</w:t>
            </w:r>
          </w:p>
        </w:tc>
      </w:tr>
      <w:tr>
        <w:trPr>
          <w:trHeight w:val="250"/>
        </w:trPr>
        <w:tc>
          <w:tcPr>
            <w:tcW w:w="564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Sales:</w:t>
            </w:r>
          </w:p>
        </w:tc>
        <w:tc>
          <w:tcPr>
            <w:tcW w:w="220" w:type="dxa"/>
            <w:vAlign w:val="bottom"/>
            <w:tcBorders>
              <w:top w:val="single" w:sz="8" w:color="auto"/>
              <w:bottom w:val="single" w:sz="8" w:color="CCEEFF"/>
            </w:tcBorders>
            <w:shd w:val="clear" w:color="auto" w:fill="CCEEFF"/>
          </w:tcPr>
          <w:p>
            <w:pPr>
              <w:spacing w:after="0"/>
              <w:rPr>
                <w:sz w:val="21"/>
                <w:szCs w:val="21"/>
                <w:color w:val="auto"/>
              </w:rPr>
            </w:pPr>
          </w:p>
        </w:tc>
        <w:tc>
          <w:tcPr>
            <w:tcW w:w="112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320" w:type="dxa"/>
            <w:vAlign w:val="bottom"/>
            <w:tcBorders>
              <w:top w:val="single" w:sz="8" w:color="auto"/>
              <w:bottom w:val="single" w:sz="8" w:color="CCEEFF"/>
            </w:tcBorders>
            <w:shd w:val="clear" w:color="auto" w:fill="CCEEFF"/>
          </w:tcPr>
          <w:p>
            <w:pPr>
              <w:spacing w:after="0"/>
              <w:rPr>
                <w:sz w:val="21"/>
                <w:szCs w:val="21"/>
                <w:color w:val="auto"/>
              </w:rPr>
            </w:pPr>
          </w:p>
        </w:tc>
        <w:tc>
          <w:tcPr>
            <w:tcW w:w="102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CCEEFF"/>
            </w:tcBorders>
            <w:shd w:val="clear" w:color="auto" w:fill="CCEEFF"/>
          </w:tcPr>
          <w:p>
            <w:pPr>
              <w:spacing w:after="0"/>
              <w:rPr>
                <w:sz w:val="21"/>
                <w:szCs w:val="21"/>
                <w:color w:val="auto"/>
              </w:rPr>
            </w:pPr>
          </w:p>
        </w:tc>
        <w:tc>
          <w:tcPr>
            <w:tcW w:w="106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320" w:type="dxa"/>
            <w:vAlign w:val="bottom"/>
            <w:tcBorders>
              <w:top w:val="single" w:sz="8" w:color="auto"/>
              <w:bottom w:val="single" w:sz="8" w:color="CCEEFF"/>
            </w:tcBorders>
            <w:shd w:val="clear" w:color="auto" w:fill="CCEEFF"/>
          </w:tcPr>
          <w:p>
            <w:pPr>
              <w:spacing w:after="0"/>
              <w:rPr>
                <w:sz w:val="21"/>
                <w:szCs w:val="21"/>
                <w:color w:val="auto"/>
              </w:rPr>
            </w:pPr>
          </w:p>
        </w:tc>
        <w:tc>
          <w:tcPr>
            <w:tcW w:w="860" w:type="dxa"/>
            <w:vAlign w:val="bottom"/>
            <w:tcBorders>
              <w:top w:val="single" w:sz="8" w:color="auto"/>
              <w:bottom w:val="single" w:sz="8" w:color="CCEEFF"/>
            </w:tcBorders>
            <w:shd w:val="clear" w:color="auto" w:fill="CCEEFF"/>
          </w:tcPr>
          <w:p>
            <w:pPr>
              <w:spacing w:after="0"/>
              <w:rPr>
                <w:sz w:val="21"/>
                <w:szCs w:val="21"/>
                <w:color w:val="auto"/>
              </w:rPr>
            </w:pPr>
          </w:p>
        </w:tc>
      </w:tr>
      <w:tr>
        <w:trPr>
          <w:trHeight w:val="243"/>
        </w:trPr>
        <w:tc>
          <w:tcPr>
            <w:tcW w:w="5640" w:type="dxa"/>
            <w:vAlign w:val="bottom"/>
          </w:tcPr>
          <w:p>
            <w:pPr>
              <w:ind w:left="280"/>
              <w:spacing w:after="0"/>
              <w:rPr>
                <w:sz w:val="20"/>
                <w:szCs w:val="20"/>
                <w:color w:val="auto"/>
              </w:rPr>
            </w:pPr>
            <w:r>
              <w:rPr>
                <w:rFonts w:ascii="Arial" w:cs="Arial" w:eastAsia="Arial" w:hAnsi="Arial"/>
                <w:sz w:val="18"/>
                <w:szCs w:val="18"/>
                <w:color w:val="auto"/>
              </w:rPr>
              <w:t>Greatbatch Medical</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38"/>
              <w:spacing w:after="0"/>
              <w:rPr>
                <w:sz w:val="20"/>
                <w:szCs w:val="20"/>
                <w:color w:val="auto"/>
              </w:rPr>
            </w:pPr>
            <w:r>
              <w:rPr>
                <w:rFonts w:ascii="Arial" w:cs="Arial" w:eastAsia="Arial" w:hAnsi="Arial"/>
                <w:sz w:val="18"/>
                <w:szCs w:val="18"/>
                <w:color w:val="auto"/>
              </w:rPr>
              <w:t>678,285</w:t>
            </w:r>
          </w:p>
        </w:tc>
        <w:tc>
          <w:tcPr>
            <w:tcW w:w="100" w:type="dxa"/>
            <w:vAlign w:val="bottom"/>
          </w:tcPr>
          <w:p>
            <w:pPr>
              <w:spacing w:after="0"/>
              <w:rPr>
                <w:sz w:val="21"/>
                <w:szCs w:val="21"/>
                <w:color w:val="auto"/>
              </w:rPr>
            </w:pP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020" w:type="dxa"/>
            <w:vAlign w:val="bottom"/>
          </w:tcPr>
          <w:p>
            <w:pPr>
              <w:jc w:val="right"/>
              <w:ind w:right="16"/>
              <w:spacing w:after="0"/>
              <w:rPr>
                <w:sz w:val="20"/>
                <w:szCs w:val="20"/>
                <w:color w:val="auto"/>
              </w:rPr>
            </w:pPr>
            <w:r>
              <w:rPr>
                <w:rFonts w:ascii="Arial" w:cs="Arial" w:eastAsia="Arial" w:hAnsi="Arial"/>
                <w:sz w:val="18"/>
                <w:szCs w:val="18"/>
                <w:color w:val="auto"/>
              </w:rPr>
              <w:t>660,902</w:t>
            </w:r>
          </w:p>
        </w:tc>
        <w:tc>
          <w:tcPr>
            <w:tcW w:w="10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ind w:right="18"/>
              <w:spacing w:after="0"/>
              <w:rPr>
                <w:sz w:val="20"/>
                <w:szCs w:val="20"/>
                <w:color w:val="auto"/>
              </w:rPr>
            </w:pPr>
            <w:r>
              <w:rPr>
                <w:rFonts w:ascii="Arial" w:cs="Arial" w:eastAsia="Arial" w:hAnsi="Arial"/>
                <w:sz w:val="18"/>
                <w:szCs w:val="18"/>
                <w:color w:val="auto"/>
              </w:rPr>
              <w:t>17,383</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3%</w:t>
            </w:r>
          </w:p>
        </w:tc>
      </w:tr>
      <w:tr>
        <w:trPr>
          <w:trHeight w:val="27"/>
        </w:trPr>
        <w:tc>
          <w:tcPr>
            <w:tcW w:w="56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860" w:type="dxa"/>
            <w:vAlign w:val="bottom"/>
          </w:tcPr>
          <w:p>
            <w:pPr>
              <w:spacing w:after="0"/>
              <w:rPr>
                <w:sz w:val="2"/>
                <w:szCs w:val="2"/>
                <w:color w:val="auto"/>
              </w:rPr>
            </w:pPr>
          </w:p>
        </w:tc>
      </w:tr>
      <w:tr>
        <w:trPr>
          <w:trHeight w:val="250"/>
        </w:trPr>
        <w:tc>
          <w:tcPr>
            <w:tcW w:w="56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QiG</w:t>
            </w: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8"/>
              <w:spacing w:after="0"/>
              <w:rPr>
                <w:sz w:val="20"/>
                <w:szCs w:val="20"/>
                <w:color w:val="auto"/>
              </w:rPr>
            </w:pPr>
            <w:r>
              <w:rPr>
                <w:rFonts w:ascii="Arial" w:cs="Arial" w:eastAsia="Arial" w:hAnsi="Arial"/>
                <w:sz w:val="18"/>
                <w:szCs w:val="18"/>
                <w:color w:val="auto"/>
              </w:rPr>
              <w:t>9,502</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3,043</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6,459</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212%</w:t>
            </w:r>
          </w:p>
        </w:tc>
      </w:tr>
      <w:tr>
        <w:trPr>
          <w:trHeight w:val="243"/>
        </w:trPr>
        <w:tc>
          <w:tcPr>
            <w:tcW w:w="5640" w:type="dxa"/>
            <w:vAlign w:val="bottom"/>
          </w:tcPr>
          <w:p>
            <w:pPr>
              <w:ind w:left="280"/>
              <w:spacing w:after="0"/>
              <w:rPr>
                <w:sz w:val="20"/>
                <w:szCs w:val="20"/>
                <w:color w:val="auto"/>
              </w:rPr>
            </w:pPr>
            <w:r>
              <w:rPr>
                <w:rFonts w:ascii="Arial" w:cs="Arial" w:eastAsia="Arial" w:hAnsi="Arial"/>
                <w:sz w:val="18"/>
                <w:szCs w:val="18"/>
                <w:color w:val="auto"/>
              </w:rPr>
              <w:t>Elimination of Intersegment sales</w:t>
            </w:r>
          </w:p>
        </w:tc>
        <w:tc>
          <w:tcPr>
            <w:tcW w:w="22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1"/>
                <w:szCs w:val="21"/>
                <w:color w:val="auto"/>
              </w:rPr>
            </w:pPr>
          </w:p>
        </w:tc>
        <w:tc>
          <w:tcPr>
            <w:tcW w:w="11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1500" w:type="dxa"/>
            <w:vAlign w:val="bottom"/>
            <w:gridSpan w:val="3"/>
          </w:tcPr>
          <w:p>
            <w:pPr>
              <w:jc w:val="right"/>
              <w:ind w:right="540"/>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7"/>
        </w:trPr>
        <w:tc>
          <w:tcPr>
            <w:tcW w:w="564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r>
      <w:tr>
        <w:trPr>
          <w:trHeight w:val="257"/>
        </w:trPr>
        <w:tc>
          <w:tcPr>
            <w:tcW w:w="56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sales</w:t>
            </w: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38"/>
              <w:spacing w:after="0"/>
              <w:rPr>
                <w:sz w:val="20"/>
                <w:szCs w:val="20"/>
                <w:color w:val="auto"/>
              </w:rPr>
            </w:pPr>
            <w:r>
              <w:rPr>
                <w:rFonts w:ascii="Arial" w:cs="Arial" w:eastAsia="Arial" w:hAnsi="Arial"/>
                <w:sz w:val="18"/>
                <w:szCs w:val="18"/>
                <w:color w:val="auto"/>
              </w:rPr>
              <w:t>687,787</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auto"/>
            </w:tcBorders>
            <w:shd w:val="clear" w:color="auto" w:fill="CCEEFF"/>
          </w:tcPr>
          <w:p>
            <w:pPr>
              <w:jc w:val="right"/>
              <w:ind w:right="16"/>
              <w:spacing w:after="0"/>
              <w:rPr>
                <w:sz w:val="20"/>
                <w:szCs w:val="20"/>
                <w:color w:val="auto"/>
              </w:rPr>
            </w:pPr>
            <w:r>
              <w:rPr>
                <w:rFonts w:ascii="Arial" w:cs="Arial" w:eastAsia="Arial" w:hAnsi="Arial"/>
                <w:sz w:val="18"/>
                <w:szCs w:val="18"/>
                <w:color w:val="auto"/>
              </w:rPr>
              <w:t>663,945</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auto"/>
            </w:tcBorders>
            <w:shd w:val="clear" w:color="auto" w:fill="CCEEFF"/>
          </w:tcPr>
          <w:p>
            <w:pPr>
              <w:jc w:val="right"/>
              <w:ind w:right="18"/>
              <w:spacing w:after="0"/>
              <w:rPr>
                <w:sz w:val="20"/>
                <w:szCs w:val="20"/>
                <w:color w:val="auto"/>
              </w:rPr>
            </w:pPr>
            <w:r>
              <w:rPr>
                <w:rFonts w:ascii="Arial" w:cs="Arial" w:eastAsia="Arial" w:hAnsi="Arial"/>
                <w:sz w:val="18"/>
                <w:szCs w:val="18"/>
                <w:color w:val="auto"/>
              </w:rPr>
              <w:t>23,842</w:t>
            </w:r>
          </w:p>
        </w:tc>
        <w:tc>
          <w:tcPr>
            <w:tcW w:w="12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auto"/>
            </w:tcBorders>
            <w:shd w:val="clear" w:color="auto" w:fill="CCEEFF"/>
          </w:tcPr>
          <w:p>
            <w:pPr>
              <w:spacing w:after="0"/>
              <w:rPr>
                <w:sz w:val="22"/>
                <w:szCs w:val="22"/>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w:t>
            </w:r>
          </w:p>
        </w:tc>
      </w:tr>
      <w:tr>
        <w:trPr>
          <w:trHeight w:val="20"/>
        </w:trPr>
        <w:tc>
          <w:tcPr>
            <w:tcW w:w="56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r>
    </w:tbl>
    <w:p>
      <w:pPr>
        <w:spacing w:after="0" w:line="310" w:lineRule="exact"/>
        <w:rPr>
          <w:sz w:val="20"/>
          <w:szCs w:val="20"/>
          <w:color w:val="auto"/>
        </w:rPr>
      </w:pPr>
    </w:p>
    <w:p>
      <w:pPr>
        <w:spacing w:after="0"/>
        <w:rPr>
          <w:sz w:val="20"/>
          <w:szCs w:val="20"/>
          <w:color w:val="auto"/>
        </w:rPr>
      </w:pPr>
      <w:r>
        <w:rPr>
          <w:rFonts w:ascii="Arial" w:cs="Arial" w:eastAsia="Arial" w:hAnsi="Arial"/>
          <w:sz w:val="18"/>
          <w:szCs w:val="18"/>
          <w:color w:val="auto"/>
        </w:rPr>
        <w:t>Total 2014 sales increased 4% to $687.8 million. The most significant drivers of this increase were as follows:</w:t>
      </w:r>
    </w:p>
    <w:p>
      <w:pPr>
        <w:spacing w:after="0" w:line="225" w:lineRule="exact"/>
        <w:rPr>
          <w:sz w:val="20"/>
          <w:szCs w:val="20"/>
          <w:color w:val="auto"/>
        </w:rPr>
      </w:pPr>
    </w:p>
    <w:p>
      <w:pPr>
        <w:ind w:left="340" w:hanging="332"/>
        <w:spacing w:after="0" w:line="270" w:lineRule="auto"/>
        <w:tabs>
          <w:tab w:leader="none" w:pos="340" w:val="left"/>
        </w:tabs>
        <w:numPr>
          <w:ilvl w:val="0"/>
          <w:numId w:val="26"/>
        </w:numPr>
        <w:rPr>
          <w:rFonts w:ascii="Arial" w:cs="Arial" w:eastAsia="Arial" w:hAnsi="Arial"/>
          <w:sz w:val="17"/>
          <w:szCs w:val="17"/>
          <w:color w:val="auto"/>
        </w:rPr>
      </w:pPr>
      <w:r>
        <w:rPr>
          <w:rFonts w:ascii="Arial" w:cs="Arial" w:eastAsia="Arial" w:hAnsi="Arial"/>
          <w:sz w:val="17"/>
          <w:szCs w:val="17"/>
          <w:color w:val="auto"/>
        </w:rPr>
        <w:t>Advanced Surgical, Orthopaedics, and Portable Medical sales for 2014 increased 4% compared to the same period of 2013. Foreign currency exchange rate fluctuations increased our 2014 Orthopaedics sales by approximately $1 million in comparison to the prior year. Excluding the impact of foreign currency fluctuations, Orthopaedics sales increased 12% in comparison to the prior year. The 2014 organic constant currency growth was primarily in orthopaedic implants and instruments and was driven by our increased sales and marketing efforts and market growth. Additionally, our bone cutting and preparation instruments have a strong position in the market place. During 2014, Portable Medical sales decreased 12% in comparison to 2013. During the second half of 2013, we began refocusing our product line offerings in the portable medical space to products that have higher profitability. Correspondingly, we have discontinued or reduced volumes in certain of our lower margin products. As part of our investment in capacity and capabilities and to better align our resources, during the second quarter of 2014, we announced plans to transfer our portable medical operations into a new facility located in Tijuana, Mexico.</w:t>
      </w:r>
    </w:p>
    <w:p>
      <w:pPr>
        <w:spacing w:after="0" w:line="181" w:lineRule="exact"/>
        <w:rPr>
          <w:rFonts w:ascii="Arial" w:cs="Arial" w:eastAsia="Arial" w:hAnsi="Arial"/>
          <w:sz w:val="17"/>
          <w:szCs w:val="17"/>
          <w:color w:val="auto"/>
        </w:rPr>
      </w:pPr>
    </w:p>
    <w:p>
      <w:pPr>
        <w:ind w:left="340" w:right="40" w:hanging="332"/>
        <w:spacing w:after="0" w:line="264" w:lineRule="auto"/>
        <w:tabs>
          <w:tab w:leader="none" w:pos="3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For 2014, our Cardio and Vascular product line sales increased 22% in comparison to the prior year and reflects the continued adoption of our products and the relaunch of a vascular medical device near the end of 2013, which, as previously communicated, was voluntarily recalled in the fourth quarter of 2012.</w:t>
      </w:r>
    </w:p>
    <w:p>
      <w:pPr>
        <w:spacing w:after="0" w:line="181" w:lineRule="exact"/>
        <w:rPr>
          <w:rFonts w:ascii="Arial" w:cs="Arial" w:eastAsia="Arial" w:hAnsi="Arial"/>
          <w:sz w:val="18"/>
          <w:szCs w:val="18"/>
          <w:color w:val="auto"/>
        </w:rPr>
      </w:pPr>
    </w:p>
    <w:p>
      <w:pPr>
        <w:ind w:left="340" w:right="20" w:hanging="332"/>
        <w:spacing w:after="0" w:line="257" w:lineRule="auto"/>
        <w:tabs>
          <w:tab w:leader="none" w:pos="3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For 2014, our Cardiac/Neuromodulation sales increased 1% and includes $5.8 million of sales from CCC, which we acquired on August 12, 2014. CCC is an active implantable medical device systems developer and manufacturer that designs and produces a range of devices for some of the world’s top medical device companies, including implantable pulse generators, programmer systems, battery chargers, patient wands and leads. The increase in sales from CCC was partially offset by the end of life for two legacy products, pricing pressure from our customers, and inventory adjustments by several of our larger OEM customers.</w:t>
      </w:r>
    </w:p>
    <w:p>
      <w:pPr>
        <w:spacing w:after="0" w:line="188" w:lineRule="exact"/>
        <w:rPr>
          <w:rFonts w:ascii="Arial" w:cs="Arial" w:eastAsia="Arial" w:hAnsi="Arial"/>
          <w:sz w:val="18"/>
          <w:szCs w:val="18"/>
          <w:color w:val="auto"/>
        </w:rPr>
      </w:pPr>
    </w:p>
    <w:p>
      <w:pPr>
        <w:ind w:left="340" w:right="840" w:hanging="332"/>
        <w:spacing w:after="0" w:line="277" w:lineRule="auto"/>
        <w:tabs>
          <w:tab w:leader="none" w:pos="3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Electrochem product line sales for 2014 increased 5% compared to the same period of 2013. This increase was mainly driven by new product introductions, our deepening relationship with our OEM customers, as well as the timing of customer orders.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Gross Profit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Changes to gross profit as a percentage of sales were primarily due to the following:</w:t>
      </w:r>
    </w:p>
    <w:p>
      <w:pPr>
        <w:spacing w:after="0" w:line="25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360" w:type="dxa"/>
            <w:vAlign w:val="bottom"/>
          </w:tcPr>
          <w:p>
            <w:pPr>
              <w:spacing w:after="0"/>
              <w:rPr>
                <w:sz w:val="14"/>
                <w:szCs w:val="14"/>
                <w:color w:val="auto"/>
              </w:rPr>
            </w:pPr>
          </w:p>
        </w:tc>
        <w:tc>
          <w:tcPr>
            <w:tcW w:w="1580" w:type="dxa"/>
            <w:vAlign w:val="bottom"/>
          </w:tcPr>
          <w:p>
            <w:pPr>
              <w:jc w:val="right"/>
              <w:ind w:right="374"/>
              <w:spacing w:after="0"/>
              <w:rPr>
                <w:sz w:val="20"/>
                <w:szCs w:val="20"/>
                <w:color w:val="auto"/>
              </w:rPr>
            </w:pPr>
            <w:r>
              <w:rPr>
                <w:rFonts w:ascii="Arial" w:cs="Arial" w:eastAsia="Arial" w:hAnsi="Arial"/>
                <w:sz w:val="14"/>
                <w:szCs w:val="14"/>
                <w:b w:val="1"/>
                <w:bCs w:val="1"/>
                <w:color w:val="auto"/>
              </w:rPr>
              <w:t>2014-2013</w:t>
            </w:r>
          </w:p>
        </w:tc>
      </w:tr>
      <w:tr>
        <w:trPr>
          <w:trHeight w:val="192"/>
        </w:trPr>
        <w:tc>
          <w:tcPr>
            <w:tcW w:w="7360" w:type="dxa"/>
            <w:vAlign w:val="bottom"/>
            <w:tcBorders>
              <w:bottom w:val="single" w:sz="8" w:color="CCEEFF"/>
            </w:tcBorders>
          </w:tcPr>
          <w:p>
            <w:pPr>
              <w:spacing w:after="0"/>
              <w:rPr>
                <w:sz w:val="16"/>
                <w:szCs w:val="16"/>
                <w:color w:val="auto"/>
              </w:rPr>
            </w:pPr>
          </w:p>
        </w:tc>
        <w:tc>
          <w:tcPr>
            <w:tcW w:w="1580" w:type="dxa"/>
            <w:vAlign w:val="bottom"/>
            <w:tcBorders>
              <w:bottom w:val="single" w:sz="8" w:color="auto"/>
            </w:tcBorders>
          </w:tcPr>
          <w:p>
            <w:pPr>
              <w:jc w:val="right"/>
              <w:ind w:right="194"/>
              <w:spacing w:after="0"/>
              <w:rPr>
                <w:sz w:val="20"/>
                <w:szCs w:val="20"/>
                <w:color w:val="auto"/>
              </w:rPr>
            </w:pPr>
            <w:r>
              <w:rPr>
                <w:rFonts w:ascii="Arial" w:cs="Arial" w:eastAsia="Arial" w:hAnsi="Arial"/>
                <w:sz w:val="14"/>
                <w:szCs w:val="14"/>
                <w:b w:val="1"/>
                <w:bCs w:val="1"/>
                <w:color w:val="auto"/>
              </w:rPr>
              <w:t>% Point Change</w:t>
            </w:r>
          </w:p>
        </w:tc>
      </w:tr>
      <w:tr>
        <w:trPr>
          <w:trHeight w:val="270"/>
        </w:trPr>
        <w:tc>
          <w:tcPr>
            <w:tcW w:w="7360" w:type="dxa"/>
            <w:vAlign w:val="bottom"/>
            <w:shd w:val="clear" w:color="auto" w:fill="CCEEFF"/>
          </w:tcPr>
          <w:p>
            <w:pPr>
              <w:ind w:left="40"/>
              <w:spacing w:after="0" w:line="270" w:lineRule="exact"/>
              <w:rPr>
                <w:sz w:val="20"/>
                <w:szCs w:val="20"/>
                <w:color w:val="auto"/>
              </w:rPr>
            </w:pPr>
            <w:r>
              <w:rPr>
                <w:rFonts w:ascii="Arial" w:cs="Arial" w:eastAsia="Arial" w:hAnsi="Arial"/>
                <w:sz w:val="18"/>
                <w:szCs w:val="18"/>
                <w:color w:val="auto"/>
              </w:rPr>
              <w:t>Performance-based compensation</w:t>
            </w:r>
            <w:r>
              <w:rPr>
                <w:rFonts w:ascii="Arial" w:cs="Arial" w:eastAsia="Arial" w:hAnsi="Arial"/>
                <w:sz w:val="25"/>
                <w:szCs w:val="25"/>
                <w:color w:val="auto"/>
                <w:vertAlign w:val="superscript"/>
              </w:rPr>
              <w:t>(a)</w:t>
            </w:r>
          </w:p>
        </w:tc>
        <w:tc>
          <w:tcPr>
            <w:tcW w:w="1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0.1 %</w:t>
            </w:r>
          </w:p>
        </w:tc>
      </w:tr>
      <w:tr>
        <w:trPr>
          <w:trHeight w:val="270"/>
        </w:trPr>
        <w:tc>
          <w:tcPr>
            <w:tcW w:w="7360" w:type="dxa"/>
            <w:vAlign w:val="bottom"/>
          </w:tcPr>
          <w:p>
            <w:pPr>
              <w:ind w:left="40"/>
              <w:spacing w:after="0" w:line="270" w:lineRule="exact"/>
              <w:rPr>
                <w:sz w:val="20"/>
                <w:szCs w:val="20"/>
                <w:color w:val="auto"/>
              </w:rPr>
            </w:pPr>
            <w:r>
              <w:rPr>
                <w:rFonts w:ascii="Arial" w:cs="Arial" w:eastAsia="Arial" w:hAnsi="Arial"/>
                <w:sz w:val="18"/>
                <w:szCs w:val="18"/>
                <w:color w:val="auto"/>
              </w:rPr>
              <w:t>Production efficiencies, volume and mix</w:t>
            </w:r>
            <w:r>
              <w:rPr>
                <w:rFonts w:ascii="Arial" w:cs="Arial" w:eastAsia="Arial" w:hAnsi="Arial"/>
                <w:sz w:val="25"/>
                <w:szCs w:val="25"/>
                <w:color w:val="auto"/>
                <w:vertAlign w:val="superscript"/>
              </w:rPr>
              <w:t>(b)</w:t>
            </w:r>
          </w:p>
        </w:tc>
        <w:tc>
          <w:tcPr>
            <w:tcW w:w="1580" w:type="dxa"/>
            <w:vAlign w:val="bottom"/>
          </w:tcPr>
          <w:p>
            <w:pPr>
              <w:jc w:val="right"/>
              <w:spacing w:after="0"/>
              <w:rPr>
                <w:sz w:val="20"/>
                <w:szCs w:val="20"/>
                <w:color w:val="auto"/>
              </w:rPr>
            </w:pPr>
            <w:r>
              <w:rPr>
                <w:rFonts w:ascii="Arial" w:cs="Arial" w:eastAsia="Arial" w:hAnsi="Arial"/>
                <w:sz w:val="18"/>
                <w:szCs w:val="18"/>
                <w:color w:val="auto"/>
              </w:rPr>
              <w:t>1.9 %</w:t>
            </w:r>
          </w:p>
        </w:tc>
      </w:tr>
      <w:tr>
        <w:trPr>
          <w:trHeight w:val="270"/>
        </w:trPr>
        <w:tc>
          <w:tcPr>
            <w:tcW w:w="7360" w:type="dxa"/>
            <w:vAlign w:val="bottom"/>
            <w:shd w:val="clear" w:color="auto" w:fill="CCEEFF"/>
          </w:tcPr>
          <w:p>
            <w:pPr>
              <w:ind w:left="40"/>
              <w:spacing w:after="0" w:line="270" w:lineRule="exact"/>
              <w:rPr>
                <w:sz w:val="20"/>
                <w:szCs w:val="20"/>
                <w:color w:val="auto"/>
              </w:rPr>
            </w:pPr>
            <w:r>
              <w:rPr>
                <w:rFonts w:ascii="Arial" w:cs="Arial" w:eastAsia="Arial" w:hAnsi="Arial"/>
                <w:sz w:val="18"/>
                <w:szCs w:val="18"/>
                <w:color w:val="auto"/>
              </w:rPr>
              <w:t>Impact of acquisition</w:t>
            </w:r>
            <w:r>
              <w:rPr>
                <w:rFonts w:ascii="Arial" w:cs="Arial" w:eastAsia="Arial" w:hAnsi="Arial"/>
                <w:sz w:val="25"/>
                <w:szCs w:val="25"/>
                <w:color w:val="auto"/>
                <w:vertAlign w:val="superscript"/>
              </w:rPr>
              <w:t>(c)</w:t>
            </w:r>
          </w:p>
        </w:tc>
        <w:tc>
          <w:tcPr>
            <w:tcW w:w="1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0.1 %</w:t>
            </w:r>
          </w:p>
        </w:tc>
      </w:tr>
      <w:tr>
        <w:trPr>
          <w:trHeight w:val="270"/>
        </w:trPr>
        <w:tc>
          <w:tcPr>
            <w:tcW w:w="7360" w:type="dxa"/>
            <w:vAlign w:val="bottom"/>
          </w:tcPr>
          <w:p>
            <w:pPr>
              <w:ind w:left="40"/>
              <w:spacing w:after="0" w:line="270" w:lineRule="exact"/>
              <w:rPr>
                <w:sz w:val="20"/>
                <w:szCs w:val="20"/>
                <w:color w:val="auto"/>
              </w:rPr>
            </w:pPr>
            <w:r>
              <w:rPr>
                <w:rFonts w:ascii="Arial" w:cs="Arial" w:eastAsia="Arial" w:hAnsi="Arial"/>
                <w:sz w:val="18"/>
                <w:szCs w:val="18"/>
                <w:color w:val="auto"/>
              </w:rPr>
              <w:t>Price</w:t>
            </w:r>
            <w:r>
              <w:rPr>
                <w:rFonts w:ascii="Arial" w:cs="Arial" w:eastAsia="Arial" w:hAnsi="Arial"/>
                <w:sz w:val="25"/>
                <w:szCs w:val="25"/>
                <w:color w:val="auto"/>
                <w:vertAlign w:val="superscript"/>
              </w:rPr>
              <w:t>(d)</w:t>
            </w:r>
          </w:p>
        </w:tc>
        <w:tc>
          <w:tcPr>
            <w:tcW w:w="1580" w:type="dxa"/>
            <w:vAlign w:val="bottom"/>
          </w:tcPr>
          <w:p>
            <w:pPr>
              <w:jc w:val="right"/>
              <w:spacing w:after="0"/>
              <w:rPr>
                <w:sz w:val="20"/>
                <w:szCs w:val="20"/>
                <w:color w:val="auto"/>
              </w:rPr>
            </w:pPr>
            <w:r>
              <w:rPr>
                <w:rFonts w:ascii="Arial" w:cs="Arial" w:eastAsia="Arial" w:hAnsi="Arial"/>
                <w:sz w:val="18"/>
                <w:szCs w:val="18"/>
                <w:color w:val="auto"/>
              </w:rPr>
              <w:t>(1.2)%</w:t>
            </w:r>
          </w:p>
        </w:tc>
      </w:tr>
      <w:tr>
        <w:trPr>
          <w:trHeight w:val="270"/>
        </w:trPr>
        <w:tc>
          <w:tcPr>
            <w:tcW w:w="7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w:t>
            </w:r>
          </w:p>
        </w:tc>
        <w:tc>
          <w:tcPr>
            <w:tcW w:w="1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(0.3)%</w:t>
            </w:r>
          </w:p>
        </w:tc>
      </w:tr>
      <w:tr>
        <w:trPr>
          <w:trHeight w:val="257"/>
        </w:trPr>
        <w:tc>
          <w:tcPr>
            <w:tcW w:w="7360" w:type="dxa"/>
            <w:vAlign w:val="bottom"/>
          </w:tcPr>
          <w:p>
            <w:pPr>
              <w:ind w:left="380"/>
              <w:spacing w:after="0"/>
              <w:rPr>
                <w:sz w:val="20"/>
                <w:szCs w:val="20"/>
                <w:color w:val="auto"/>
              </w:rPr>
            </w:pPr>
            <w:r>
              <w:rPr>
                <w:rFonts w:ascii="Arial" w:cs="Arial" w:eastAsia="Arial" w:hAnsi="Arial"/>
                <w:sz w:val="18"/>
                <w:szCs w:val="18"/>
                <w:color w:val="auto"/>
              </w:rPr>
              <w:t>Total percentage point change to gross profit as a percentage of sales</w:t>
            </w:r>
          </w:p>
        </w:tc>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0.6 %</w:t>
            </w:r>
          </w:p>
        </w:tc>
      </w:tr>
      <w:tr>
        <w:trPr>
          <w:trHeight w:val="20"/>
        </w:trPr>
        <w:tc>
          <w:tcPr>
            <w:tcW w:w="736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r>
    </w:tbl>
    <w:p>
      <w:pPr>
        <w:spacing w:after="0" w:line="94" w:lineRule="exact"/>
        <w:rPr>
          <w:sz w:val="20"/>
          <w:szCs w:val="20"/>
          <w:color w:val="auto"/>
        </w:rPr>
      </w:pPr>
    </w:p>
    <w:p>
      <w:pPr>
        <w:ind w:left="260" w:hanging="252"/>
        <w:spacing w:after="0"/>
        <w:tabs>
          <w:tab w:leader="none" w:pos="260" w:val="left"/>
        </w:tabs>
        <w:numPr>
          <w:ilvl w:val="0"/>
          <w:numId w:val="27"/>
        </w:numPr>
        <w:rPr>
          <w:rFonts w:ascii="Arial" w:cs="Arial" w:eastAsia="Arial" w:hAnsi="Arial"/>
          <w:sz w:val="16"/>
          <w:szCs w:val="16"/>
          <w:color w:val="auto"/>
        </w:rPr>
      </w:pPr>
      <w:r>
        <w:rPr>
          <w:rFonts w:ascii="Arial" w:cs="Arial" w:eastAsia="Arial" w:hAnsi="Arial"/>
          <w:sz w:val="16"/>
          <w:szCs w:val="16"/>
          <w:color w:val="auto"/>
        </w:rPr>
        <w:t>Amount represents the change in performance-based compensation versus the prior year period and is recorded based upon the actual results achieved.</w:t>
      </w:r>
    </w:p>
    <w:p>
      <w:pPr>
        <w:spacing w:after="0" w:line="248" w:lineRule="exact"/>
        <w:rPr>
          <w:rFonts w:ascii="Arial" w:cs="Arial" w:eastAsia="Arial" w:hAnsi="Arial"/>
          <w:sz w:val="16"/>
          <w:szCs w:val="16"/>
          <w:color w:val="auto"/>
        </w:rPr>
      </w:pPr>
    </w:p>
    <w:p>
      <w:pPr>
        <w:ind w:left="340" w:right="80" w:hanging="332"/>
        <w:spacing w:after="0" w:line="277" w:lineRule="auto"/>
        <w:tabs>
          <w:tab w:leader="none" w:pos="3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Our gross profit percentage benefited from production efficiencies gained at our manufacturing facilities as a result of our various lean and supply chain initiatives, as well as higher production volumes due to increased sales. Partially offsetting</w:t>
      </w:r>
    </w:p>
    <w:p>
      <w:pPr>
        <w:spacing w:after="0" w:line="305" w:lineRule="exact"/>
        <w:rPr>
          <w:rFonts w:ascii="Arial" w:cs="Arial" w:eastAsia="Arial" w:hAnsi="Arial"/>
          <w:sz w:val="18"/>
          <w:szCs w:val="18"/>
          <w:color w:val="auto"/>
        </w:rPr>
      </w:pPr>
    </w:p>
    <w:p>
      <w:pPr>
        <w:ind w:left="5620" w:hanging="101"/>
        <w:spacing w:after="0"/>
        <w:tabs>
          <w:tab w:leader="none" w:pos="5620" w:val="left"/>
        </w:tabs>
        <w:numPr>
          <w:ilvl w:val="1"/>
          <w:numId w:val="27"/>
        </w:numPr>
        <w:rPr>
          <w:rFonts w:ascii="Arial" w:cs="Arial" w:eastAsia="Arial" w:hAnsi="Arial"/>
          <w:sz w:val="18"/>
          <w:szCs w:val="18"/>
          <w:color w:val="auto"/>
        </w:rPr>
      </w:pPr>
      <w:r>
        <w:rPr>
          <w:rFonts w:ascii="Arial" w:cs="Arial" w:eastAsia="Arial" w:hAnsi="Arial"/>
          <w:sz w:val="18"/>
          <w:szCs w:val="18"/>
          <w:color w:val="auto"/>
        </w:rPr>
        <w:t>54 -</w:t>
      </w:r>
    </w:p>
    <w:p>
      <w:pPr>
        <w:sectPr>
          <w:pgSz w:w="11900" w:h="16838" w:orient="portrait"/>
          <w:cols w:equalWidth="0" w:num="1">
            <w:col w:w="11360"/>
          </w:cols>
          <w:pgMar w:left="240" w:top="800" w:right="299" w:bottom="1440" w:gutter="0" w:footer="0" w:header="0"/>
        </w:sectPr>
      </w:pPr>
    </w:p>
    <w:bookmarkStart w:id="55" w:name="page56"/>
    <w:bookmarkEnd w:id="55"/>
    <w:p>
      <w:pPr>
        <w:ind w:left="340" w:right="60"/>
        <w:spacing w:after="0" w:line="324" w:lineRule="auto"/>
        <w:rPr>
          <w:sz w:val="20"/>
          <w:szCs w:val="20"/>
          <w:color w:val="auto"/>
        </w:rPr>
      </w:pPr>
      <w:r>
        <w:rPr>
          <w:rFonts w:ascii="Arial" w:cs="Arial" w:eastAsia="Arial" w:hAnsi="Arial"/>
          <w:sz w:val="18"/>
          <w:szCs w:val="18"/>
          <w:color w:val="auto"/>
        </w:rPr>
        <w:t>these production efficiencies was an increase in mix of lower margin sales in comparison to the prior year (i.e. higher mix of orthopaedic sales and lower mix of cardiac/neuromodulation sales).</w:t>
      </w:r>
    </w:p>
    <w:p>
      <w:pPr>
        <w:spacing w:after="0" w:line="143" w:lineRule="exact"/>
        <w:rPr>
          <w:sz w:val="20"/>
          <w:szCs w:val="20"/>
          <w:color w:val="auto"/>
        </w:rPr>
      </w:pPr>
    </w:p>
    <w:p>
      <w:pPr>
        <w:ind w:left="340" w:hanging="332"/>
        <w:spacing w:after="0"/>
        <w:tabs>
          <w:tab w:leader="none" w:pos="3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Amounts represent the impact to our gross profit percentage related to the acquisition of CCC in August 2014.</w:t>
      </w:r>
    </w:p>
    <w:p>
      <w:pPr>
        <w:spacing w:after="0" w:line="225" w:lineRule="exact"/>
        <w:rPr>
          <w:rFonts w:ascii="Arial" w:cs="Arial" w:eastAsia="Arial" w:hAnsi="Arial"/>
          <w:sz w:val="18"/>
          <w:szCs w:val="18"/>
          <w:color w:val="auto"/>
        </w:rPr>
      </w:pPr>
    </w:p>
    <w:p>
      <w:pPr>
        <w:ind w:left="340" w:right="200" w:hanging="332"/>
        <w:spacing w:after="0" w:line="277" w:lineRule="auto"/>
        <w:tabs>
          <w:tab w:leader="none" w:pos="3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Our gross profit percentage was negatively impacted by contractual price concessions to our larger OEM customers, which were given in exchange for long-term contracts and volume commitments.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SG&amp;A Expenses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Changes to SG&amp;A expenses were primarily due to the following (in thousands):</w:t>
      </w:r>
    </w:p>
    <w:p>
      <w:pPr>
        <w:spacing w:after="0" w:line="36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480" w:type="dxa"/>
            <w:vAlign w:val="bottom"/>
          </w:tcPr>
          <w:p>
            <w:pPr>
              <w:spacing w:after="0"/>
              <w:rPr>
                <w:sz w:val="14"/>
                <w:szCs w:val="14"/>
                <w:color w:val="auto"/>
              </w:rPr>
            </w:pPr>
          </w:p>
        </w:tc>
        <w:tc>
          <w:tcPr>
            <w:tcW w:w="1460" w:type="dxa"/>
            <w:vAlign w:val="bottom"/>
            <w:gridSpan w:val="2"/>
          </w:tcPr>
          <w:p>
            <w:pPr>
              <w:jc w:val="right"/>
              <w:ind w:right="312"/>
              <w:spacing w:after="0"/>
              <w:rPr>
                <w:sz w:val="20"/>
                <w:szCs w:val="20"/>
                <w:color w:val="auto"/>
              </w:rPr>
            </w:pPr>
            <w:r>
              <w:rPr>
                <w:rFonts w:ascii="Arial" w:cs="Arial" w:eastAsia="Arial" w:hAnsi="Arial"/>
                <w:sz w:val="14"/>
                <w:szCs w:val="14"/>
                <w:b w:val="1"/>
                <w:bCs w:val="1"/>
                <w:color w:val="auto"/>
              </w:rPr>
              <w:t>2014-2013</w:t>
            </w:r>
          </w:p>
        </w:tc>
      </w:tr>
      <w:tr>
        <w:trPr>
          <w:trHeight w:val="192"/>
        </w:trPr>
        <w:tc>
          <w:tcPr>
            <w:tcW w:w="7480" w:type="dxa"/>
            <w:vAlign w:val="bottom"/>
            <w:tcBorders>
              <w:bottom w:val="single" w:sz="8" w:color="CCEEFF"/>
            </w:tcBorders>
          </w:tcPr>
          <w:p>
            <w:pPr>
              <w:spacing w:after="0"/>
              <w:rPr>
                <w:sz w:val="16"/>
                <w:szCs w:val="16"/>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920" w:type="dxa"/>
            <w:vAlign w:val="bottom"/>
            <w:tcBorders>
              <w:bottom w:val="single" w:sz="8" w:color="auto"/>
            </w:tcBorders>
          </w:tcPr>
          <w:p>
            <w:pPr>
              <w:jc w:val="right"/>
              <w:ind w:right="352"/>
              <w:spacing w:after="0"/>
              <w:rPr>
                <w:sz w:val="20"/>
                <w:szCs w:val="20"/>
                <w:color w:val="auto"/>
              </w:rPr>
            </w:pPr>
            <w:r>
              <w:rPr>
                <w:rFonts w:ascii="Arial" w:cs="Arial" w:eastAsia="Arial" w:hAnsi="Arial"/>
                <w:sz w:val="14"/>
                <w:szCs w:val="14"/>
                <w:b w:val="1"/>
                <w:bCs w:val="1"/>
                <w:color w:val="auto"/>
                <w:w w:val="89"/>
              </w:rPr>
              <w:t>Change</w:t>
            </w:r>
          </w:p>
        </w:tc>
      </w:tr>
      <w:tr>
        <w:trPr>
          <w:trHeight w:val="270"/>
        </w:trPr>
        <w:tc>
          <w:tcPr>
            <w:tcW w:w="7480" w:type="dxa"/>
            <w:vAlign w:val="bottom"/>
            <w:shd w:val="clear" w:color="auto" w:fill="CCEEFF"/>
          </w:tcPr>
          <w:p>
            <w:pPr>
              <w:ind w:left="40"/>
              <w:spacing w:after="0" w:line="270" w:lineRule="exact"/>
              <w:rPr>
                <w:sz w:val="20"/>
                <w:szCs w:val="20"/>
                <w:color w:val="auto"/>
              </w:rPr>
            </w:pPr>
            <w:r>
              <w:rPr>
                <w:rFonts w:ascii="Arial" w:cs="Arial" w:eastAsia="Arial" w:hAnsi="Arial"/>
                <w:sz w:val="18"/>
                <w:szCs w:val="18"/>
                <w:color w:val="auto"/>
              </w:rPr>
              <w:t>Selling and marketing</w:t>
            </w:r>
            <w:r>
              <w:rPr>
                <w:rFonts w:ascii="Arial" w:cs="Arial" w:eastAsia="Arial" w:hAnsi="Arial"/>
                <w:sz w:val="25"/>
                <w:szCs w:val="25"/>
                <w:color w:val="auto"/>
                <w:vertAlign w:val="superscript"/>
              </w:rPr>
              <w:t>(a)</w:t>
            </w:r>
          </w:p>
        </w:tc>
        <w:tc>
          <w:tcPr>
            <w:tcW w:w="540" w:type="dxa"/>
            <w:vAlign w:val="bottom"/>
            <w:shd w:val="clear" w:color="auto" w:fill="CCEEFF"/>
          </w:tcPr>
          <w:p>
            <w:pPr>
              <w:jc w:val="right"/>
              <w:ind w:right="339"/>
              <w:spacing w:after="0"/>
              <w:rPr>
                <w:sz w:val="20"/>
                <w:szCs w:val="20"/>
                <w:color w:val="auto"/>
              </w:rPr>
            </w:pPr>
            <w:r>
              <w:rPr>
                <w:rFonts w:ascii="Arial" w:cs="Arial" w:eastAsia="Arial" w:hAnsi="Arial"/>
                <w:sz w:val="18"/>
                <w:szCs w:val="18"/>
                <w:color w:val="auto"/>
                <w:w w:val="99"/>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3,408</w:t>
            </w:r>
          </w:p>
        </w:tc>
      </w:tr>
      <w:tr>
        <w:trPr>
          <w:trHeight w:val="270"/>
        </w:trPr>
        <w:tc>
          <w:tcPr>
            <w:tcW w:w="7480" w:type="dxa"/>
            <w:vAlign w:val="bottom"/>
          </w:tcPr>
          <w:p>
            <w:pPr>
              <w:ind w:left="40"/>
              <w:spacing w:after="0" w:line="270" w:lineRule="exact"/>
              <w:rPr>
                <w:sz w:val="20"/>
                <w:szCs w:val="20"/>
                <w:color w:val="auto"/>
              </w:rPr>
            </w:pPr>
            <w:r>
              <w:rPr>
                <w:rFonts w:ascii="Arial" w:cs="Arial" w:eastAsia="Arial" w:hAnsi="Arial"/>
                <w:sz w:val="18"/>
                <w:szCs w:val="18"/>
                <w:color w:val="auto"/>
              </w:rPr>
              <w:t>Performance-based compensation</w:t>
            </w:r>
            <w:r>
              <w:rPr>
                <w:rFonts w:ascii="Arial" w:cs="Arial" w:eastAsia="Arial" w:hAnsi="Arial"/>
                <w:sz w:val="25"/>
                <w:szCs w:val="25"/>
                <w:color w:val="auto"/>
                <w:vertAlign w:val="superscript"/>
              </w:rPr>
              <w:t>(b)</w:t>
            </w:r>
          </w:p>
        </w:tc>
        <w:tc>
          <w:tcPr>
            <w:tcW w:w="540" w:type="dxa"/>
            <w:vAlign w:val="bottom"/>
          </w:tcPr>
          <w:p>
            <w:pPr>
              <w:spacing w:after="0"/>
              <w:rPr>
                <w:sz w:val="23"/>
                <w:szCs w:val="23"/>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(991)</w:t>
            </w:r>
          </w:p>
        </w:tc>
      </w:tr>
      <w:tr>
        <w:trPr>
          <w:trHeight w:val="270"/>
        </w:trPr>
        <w:tc>
          <w:tcPr>
            <w:tcW w:w="7480" w:type="dxa"/>
            <w:vAlign w:val="bottom"/>
            <w:shd w:val="clear" w:color="auto" w:fill="CCEEFF"/>
          </w:tcPr>
          <w:p>
            <w:pPr>
              <w:ind w:left="40"/>
              <w:spacing w:after="0" w:line="270" w:lineRule="exact"/>
              <w:rPr>
                <w:sz w:val="20"/>
                <w:szCs w:val="20"/>
                <w:color w:val="auto"/>
              </w:rPr>
            </w:pPr>
            <w:r>
              <w:rPr>
                <w:rFonts w:ascii="Arial" w:cs="Arial" w:eastAsia="Arial" w:hAnsi="Arial"/>
                <w:sz w:val="18"/>
                <w:szCs w:val="18"/>
                <w:color w:val="auto"/>
              </w:rPr>
              <w:t>Legal fees</w:t>
            </w:r>
            <w:r>
              <w:rPr>
                <w:rFonts w:ascii="Arial" w:cs="Arial" w:eastAsia="Arial" w:hAnsi="Arial"/>
                <w:sz w:val="25"/>
                <w:szCs w:val="25"/>
                <w:color w:val="auto"/>
                <w:vertAlign w:val="superscript"/>
              </w:rPr>
              <w:t>(c)</w:t>
            </w:r>
          </w:p>
        </w:tc>
        <w:tc>
          <w:tcPr>
            <w:tcW w:w="540" w:type="dxa"/>
            <w:vAlign w:val="bottom"/>
            <w:shd w:val="clear" w:color="auto" w:fill="CCEEFF"/>
          </w:tcPr>
          <w:p>
            <w:pPr>
              <w:spacing w:after="0"/>
              <w:rPr>
                <w:sz w:val="23"/>
                <w:szCs w:val="23"/>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2,555</w:t>
            </w:r>
          </w:p>
        </w:tc>
      </w:tr>
      <w:tr>
        <w:trPr>
          <w:trHeight w:val="270"/>
        </w:trPr>
        <w:tc>
          <w:tcPr>
            <w:tcW w:w="7480" w:type="dxa"/>
            <w:vAlign w:val="bottom"/>
          </w:tcPr>
          <w:p>
            <w:pPr>
              <w:ind w:left="40"/>
              <w:spacing w:after="0" w:line="270" w:lineRule="exact"/>
              <w:rPr>
                <w:sz w:val="20"/>
                <w:szCs w:val="20"/>
                <w:color w:val="auto"/>
              </w:rPr>
            </w:pPr>
            <w:r>
              <w:rPr>
                <w:rFonts w:ascii="Arial" w:cs="Arial" w:eastAsia="Arial" w:hAnsi="Arial"/>
                <w:sz w:val="18"/>
                <w:szCs w:val="18"/>
                <w:color w:val="auto"/>
              </w:rPr>
              <w:t>G&amp;A personnel costs</w:t>
            </w:r>
            <w:r>
              <w:rPr>
                <w:rFonts w:ascii="Arial" w:cs="Arial" w:eastAsia="Arial" w:hAnsi="Arial"/>
                <w:sz w:val="25"/>
                <w:szCs w:val="25"/>
                <w:color w:val="auto"/>
                <w:vertAlign w:val="superscript"/>
              </w:rPr>
              <w:t>(d)</w:t>
            </w:r>
          </w:p>
        </w:tc>
        <w:tc>
          <w:tcPr>
            <w:tcW w:w="540" w:type="dxa"/>
            <w:vAlign w:val="bottom"/>
          </w:tcPr>
          <w:p>
            <w:pPr>
              <w:spacing w:after="0"/>
              <w:rPr>
                <w:sz w:val="23"/>
                <w:szCs w:val="23"/>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(3,096)</w:t>
            </w:r>
          </w:p>
        </w:tc>
      </w:tr>
      <w:tr>
        <w:trPr>
          <w:trHeight w:val="270"/>
        </w:trPr>
        <w:tc>
          <w:tcPr>
            <w:tcW w:w="7480" w:type="dxa"/>
            <w:vAlign w:val="bottom"/>
            <w:shd w:val="clear" w:color="auto" w:fill="CCEEFF"/>
          </w:tcPr>
          <w:p>
            <w:pPr>
              <w:ind w:left="40"/>
              <w:spacing w:after="0" w:line="270" w:lineRule="exact"/>
              <w:rPr>
                <w:sz w:val="20"/>
                <w:szCs w:val="20"/>
                <w:color w:val="auto"/>
              </w:rPr>
            </w:pPr>
            <w:r>
              <w:rPr>
                <w:rFonts w:ascii="Arial" w:cs="Arial" w:eastAsia="Arial" w:hAnsi="Arial"/>
                <w:sz w:val="18"/>
                <w:szCs w:val="18"/>
                <w:color w:val="auto"/>
              </w:rPr>
              <w:t>Impact of acquisition</w:t>
            </w:r>
            <w:r>
              <w:rPr>
                <w:rFonts w:ascii="Arial" w:cs="Arial" w:eastAsia="Arial" w:hAnsi="Arial"/>
                <w:sz w:val="25"/>
                <w:szCs w:val="25"/>
                <w:color w:val="auto"/>
                <w:vertAlign w:val="superscript"/>
              </w:rPr>
              <w:t>(e)</w:t>
            </w:r>
          </w:p>
        </w:tc>
        <w:tc>
          <w:tcPr>
            <w:tcW w:w="540" w:type="dxa"/>
            <w:vAlign w:val="bottom"/>
            <w:shd w:val="clear" w:color="auto" w:fill="CCEEFF"/>
          </w:tcPr>
          <w:p>
            <w:pPr>
              <w:spacing w:after="0"/>
              <w:rPr>
                <w:sz w:val="23"/>
                <w:szCs w:val="23"/>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911</w:t>
            </w:r>
          </w:p>
        </w:tc>
      </w:tr>
      <w:tr>
        <w:trPr>
          <w:trHeight w:val="243"/>
        </w:trPr>
        <w:tc>
          <w:tcPr>
            <w:tcW w:w="7480" w:type="dxa"/>
            <w:vAlign w:val="bottom"/>
          </w:tcPr>
          <w:p>
            <w:pPr>
              <w:ind w:left="40"/>
              <w:spacing w:after="0"/>
              <w:rPr>
                <w:sz w:val="20"/>
                <w:szCs w:val="20"/>
                <w:color w:val="auto"/>
              </w:rPr>
            </w:pPr>
            <w:r>
              <w:rPr>
                <w:rFonts w:ascii="Arial" w:cs="Arial" w:eastAsia="Arial" w:hAnsi="Arial"/>
                <w:sz w:val="18"/>
                <w:szCs w:val="18"/>
                <w:color w:val="auto"/>
              </w:rPr>
              <w:t>Other</w:t>
            </w:r>
          </w:p>
        </w:tc>
        <w:tc>
          <w:tcPr>
            <w:tcW w:w="54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(292)</w:t>
            </w:r>
          </w:p>
        </w:tc>
      </w:tr>
      <w:tr>
        <w:trPr>
          <w:trHeight w:val="27"/>
        </w:trPr>
        <w:tc>
          <w:tcPr>
            <w:tcW w:w="7480" w:type="dxa"/>
            <w:vAlign w:val="bottom"/>
            <w:tcBorders>
              <w:bottom w:val="single" w:sz="8" w:color="CCEEFF"/>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r>
      <w:tr>
        <w:trPr>
          <w:trHeight w:val="257"/>
        </w:trPr>
        <w:tc>
          <w:tcPr>
            <w:tcW w:w="74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Net increase in SG&amp;A</w:t>
            </w:r>
          </w:p>
        </w:tc>
        <w:tc>
          <w:tcPr>
            <w:tcW w:w="540" w:type="dxa"/>
            <w:vAlign w:val="bottom"/>
            <w:tcBorders>
              <w:bottom w:val="single" w:sz="8" w:color="auto"/>
            </w:tcBorders>
            <w:shd w:val="clear" w:color="auto" w:fill="CCEEFF"/>
          </w:tcPr>
          <w:p>
            <w:pPr>
              <w:jc w:val="right"/>
              <w:ind w:right="339"/>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2,495</w:t>
            </w:r>
          </w:p>
        </w:tc>
      </w:tr>
      <w:tr>
        <w:trPr>
          <w:trHeight w:val="20"/>
        </w:trPr>
        <w:tc>
          <w:tcPr>
            <w:tcW w:w="748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ind w:left="340" w:right="180" w:hanging="332"/>
        <w:spacing w:after="0" w:line="277" w:lineRule="auto"/>
        <w:tabs>
          <w:tab w:leader="none" w:pos="3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Amount represents the incremental costs related to our strategic initiative to increase selling and marketing resources to drive core business growth and sustain a pipeline of revenue generating opportunities.</w:t>
      </w:r>
    </w:p>
    <w:p>
      <w:pPr>
        <w:spacing w:after="0" w:line="170" w:lineRule="exact"/>
        <w:rPr>
          <w:rFonts w:ascii="Arial" w:cs="Arial" w:eastAsia="Arial" w:hAnsi="Arial"/>
          <w:sz w:val="18"/>
          <w:szCs w:val="18"/>
          <w:color w:val="auto"/>
        </w:rPr>
      </w:pPr>
    </w:p>
    <w:p>
      <w:pPr>
        <w:ind w:left="340" w:hanging="332"/>
        <w:spacing w:after="0"/>
        <w:tabs>
          <w:tab w:leader="none" w:pos="340" w:val="left"/>
        </w:tabs>
        <w:numPr>
          <w:ilvl w:val="0"/>
          <w:numId w:val="29"/>
        </w:numPr>
        <w:rPr>
          <w:rFonts w:ascii="Arial" w:cs="Arial" w:eastAsia="Arial" w:hAnsi="Arial"/>
          <w:sz w:val="17"/>
          <w:szCs w:val="17"/>
          <w:color w:val="auto"/>
        </w:rPr>
      </w:pPr>
      <w:r>
        <w:rPr>
          <w:rFonts w:ascii="Arial" w:cs="Arial" w:eastAsia="Arial" w:hAnsi="Arial"/>
          <w:sz w:val="17"/>
          <w:szCs w:val="17"/>
          <w:color w:val="auto"/>
        </w:rPr>
        <w:t>Amount represents the change in performance-based compensation versus the prior year and is recorded based upon the actual results achieved.</w:t>
      </w:r>
    </w:p>
    <w:p>
      <w:pPr>
        <w:spacing w:after="0" w:line="236" w:lineRule="exact"/>
        <w:rPr>
          <w:rFonts w:ascii="Arial" w:cs="Arial" w:eastAsia="Arial" w:hAnsi="Arial"/>
          <w:sz w:val="17"/>
          <w:szCs w:val="17"/>
          <w:color w:val="auto"/>
        </w:rPr>
      </w:pPr>
    </w:p>
    <w:p>
      <w:pPr>
        <w:ind w:left="340" w:hanging="332"/>
        <w:spacing w:after="0" w:line="277" w:lineRule="auto"/>
        <w:tabs>
          <w:tab w:leader="none" w:pos="3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Amount represents an increase in legal costs compared to the prior year and includes higher IP related defense costs, as well as other corporate initiatives. In 2013, we filed suit against one of our cardiac/neuromodulation competitors alleging they were infringing on our IP.</w:t>
      </w:r>
    </w:p>
    <w:p>
      <w:pPr>
        <w:spacing w:after="0" w:line="170" w:lineRule="exact"/>
        <w:rPr>
          <w:rFonts w:ascii="Arial" w:cs="Arial" w:eastAsia="Arial" w:hAnsi="Arial"/>
          <w:sz w:val="18"/>
          <w:szCs w:val="18"/>
          <w:color w:val="auto"/>
        </w:rPr>
      </w:pPr>
    </w:p>
    <w:p>
      <w:pPr>
        <w:ind w:left="340" w:right="660" w:hanging="332"/>
        <w:spacing w:after="0" w:line="277" w:lineRule="auto"/>
        <w:tabs>
          <w:tab w:leader="none" w:pos="3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Amount represents lower G&amp;A personnel costs in comparison to the prior year and is primarily the result of our various consolidation initiatives including our operating unit realignment that occurred during the second half of 2013.</w:t>
      </w:r>
    </w:p>
    <w:p>
      <w:pPr>
        <w:spacing w:after="0" w:line="170" w:lineRule="exact"/>
        <w:rPr>
          <w:rFonts w:ascii="Arial" w:cs="Arial" w:eastAsia="Arial" w:hAnsi="Arial"/>
          <w:sz w:val="18"/>
          <w:szCs w:val="18"/>
          <w:color w:val="auto"/>
        </w:rPr>
      </w:pPr>
    </w:p>
    <w:p>
      <w:pPr>
        <w:ind w:left="340" w:hanging="332"/>
        <w:spacing w:after="0"/>
        <w:tabs>
          <w:tab w:leader="none" w:pos="3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Amount represents the incremental SG&amp;A expenses related to the acquisition of CCC in August 2014.</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RD&amp;E Expenses, Net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Net RD&amp;E costs were as follows (in thousands):</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64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64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Year Ended</w:t>
            </w:r>
          </w:p>
        </w:tc>
        <w:tc>
          <w:tcPr>
            <w:tcW w:w="11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56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300" w:type="dxa"/>
            <w:vAlign w:val="bottom"/>
            <w:gridSpan w:val="2"/>
          </w:tcPr>
          <w:p>
            <w:pPr>
              <w:ind w:left="120"/>
              <w:spacing w:after="0" w:line="153" w:lineRule="exact"/>
              <w:rPr>
                <w:sz w:val="20"/>
                <w:szCs w:val="20"/>
                <w:color w:val="auto"/>
              </w:rPr>
            </w:pPr>
            <w:r>
              <w:rPr>
                <w:rFonts w:ascii="Arial" w:cs="Arial" w:eastAsia="Arial" w:hAnsi="Arial"/>
                <w:sz w:val="14"/>
                <w:szCs w:val="14"/>
                <w:b w:val="1"/>
                <w:bCs w:val="1"/>
                <w:color w:val="auto"/>
              </w:rPr>
              <w:t>January 2,</w:t>
            </w:r>
          </w:p>
        </w:tc>
        <w:tc>
          <w:tcPr>
            <w:tcW w:w="340" w:type="dxa"/>
            <w:vAlign w:val="bottom"/>
          </w:tcPr>
          <w:p>
            <w:pPr>
              <w:spacing w:after="0"/>
              <w:rPr>
                <w:sz w:val="13"/>
                <w:szCs w:val="13"/>
                <w:color w:val="auto"/>
              </w:rPr>
            </w:pPr>
          </w:p>
        </w:tc>
        <w:tc>
          <w:tcPr>
            <w:tcW w:w="1200" w:type="dxa"/>
            <w:vAlign w:val="bottom"/>
            <w:gridSpan w:val="2"/>
          </w:tcPr>
          <w:p>
            <w:pPr>
              <w:ind w:left="20"/>
              <w:spacing w:after="0" w:line="153" w:lineRule="exact"/>
              <w:rPr>
                <w:sz w:val="20"/>
                <w:szCs w:val="20"/>
                <w:color w:val="auto"/>
              </w:rPr>
            </w:pPr>
            <w:r>
              <w:rPr>
                <w:rFonts w:ascii="Arial" w:cs="Arial" w:eastAsia="Arial" w:hAnsi="Arial"/>
                <w:sz w:val="14"/>
                <w:szCs w:val="14"/>
                <w:b w:val="1"/>
                <w:bCs w:val="1"/>
                <w:color w:val="auto"/>
              </w:rPr>
              <w:t>January 3,</w:t>
            </w:r>
          </w:p>
        </w:tc>
        <w:tc>
          <w:tcPr>
            <w:tcW w:w="300" w:type="dxa"/>
            <w:vAlign w:val="bottom"/>
          </w:tcPr>
          <w:p>
            <w:pPr>
              <w:spacing w:after="0"/>
              <w:rPr>
                <w:sz w:val="13"/>
                <w:szCs w:val="13"/>
                <w:color w:val="auto"/>
              </w:rPr>
            </w:pPr>
          </w:p>
        </w:tc>
        <w:tc>
          <w:tcPr>
            <w:tcW w:w="1140" w:type="dxa"/>
            <w:vAlign w:val="bottom"/>
            <w:vMerge w:val="restart"/>
          </w:tcPr>
          <w:p>
            <w:pPr>
              <w:jc w:val="right"/>
              <w:ind w:right="394"/>
              <w:spacing w:after="0"/>
              <w:rPr>
                <w:sz w:val="20"/>
                <w:szCs w:val="20"/>
                <w:color w:val="auto"/>
              </w:rPr>
            </w:pPr>
            <w:r>
              <w:rPr>
                <w:rFonts w:ascii="Arial" w:cs="Arial" w:eastAsia="Arial" w:hAnsi="Arial"/>
                <w:sz w:val="14"/>
                <w:szCs w:val="14"/>
                <w:b w:val="1"/>
                <w:bCs w:val="1"/>
                <w:color w:val="auto"/>
              </w:rPr>
              <w:t>Change</w:t>
            </w:r>
          </w:p>
        </w:tc>
        <w:tc>
          <w:tcPr>
            <w:tcW w:w="0" w:type="dxa"/>
            <w:vAlign w:val="bottom"/>
          </w:tcPr>
          <w:p>
            <w:pPr>
              <w:spacing w:after="0"/>
              <w:rPr>
                <w:sz w:val="1"/>
                <w:szCs w:val="1"/>
                <w:color w:val="auto"/>
              </w:rPr>
            </w:pPr>
          </w:p>
        </w:tc>
      </w:tr>
      <w:tr>
        <w:trPr>
          <w:trHeight w:val="192"/>
        </w:trPr>
        <w:tc>
          <w:tcPr>
            <w:tcW w:w="564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499"/>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497"/>
              <w:spacing w:after="0"/>
              <w:rPr>
                <w:sz w:val="20"/>
                <w:szCs w:val="20"/>
                <w:color w:val="auto"/>
              </w:rPr>
            </w:pPr>
            <w:r>
              <w:rPr>
                <w:rFonts w:ascii="Arial" w:cs="Arial" w:eastAsia="Arial" w:hAnsi="Arial"/>
                <w:sz w:val="14"/>
                <w:szCs w:val="14"/>
                <w:b w:val="1"/>
                <w:bCs w:val="1"/>
                <w:color w:val="auto"/>
              </w:rPr>
              <w:t>2014</w:t>
            </w:r>
          </w:p>
        </w:tc>
        <w:tc>
          <w:tcPr>
            <w:tcW w:w="10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5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Research, development, and engineering costs</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58,974</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62,652</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(3,678)</w:t>
            </w:r>
          </w:p>
        </w:tc>
        <w:tc>
          <w:tcPr>
            <w:tcW w:w="0" w:type="dxa"/>
            <w:vAlign w:val="bottom"/>
          </w:tcPr>
          <w:p>
            <w:pPr>
              <w:spacing w:after="0"/>
              <w:rPr>
                <w:sz w:val="1"/>
                <w:szCs w:val="1"/>
                <w:color w:val="auto"/>
              </w:rPr>
            </w:pPr>
          </w:p>
        </w:tc>
      </w:tr>
      <w:tr>
        <w:trPr>
          <w:trHeight w:val="243"/>
        </w:trPr>
        <w:tc>
          <w:tcPr>
            <w:tcW w:w="5640" w:type="dxa"/>
            <w:vAlign w:val="bottom"/>
          </w:tcPr>
          <w:p>
            <w:pPr>
              <w:ind w:left="40"/>
              <w:spacing w:after="0"/>
              <w:rPr>
                <w:sz w:val="20"/>
                <w:szCs w:val="20"/>
                <w:color w:val="auto"/>
              </w:rPr>
            </w:pPr>
            <w:r>
              <w:rPr>
                <w:rFonts w:ascii="Arial" w:cs="Arial" w:eastAsia="Arial" w:hAnsi="Arial"/>
                <w:sz w:val="18"/>
                <w:szCs w:val="18"/>
                <w:color w:val="auto"/>
              </w:rPr>
              <w:t>Less cost reimbursements</w:t>
            </w:r>
          </w:p>
        </w:tc>
        <w:tc>
          <w:tcPr>
            <w:tcW w:w="24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(9,129)</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(8,575)</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(554)</w:t>
            </w:r>
          </w:p>
        </w:tc>
        <w:tc>
          <w:tcPr>
            <w:tcW w:w="0" w:type="dxa"/>
            <w:vAlign w:val="bottom"/>
          </w:tcPr>
          <w:p>
            <w:pPr>
              <w:spacing w:after="0"/>
              <w:rPr>
                <w:sz w:val="1"/>
                <w:szCs w:val="1"/>
                <w:color w:val="auto"/>
              </w:rPr>
            </w:pPr>
          </w:p>
        </w:tc>
      </w:tr>
      <w:tr>
        <w:trPr>
          <w:trHeight w:val="27"/>
        </w:trPr>
        <w:tc>
          <w:tcPr>
            <w:tcW w:w="564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56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Total RD&amp;E, net</w:t>
            </w: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8"/>
                <w:szCs w:val="18"/>
                <w:color w:val="auto"/>
              </w:rPr>
              <w:t>49,845</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shd w:val="clear" w:color="auto" w:fill="CCEEFF"/>
          </w:tcPr>
          <w:p>
            <w:pPr>
              <w:jc w:val="right"/>
              <w:ind w:right="17"/>
              <w:spacing w:after="0"/>
              <w:rPr>
                <w:sz w:val="20"/>
                <w:szCs w:val="20"/>
                <w:color w:val="auto"/>
              </w:rPr>
            </w:pPr>
            <w:r>
              <w:rPr>
                <w:rFonts w:ascii="Arial" w:cs="Arial" w:eastAsia="Arial" w:hAnsi="Arial"/>
                <w:sz w:val="18"/>
                <w:szCs w:val="18"/>
                <w:color w:val="auto"/>
              </w:rPr>
              <w:t>54,077</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(4,232)</w:t>
            </w:r>
          </w:p>
        </w:tc>
        <w:tc>
          <w:tcPr>
            <w:tcW w:w="0" w:type="dxa"/>
            <w:vAlign w:val="bottom"/>
          </w:tcPr>
          <w:p>
            <w:pPr>
              <w:spacing w:after="0"/>
              <w:rPr>
                <w:sz w:val="1"/>
                <w:szCs w:val="1"/>
                <w:color w:val="auto"/>
              </w:rPr>
            </w:pPr>
          </w:p>
        </w:tc>
      </w:tr>
      <w:tr>
        <w:trPr>
          <w:trHeight w:val="20"/>
        </w:trPr>
        <w:tc>
          <w:tcPr>
            <w:tcW w:w="56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4"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Net RD&amp;E for 2014 decreased $4.2 million to $49.8 million. Net medical device costs incurred by QiG were $23.3 million for 2014 compared to $30.5 million for 2013. Medical device costs for 2014 include $4.2 million less DVT costs in comparison to 2013 as most of the testing was completed by the end of 2013. The decrease in DVT costs was partially offset by higher costs incurred in connection with the development of our next generation cardiac products (i.e. batteries, capacitors, filtered feedthroughs), higher performance-based compensation, which was accrued based upon the achievement of certain Algovita milestones, and a higher rate of spend on other QiG medical device projects.</w:t>
      </w:r>
    </w:p>
    <w:p>
      <w:pPr>
        <w:spacing w:after="0" w:line="188" w:lineRule="exact"/>
        <w:rPr>
          <w:sz w:val="20"/>
          <w:szCs w:val="20"/>
          <w:color w:val="auto"/>
        </w:rPr>
      </w:pPr>
    </w:p>
    <w:p>
      <w:pPr>
        <w:ind w:right="1000"/>
        <w:spacing w:after="0" w:line="342" w:lineRule="auto"/>
        <w:rPr>
          <w:sz w:val="20"/>
          <w:szCs w:val="20"/>
          <w:color w:val="auto"/>
        </w:rPr>
      </w:pPr>
      <w:r>
        <w:rPr>
          <w:rFonts w:ascii="Arial" w:cs="Arial" w:eastAsia="Arial" w:hAnsi="Arial"/>
          <w:sz w:val="16"/>
          <w:szCs w:val="16"/>
          <w:color w:val="auto"/>
        </w:rPr>
        <w:t>The increase in customer cost reimbursements in 2014 primarily relates to the timing of the achievement of milestones on various customer cost reimbursement projects, partially offset by the expiration of certain government grants acquired from our acquisition of NeuroNexus in 2012.</w:t>
      </w:r>
    </w:p>
    <w:p>
      <w:pPr>
        <w:sectPr>
          <w:pgSz w:w="11900" w:h="16838" w:orient="portrait"/>
          <w:cols w:equalWidth="0" w:num="1">
            <w:col w:w="11400"/>
          </w:cols>
          <w:pgMar w:left="240" w:top="935" w:right="259" w:bottom="1440" w:gutter="0" w:footer="0" w:header="0"/>
        </w:sectPr>
      </w:pPr>
    </w:p>
    <w:p>
      <w:pPr>
        <w:spacing w:after="0" w:line="259"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- 55 -</w:t>
      </w:r>
    </w:p>
    <w:p>
      <w:pPr>
        <w:sectPr>
          <w:pgSz w:w="11900" w:h="16838" w:orient="portrait"/>
          <w:cols w:equalWidth="0" w:num="1">
            <w:col w:w="11400"/>
          </w:cols>
          <w:pgMar w:left="240" w:top="935" w:right="259" w:bottom="1440" w:gutter="0" w:footer="0" w:header="0"/>
          <w:type w:val="continuous"/>
        </w:sectPr>
      </w:pPr>
    </w:p>
    <w:bookmarkStart w:id="56" w:name="page57"/>
    <w:bookmarkEnd w:id="56"/>
    <w:p>
      <w:pPr>
        <w:spacing w:after="0"/>
        <w:rPr>
          <w:sz w:val="20"/>
          <w:szCs w:val="20"/>
          <w:color w:val="auto"/>
        </w:rPr>
      </w:pPr>
      <w:r>
        <w:rPr>
          <w:rFonts w:ascii="Arial" w:cs="Arial" w:eastAsia="Arial" w:hAnsi="Arial"/>
          <w:sz w:val="18"/>
          <w:szCs w:val="18"/>
          <w:b w:val="1"/>
          <w:bCs w:val="1"/>
          <w:i w:val="1"/>
          <w:iCs w:val="1"/>
          <w:color w:val="auto"/>
        </w:rPr>
        <w:t>Other Operating Expenses, Net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OOE was comprised of the following (in thousands):</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54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64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Year Ended</w:t>
            </w:r>
          </w:p>
        </w:tc>
        <w:tc>
          <w:tcPr>
            <w:tcW w:w="11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65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300" w:type="dxa"/>
            <w:vAlign w:val="bottom"/>
            <w:gridSpan w:val="2"/>
          </w:tcPr>
          <w:p>
            <w:pPr>
              <w:ind w:left="120"/>
              <w:spacing w:after="0" w:line="153" w:lineRule="exact"/>
              <w:rPr>
                <w:sz w:val="20"/>
                <w:szCs w:val="20"/>
                <w:color w:val="auto"/>
              </w:rPr>
            </w:pPr>
            <w:r>
              <w:rPr>
                <w:rFonts w:ascii="Arial" w:cs="Arial" w:eastAsia="Arial" w:hAnsi="Arial"/>
                <w:sz w:val="14"/>
                <w:szCs w:val="14"/>
                <w:b w:val="1"/>
                <w:bCs w:val="1"/>
                <w:color w:val="auto"/>
              </w:rPr>
              <w:t>January 2,</w:t>
            </w:r>
          </w:p>
        </w:tc>
        <w:tc>
          <w:tcPr>
            <w:tcW w:w="340" w:type="dxa"/>
            <w:vAlign w:val="bottom"/>
          </w:tcPr>
          <w:p>
            <w:pPr>
              <w:spacing w:after="0"/>
              <w:rPr>
                <w:sz w:val="13"/>
                <w:szCs w:val="13"/>
                <w:color w:val="auto"/>
              </w:rPr>
            </w:pPr>
          </w:p>
        </w:tc>
        <w:tc>
          <w:tcPr>
            <w:tcW w:w="1200" w:type="dxa"/>
            <w:vAlign w:val="bottom"/>
            <w:gridSpan w:val="2"/>
          </w:tcPr>
          <w:p>
            <w:pPr>
              <w:ind w:left="40"/>
              <w:spacing w:after="0" w:line="153" w:lineRule="exact"/>
              <w:rPr>
                <w:sz w:val="20"/>
                <w:szCs w:val="20"/>
                <w:color w:val="auto"/>
              </w:rPr>
            </w:pPr>
            <w:r>
              <w:rPr>
                <w:rFonts w:ascii="Arial" w:cs="Arial" w:eastAsia="Arial" w:hAnsi="Arial"/>
                <w:sz w:val="14"/>
                <w:szCs w:val="14"/>
                <w:b w:val="1"/>
                <w:bCs w:val="1"/>
                <w:color w:val="auto"/>
              </w:rPr>
              <w:t>January 3,</w:t>
            </w:r>
          </w:p>
        </w:tc>
        <w:tc>
          <w:tcPr>
            <w:tcW w:w="300" w:type="dxa"/>
            <w:vAlign w:val="bottom"/>
          </w:tcPr>
          <w:p>
            <w:pPr>
              <w:spacing w:after="0"/>
              <w:rPr>
                <w:sz w:val="13"/>
                <w:szCs w:val="13"/>
                <w:color w:val="auto"/>
              </w:rPr>
            </w:pPr>
          </w:p>
        </w:tc>
        <w:tc>
          <w:tcPr>
            <w:tcW w:w="1140" w:type="dxa"/>
            <w:vAlign w:val="bottom"/>
            <w:vMerge w:val="restart"/>
          </w:tcPr>
          <w:p>
            <w:pPr>
              <w:jc w:val="right"/>
              <w:ind w:right="392"/>
              <w:spacing w:after="0"/>
              <w:rPr>
                <w:sz w:val="20"/>
                <w:szCs w:val="20"/>
                <w:color w:val="auto"/>
              </w:rPr>
            </w:pPr>
            <w:r>
              <w:rPr>
                <w:rFonts w:ascii="Arial" w:cs="Arial" w:eastAsia="Arial" w:hAnsi="Arial"/>
                <w:sz w:val="14"/>
                <w:szCs w:val="14"/>
                <w:b w:val="1"/>
                <w:bCs w:val="1"/>
                <w:color w:val="auto"/>
              </w:rPr>
              <w:t>Change</w:t>
            </w:r>
          </w:p>
        </w:tc>
        <w:tc>
          <w:tcPr>
            <w:tcW w:w="0" w:type="dxa"/>
            <w:vAlign w:val="bottom"/>
          </w:tcPr>
          <w:p>
            <w:pPr>
              <w:spacing w:after="0"/>
              <w:rPr>
                <w:sz w:val="1"/>
                <w:szCs w:val="1"/>
                <w:color w:val="auto"/>
              </w:rPr>
            </w:pPr>
          </w:p>
        </w:tc>
      </w:tr>
      <w:tr>
        <w:trPr>
          <w:trHeight w:val="192"/>
        </w:trPr>
        <w:tc>
          <w:tcPr>
            <w:tcW w:w="654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495"/>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494"/>
              <w:spacing w:after="0"/>
              <w:rPr>
                <w:sz w:val="20"/>
                <w:szCs w:val="20"/>
                <w:color w:val="auto"/>
              </w:rPr>
            </w:pPr>
            <w:r>
              <w:rPr>
                <w:rFonts w:ascii="Arial" w:cs="Arial" w:eastAsia="Arial" w:hAnsi="Arial"/>
                <w:sz w:val="14"/>
                <w:szCs w:val="14"/>
                <w:b w:val="1"/>
                <w:bCs w:val="1"/>
                <w:color w:val="auto"/>
              </w:rPr>
              <w:t>2014</w:t>
            </w:r>
          </w:p>
        </w:tc>
        <w:tc>
          <w:tcPr>
            <w:tcW w:w="10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70"/>
        </w:trPr>
        <w:tc>
          <w:tcPr>
            <w:tcW w:w="6540" w:type="dxa"/>
            <w:vAlign w:val="bottom"/>
            <w:shd w:val="clear" w:color="auto" w:fill="CCEEFF"/>
          </w:tcPr>
          <w:p>
            <w:pPr>
              <w:ind w:left="40"/>
              <w:spacing w:after="0" w:line="270" w:lineRule="exact"/>
              <w:rPr>
                <w:sz w:val="20"/>
                <w:szCs w:val="20"/>
                <w:color w:val="auto"/>
              </w:rPr>
            </w:pPr>
            <w:r>
              <w:rPr>
                <w:rFonts w:ascii="Arial" w:cs="Arial" w:eastAsia="Arial" w:hAnsi="Arial"/>
                <w:sz w:val="18"/>
                <w:szCs w:val="18"/>
                <w:color w:val="auto"/>
              </w:rPr>
              <w:t>2014 investments in capacity and capabilities</w:t>
            </w:r>
            <w:r>
              <w:rPr>
                <w:rFonts w:ascii="Arial" w:cs="Arial" w:eastAsia="Arial" w:hAnsi="Arial"/>
                <w:sz w:val="25"/>
                <w:szCs w:val="25"/>
                <w:color w:val="auto"/>
                <w:vertAlign w:val="superscript"/>
              </w:rPr>
              <w:t>(a)</w:t>
            </w: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200" w:type="dxa"/>
            <w:vAlign w:val="bottom"/>
            <w:shd w:val="clear" w:color="auto" w:fill="CCEEFF"/>
          </w:tcPr>
          <w:p>
            <w:pPr>
              <w:jc w:val="right"/>
              <w:ind w:right="35"/>
              <w:spacing w:after="0"/>
              <w:rPr>
                <w:sz w:val="20"/>
                <w:szCs w:val="20"/>
                <w:color w:val="auto"/>
              </w:rPr>
            </w:pPr>
            <w:r>
              <w:rPr>
                <w:rFonts w:ascii="Arial" w:cs="Arial" w:eastAsia="Arial" w:hAnsi="Arial"/>
                <w:sz w:val="18"/>
                <w:szCs w:val="18"/>
                <w:color w:val="auto"/>
              </w:rPr>
              <w:t>8,925</w:t>
            </w:r>
          </w:p>
        </w:tc>
        <w:tc>
          <w:tcPr>
            <w:tcW w:w="100" w:type="dxa"/>
            <w:vAlign w:val="bottom"/>
            <w:shd w:val="clear" w:color="auto" w:fill="CCEEFF"/>
          </w:tcPr>
          <w:p>
            <w:pPr>
              <w:spacing w:after="0"/>
              <w:rPr>
                <w:sz w:val="23"/>
                <w:szCs w:val="23"/>
                <w:color w:val="auto"/>
              </w:rPr>
            </w:pPr>
          </w:p>
        </w:tc>
        <w:tc>
          <w:tcPr>
            <w:tcW w:w="34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4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rPr>
              <w:t>8,925</w:t>
            </w:r>
          </w:p>
        </w:tc>
        <w:tc>
          <w:tcPr>
            <w:tcW w:w="0" w:type="dxa"/>
            <w:vAlign w:val="bottom"/>
          </w:tcPr>
          <w:p>
            <w:pPr>
              <w:spacing w:after="0"/>
              <w:rPr>
                <w:sz w:val="1"/>
                <w:szCs w:val="1"/>
                <w:color w:val="auto"/>
              </w:rPr>
            </w:pPr>
          </w:p>
        </w:tc>
      </w:tr>
      <w:tr>
        <w:trPr>
          <w:trHeight w:val="270"/>
        </w:trPr>
        <w:tc>
          <w:tcPr>
            <w:tcW w:w="6540" w:type="dxa"/>
            <w:vAlign w:val="bottom"/>
          </w:tcPr>
          <w:p>
            <w:pPr>
              <w:ind w:left="40"/>
              <w:spacing w:after="0" w:line="270" w:lineRule="exact"/>
              <w:rPr>
                <w:sz w:val="20"/>
                <w:szCs w:val="20"/>
                <w:color w:val="auto"/>
              </w:rPr>
            </w:pPr>
            <w:r>
              <w:rPr>
                <w:rFonts w:ascii="Arial" w:cs="Arial" w:eastAsia="Arial" w:hAnsi="Arial"/>
                <w:sz w:val="18"/>
                <w:szCs w:val="18"/>
                <w:color w:val="auto"/>
              </w:rPr>
              <w:t>2013 operating unit realignment</w:t>
            </w:r>
            <w:r>
              <w:rPr>
                <w:rFonts w:ascii="Arial" w:cs="Arial" w:eastAsia="Arial" w:hAnsi="Arial"/>
                <w:sz w:val="25"/>
                <w:szCs w:val="25"/>
                <w:color w:val="auto"/>
                <w:vertAlign w:val="superscript"/>
              </w:rPr>
              <w:t>(a)</w:t>
            </w:r>
          </w:p>
        </w:tc>
        <w:tc>
          <w:tcPr>
            <w:tcW w:w="240" w:type="dxa"/>
            <w:vAlign w:val="bottom"/>
          </w:tcPr>
          <w:p>
            <w:pPr>
              <w:spacing w:after="0"/>
              <w:rPr>
                <w:sz w:val="23"/>
                <w:szCs w:val="23"/>
                <w:color w:val="auto"/>
              </w:rPr>
            </w:pPr>
          </w:p>
        </w:tc>
        <w:tc>
          <w:tcPr>
            <w:tcW w:w="1200" w:type="dxa"/>
            <w:vAlign w:val="bottom"/>
          </w:tcPr>
          <w:p>
            <w:pPr>
              <w:jc w:val="right"/>
              <w:ind w:right="35"/>
              <w:spacing w:after="0"/>
              <w:rPr>
                <w:sz w:val="20"/>
                <w:szCs w:val="20"/>
                <w:color w:val="auto"/>
              </w:rPr>
            </w:pPr>
            <w:r>
              <w:rPr>
                <w:rFonts w:ascii="Arial" w:cs="Arial" w:eastAsia="Arial" w:hAnsi="Arial"/>
                <w:sz w:val="18"/>
                <w:szCs w:val="18"/>
                <w:color w:val="auto"/>
              </w:rPr>
              <w:t>1,017</w:t>
            </w:r>
          </w:p>
        </w:tc>
        <w:tc>
          <w:tcPr>
            <w:tcW w:w="10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1100" w:type="dxa"/>
            <w:vAlign w:val="bottom"/>
          </w:tcPr>
          <w:p>
            <w:pPr>
              <w:jc w:val="right"/>
              <w:ind w:right="34"/>
              <w:spacing w:after="0"/>
              <w:rPr>
                <w:sz w:val="20"/>
                <w:szCs w:val="20"/>
                <w:color w:val="auto"/>
              </w:rPr>
            </w:pPr>
            <w:r>
              <w:rPr>
                <w:rFonts w:ascii="Arial" w:cs="Arial" w:eastAsia="Arial" w:hAnsi="Arial"/>
                <w:sz w:val="18"/>
                <w:szCs w:val="18"/>
                <w:color w:val="auto"/>
              </w:rPr>
              <w:t>5,625</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(4,608)</w:t>
            </w:r>
          </w:p>
        </w:tc>
        <w:tc>
          <w:tcPr>
            <w:tcW w:w="0" w:type="dxa"/>
            <w:vAlign w:val="bottom"/>
          </w:tcPr>
          <w:p>
            <w:pPr>
              <w:spacing w:after="0"/>
              <w:rPr>
                <w:sz w:val="1"/>
                <w:szCs w:val="1"/>
                <w:color w:val="auto"/>
              </w:rPr>
            </w:pPr>
          </w:p>
        </w:tc>
      </w:tr>
      <w:tr>
        <w:trPr>
          <w:trHeight w:val="270"/>
        </w:trPr>
        <w:tc>
          <w:tcPr>
            <w:tcW w:w="6540" w:type="dxa"/>
            <w:vAlign w:val="bottom"/>
            <w:shd w:val="clear" w:color="auto" w:fill="CCEEFF"/>
          </w:tcPr>
          <w:p>
            <w:pPr>
              <w:ind w:left="40"/>
              <w:spacing w:after="0" w:line="270" w:lineRule="exact"/>
              <w:rPr>
                <w:sz w:val="20"/>
                <w:szCs w:val="20"/>
                <w:color w:val="auto"/>
              </w:rPr>
            </w:pPr>
            <w:r>
              <w:rPr>
                <w:rFonts w:ascii="Arial" w:cs="Arial" w:eastAsia="Arial" w:hAnsi="Arial"/>
                <w:sz w:val="18"/>
                <w:szCs w:val="18"/>
                <w:color w:val="auto"/>
              </w:rPr>
              <w:t>Orthopaedic facilities optimization</w:t>
            </w:r>
            <w:r>
              <w:rPr>
                <w:rFonts w:ascii="Arial" w:cs="Arial" w:eastAsia="Arial" w:hAnsi="Arial"/>
                <w:sz w:val="25"/>
                <w:szCs w:val="25"/>
                <w:color w:val="auto"/>
                <w:vertAlign w:val="superscript"/>
              </w:rPr>
              <w:t>(a)</w:t>
            </w:r>
          </w:p>
        </w:tc>
        <w:tc>
          <w:tcPr>
            <w:tcW w:w="240" w:type="dxa"/>
            <w:vAlign w:val="bottom"/>
            <w:shd w:val="clear" w:color="auto" w:fill="CCEEFF"/>
          </w:tcPr>
          <w:p>
            <w:pPr>
              <w:spacing w:after="0"/>
              <w:rPr>
                <w:sz w:val="23"/>
                <w:szCs w:val="23"/>
                <w:color w:val="auto"/>
              </w:rPr>
            </w:pPr>
          </w:p>
        </w:tc>
        <w:tc>
          <w:tcPr>
            <w:tcW w:w="1200" w:type="dxa"/>
            <w:vAlign w:val="bottom"/>
            <w:shd w:val="clear" w:color="auto" w:fill="CCEEFF"/>
          </w:tcPr>
          <w:p>
            <w:pPr>
              <w:jc w:val="right"/>
              <w:ind w:right="35"/>
              <w:spacing w:after="0"/>
              <w:rPr>
                <w:sz w:val="20"/>
                <w:szCs w:val="20"/>
                <w:color w:val="auto"/>
              </w:rPr>
            </w:pPr>
            <w:r>
              <w:rPr>
                <w:rFonts w:ascii="Arial" w:cs="Arial" w:eastAsia="Arial" w:hAnsi="Arial"/>
                <w:sz w:val="18"/>
                <w:szCs w:val="18"/>
                <w:color w:val="auto"/>
              </w:rPr>
              <w:t>1,317</w:t>
            </w:r>
          </w:p>
        </w:tc>
        <w:tc>
          <w:tcPr>
            <w:tcW w:w="100" w:type="dxa"/>
            <w:vAlign w:val="bottom"/>
            <w:shd w:val="clear" w:color="auto" w:fill="CCEEFF"/>
          </w:tcPr>
          <w:p>
            <w:pPr>
              <w:spacing w:after="0"/>
              <w:rPr>
                <w:sz w:val="23"/>
                <w:szCs w:val="23"/>
                <w:color w:val="auto"/>
              </w:rPr>
            </w:pPr>
          </w:p>
        </w:tc>
        <w:tc>
          <w:tcPr>
            <w:tcW w:w="340" w:type="dxa"/>
            <w:vAlign w:val="bottom"/>
            <w:shd w:val="clear" w:color="auto" w:fill="CCEEFF"/>
          </w:tcPr>
          <w:p>
            <w:pPr>
              <w:spacing w:after="0"/>
              <w:rPr>
                <w:sz w:val="23"/>
                <w:szCs w:val="23"/>
                <w:color w:val="auto"/>
              </w:rPr>
            </w:pPr>
          </w:p>
        </w:tc>
        <w:tc>
          <w:tcPr>
            <w:tcW w:w="1100" w:type="dxa"/>
            <w:vAlign w:val="bottom"/>
            <w:shd w:val="clear" w:color="auto" w:fill="CCEEFF"/>
          </w:tcPr>
          <w:p>
            <w:pPr>
              <w:jc w:val="right"/>
              <w:ind w:right="34"/>
              <w:spacing w:after="0"/>
              <w:rPr>
                <w:sz w:val="20"/>
                <w:szCs w:val="20"/>
                <w:color w:val="auto"/>
              </w:rPr>
            </w:pPr>
            <w:r>
              <w:rPr>
                <w:rFonts w:ascii="Arial" w:cs="Arial" w:eastAsia="Arial" w:hAnsi="Arial"/>
                <w:sz w:val="18"/>
                <w:szCs w:val="18"/>
                <w:color w:val="auto"/>
              </w:rPr>
              <w:t>8,038</w:t>
            </w:r>
          </w:p>
        </w:tc>
        <w:tc>
          <w:tcPr>
            <w:tcW w:w="100" w:type="dxa"/>
            <w:vAlign w:val="bottom"/>
            <w:shd w:val="clear" w:color="auto" w:fill="CCEEFF"/>
          </w:tcPr>
          <w:p>
            <w:pPr>
              <w:spacing w:after="0"/>
              <w:rPr>
                <w:sz w:val="23"/>
                <w:szCs w:val="23"/>
                <w:color w:val="auto"/>
              </w:rPr>
            </w:pPr>
          </w:p>
        </w:tc>
        <w:tc>
          <w:tcPr>
            <w:tcW w:w="300" w:type="dxa"/>
            <w:vAlign w:val="bottom"/>
            <w:shd w:val="clear" w:color="auto" w:fill="CCEEFF"/>
          </w:tcPr>
          <w:p>
            <w:pPr>
              <w:spacing w:after="0"/>
              <w:rPr>
                <w:sz w:val="23"/>
                <w:szCs w:val="23"/>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(6,721)</w:t>
            </w:r>
          </w:p>
        </w:tc>
        <w:tc>
          <w:tcPr>
            <w:tcW w:w="0" w:type="dxa"/>
            <w:vAlign w:val="bottom"/>
          </w:tcPr>
          <w:p>
            <w:pPr>
              <w:spacing w:after="0"/>
              <w:rPr>
                <w:sz w:val="1"/>
                <w:szCs w:val="1"/>
                <w:color w:val="auto"/>
              </w:rPr>
            </w:pPr>
          </w:p>
        </w:tc>
      </w:tr>
      <w:tr>
        <w:trPr>
          <w:trHeight w:val="270"/>
        </w:trPr>
        <w:tc>
          <w:tcPr>
            <w:tcW w:w="6540" w:type="dxa"/>
            <w:vAlign w:val="bottom"/>
          </w:tcPr>
          <w:p>
            <w:pPr>
              <w:ind w:left="40"/>
              <w:spacing w:after="0" w:line="270" w:lineRule="exact"/>
              <w:rPr>
                <w:sz w:val="20"/>
                <w:szCs w:val="20"/>
                <w:color w:val="auto"/>
              </w:rPr>
            </w:pPr>
            <w:r>
              <w:rPr>
                <w:rFonts w:ascii="Arial" w:cs="Arial" w:eastAsia="Arial" w:hAnsi="Arial"/>
                <w:sz w:val="18"/>
                <w:szCs w:val="18"/>
                <w:color w:val="auto"/>
              </w:rPr>
              <w:t>Other consolidation and optimization costs</w:t>
            </w:r>
            <w:r>
              <w:rPr>
                <w:rFonts w:ascii="Arial" w:cs="Arial" w:eastAsia="Arial" w:hAnsi="Arial"/>
                <w:sz w:val="25"/>
                <w:szCs w:val="25"/>
                <w:color w:val="auto"/>
                <w:vertAlign w:val="superscript"/>
              </w:rPr>
              <w:t>(a)</w:t>
            </w:r>
          </w:p>
        </w:tc>
        <w:tc>
          <w:tcPr>
            <w:tcW w:w="240" w:type="dxa"/>
            <w:vAlign w:val="bottom"/>
          </w:tcPr>
          <w:p>
            <w:pPr>
              <w:spacing w:after="0"/>
              <w:rPr>
                <w:sz w:val="23"/>
                <w:szCs w:val="23"/>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(71)</w:t>
            </w:r>
          </w:p>
        </w:tc>
        <w:tc>
          <w:tcPr>
            <w:tcW w:w="10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1100" w:type="dxa"/>
            <w:vAlign w:val="bottom"/>
          </w:tcPr>
          <w:p>
            <w:pPr>
              <w:jc w:val="right"/>
              <w:ind w:right="34"/>
              <w:spacing w:after="0"/>
              <w:rPr>
                <w:sz w:val="20"/>
                <w:szCs w:val="20"/>
                <w:color w:val="auto"/>
              </w:rPr>
            </w:pPr>
            <w:r>
              <w:rPr>
                <w:rFonts w:ascii="Arial" w:cs="Arial" w:eastAsia="Arial" w:hAnsi="Arial"/>
                <w:sz w:val="18"/>
                <w:szCs w:val="18"/>
                <w:color w:val="auto"/>
              </w:rPr>
              <w:t>1,095</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(1,166)</w:t>
            </w:r>
          </w:p>
        </w:tc>
        <w:tc>
          <w:tcPr>
            <w:tcW w:w="0" w:type="dxa"/>
            <w:vAlign w:val="bottom"/>
          </w:tcPr>
          <w:p>
            <w:pPr>
              <w:spacing w:after="0"/>
              <w:rPr>
                <w:sz w:val="1"/>
                <w:szCs w:val="1"/>
                <w:color w:val="auto"/>
              </w:rPr>
            </w:pPr>
          </w:p>
        </w:tc>
      </w:tr>
      <w:tr>
        <w:trPr>
          <w:trHeight w:val="270"/>
        </w:trPr>
        <w:tc>
          <w:tcPr>
            <w:tcW w:w="6540" w:type="dxa"/>
            <w:vAlign w:val="bottom"/>
            <w:shd w:val="clear" w:color="auto" w:fill="CCEEFF"/>
          </w:tcPr>
          <w:p>
            <w:pPr>
              <w:ind w:left="40"/>
              <w:spacing w:after="0" w:line="270" w:lineRule="exact"/>
              <w:rPr>
                <w:sz w:val="20"/>
                <w:szCs w:val="20"/>
                <w:color w:val="auto"/>
              </w:rPr>
            </w:pPr>
            <w:r>
              <w:rPr>
                <w:rFonts w:ascii="Arial" w:cs="Arial" w:eastAsia="Arial" w:hAnsi="Arial"/>
                <w:sz w:val="18"/>
                <w:szCs w:val="18"/>
                <w:color w:val="auto"/>
              </w:rPr>
              <w:t>Acquisition and integration (income) costs</w:t>
            </w:r>
            <w:r>
              <w:rPr>
                <w:rFonts w:ascii="Arial" w:cs="Arial" w:eastAsia="Arial" w:hAnsi="Arial"/>
                <w:sz w:val="25"/>
                <w:szCs w:val="25"/>
                <w:color w:val="auto"/>
                <w:vertAlign w:val="superscript"/>
              </w:rPr>
              <w:t>(b)</w:t>
            </w:r>
          </w:p>
        </w:tc>
        <w:tc>
          <w:tcPr>
            <w:tcW w:w="240" w:type="dxa"/>
            <w:vAlign w:val="bottom"/>
            <w:shd w:val="clear" w:color="auto" w:fill="CCEEFF"/>
          </w:tcPr>
          <w:p>
            <w:pPr>
              <w:spacing w:after="0"/>
              <w:rPr>
                <w:sz w:val="23"/>
                <w:szCs w:val="23"/>
                <w:color w:val="auto"/>
              </w:rPr>
            </w:pPr>
          </w:p>
        </w:tc>
        <w:tc>
          <w:tcPr>
            <w:tcW w:w="1200" w:type="dxa"/>
            <w:vAlign w:val="bottom"/>
            <w:shd w:val="clear" w:color="auto" w:fill="CCEEFF"/>
          </w:tcPr>
          <w:p>
            <w:pPr>
              <w:jc w:val="right"/>
              <w:ind w:right="35"/>
              <w:spacing w:after="0"/>
              <w:rPr>
                <w:sz w:val="20"/>
                <w:szCs w:val="20"/>
                <w:color w:val="auto"/>
              </w:rPr>
            </w:pPr>
            <w:r>
              <w:rPr>
                <w:rFonts w:ascii="Arial" w:cs="Arial" w:eastAsia="Arial" w:hAnsi="Arial"/>
                <w:sz w:val="18"/>
                <w:szCs w:val="18"/>
                <w:color w:val="auto"/>
              </w:rPr>
              <w:t>3</w:t>
            </w:r>
          </w:p>
        </w:tc>
        <w:tc>
          <w:tcPr>
            <w:tcW w:w="100" w:type="dxa"/>
            <w:vAlign w:val="bottom"/>
            <w:shd w:val="clear" w:color="auto" w:fill="CCEEFF"/>
          </w:tcPr>
          <w:p>
            <w:pPr>
              <w:spacing w:after="0"/>
              <w:rPr>
                <w:sz w:val="23"/>
                <w:szCs w:val="23"/>
                <w:color w:val="auto"/>
              </w:rPr>
            </w:pPr>
          </w:p>
        </w:tc>
        <w:tc>
          <w:tcPr>
            <w:tcW w:w="340" w:type="dxa"/>
            <w:vAlign w:val="bottom"/>
            <w:shd w:val="clear" w:color="auto" w:fill="CCEEFF"/>
          </w:tcPr>
          <w:p>
            <w:pPr>
              <w:spacing w:after="0"/>
              <w:rPr>
                <w:sz w:val="23"/>
                <w:szCs w:val="23"/>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(502)</w:t>
            </w:r>
          </w:p>
        </w:tc>
        <w:tc>
          <w:tcPr>
            <w:tcW w:w="100" w:type="dxa"/>
            <w:vAlign w:val="bottom"/>
            <w:shd w:val="clear" w:color="auto" w:fill="CCEEFF"/>
          </w:tcPr>
          <w:p>
            <w:pPr>
              <w:spacing w:after="0"/>
              <w:rPr>
                <w:sz w:val="23"/>
                <w:szCs w:val="23"/>
                <w:color w:val="auto"/>
              </w:rPr>
            </w:pPr>
          </w:p>
        </w:tc>
        <w:tc>
          <w:tcPr>
            <w:tcW w:w="300" w:type="dxa"/>
            <w:vAlign w:val="bottom"/>
            <w:shd w:val="clear" w:color="auto" w:fill="CCEEFF"/>
          </w:tcPr>
          <w:p>
            <w:pPr>
              <w:spacing w:after="0"/>
              <w:rPr>
                <w:sz w:val="23"/>
                <w:szCs w:val="23"/>
                <w:color w:val="auto"/>
              </w:rPr>
            </w:pPr>
          </w:p>
        </w:tc>
        <w:tc>
          <w:tcPr>
            <w:tcW w:w="114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rPr>
              <w:t>505</w:t>
            </w:r>
          </w:p>
        </w:tc>
        <w:tc>
          <w:tcPr>
            <w:tcW w:w="0" w:type="dxa"/>
            <w:vAlign w:val="bottom"/>
          </w:tcPr>
          <w:p>
            <w:pPr>
              <w:spacing w:after="0"/>
              <w:rPr>
                <w:sz w:val="1"/>
                <w:szCs w:val="1"/>
                <w:color w:val="auto"/>
              </w:rPr>
            </w:pPr>
          </w:p>
        </w:tc>
      </w:tr>
      <w:tr>
        <w:trPr>
          <w:trHeight w:val="270"/>
        </w:trPr>
        <w:tc>
          <w:tcPr>
            <w:tcW w:w="6540" w:type="dxa"/>
            <w:vAlign w:val="bottom"/>
            <w:tcBorders>
              <w:bottom w:val="single" w:sz="8" w:color="CCEEFF"/>
            </w:tcBorders>
          </w:tcPr>
          <w:p>
            <w:pPr>
              <w:ind w:left="40"/>
              <w:spacing w:after="0" w:line="270" w:lineRule="exact"/>
              <w:rPr>
                <w:sz w:val="20"/>
                <w:szCs w:val="20"/>
                <w:color w:val="auto"/>
              </w:rPr>
            </w:pPr>
            <w:r>
              <w:rPr>
                <w:rFonts w:ascii="Arial" w:cs="Arial" w:eastAsia="Arial" w:hAnsi="Arial"/>
                <w:sz w:val="18"/>
                <w:szCs w:val="18"/>
                <w:color w:val="auto"/>
              </w:rPr>
              <w:t>Asset dispositions, severance and other</w:t>
            </w:r>
            <w:r>
              <w:rPr>
                <w:rFonts w:ascii="Arial" w:cs="Arial" w:eastAsia="Arial" w:hAnsi="Arial"/>
                <w:sz w:val="25"/>
                <w:szCs w:val="25"/>
                <w:color w:val="auto"/>
                <w:vertAlign w:val="superscript"/>
              </w:rPr>
              <w:t>(c)</w:t>
            </w:r>
          </w:p>
        </w:tc>
        <w:tc>
          <w:tcPr>
            <w:tcW w:w="240" w:type="dxa"/>
            <w:vAlign w:val="bottom"/>
            <w:tcBorders>
              <w:bottom w:val="single" w:sz="8" w:color="auto"/>
            </w:tcBorders>
          </w:tcPr>
          <w:p>
            <w:pPr>
              <w:spacing w:after="0"/>
              <w:rPr>
                <w:sz w:val="23"/>
                <w:szCs w:val="23"/>
                <w:color w:val="auto"/>
              </w:rPr>
            </w:pPr>
          </w:p>
        </w:tc>
        <w:tc>
          <w:tcPr>
            <w:tcW w:w="1200" w:type="dxa"/>
            <w:vAlign w:val="bottom"/>
            <w:tcBorders>
              <w:bottom w:val="single" w:sz="8" w:color="auto"/>
            </w:tcBorders>
          </w:tcPr>
          <w:p>
            <w:pPr>
              <w:jc w:val="right"/>
              <w:ind w:right="35"/>
              <w:spacing w:after="0"/>
              <w:rPr>
                <w:sz w:val="20"/>
                <w:szCs w:val="20"/>
                <w:color w:val="auto"/>
              </w:rPr>
            </w:pPr>
            <w:r>
              <w:rPr>
                <w:rFonts w:ascii="Arial" w:cs="Arial" w:eastAsia="Arial" w:hAnsi="Arial"/>
                <w:sz w:val="18"/>
                <w:szCs w:val="18"/>
                <w:color w:val="auto"/>
              </w:rPr>
              <w:t>4,106</w:t>
            </w:r>
          </w:p>
        </w:tc>
        <w:tc>
          <w:tcPr>
            <w:tcW w:w="100" w:type="dxa"/>
            <w:vAlign w:val="bottom"/>
            <w:tcBorders>
              <w:bottom w:val="single" w:sz="8" w:color="CCEEFF"/>
            </w:tcBorders>
          </w:tcPr>
          <w:p>
            <w:pPr>
              <w:spacing w:after="0"/>
              <w:rPr>
                <w:sz w:val="23"/>
                <w:szCs w:val="23"/>
                <w:color w:val="auto"/>
              </w:rPr>
            </w:pPr>
          </w:p>
        </w:tc>
        <w:tc>
          <w:tcPr>
            <w:tcW w:w="340" w:type="dxa"/>
            <w:vAlign w:val="bottom"/>
            <w:tcBorders>
              <w:bottom w:val="single" w:sz="8" w:color="auto"/>
            </w:tcBorders>
          </w:tcPr>
          <w:p>
            <w:pPr>
              <w:spacing w:after="0"/>
              <w:rPr>
                <w:sz w:val="23"/>
                <w:szCs w:val="23"/>
                <w:color w:val="auto"/>
              </w:rPr>
            </w:pPr>
          </w:p>
        </w:tc>
        <w:tc>
          <w:tcPr>
            <w:tcW w:w="1100" w:type="dxa"/>
            <w:vAlign w:val="bottom"/>
            <w:tcBorders>
              <w:bottom w:val="single" w:sz="8" w:color="auto"/>
            </w:tcBorders>
          </w:tcPr>
          <w:p>
            <w:pPr>
              <w:jc w:val="right"/>
              <w:ind w:right="34"/>
              <w:spacing w:after="0"/>
              <w:rPr>
                <w:sz w:val="20"/>
                <w:szCs w:val="20"/>
                <w:color w:val="auto"/>
              </w:rPr>
            </w:pPr>
            <w:r>
              <w:rPr>
                <w:rFonts w:ascii="Arial" w:cs="Arial" w:eastAsia="Arial" w:hAnsi="Arial"/>
                <w:sz w:val="18"/>
                <w:szCs w:val="18"/>
                <w:color w:val="auto"/>
              </w:rPr>
              <w:t>1,534</w:t>
            </w:r>
          </w:p>
        </w:tc>
        <w:tc>
          <w:tcPr>
            <w:tcW w:w="100" w:type="dxa"/>
            <w:vAlign w:val="bottom"/>
            <w:tcBorders>
              <w:bottom w:val="single" w:sz="8" w:color="CCEEFF"/>
            </w:tcBorders>
          </w:tcPr>
          <w:p>
            <w:pPr>
              <w:spacing w:after="0"/>
              <w:rPr>
                <w:sz w:val="23"/>
                <w:szCs w:val="23"/>
                <w:color w:val="auto"/>
              </w:rPr>
            </w:pPr>
          </w:p>
        </w:tc>
        <w:tc>
          <w:tcPr>
            <w:tcW w:w="300" w:type="dxa"/>
            <w:vAlign w:val="bottom"/>
            <w:tcBorders>
              <w:bottom w:val="single" w:sz="8" w:color="auto"/>
            </w:tcBorders>
          </w:tcPr>
          <w:p>
            <w:pPr>
              <w:spacing w:after="0"/>
              <w:rPr>
                <w:sz w:val="23"/>
                <w:szCs w:val="23"/>
                <w:color w:val="auto"/>
              </w:rPr>
            </w:pPr>
          </w:p>
        </w:tc>
        <w:tc>
          <w:tcPr>
            <w:tcW w:w="1140" w:type="dxa"/>
            <w:vAlign w:val="bottom"/>
            <w:tcBorders>
              <w:bottom w:val="single" w:sz="8" w:color="auto"/>
            </w:tcBorders>
          </w:tcPr>
          <w:p>
            <w:pPr>
              <w:jc w:val="right"/>
              <w:ind w:right="32"/>
              <w:spacing w:after="0"/>
              <w:rPr>
                <w:sz w:val="20"/>
                <w:szCs w:val="20"/>
                <w:color w:val="auto"/>
              </w:rPr>
            </w:pPr>
            <w:r>
              <w:rPr>
                <w:rFonts w:ascii="Arial" w:cs="Arial" w:eastAsia="Arial" w:hAnsi="Arial"/>
                <w:sz w:val="18"/>
                <w:szCs w:val="18"/>
                <w:color w:val="auto"/>
              </w:rPr>
              <w:t>2,572</w:t>
            </w:r>
          </w:p>
        </w:tc>
        <w:tc>
          <w:tcPr>
            <w:tcW w:w="0" w:type="dxa"/>
            <w:vAlign w:val="bottom"/>
          </w:tcPr>
          <w:p>
            <w:pPr>
              <w:spacing w:after="0"/>
              <w:rPr>
                <w:sz w:val="1"/>
                <w:szCs w:val="1"/>
                <w:color w:val="auto"/>
              </w:rPr>
            </w:pPr>
          </w:p>
        </w:tc>
      </w:tr>
      <w:tr>
        <w:trPr>
          <w:trHeight w:val="257"/>
        </w:trPr>
        <w:tc>
          <w:tcPr>
            <w:tcW w:w="65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Total other operating expenses, net</w:t>
            </w:r>
          </w:p>
        </w:tc>
        <w:tc>
          <w:tcPr>
            <w:tcW w:w="2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auto"/>
            </w:tcBorders>
            <w:shd w:val="clear" w:color="auto" w:fill="CCEEFF"/>
          </w:tcPr>
          <w:p>
            <w:pPr>
              <w:jc w:val="right"/>
              <w:ind w:right="35"/>
              <w:spacing w:after="0"/>
              <w:rPr>
                <w:sz w:val="20"/>
                <w:szCs w:val="20"/>
                <w:color w:val="auto"/>
              </w:rPr>
            </w:pPr>
            <w:r>
              <w:rPr>
                <w:rFonts w:ascii="Arial" w:cs="Arial" w:eastAsia="Arial" w:hAnsi="Arial"/>
                <w:sz w:val="18"/>
                <w:szCs w:val="18"/>
                <w:color w:val="auto"/>
              </w:rPr>
              <w:t>15,297</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shd w:val="clear" w:color="auto" w:fill="CCEEFF"/>
          </w:tcPr>
          <w:p>
            <w:pPr>
              <w:jc w:val="right"/>
              <w:ind w:right="34"/>
              <w:spacing w:after="0"/>
              <w:rPr>
                <w:sz w:val="20"/>
                <w:szCs w:val="20"/>
                <w:color w:val="auto"/>
              </w:rPr>
            </w:pPr>
            <w:r>
              <w:rPr>
                <w:rFonts w:ascii="Arial" w:cs="Arial" w:eastAsia="Arial" w:hAnsi="Arial"/>
                <w:sz w:val="18"/>
                <w:szCs w:val="18"/>
                <w:color w:val="auto"/>
              </w:rPr>
              <w:t>15,790</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(493)</w:t>
            </w:r>
          </w:p>
        </w:tc>
        <w:tc>
          <w:tcPr>
            <w:tcW w:w="0" w:type="dxa"/>
            <w:vAlign w:val="bottom"/>
          </w:tcPr>
          <w:p>
            <w:pPr>
              <w:spacing w:after="0"/>
              <w:rPr>
                <w:sz w:val="1"/>
                <w:szCs w:val="1"/>
                <w:color w:val="auto"/>
              </w:rPr>
            </w:pPr>
          </w:p>
        </w:tc>
      </w:tr>
      <w:tr>
        <w:trPr>
          <w:trHeight w:val="20"/>
        </w:trPr>
        <w:tc>
          <w:tcPr>
            <w:tcW w:w="65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4" w:lineRule="exact"/>
        <w:rPr>
          <w:sz w:val="20"/>
          <w:szCs w:val="20"/>
          <w:color w:val="auto"/>
        </w:rPr>
      </w:pPr>
    </w:p>
    <w:p>
      <w:pPr>
        <w:ind w:left="340" w:right="460" w:hanging="332"/>
        <w:spacing w:after="0" w:line="342" w:lineRule="auto"/>
        <w:tabs>
          <w:tab w:leader="none" w:pos="340" w:val="left"/>
        </w:tabs>
        <w:numPr>
          <w:ilvl w:val="0"/>
          <w:numId w:val="30"/>
        </w:numPr>
        <w:rPr>
          <w:rFonts w:ascii="Arial" w:cs="Arial" w:eastAsia="Arial" w:hAnsi="Arial"/>
          <w:sz w:val="16"/>
          <w:szCs w:val="16"/>
          <w:color w:val="auto"/>
        </w:rPr>
      </w:pPr>
      <w:r>
        <w:rPr>
          <w:rFonts w:ascii="Arial" w:cs="Arial" w:eastAsia="Arial" w:hAnsi="Arial"/>
          <w:sz w:val="16"/>
          <w:szCs w:val="16"/>
          <w:color w:val="auto"/>
        </w:rPr>
        <w:t>Refer to “Cost Savings and Consolidation Efforts” section of this Item and Note 13 “Other Operating Expenses, Net” of the Notes to Consolidated Financial Statements contained in Item 8 of this report for disclosures related to the timing and level of remaining expenditures for these initiatives.</w:t>
      </w:r>
    </w:p>
    <w:p>
      <w:pPr>
        <w:spacing w:after="0" w:line="123" w:lineRule="exact"/>
        <w:rPr>
          <w:rFonts w:ascii="Arial" w:cs="Arial" w:eastAsia="Arial" w:hAnsi="Arial"/>
          <w:sz w:val="16"/>
          <w:szCs w:val="16"/>
          <w:color w:val="auto"/>
        </w:rPr>
      </w:pPr>
    </w:p>
    <w:p>
      <w:pPr>
        <w:ind w:left="340" w:right="40" w:hanging="332"/>
        <w:spacing w:after="0" w:line="302" w:lineRule="auto"/>
        <w:tabs>
          <w:tab w:leader="none" w:pos="340" w:val="left"/>
        </w:tabs>
        <w:numPr>
          <w:ilvl w:val="0"/>
          <w:numId w:val="30"/>
        </w:numPr>
        <w:rPr>
          <w:rFonts w:ascii="Arial" w:cs="Arial" w:eastAsia="Arial" w:hAnsi="Arial"/>
          <w:sz w:val="16"/>
          <w:szCs w:val="16"/>
          <w:color w:val="auto"/>
        </w:rPr>
      </w:pPr>
      <w:r>
        <w:rPr>
          <w:rFonts w:ascii="Arial" w:cs="Arial" w:eastAsia="Arial" w:hAnsi="Arial"/>
          <w:sz w:val="16"/>
          <w:szCs w:val="16"/>
          <w:color w:val="auto"/>
        </w:rPr>
        <w:t>During 2014 and 2013, we recognized costs (income) related to the integration of Micro Power Electronics, Inc., NeuroNexus, and CCC. These expenses (income) were primarily for retention bonuses, travel costs in connection with integration efforts, training, severance, and the change in fair value of the contingent consideration recorded in connection with the NeuroNexus acquisition. Refer to Note 13 “Other Operating Expenses, Net” of the Notes to Consolidated Financial Statements contained in Item 8 of this report for disclosures related to the change in fair value of the contingent consideration.</w:t>
      </w:r>
    </w:p>
    <w:p>
      <w:pPr>
        <w:spacing w:after="0" w:line="154" w:lineRule="exact"/>
        <w:rPr>
          <w:rFonts w:ascii="Arial" w:cs="Arial" w:eastAsia="Arial" w:hAnsi="Arial"/>
          <w:sz w:val="16"/>
          <w:szCs w:val="16"/>
          <w:color w:val="auto"/>
        </w:rPr>
      </w:pPr>
    </w:p>
    <w:p>
      <w:pPr>
        <w:ind w:left="340" w:hanging="332"/>
        <w:spacing w:after="0" w:line="257" w:lineRule="auto"/>
        <w:tabs>
          <w:tab w:leader="none" w:pos="340" w:val="left"/>
        </w:tabs>
        <w:numPr>
          <w:ilvl w:val="0"/>
          <w:numId w:val="30"/>
        </w:numPr>
        <w:rPr>
          <w:rFonts w:ascii="Arial" w:cs="Arial" w:eastAsia="Arial" w:hAnsi="Arial"/>
          <w:sz w:val="18"/>
          <w:szCs w:val="18"/>
          <w:color w:val="auto"/>
        </w:rPr>
      </w:pPr>
      <w:r>
        <w:rPr>
          <w:rFonts w:ascii="Arial" w:cs="Arial" w:eastAsia="Arial" w:hAnsi="Arial"/>
          <w:sz w:val="18"/>
          <w:szCs w:val="18"/>
          <w:color w:val="auto"/>
        </w:rPr>
        <w:t>During 2014 and 2013, we recorded losses in connection with various asset disposals and write-downs. During 2014, we incurred $0.9 million of expense related to the separation of our Senior Vice President, Human Resources. Additionally, during 2014, Greatbatch Medical recorded charges in connection with its business reorganization to align its contract manufacturing operations. Costs incurred primarily related to consulting and IT development. During 2013, Greatbatch Medical recorded a $0.9 million write-off related to its wireless sensing product line and QiG recorded a $0.5 million write-off of NeuroNexus’s in-process research and development “IPR&amp;D”.</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Expense</w:t>
      </w:r>
    </w:p>
    <w:p>
      <w:pPr>
        <w:spacing w:after="0" w:line="225" w:lineRule="exact"/>
        <w:rPr>
          <w:sz w:val="20"/>
          <w:szCs w:val="20"/>
          <w:color w:val="auto"/>
        </w:rPr>
      </w:pPr>
    </w:p>
    <w:p>
      <w:pPr>
        <w:ind w:right="140"/>
        <w:spacing w:after="0" w:line="257" w:lineRule="auto"/>
        <w:rPr>
          <w:sz w:val="20"/>
          <w:szCs w:val="20"/>
          <w:color w:val="auto"/>
        </w:rPr>
      </w:pPr>
      <w:r>
        <w:rPr>
          <w:rFonts w:ascii="Arial" w:cs="Arial" w:eastAsia="Arial" w:hAnsi="Arial"/>
          <w:sz w:val="18"/>
          <w:szCs w:val="18"/>
          <w:color w:val="auto"/>
        </w:rPr>
        <w:t>Interest expense for 2014 decreased $7.0 million over 2013 primarily due to the repayment of $198 million of convertible subordinated notes during the first quarter of 2013, which had an effective interest rate of 8.5%. The weighted average interest rate on our long-term debt as of January 2, 2015 was 1.79%. Additionally, interest expense was lower in 2014 due to lower outstanding Credit Facility balances. During 2014 and 2013, we made net repayments of $10 million and $33.3 million on long-term debt, respectively. See Note 9 “Debt” of the Notes to Consolidated Financial Statements contained in Item 8 of this report.</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(Gain) Loss on Cost and Equity Method Investments</w:t>
      </w:r>
    </w:p>
    <w:p>
      <w:pPr>
        <w:spacing w:after="0" w:line="225" w:lineRule="exact"/>
        <w:rPr>
          <w:sz w:val="20"/>
          <w:szCs w:val="20"/>
          <w:color w:val="auto"/>
        </w:rPr>
      </w:pPr>
    </w:p>
    <w:p>
      <w:pPr>
        <w:ind w:right="380"/>
        <w:spacing w:after="0" w:line="342" w:lineRule="auto"/>
        <w:rPr>
          <w:sz w:val="20"/>
          <w:szCs w:val="20"/>
          <w:color w:val="auto"/>
        </w:rPr>
      </w:pPr>
      <w:r>
        <w:rPr>
          <w:rFonts w:ascii="Arial" w:cs="Arial" w:eastAsia="Arial" w:hAnsi="Arial"/>
          <w:sz w:val="16"/>
          <w:szCs w:val="16"/>
          <w:color w:val="auto"/>
        </w:rPr>
        <w:t>During 2014, we sold one of our cost method investments, which resulted in a pre-tax gain of $3.2 million and contributed to the overall gain on cost and equity method investments for the year. During 2013, we incurred losses due to the writedown of our cost and equity method investments.</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(Income) Expense, Net</w:t>
      </w:r>
    </w:p>
    <w:p>
      <w:pPr>
        <w:spacing w:after="0" w:line="225" w:lineRule="exact"/>
        <w:rPr>
          <w:sz w:val="20"/>
          <w:szCs w:val="20"/>
          <w:color w:val="auto"/>
        </w:rPr>
      </w:pPr>
    </w:p>
    <w:p>
      <w:pPr>
        <w:ind w:right="40"/>
        <w:spacing w:after="0" w:line="264" w:lineRule="auto"/>
        <w:rPr>
          <w:sz w:val="20"/>
          <w:szCs w:val="20"/>
          <w:color w:val="auto"/>
        </w:rPr>
      </w:pPr>
      <w:r>
        <w:rPr>
          <w:rFonts w:ascii="Arial" w:cs="Arial" w:eastAsia="Arial" w:hAnsi="Arial"/>
          <w:sz w:val="18"/>
          <w:szCs w:val="18"/>
          <w:color w:val="auto"/>
        </w:rPr>
        <w:t>Other (income) expense, net primarily includes the impact of foreign currency exchange rate fluctuations on transactions denominated in foreign currencies. In 2014, we recognized $1.3 million of foreign currency exchange gains compared to a loss of $0.1 million for 2013, primarily due to the strengthening of the U.S. dollar relative to the Euro.</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Provision for Income Taxes</w:t>
      </w:r>
    </w:p>
    <w:p>
      <w:pPr>
        <w:spacing w:after="0" w:line="225" w:lineRule="exact"/>
        <w:rPr>
          <w:sz w:val="20"/>
          <w:szCs w:val="20"/>
          <w:color w:val="auto"/>
        </w:rPr>
      </w:pPr>
    </w:p>
    <w:p>
      <w:pPr>
        <w:ind w:right="40"/>
        <w:spacing w:after="0" w:line="297" w:lineRule="auto"/>
        <w:rPr>
          <w:sz w:val="20"/>
          <w:szCs w:val="20"/>
          <w:color w:val="auto"/>
        </w:rPr>
      </w:pPr>
      <w:r>
        <w:rPr>
          <w:rFonts w:ascii="Arial" w:cs="Arial" w:eastAsia="Arial" w:hAnsi="Arial"/>
          <w:sz w:val="16"/>
          <w:szCs w:val="16"/>
          <w:color w:val="auto"/>
        </w:rPr>
        <w:t>The effective tax rate for 2014 was 27.6% versus 25.7% for 2013. The stand-alone U.S. component of the effective tax rate for 2014 was 32.6% versus 30.0% for 2013. The year over year increase is primarily attributable to a decrease in federal tax credits recorded in 2014. $3.7 million of federal tax credits were recorded in 2013 as a result of the retroactive reinstatement of the R&amp;D Tax Credit versus $1.6 million in 2014. On January 2, 2013, the President signed into law the American Taxpayer Relief Act of 2012 (the “Act”), which included a retroactive extension of the R&amp;D tax credit that had expired on December 31, 2011. Under the Act, the R&amp;D credit was extended for two years retroactively from January 1, 2012 through December 31, 2013. As</w:t>
      </w:r>
    </w:p>
    <w:p>
      <w:pPr>
        <w:sectPr>
          <w:pgSz w:w="11900" w:h="16838" w:orient="portrait"/>
          <w:cols w:equalWidth="0" w:num="1">
            <w:col w:w="11420"/>
          </w:cols>
          <w:pgMar w:left="240" w:top="908" w:right="239" w:bottom="1440" w:gutter="0" w:footer="0" w:header="0"/>
        </w:sectPr>
      </w:pPr>
    </w:p>
    <w:p>
      <w:pPr>
        <w:spacing w:after="0" w:line="29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- 56 -</w:t>
      </w:r>
    </w:p>
    <w:p>
      <w:pPr>
        <w:sectPr>
          <w:pgSz w:w="11900" w:h="16838" w:orient="portrait"/>
          <w:cols w:equalWidth="0" w:num="1">
            <w:col w:w="11420"/>
          </w:cols>
          <w:pgMar w:left="240" w:top="908" w:right="239" w:bottom="1440" w:gutter="0" w:footer="0" w:header="0"/>
          <w:type w:val="continuous"/>
        </w:sectPr>
      </w:pPr>
    </w:p>
    <w:bookmarkStart w:id="57" w:name="page58"/>
    <w:bookmarkEnd w:id="57"/>
    <w:p>
      <w:pPr>
        <w:ind w:right="340"/>
        <w:spacing w:after="0" w:line="264" w:lineRule="auto"/>
        <w:rPr>
          <w:sz w:val="20"/>
          <w:szCs w:val="20"/>
          <w:color w:val="auto"/>
        </w:rPr>
      </w:pPr>
      <w:r>
        <w:rPr>
          <w:rFonts w:ascii="Arial" w:cs="Arial" w:eastAsia="Arial" w:hAnsi="Arial"/>
          <w:sz w:val="18"/>
          <w:szCs w:val="18"/>
          <w:color w:val="auto"/>
        </w:rPr>
        <w:t>the Act was signed into law on January 2, 2013, the effects of the change in the tax law were recognized in 2013. As such, a benefit for the R&amp;D credits earned both in 2012 and 2013 were recorded through the fiscal 2013 effective tax rate. The 2014 effective tax rate appropriately reflects only the 2014 tax credits.</w:t>
      </w:r>
    </w:p>
    <w:p>
      <w:pPr>
        <w:spacing w:after="0" w:line="181" w:lineRule="exact"/>
        <w:rPr>
          <w:sz w:val="20"/>
          <w:szCs w:val="20"/>
          <w:color w:val="auto"/>
        </w:rPr>
      </w:pPr>
    </w:p>
    <w:p>
      <w:pPr>
        <w:spacing w:after="0"/>
        <w:rPr>
          <w:sz w:val="20"/>
          <w:szCs w:val="20"/>
          <w:color w:val="auto"/>
        </w:rPr>
      </w:pPr>
      <w:r>
        <w:rPr>
          <w:rFonts w:ascii="Arial" w:cs="Arial" w:eastAsia="Arial" w:hAnsi="Arial"/>
          <w:sz w:val="16"/>
          <w:szCs w:val="16"/>
          <w:color w:val="auto"/>
        </w:rPr>
        <w:t>The increase in rate from the reduction in recognized tax credits was partially offset by the impact of an increase in foreign source income recognized in 2014.</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The foreign source income carries a lower overall effective tax rate than U.S. income.</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The provision for income taxes for 2014 differs from the U.S. statutory rate due to the following (dollars in thousands):</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18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gridSpan w:val="3"/>
          </w:tcPr>
          <w:p>
            <w:pPr>
              <w:ind w:left="880"/>
              <w:spacing w:after="0"/>
              <w:rPr>
                <w:sz w:val="20"/>
                <w:szCs w:val="20"/>
                <w:color w:val="auto"/>
              </w:rPr>
            </w:pPr>
            <w:r>
              <w:rPr>
                <w:rFonts w:ascii="Arial" w:cs="Arial" w:eastAsia="Arial" w:hAnsi="Arial"/>
                <w:sz w:val="14"/>
                <w:szCs w:val="14"/>
                <w:b w:val="1"/>
                <w:bCs w:val="1"/>
                <w:color w:val="auto"/>
              </w:rPr>
              <w:t>U.S.</w:t>
            </w:r>
          </w:p>
        </w:tc>
        <w:tc>
          <w:tcPr>
            <w:tcW w:w="96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500" w:type="dxa"/>
            <w:vAlign w:val="bottom"/>
            <w:tcBorders>
              <w:bottom w:val="single" w:sz="8" w:color="auto"/>
            </w:tcBorders>
            <w:gridSpan w:val="3"/>
          </w:tcPr>
          <w:p>
            <w:pPr>
              <w:ind w:left="600"/>
              <w:spacing w:after="0"/>
              <w:rPr>
                <w:sz w:val="20"/>
                <w:szCs w:val="20"/>
                <w:color w:val="auto"/>
              </w:rPr>
            </w:pPr>
            <w:r>
              <w:rPr>
                <w:rFonts w:ascii="Arial" w:cs="Arial" w:eastAsia="Arial" w:hAnsi="Arial"/>
                <w:sz w:val="14"/>
                <w:szCs w:val="14"/>
                <w:b w:val="1"/>
                <w:bCs w:val="1"/>
                <w:color w:val="auto"/>
              </w:rPr>
              <w:t>International</w:t>
            </w:r>
          </w:p>
        </w:tc>
        <w:tc>
          <w:tcPr>
            <w:tcW w:w="82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460" w:type="dxa"/>
            <w:vAlign w:val="bottom"/>
            <w:tcBorders>
              <w:bottom w:val="single" w:sz="8" w:color="auto"/>
            </w:tcBorders>
            <w:gridSpan w:val="3"/>
          </w:tcPr>
          <w:p>
            <w:pPr>
              <w:ind w:left="680"/>
              <w:spacing w:after="0"/>
              <w:rPr>
                <w:sz w:val="20"/>
                <w:szCs w:val="20"/>
                <w:color w:val="auto"/>
              </w:rPr>
            </w:pPr>
            <w:r>
              <w:rPr>
                <w:rFonts w:ascii="Arial" w:cs="Arial" w:eastAsia="Arial" w:hAnsi="Arial"/>
                <w:sz w:val="14"/>
                <w:szCs w:val="14"/>
                <w:b w:val="1"/>
                <w:bCs w:val="1"/>
                <w:color w:val="auto"/>
              </w:rPr>
              <w:t>Combined</w:t>
            </w:r>
          </w:p>
        </w:tc>
        <w:tc>
          <w:tcPr>
            <w:tcW w:w="8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318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493"/>
              <w:spacing w:after="0"/>
              <w:rPr>
                <w:sz w:val="20"/>
                <w:szCs w:val="20"/>
                <w:color w:val="auto"/>
              </w:rPr>
            </w:pPr>
            <w:r>
              <w:rPr>
                <w:rFonts w:ascii="Arial" w:cs="Arial" w:eastAsia="Arial" w:hAnsi="Arial"/>
                <w:sz w:val="14"/>
                <w:szCs w:val="14"/>
                <w:b w:val="1"/>
                <w:bCs w:val="1"/>
                <w:color w:val="auto"/>
              </w:rPr>
              <w:t>$</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492"/>
              <w:spacing w:after="0"/>
              <w:rPr>
                <w:sz w:val="20"/>
                <w:szCs w:val="20"/>
                <w:color w:val="auto"/>
              </w:rPr>
            </w:pPr>
            <w:r>
              <w:rPr>
                <w:rFonts w:ascii="Arial" w:cs="Arial" w:eastAsia="Arial" w:hAnsi="Arial"/>
                <w:sz w:val="14"/>
                <w:szCs w:val="14"/>
                <w:b w:val="1"/>
                <w:bCs w:val="1"/>
                <w:color w:val="auto"/>
              </w:rPr>
              <w:t>%</w:t>
            </w:r>
          </w:p>
        </w:tc>
        <w:tc>
          <w:tcPr>
            <w:tcW w:w="1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493"/>
              <w:spacing w:after="0"/>
              <w:rPr>
                <w:sz w:val="20"/>
                <w:szCs w:val="20"/>
                <w:color w:val="auto"/>
              </w:rPr>
            </w:pPr>
            <w:r>
              <w:rPr>
                <w:rFonts w:ascii="Arial" w:cs="Arial" w:eastAsia="Arial" w:hAnsi="Arial"/>
                <w:sz w:val="14"/>
                <w:szCs w:val="14"/>
                <w:b w:val="1"/>
                <w:bCs w:val="1"/>
                <w:color w:val="auto"/>
              </w:rPr>
              <w:t>$</w:t>
            </w:r>
          </w:p>
        </w:tc>
        <w:tc>
          <w:tcPr>
            <w:tcW w:w="100" w:type="dxa"/>
            <w:vAlign w:val="bottom"/>
            <w:tcBorders>
              <w:bottom w:val="single" w:sz="8" w:color="CCEEFF"/>
            </w:tcBorders>
          </w:tcPr>
          <w:p>
            <w:pPr>
              <w:spacing w:after="0"/>
              <w:rPr>
                <w:sz w:val="22"/>
                <w:szCs w:val="22"/>
                <w:color w:val="auto"/>
              </w:rPr>
            </w:pPr>
          </w:p>
        </w:tc>
        <w:tc>
          <w:tcPr>
            <w:tcW w:w="52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w:t>
            </w:r>
          </w:p>
        </w:tc>
        <w:tc>
          <w:tcPr>
            <w:tcW w:w="1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w:t>
            </w:r>
          </w:p>
        </w:tc>
        <w:tc>
          <w:tcPr>
            <w:tcW w:w="100" w:type="dxa"/>
            <w:vAlign w:val="bottom"/>
            <w:tcBorders>
              <w:bottom w:val="single" w:sz="8" w:color="CCEEFF"/>
            </w:tcBorders>
          </w:tcPr>
          <w:p>
            <w:pPr>
              <w:spacing w:after="0"/>
              <w:rPr>
                <w:sz w:val="22"/>
                <w:szCs w:val="22"/>
                <w:color w:val="auto"/>
              </w:rPr>
            </w:pPr>
          </w:p>
        </w:tc>
        <w:tc>
          <w:tcPr>
            <w:tcW w:w="46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263"/>
        </w:trPr>
        <w:tc>
          <w:tcPr>
            <w:tcW w:w="31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w w:val="94"/>
              </w:rPr>
              <w:t>Income before provision for income taxes</w:t>
            </w: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8"/>
                <w:szCs w:val="18"/>
                <w:color w:val="auto"/>
              </w:rPr>
              <w:t>56,801</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88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19,778</w:t>
            </w:r>
          </w:p>
        </w:tc>
        <w:tc>
          <w:tcPr>
            <w:tcW w:w="100" w:type="dxa"/>
            <w:vAlign w:val="bottom"/>
            <w:tcBorders>
              <w:bottom w:val="single" w:sz="8" w:color="CCEEFF"/>
            </w:tcBorders>
            <w:shd w:val="clear" w:color="auto" w:fill="CCEEFF"/>
          </w:tcPr>
          <w:p>
            <w:pPr>
              <w:spacing w:after="0"/>
              <w:rPr>
                <w:sz w:val="22"/>
                <w:szCs w:val="22"/>
                <w:color w:val="auto"/>
              </w:rPr>
            </w:pPr>
          </w:p>
        </w:tc>
        <w:tc>
          <w:tcPr>
            <w:tcW w:w="520" w:type="dxa"/>
            <w:vAlign w:val="bottom"/>
            <w:tcBorders>
              <w:bottom w:val="single" w:sz="8" w:color="CCEEFF"/>
            </w:tcBorders>
            <w:shd w:val="clear" w:color="auto" w:fill="CCEEFF"/>
          </w:tcPr>
          <w:p>
            <w:pPr>
              <w:spacing w:after="0"/>
              <w:rPr>
                <w:sz w:val="22"/>
                <w:szCs w:val="22"/>
                <w:color w:val="auto"/>
              </w:rPr>
            </w:pPr>
          </w:p>
        </w:tc>
        <w:tc>
          <w:tcPr>
            <w:tcW w:w="82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8"/>
                <w:szCs w:val="18"/>
                <w:color w:val="auto"/>
              </w:rPr>
              <w:t>76,579</w:t>
            </w:r>
          </w:p>
        </w:tc>
        <w:tc>
          <w:tcPr>
            <w:tcW w:w="100" w:type="dxa"/>
            <w:vAlign w:val="bottom"/>
            <w:tcBorders>
              <w:bottom w:val="single" w:sz="8" w:color="CCEEFF"/>
            </w:tcBorders>
            <w:shd w:val="clear" w:color="auto" w:fill="CCEEFF"/>
          </w:tcPr>
          <w:p>
            <w:pPr>
              <w:spacing w:after="0"/>
              <w:rPr>
                <w:sz w:val="22"/>
                <w:szCs w:val="22"/>
                <w:color w:val="auto"/>
              </w:rPr>
            </w:pPr>
          </w:p>
        </w:tc>
        <w:tc>
          <w:tcPr>
            <w:tcW w:w="460" w:type="dxa"/>
            <w:vAlign w:val="bottom"/>
            <w:tcBorders>
              <w:bottom w:val="single" w:sz="8" w:color="CCEEFF"/>
            </w:tcBorders>
            <w:shd w:val="clear" w:color="auto" w:fill="CCEEFF"/>
          </w:tcPr>
          <w:p>
            <w:pPr>
              <w:spacing w:after="0"/>
              <w:rPr>
                <w:sz w:val="22"/>
                <w:szCs w:val="22"/>
                <w:color w:val="auto"/>
              </w:rPr>
            </w:pPr>
          </w:p>
        </w:tc>
        <w:tc>
          <w:tcPr>
            <w:tcW w:w="88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318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1"/>
        </w:trPr>
        <w:tc>
          <w:tcPr>
            <w:tcW w:w="31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31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Provision at statutory rate</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19,881</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35.0 %</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8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6,922</w:t>
            </w:r>
          </w:p>
        </w:tc>
        <w:tc>
          <w:tcPr>
            <w:tcW w:w="10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35.0 %</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26,803</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35.0 %</w:t>
            </w:r>
          </w:p>
        </w:tc>
        <w:tc>
          <w:tcPr>
            <w:tcW w:w="0" w:type="dxa"/>
            <w:vAlign w:val="bottom"/>
          </w:tcPr>
          <w:p>
            <w:pPr>
              <w:spacing w:after="0"/>
              <w:rPr>
                <w:sz w:val="1"/>
                <w:szCs w:val="1"/>
                <w:color w:val="auto"/>
              </w:rPr>
            </w:pPr>
          </w:p>
        </w:tc>
      </w:tr>
      <w:tr>
        <w:trPr>
          <w:trHeight w:val="243"/>
        </w:trPr>
        <w:tc>
          <w:tcPr>
            <w:tcW w:w="3180" w:type="dxa"/>
            <w:vAlign w:val="bottom"/>
          </w:tcPr>
          <w:p>
            <w:pPr>
              <w:ind w:left="40"/>
              <w:spacing w:after="0"/>
              <w:rPr>
                <w:sz w:val="20"/>
                <w:szCs w:val="20"/>
                <w:color w:val="auto"/>
              </w:rPr>
            </w:pPr>
            <w:r>
              <w:rPr>
                <w:rFonts w:ascii="Arial" w:cs="Arial" w:eastAsia="Arial" w:hAnsi="Arial"/>
                <w:sz w:val="18"/>
                <w:szCs w:val="18"/>
                <w:color w:val="auto"/>
              </w:rPr>
              <w:t>Federal tax credits</w:t>
            </w:r>
          </w:p>
        </w:tc>
        <w:tc>
          <w:tcPr>
            <w:tcW w:w="34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(1,600)</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60" w:type="dxa"/>
            <w:vAlign w:val="bottom"/>
          </w:tcPr>
          <w:p>
            <w:pPr>
              <w:jc w:val="right"/>
              <w:ind w:right="72"/>
              <w:spacing w:after="0"/>
              <w:rPr>
                <w:sz w:val="20"/>
                <w:szCs w:val="20"/>
                <w:color w:val="auto"/>
              </w:rPr>
            </w:pPr>
            <w:r>
              <w:rPr>
                <w:rFonts w:ascii="Arial" w:cs="Arial" w:eastAsia="Arial" w:hAnsi="Arial"/>
                <w:sz w:val="18"/>
                <w:szCs w:val="18"/>
                <w:color w:val="auto"/>
              </w:rPr>
              <w:t>(2.8)</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500" w:type="dxa"/>
            <w:vAlign w:val="bottom"/>
            <w:gridSpan w:val="3"/>
          </w:tcPr>
          <w:p>
            <w:pPr>
              <w:jc w:val="right"/>
              <w:ind w:right="720"/>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(1,600)</w:t>
            </w: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880" w:type="dxa"/>
            <w:vAlign w:val="bottom"/>
          </w:tcPr>
          <w:p>
            <w:pPr>
              <w:jc w:val="right"/>
              <w:ind w:right="72"/>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7"/>
        </w:trPr>
        <w:tc>
          <w:tcPr>
            <w:tcW w:w="3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5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180" w:type="dxa"/>
            <w:vAlign w:val="bottom"/>
            <w:shd w:val="clear" w:color="auto" w:fill="CCEEFF"/>
          </w:tcPr>
          <w:p>
            <w:pPr>
              <w:ind w:left="40"/>
              <w:spacing w:after="0" w:line="270" w:lineRule="exact"/>
              <w:rPr>
                <w:sz w:val="20"/>
                <w:szCs w:val="20"/>
                <w:color w:val="auto"/>
              </w:rPr>
            </w:pPr>
            <w:r>
              <w:rPr>
                <w:rFonts w:ascii="Arial" w:cs="Arial" w:eastAsia="Arial" w:hAnsi="Arial"/>
                <w:sz w:val="18"/>
                <w:szCs w:val="18"/>
                <w:color w:val="auto"/>
              </w:rPr>
              <w:t>Foreign rate differential</w:t>
            </w:r>
            <w:r>
              <w:rPr>
                <w:rFonts w:ascii="Arial" w:cs="Arial" w:eastAsia="Arial" w:hAnsi="Arial"/>
                <w:sz w:val="25"/>
                <w:szCs w:val="25"/>
                <w:color w:val="auto"/>
                <w:vertAlign w:val="superscript"/>
              </w:rPr>
              <w:t>(a)</w:t>
            </w:r>
          </w:p>
        </w:tc>
        <w:tc>
          <w:tcPr>
            <w:tcW w:w="340" w:type="dxa"/>
            <w:vAlign w:val="bottom"/>
            <w:shd w:val="clear" w:color="auto" w:fill="CCEEFF"/>
          </w:tcPr>
          <w:p>
            <w:pPr>
              <w:spacing w:after="0"/>
              <w:rPr>
                <w:sz w:val="23"/>
                <w:szCs w:val="23"/>
                <w:color w:val="auto"/>
              </w:rPr>
            </w:pPr>
          </w:p>
        </w:tc>
        <w:tc>
          <w:tcPr>
            <w:tcW w:w="1360" w:type="dxa"/>
            <w:vAlign w:val="bottom"/>
            <w:gridSpan w:val="3"/>
            <w:shd w:val="clear" w:color="auto" w:fill="CCEEFF"/>
          </w:tcPr>
          <w:p>
            <w:pPr>
              <w:jc w:val="right"/>
              <w:ind w:right="580"/>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23"/>
                <w:szCs w:val="23"/>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(3,276)</w:t>
            </w:r>
          </w:p>
        </w:tc>
        <w:tc>
          <w:tcPr>
            <w:tcW w:w="100" w:type="dxa"/>
            <w:vAlign w:val="bottom"/>
            <w:shd w:val="clear" w:color="auto" w:fill="CCEEFF"/>
          </w:tcPr>
          <w:p>
            <w:pPr>
              <w:spacing w:after="0"/>
              <w:rPr>
                <w:sz w:val="23"/>
                <w:szCs w:val="23"/>
                <w:color w:val="auto"/>
              </w:rPr>
            </w:pPr>
          </w:p>
        </w:tc>
        <w:tc>
          <w:tcPr>
            <w:tcW w:w="520" w:type="dxa"/>
            <w:vAlign w:val="bottom"/>
            <w:shd w:val="clear" w:color="auto" w:fill="CCEEFF"/>
          </w:tcPr>
          <w:p>
            <w:pPr>
              <w:spacing w:after="0"/>
              <w:rPr>
                <w:sz w:val="23"/>
                <w:szCs w:val="23"/>
                <w:color w:val="auto"/>
              </w:rPr>
            </w:pPr>
          </w:p>
        </w:tc>
        <w:tc>
          <w:tcPr>
            <w:tcW w:w="820" w:type="dxa"/>
            <w:vAlign w:val="bottom"/>
            <w:shd w:val="clear" w:color="auto" w:fill="CCEEFF"/>
          </w:tcPr>
          <w:p>
            <w:pPr>
              <w:jc w:val="right"/>
              <w:ind w:right="72"/>
              <w:spacing w:after="0"/>
              <w:rPr>
                <w:sz w:val="20"/>
                <w:szCs w:val="20"/>
                <w:color w:val="auto"/>
              </w:rPr>
            </w:pPr>
            <w:r>
              <w:rPr>
                <w:rFonts w:ascii="Arial" w:cs="Arial" w:eastAsia="Arial" w:hAnsi="Arial"/>
                <w:sz w:val="18"/>
                <w:szCs w:val="18"/>
                <w:color w:val="auto"/>
              </w:rPr>
              <w:t>(16.6)</w:t>
            </w:r>
          </w:p>
        </w:tc>
        <w:tc>
          <w:tcPr>
            <w:tcW w:w="120" w:type="dxa"/>
            <w:vAlign w:val="bottom"/>
            <w:shd w:val="clear" w:color="auto" w:fill="CCEEFF"/>
          </w:tcPr>
          <w:p>
            <w:pPr>
              <w:spacing w:after="0"/>
              <w:rPr>
                <w:sz w:val="23"/>
                <w:szCs w:val="23"/>
                <w:color w:val="auto"/>
              </w:rPr>
            </w:pPr>
          </w:p>
        </w:tc>
        <w:tc>
          <w:tcPr>
            <w:tcW w:w="340" w:type="dxa"/>
            <w:vAlign w:val="bottom"/>
            <w:shd w:val="clear" w:color="auto" w:fill="CCEEFF"/>
          </w:tcPr>
          <w:p>
            <w:pPr>
              <w:spacing w:after="0"/>
              <w:rPr>
                <w:sz w:val="23"/>
                <w:szCs w:val="23"/>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(3,276)</w:t>
            </w:r>
          </w:p>
        </w:tc>
        <w:tc>
          <w:tcPr>
            <w:tcW w:w="100" w:type="dxa"/>
            <w:vAlign w:val="bottom"/>
            <w:shd w:val="clear" w:color="auto" w:fill="CCEEFF"/>
          </w:tcPr>
          <w:p>
            <w:pPr>
              <w:spacing w:after="0"/>
              <w:rPr>
                <w:sz w:val="23"/>
                <w:szCs w:val="23"/>
                <w:color w:val="auto"/>
              </w:rPr>
            </w:pPr>
          </w:p>
        </w:tc>
        <w:tc>
          <w:tcPr>
            <w:tcW w:w="460" w:type="dxa"/>
            <w:vAlign w:val="bottom"/>
            <w:shd w:val="clear" w:color="auto" w:fill="CCEEFF"/>
          </w:tcPr>
          <w:p>
            <w:pPr>
              <w:spacing w:after="0"/>
              <w:rPr>
                <w:sz w:val="23"/>
                <w:szCs w:val="23"/>
                <w:color w:val="auto"/>
              </w:rPr>
            </w:pPr>
          </w:p>
        </w:tc>
        <w:tc>
          <w:tcPr>
            <w:tcW w:w="880" w:type="dxa"/>
            <w:vAlign w:val="bottom"/>
            <w:shd w:val="clear" w:color="auto" w:fill="CCEEFF"/>
          </w:tcPr>
          <w:p>
            <w:pPr>
              <w:jc w:val="right"/>
              <w:ind w:right="72"/>
              <w:spacing w:after="0"/>
              <w:rPr>
                <w:sz w:val="20"/>
                <w:szCs w:val="20"/>
                <w:color w:val="auto"/>
              </w:rPr>
            </w:pPr>
            <w:r>
              <w:rPr>
                <w:rFonts w:ascii="Arial" w:cs="Arial" w:eastAsia="Arial" w:hAnsi="Arial"/>
                <w:sz w:val="18"/>
                <w:szCs w:val="18"/>
                <w:color w:val="auto"/>
              </w:rPr>
              <w:t>(4.3)</w:t>
            </w:r>
          </w:p>
        </w:tc>
        <w:tc>
          <w:tcPr>
            <w:tcW w:w="0" w:type="dxa"/>
            <w:vAlign w:val="bottom"/>
          </w:tcPr>
          <w:p>
            <w:pPr>
              <w:spacing w:after="0"/>
              <w:rPr>
                <w:sz w:val="1"/>
                <w:szCs w:val="1"/>
                <w:color w:val="auto"/>
              </w:rPr>
            </w:pPr>
          </w:p>
        </w:tc>
      </w:tr>
      <w:tr>
        <w:trPr>
          <w:trHeight w:val="243"/>
        </w:trPr>
        <w:tc>
          <w:tcPr>
            <w:tcW w:w="3180" w:type="dxa"/>
            <w:vAlign w:val="bottom"/>
          </w:tcPr>
          <w:p>
            <w:pPr>
              <w:ind w:left="40"/>
              <w:spacing w:after="0"/>
              <w:rPr>
                <w:sz w:val="20"/>
                <w:szCs w:val="20"/>
                <w:color w:val="auto"/>
              </w:rPr>
            </w:pPr>
            <w:r>
              <w:rPr>
                <w:rFonts w:ascii="Arial" w:cs="Arial" w:eastAsia="Arial" w:hAnsi="Arial"/>
                <w:sz w:val="18"/>
                <w:szCs w:val="18"/>
                <w:color w:val="auto"/>
              </w:rPr>
              <w:t>Uncertain tax positions</w:t>
            </w:r>
          </w:p>
        </w:tc>
        <w:tc>
          <w:tcPr>
            <w:tcW w:w="340" w:type="dxa"/>
            <w:vAlign w:val="bottom"/>
          </w:tcPr>
          <w:p>
            <w:pPr>
              <w:spacing w:after="0"/>
              <w:rPr>
                <w:sz w:val="21"/>
                <w:szCs w:val="21"/>
                <w:color w:val="auto"/>
              </w:rPr>
            </w:pPr>
          </w:p>
        </w:tc>
        <w:tc>
          <w:tcPr>
            <w:tcW w:w="900" w:type="dxa"/>
            <w:vAlign w:val="bottom"/>
          </w:tcPr>
          <w:p>
            <w:pPr>
              <w:jc w:val="right"/>
              <w:ind w:right="33"/>
              <w:spacing w:after="0"/>
              <w:rPr>
                <w:sz w:val="20"/>
                <w:szCs w:val="20"/>
                <w:color w:val="auto"/>
              </w:rPr>
            </w:pPr>
            <w:r>
              <w:rPr>
                <w:rFonts w:ascii="Arial" w:cs="Arial" w:eastAsia="Arial" w:hAnsi="Arial"/>
                <w:sz w:val="18"/>
                <w:szCs w:val="18"/>
                <w:color w:val="auto"/>
              </w:rPr>
              <w:t>412</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60" w:type="dxa"/>
            <w:vAlign w:val="bottom"/>
          </w:tcPr>
          <w:p>
            <w:pPr>
              <w:jc w:val="right"/>
              <w:ind w:right="132"/>
              <w:spacing w:after="0"/>
              <w:rPr>
                <w:sz w:val="20"/>
                <w:szCs w:val="20"/>
                <w:color w:val="auto"/>
              </w:rPr>
            </w:pPr>
            <w:r>
              <w:rPr>
                <w:rFonts w:ascii="Arial" w:cs="Arial" w:eastAsia="Arial" w:hAnsi="Arial"/>
                <w:sz w:val="18"/>
                <w:szCs w:val="18"/>
                <w:color w:val="auto"/>
              </w:rPr>
              <w:t>0.7</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500" w:type="dxa"/>
            <w:vAlign w:val="bottom"/>
            <w:gridSpan w:val="3"/>
          </w:tcPr>
          <w:p>
            <w:pPr>
              <w:jc w:val="right"/>
              <w:ind w:right="720"/>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1"/>
                <w:szCs w:val="21"/>
                <w:color w:val="auto"/>
              </w:rPr>
            </w:pPr>
          </w:p>
        </w:tc>
        <w:tc>
          <w:tcPr>
            <w:tcW w:w="900" w:type="dxa"/>
            <w:vAlign w:val="bottom"/>
          </w:tcPr>
          <w:p>
            <w:pPr>
              <w:jc w:val="right"/>
              <w:ind w:right="33"/>
              <w:spacing w:after="0"/>
              <w:rPr>
                <w:sz w:val="20"/>
                <w:szCs w:val="20"/>
                <w:color w:val="auto"/>
              </w:rPr>
            </w:pPr>
            <w:r>
              <w:rPr>
                <w:rFonts w:ascii="Arial" w:cs="Arial" w:eastAsia="Arial" w:hAnsi="Arial"/>
                <w:sz w:val="18"/>
                <w:szCs w:val="18"/>
                <w:color w:val="auto"/>
              </w:rPr>
              <w:t>412</w:t>
            </w: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880" w:type="dxa"/>
            <w:vAlign w:val="bottom"/>
          </w:tcPr>
          <w:p>
            <w:pPr>
              <w:jc w:val="right"/>
              <w:ind w:right="132"/>
              <w:spacing w:after="0"/>
              <w:rPr>
                <w:sz w:val="20"/>
                <w:szCs w:val="20"/>
                <w:color w:val="auto"/>
              </w:rPr>
            </w:pPr>
            <w:r>
              <w:rPr>
                <w:rFonts w:ascii="Arial" w:cs="Arial" w:eastAsia="Arial" w:hAnsi="Arial"/>
                <w:sz w:val="18"/>
                <w:szCs w:val="18"/>
                <w:color w:val="auto"/>
              </w:rPr>
              <w:t>0.6</w:t>
            </w:r>
          </w:p>
        </w:tc>
        <w:tc>
          <w:tcPr>
            <w:tcW w:w="0" w:type="dxa"/>
            <w:vAlign w:val="bottom"/>
          </w:tcPr>
          <w:p>
            <w:pPr>
              <w:spacing w:after="0"/>
              <w:rPr>
                <w:sz w:val="1"/>
                <w:szCs w:val="1"/>
                <w:color w:val="auto"/>
              </w:rPr>
            </w:pPr>
          </w:p>
        </w:tc>
      </w:tr>
      <w:tr>
        <w:trPr>
          <w:trHeight w:val="27"/>
        </w:trPr>
        <w:tc>
          <w:tcPr>
            <w:tcW w:w="3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5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1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State taxes, net of federal benefit</w:t>
            </w:r>
          </w:p>
        </w:tc>
        <w:tc>
          <w:tcPr>
            <w:tcW w:w="3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507</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32"/>
              <w:spacing w:after="0"/>
              <w:rPr>
                <w:sz w:val="20"/>
                <w:szCs w:val="20"/>
                <w:color w:val="auto"/>
              </w:rPr>
            </w:pPr>
            <w:r>
              <w:rPr>
                <w:rFonts w:ascii="Arial" w:cs="Arial" w:eastAsia="Arial" w:hAnsi="Arial"/>
                <w:sz w:val="18"/>
                <w:szCs w:val="18"/>
                <w:color w:val="auto"/>
              </w:rPr>
              <w:t>0.9</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gridSpan w:val="3"/>
            <w:shd w:val="clear" w:color="auto" w:fill="CCEEFF"/>
          </w:tcPr>
          <w:p>
            <w:pPr>
              <w:jc w:val="right"/>
              <w:ind w:right="720"/>
              <w:spacing w:after="0"/>
              <w:rPr>
                <w:sz w:val="20"/>
                <w:szCs w:val="20"/>
                <w:color w:val="auto"/>
              </w:rPr>
            </w:pPr>
            <w:r>
              <w:rPr>
                <w:rFonts w:ascii="Arial" w:cs="Arial" w:eastAsia="Arial" w:hAnsi="Arial"/>
                <w:sz w:val="18"/>
                <w:szCs w:val="18"/>
                <w:color w:val="auto"/>
              </w:rPr>
              <w:t>—</w:t>
            </w:r>
          </w:p>
        </w:tc>
        <w:tc>
          <w:tcPr>
            <w:tcW w:w="940" w:type="dxa"/>
            <w:vAlign w:val="bottom"/>
            <w:tcBorders>
              <w:bottom w:val="single" w:sz="8" w:color="CCEEFF"/>
            </w:tcBorders>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507</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32"/>
              <w:spacing w:after="0"/>
              <w:rPr>
                <w:sz w:val="20"/>
                <w:szCs w:val="20"/>
                <w:color w:val="auto"/>
              </w:rPr>
            </w:pPr>
            <w:r>
              <w:rPr>
                <w:rFonts w:ascii="Arial" w:cs="Arial" w:eastAsia="Arial" w:hAnsi="Arial"/>
                <w:sz w:val="18"/>
                <w:szCs w:val="18"/>
                <w:color w:val="auto"/>
              </w:rPr>
              <w:t>0.7</w:t>
            </w:r>
          </w:p>
        </w:tc>
        <w:tc>
          <w:tcPr>
            <w:tcW w:w="0" w:type="dxa"/>
            <w:vAlign w:val="bottom"/>
          </w:tcPr>
          <w:p>
            <w:pPr>
              <w:spacing w:after="0"/>
              <w:rPr>
                <w:sz w:val="1"/>
                <w:szCs w:val="1"/>
                <w:color w:val="auto"/>
              </w:rPr>
            </w:pPr>
          </w:p>
        </w:tc>
      </w:tr>
      <w:tr>
        <w:trPr>
          <w:trHeight w:val="270"/>
        </w:trPr>
        <w:tc>
          <w:tcPr>
            <w:tcW w:w="3180" w:type="dxa"/>
            <w:vAlign w:val="bottom"/>
          </w:tcPr>
          <w:p>
            <w:pPr>
              <w:ind w:left="40"/>
              <w:spacing w:after="0" w:line="270" w:lineRule="exact"/>
              <w:rPr>
                <w:sz w:val="20"/>
                <w:szCs w:val="20"/>
                <w:color w:val="auto"/>
              </w:rPr>
            </w:pPr>
            <w:r>
              <w:rPr>
                <w:rFonts w:ascii="Arial" w:cs="Arial" w:eastAsia="Arial" w:hAnsi="Arial"/>
                <w:sz w:val="18"/>
                <w:szCs w:val="18"/>
                <w:color w:val="auto"/>
              </w:rPr>
              <w:t>Change in foreign tax rates</w:t>
            </w:r>
            <w:r>
              <w:rPr>
                <w:rFonts w:ascii="Arial" w:cs="Arial" w:eastAsia="Arial" w:hAnsi="Arial"/>
                <w:sz w:val="25"/>
                <w:szCs w:val="25"/>
                <w:color w:val="auto"/>
                <w:vertAlign w:val="superscript"/>
              </w:rPr>
              <w:t>(b)</w:t>
            </w:r>
          </w:p>
        </w:tc>
        <w:tc>
          <w:tcPr>
            <w:tcW w:w="340" w:type="dxa"/>
            <w:vAlign w:val="bottom"/>
          </w:tcPr>
          <w:p>
            <w:pPr>
              <w:spacing w:after="0"/>
              <w:rPr>
                <w:sz w:val="23"/>
                <w:szCs w:val="23"/>
                <w:color w:val="auto"/>
              </w:rPr>
            </w:pPr>
          </w:p>
        </w:tc>
        <w:tc>
          <w:tcPr>
            <w:tcW w:w="1360" w:type="dxa"/>
            <w:vAlign w:val="bottom"/>
            <w:gridSpan w:val="3"/>
          </w:tcPr>
          <w:p>
            <w:pPr>
              <w:jc w:val="right"/>
              <w:ind w:right="580"/>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3"/>
                <w:szCs w:val="23"/>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(446)</w:t>
            </w:r>
          </w:p>
        </w:tc>
        <w:tc>
          <w:tcPr>
            <w:tcW w:w="10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820" w:type="dxa"/>
            <w:vAlign w:val="bottom"/>
          </w:tcPr>
          <w:p>
            <w:pPr>
              <w:jc w:val="right"/>
              <w:ind w:right="72"/>
              <w:spacing w:after="0"/>
              <w:rPr>
                <w:sz w:val="20"/>
                <w:szCs w:val="20"/>
                <w:color w:val="auto"/>
              </w:rPr>
            </w:pPr>
            <w:r>
              <w:rPr>
                <w:rFonts w:ascii="Arial" w:cs="Arial" w:eastAsia="Arial" w:hAnsi="Arial"/>
                <w:sz w:val="18"/>
                <w:szCs w:val="18"/>
                <w:color w:val="auto"/>
              </w:rPr>
              <w:t>(2.3)</w:t>
            </w:r>
          </w:p>
        </w:tc>
        <w:tc>
          <w:tcPr>
            <w:tcW w:w="12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(446)</w:t>
            </w:r>
          </w:p>
        </w:tc>
        <w:tc>
          <w:tcPr>
            <w:tcW w:w="100" w:type="dxa"/>
            <w:vAlign w:val="bottom"/>
          </w:tcPr>
          <w:p>
            <w:pPr>
              <w:spacing w:after="0"/>
              <w:rPr>
                <w:sz w:val="23"/>
                <w:szCs w:val="23"/>
                <w:color w:val="auto"/>
              </w:rPr>
            </w:pPr>
          </w:p>
        </w:tc>
        <w:tc>
          <w:tcPr>
            <w:tcW w:w="460" w:type="dxa"/>
            <w:vAlign w:val="bottom"/>
          </w:tcPr>
          <w:p>
            <w:pPr>
              <w:spacing w:after="0"/>
              <w:rPr>
                <w:sz w:val="23"/>
                <w:szCs w:val="23"/>
                <w:color w:val="auto"/>
              </w:rPr>
            </w:pPr>
          </w:p>
        </w:tc>
        <w:tc>
          <w:tcPr>
            <w:tcW w:w="880" w:type="dxa"/>
            <w:vAlign w:val="bottom"/>
          </w:tcPr>
          <w:p>
            <w:pPr>
              <w:jc w:val="right"/>
              <w:ind w:right="72"/>
              <w:spacing w:after="0"/>
              <w:rPr>
                <w:sz w:val="20"/>
                <w:szCs w:val="20"/>
                <w:color w:val="auto"/>
              </w:rPr>
            </w:pPr>
            <w:r>
              <w:rPr>
                <w:rFonts w:ascii="Arial" w:cs="Arial" w:eastAsia="Arial" w:hAnsi="Arial"/>
                <w:sz w:val="18"/>
                <w:szCs w:val="18"/>
                <w:color w:val="auto"/>
              </w:rPr>
              <w:t>(0.6)</w:t>
            </w:r>
          </w:p>
        </w:tc>
        <w:tc>
          <w:tcPr>
            <w:tcW w:w="0" w:type="dxa"/>
            <w:vAlign w:val="bottom"/>
          </w:tcPr>
          <w:p>
            <w:pPr>
              <w:spacing w:after="0"/>
              <w:rPr>
                <w:sz w:val="1"/>
                <w:szCs w:val="1"/>
                <w:color w:val="auto"/>
              </w:rPr>
            </w:pPr>
          </w:p>
        </w:tc>
      </w:tr>
      <w:tr>
        <w:trPr>
          <w:trHeight w:val="250"/>
        </w:trPr>
        <w:tc>
          <w:tcPr>
            <w:tcW w:w="31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Valuation allowance</w:t>
            </w:r>
          </w:p>
        </w:tc>
        <w:tc>
          <w:tcPr>
            <w:tcW w:w="3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135</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32"/>
              <w:spacing w:after="0"/>
              <w:rPr>
                <w:sz w:val="20"/>
                <w:szCs w:val="20"/>
                <w:color w:val="auto"/>
              </w:rPr>
            </w:pPr>
            <w:r>
              <w:rPr>
                <w:rFonts w:ascii="Arial" w:cs="Arial" w:eastAsia="Arial" w:hAnsi="Arial"/>
                <w:sz w:val="18"/>
                <w:szCs w:val="18"/>
                <w:color w:val="auto"/>
              </w:rPr>
              <w:t>0.2</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(434)</w:t>
            </w:r>
          </w:p>
        </w:tc>
        <w:tc>
          <w:tcPr>
            <w:tcW w:w="10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(2.2)</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(299)</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(0.4)</w:t>
            </w:r>
          </w:p>
        </w:tc>
        <w:tc>
          <w:tcPr>
            <w:tcW w:w="0" w:type="dxa"/>
            <w:vAlign w:val="bottom"/>
          </w:tcPr>
          <w:p>
            <w:pPr>
              <w:spacing w:after="0"/>
              <w:rPr>
                <w:sz w:val="1"/>
                <w:szCs w:val="1"/>
                <w:color w:val="auto"/>
              </w:rPr>
            </w:pPr>
          </w:p>
        </w:tc>
      </w:tr>
      <w:tr>
        <w:trPr>
          <w:trHeight w:val="243"/>
        </w:trPr>
        <w:tc>
          <w:tcPr>
            <w:tcW w:w="3180" w:type="dxa"/>
            <w:vAlign w:val="bottom"/>
          </w:tcPr>
          <w:p>
            <w:pPr>
              <w:ind w:left="40"/>
              <w:spacing w:after="0"/>
              <w:rPr>
                <w:sz w:val="20"/>
                <w:szCs w:val="20"/>
                <w:color w:val="auto"/>
              </w:rPr>
            </w:pPr>
            <w:r>
              <w:rPr>
                <w:rFonts w:ascii="Arial" w:cs="Arial" w:eastAsia="Arial" w:hAnsi="Arial"/>
                <w:sz w:val="18"/>
                <w:szCs w:val="18"/>
                <w:color w:val="auto"/>
              </w:rPr>
              <w:t>Other</w:t>
            </w:r>
          </w:p>
        </w:tc>
        <w:tc>
          <w:tcPr>
            <w:tcW w:w="34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(842)</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60" w:type="dxa"/>
            <w:vAlign w:val="bottom"/>
          </w:tcPr>
          <w:p>
            <w:pPr>
              <w:jc w:val="right"/>
              <w:ind w:right="72"/>
              <w:spacing w:after="0"/>
              <w:rPr>
                <w:sz w:val="20"/>
                <w:szCs w:val="20"/>
                <w:color w:val="auto"/>
              </w:rPr>
            </w:pPr>
            <w:r>
              <w:rPr>
                <w:rFonts w:ascii="Arial" w:cs="Arial" w:eastAsia="Arial" w:hAnsi="Arial"/>
                <w:sz w:val="18"/>
                <w:szCs w:val="18"/>
                <w:color w:val="auto"/>
              </w:rPr>
              <w:t>(1.5)</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(138)</w:t>
            </w:r>
          </w:p>
        </w:tc>
        <w:tc>
          <w:tcPr>
            <w:tcW w:w="10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820" w:type="dxa"/>
            <w:vAlign w:val="bottom"/>
          </w:tcPr>
          <w:p>
            <w:pPr>
              <w:jc w:val="right"/>
              <w:ind w:right="72"/>
              <w:spacing w:after="0"/>
              <w:rPr>
                <w:sz w:val="20"/>
                <w:szCs w:val="20"/>
                <w:color w:val="auto"/>
              </w:rPr>
            </w:pPr>
            <w:r>
              <w:rPr>
                <w:rFonts w:ascii="Arial" w:cs="Arial" w:eastAsia="Arial" w:hAnsi="Arial"/>
                <w:sz w:val="18"/>
                <w:szCs w:val="18"/>
                <w:color w:val="auto"/>
              </w:rPr>
              <w:t>(0.7)</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(980)</w:t>
            </w: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880" w:type="dxa"/>
            <w:vAlign w:val="bottom"/>
          </w:tcPr>
          <w:p>
            <w:pPr>
              <w:jc w:val="right"/>
              <w:ind w:right="72"/>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7"/>
        </w:trPr>
        <w:tc>
          <w:tcPr>
            <w:tcW w:w="318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3180" w:type="dxa"/>
            <w:vAlign w:val="bottom"/>
            <w:shd w:val="clear" w:color="auto" w:fill="CCEEFF"/>
          </w:tcPr>
          <w:p>
            <w:pPr>
              <w:ind w:left="40"/>
              <w:spacing w:after="0"/>
              <w:rPr>
                <w:sz w:val="20"/>
                <w:szCs w:val="20"/>
                <w:color w:val="auto"/>
              </w:rPr>
            </w:pPr>
            <w:r>
              <w:rPr>
                <w:rFonts w:ascii="Arial" w:cs="Arial" w:eastAsia="Arial" w:hAnsi="Arial"/>
                <w:sz w:val="18"/>
                <w:szCs w:val="18"/>
                <w:color w:val="auto"/>
                <w:w w:val="99"/>
              </w:rPr>
              <w:t>Provision for income taxes/effective tax</w:t>
            </w:r>
          </w:p>
        </w:tc>
        <w:tc>
          <w:tcPr>
            <w:tcW w:w="340" w:type="dxa"/>
            <w:vAlign w:val="bottom"/>
            <w:vMerge w:val="restart"/>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900" w:type="dxa"/>
            <w:vAlign w:val="bottom"/>
            <w:vMerge w:val="restart"/>
            <w:shd w:val="clear" w:color="auto" w:fill="CCEEFF"/>
          </w:tcPr>
          <w:p>
            <w:pPr>
              <w:jc w:val="right"/>
              <w:ind w:right="33"/>
              <w:spacing w:after="0"/>
              <w:rPr>
                <w:sz w:val="20"/>
                <w:szCs w:val="20"/>
                <w:color w:val="auto"/>
              </w:rPr>
            </w:pPr>
            <w:r>
              <w:rPr>
                <w:rFonts w:ascii="Arial" w:cs="Arial" w:eastAsia="Arial" w:hAnsi="Arial"/>
                <w:sz w:val="18"/>
                <w:szCs w:val="18"/>
                <w:color w:val="auto"/>
              </w:rPr>
              <w:t>18,493</w:t>
            </w:r>
          </w:p>
        </w:tc>
        <w:tc>
          <w:tcPr>
            <w:tcW w:w="1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96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32.6 %</w:t>
            </w:r>
          </w:p>
        </w:tc>
        <w:tc>
          <w:tcPr>
            <w:tcW w:w="120" w:type="dxa"/>
            <w:vAlign w:val="bottom"/>
            <w:shd w:val="clear" w:color="auto" w:fill="CCEEFF"/>
          </w:tcPr>
          <w:p>
            <w:pPr>
              <w:spacing w:after="0"/>
              <w:rPr>
                <w:sz w:val="18"/>
                <w:szCs w:val="18"/>
                <w:color w:val="auto"/>
              </w:rPr>
            </w:pPr>
          </w:p>
        </w:tc>
        <w:tc>
          <w:tcPr>
            <w:tcW w:w="340" w:type="dxa"/>
            <w:vAlign w:val="bottom"/>
            <w:vMerge w:val="restart"/>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880" w:type="dxa"/>
            <w:vAlign w:val="bottom"/>
            <w:vMerge w:val="restart"/>
            <w:shd w:val="clear" w:color="auto" w:fill="CCEEFF"/>
          </w:tcPr>
          <w:p>
            <w:pPr>
              <w:jc w:val="right"/>
              <w:ind w:right="13"/>
              <w:spacing w:after="0"/>
              <w:rPr>
                <w:sz w:val="20"/>
                <w:szCs w:val="20"/>
                <w:color w:val="auto"/>
              </w:rPr>
            </w:pPr>
            <w:r>
              <w:rPr>
                <w:rFonts w:ascii="Arial" w:cs="Arial" w:eastAsia="Arial" w:hAnsi="Arial"/>
                <w:sz w:val="18"/>
                <w:szCs w:val="18"/>
                <w:color w:val="auto"/>
              </w:rPr>
              <w:t>2,628</w:t>
            </w: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82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13.3 %</w:t>
            </w:r>
          </w:p>
        </w:tc>
        <w:tc>
          <w:tcPr>
            <w:tcW w:w="120" w:type="dxa"/>
            <w:vAlign w:val="bottom"/>
            <w:shd w:val="clear" w:color="auto" w:fill="CCEEFF"/>
          </w:tcPr>
          <w:p>
            <w:pPr>
              <w:spacing w:after="0"/>
              <w:rPr>
                <w:sz w:val="18"/>
                <w:szCs w:val="18"/>
                <w:color w:val="auto"/>
              </w:rPr>
            </w:pPr>
          </w:p>
        </w:tc>
        <w:tc>
          <w:tcPr>
            <w:tcW w:w="340" w:type="dxa"/>
            <w:vAlign w:val="bottom"/>
            <w:vMerge w:val="restart"/>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900" w:type="dxa"/>
            <w:vAlign w:val="bottom"/>
            <w:vMerge w:val="restart"/>
            <w:shd w:val="clear" w:color="auto" w:fill="CCEEFF"/>
          </w:tcPr>
          <w:p>
            <w:pPr>
              <w:jc w:val="right"/>
              <w:ind w:right="33"/>
              <w:spacing w:after="0"/>
              <w:rPr>
                <w:sz w:val="20"/>
                <w:szCs w:val="20"/>
                <w:color w:val="auto"/>
              </w:rPr>
            </w:pPr>
            <w:r>
              <w:rPr>
                <w:rFonts w:ascii="Arial" w:cs="Arial" w:eastAsia="Arial" w:hAnsi="Arial"/>
                <w:sz w:val="18"/>
                <w:szCs w:val="18"/>
                <w:color w:val="auto"/>
              </w:rPr>
              <w:t>21,121</w:t>
            </w: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88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27.6 %</w:t>
            </w:r>
          </w:p>
        </w:tc>
        <w:tc>
          <w:tcPr>
            <w:tcW w:w="0" w:type="dxa"/>
            <w:vAlign w:val="bottom"/>
          </w:tcPr>
          <w:p>
            <w:pPr>
              <w:spacing w:after="0"/>
              <w:rPr>
                <w:sz w:val="1"/>
                <w:szCs w:val="1"/>
                <w:color w:val="auto"/>
              </w:rPr>
            </w:pPr>
          </w:p>
        </w:tc>
      </w:tr>
      <w:tr>
        <w:trPr>
          <w:trHeight w:val="237"/>
        </w:trPr>
        <w:tc>
          <w:tcPr>
            <w:tcW w:w="31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rate</w:t>
            </w:r>
          </w:p>
        </w:tc>
        <w:tc>
          <w:tcPr>
            <w:tcW w:w="340" w:type="dxa"/>
            <w:vAlign w:val="bottom"/>
            <w:tcBorders>
              <w:bottom w:val="single" w:sz="8" w:color="auto"/>
            </w:tcBorders>
            <w:vMerge w:val="continue"/>
            <w:shd w:val="clear" w:color="auto" w:fill="CCEEFF"/>
          </w:tcPr>
          <w:p>
            <w:pPr>
              <w:spacing w:after="0"/>
              <w:rPr>
                <w:sz w:val="20"/>
                <w:szCs w:val="20"/>
                <w:color w:val="auto"/>
              </w:rPr>
            </w:pPr>
          </w:p>
        </w:tc>
        <w:tc>
          <w:tcPr>
            <w:tcW w:w="900" w:type="dxa"/>
            <w:vAlign w:val="bottom"/>
            <w:tcBorders>
              <w:bottom w:val="single" w:sz="8" w:color="auto"/>
            </w:tcBorders>
            <w:vMerge w:val="continue"/>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auto"/>
            </w:tcBorders>
            <w:shd w:val="clear" w:color="auto" w:fill="CCEEFF"/>
          </w:tcPr>
          <w:p>
            <w:pPr>
              <w:spacing w:after="0"/>
              <w:rPr>
                <w:sz w:val="20"/>
                <w:szCs w:val="20"/>
                <w:color w:val="auto"/>
              </w:rPr>
            </w:pPr>
          </w:p>
        </w:tc>
        <w:tc>
          <w:tcPr>
            <w:tcW w:w="960" w:type="dxa"/>
            <w:vAlign w:val="bottom"/>
            <w:tcBorders>
              <w:bottom w:val="single" w:sz="8" w:color="auto"/>
            </w:tcBorders>
            <w:vMerge w:val="continue"/>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auto"/>
            </w:tcBorders>
            <w:vMerge w:val="continue"/>
            <w:shd w:val="clear" w:color="auto" w:fill="CCEEFF"/>
          </w:tcPr>
          <w:p>
            <w:pPr>
              <w:spacing w:after="0"/>
              <w:rPr>
                <w:sz w:val="20"/>
                <w:szCs w:val="20"/>
                <w:color w:val="auto"/>
              </w:rPr>
            </w:pPr>
          </w:p>
        </w:tc>
        <w:tc>
          <w:tcPr>
            <w:tcW w:w="880" w:type="dxa"/>
            <w:vAlign w:val="bottom"/>
            <w:tcBorders>
              <w:bottom w:val="single" w:sz="8" w:color="auto"/>
            </w:tcBorders>
            <w:vMerge w:val="continue"/>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520" w:type="dxa"/>
            <w:vAlign w:val="bottom"/>
            <w:tcBorders>
              <w:bottom w:val="single" w:sz="8" w:color="auto"/>
            </w:tcBorders>
            <w:shd w:val="clear" w:color="auto" w:fill="CCEEFF"/>
          </w:tcPr>
          <w:p>
            <w:pPr>
              <w:spacing w:after="0"/>
              <w:rPr>
                <w:sz w:val="20"/>
                <w:szCs w:val="20"/>
                <w:color w:val="auto"/>
              </w:rPr>
            </w:pPr>
          </w:p>
        </w:tc>
        <w:tc>
          <w:tcPr>
            <w:tcW w:w="820" w:type="dxa"/>
            <w:vAlign w:val="bottom"/>
            <w:tcBorders>
              <w:bottom w:val="single" w:sz="8" w:color="auto"/>
            </w:tcBorders>
            <w:vMerge w:val="continue"/>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auto"/>
            </w:tcBorders>
            <w:vMerge w:val="continue"/>
            <w:shd w:val="clear" w:color="auto" w:fill="CCEEFF"/>
          </w:tcPr>
          <w:p>
            <w:pPr>
              <w:spacing w:after="0"/>
              <w:rPr>
                <w:sz w:val="20"/>
                <w:szCs w:val="20"/>
                <w:color w:val="auto"/>
              </w:rPr>
            </w:pPr>
          </w:p>
        </w:tc>
        <w:tc>
          <w:tcPr>
            <w:tcW w:w="900" w:type="dxa"/>
            <w:vAlign w:val="bottom"/>
            <w:tcBorders>
              <w:bottom w:val="single" w:sz="8" w:color="auto"/>
            </w:tcBorders>
            <w:vMerge w:val="continue"/>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460" w:type="dxa"/>
            <w:vAlign w:val="bottom"/>
            <w:tcBorders>
              <w:bottom w:val="single" w:sz="8" w:color="auto"/>
            </w:tcBorders>
            <w:shd w:val="clear" w:color="auto" w:fill="CCEEFF"/>
          </w:tcPr>
          <w:p>
            <w:pPr>
              <w:spacing w:after="0"/>
              <w:rPr>
                <w:sz w:val="20"/>
                <w:szCs w:val="20"/>
                <w:color w:val="auto"/>
              </w:rPr>
            </w:pPr>
          </w:p>
        </w:tc>
        <w:tc>
          <w:tcPr>
            <w:tcW w:w="880" w:type="dxa"/>
            <w:vAlign w:val="bottom"/>
            <w:tcBorders>
              <w:bottom w:val="single" w:sz="8" w:color="auto"/>
            </w:tcBorders>
            <w:vMerge w:val="continue"/>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318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4" w:lineRule="exact"/>
        <w:rPr>
          <w:sz w:val="20"/>
          <w:szCs w:val="20"/>
          <w:color w:val="auto"/>
        </w:rPr>
      </w:pPr>
    </w:p>
    <w:p>
      <w:pPr>
        <w:ind w:left="340" w:hanging="332"/>
        <w:spacing w:after="0"/>
        <w:tabs>
          <w:tab w:leader="none" w:pos="34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tax rate reflects the impact of an increase in foreign source income, which carries a lower overall effective tax rate than U.S. income.</w:t>
      </w:r>
    </w:p>
    <w:p>
      <w:pPr>
        <w:spacing w:after="0" w:line="225" w:lineRule="exact"/>
        <w:rPr>
          <w:rFonts w:ascii="Arial" w:cs="Arial" w:eastAsia="Arial" w:hAnsi="Arial"/>
          <w:sz w:val="18"/>
          <w:szCs w:val="18"/>
          <w:color w:val="auto"/>
        </w:rPr>
      </w:pPr>
    </w:p>
    <w:p>
      <w:pPr>
        <w:jc w:val="right"/>
        <w:ind w:left="340" w:right="340" w:hanging="332"/>
        <w:spacing w:after="0" w:line="291" w:lineRule="auto"/>
        <w:tabs>
          <w:tab w:leader="none" w:pos="271" w:val="left"/>
        </w:tabs>
        <w:numPr>
          <w:ilvl w:val="0"/>
          <w:numId w:val="31"/>
        </w:numPr>
        <w:rPr>
          <w:rFonts w:ascii="Arial" w:cs="Arial" w:eastAsia="Arial" w:hAnsi="Arial"/>
          <w:sz w:val="16"/>
          <w:szCs w:val="16"/>
          <w:color w:val="auto"/>
        </w:rPr>
      </w:pPr>
      <w:r>
        <w:rPr>
          <w:rFonts w:ascii="Arial" w:cs="Arial" w:eastAsia="Arial" w:hAnsi="Arial"/>
          <w:sz w:val="16"/>
          <w:szCs w:val="16"/>
          <w:color w:val="auto"/>
        </w:rPr>
        <w:t>Amounts relate to the tax benefit resulting from a favorable Swiss tax ruling received in 2014. During 2014, our Swiss subsidiary filed for a tax ruling requesting a reduced income tax rate in Switzerland. We received an approved ruling in December 2014 effectively reducing the Swiss tax rate from</w:t>
      </w:r>
    </w:p>
    <w:p>
      <w:pPr>
        <w:ind w:left="340" w:right="160"/>
        <w:spacing w:after="0" w:line="255" w:lineRule="auto"/>
        <w:rPr>
          <w:rFonts w:ascii="Arial" w:cs="Arial" w:eastAsia="Arial" w:hAnsi="Arial"/>
          <w:sz w:val="16"/>
          <w:szCs w:val="16"/>
          <w:color w:val="auto"/>
        </w:rPr>
      </w:pPr>
      <w:r>
        <w:rPr>
          <w:rFonts w:ascii="Arial" w:cs="Arial" w:eastAsia="Arial" w:hAnsi="Arial"/>
          <w:sz w:val="18"/>
          <w:szCs w:val="18"/>
          <w:color w:val="auto"/>
        </w:rPr>
        <w:t>9.3% to approximately 6.5% depending on the jurisdictional mix of revenues and expenditures. As such, the carrying value of the deferred taxes, which reflected a net deferred tax liability position as of the date of enactment, have been adjusted to reflect the rate reduction. The adjusted carrying value resulted in a reduction to the deferred tax liability and a corresponding deferred tax benefit.</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Liquidity and Capital Resources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32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spacing w:after="0"/>
              <w:rPr>
                <w:sz w:val="16"/>
                <w:szCs w:val="16"/>
                <w:color w:val="auto"/>
              </w:rPr>
            </w:pPr>
          </w:p>
        </w:tc>
        <w:tc>
          <w:tcPr>
            <w:tcW w:w="340" w:type="dxa"/>
            <w:vAlign w:val="bottom"/>
            <w:tcBorders>
              <w:bottom w:val="single" w:sz="8" w:color="auto"/>
            </w:tcBorders>
            <w:gridSpan w:val="3"/>
          </w:tcPr>
          <w:p>
            <w:pPr>
              <w:jc w:val="right"/>
              <w:ind w:right="140"/>
              <w:spacing w:after="0"/>
              <w:rPr>
                <w:sz w:val="20"/>
                <w:szCs w:val="20"/>
                <w:color w:val="auto"/>
              </w:rPr>
            </w:pPr>
            <w:r>
              <w:rPr>
                <w:rFonts w:ascii="Arial" w:cs="Arial" w:eastAsia="Arial" w:hAnsi="Arial"/>
                <w:sz w:val="14"/>
                <w:szCs w:val="14"/>
                <w:b w:val="1"/>
                <w:bCs w:val="1"/>
                <w:color w:val="auto"/>
              </w:rPr>
              <w:t>At</w:t>
            </w:r>
          </w:p>
        </w:tc>
        <w:tc>
          <w:tcPr>
            <w:tcW w:w="1260" w:type="dxa"/>
            <w:vAlign w:val="bottom"/>
            <w:tcBorders>
              <w:bottom w:val="single" w:sz="8" w:color="auto"/>
            </w:tcBorders>
          </w:tcPr>
          <w:p>
            <w:pPr>
              <w:spacing w:after="0"/>
              <w:rPr>
                <w:sz w:val="16"/>
                <w:szCs w:val="16"/>
                <w:color w:val="auto"/>
              </w:rPr>
            </w:pPr>
          </w:p>
        </w:tc>
      </w:tr>
      <w:tr>
        <w:trPr>
          <w:trHeight w:val="264"/>
        </w:trPr>
        <w:tc>
          <w:tcPr>
            <w:tcW w:w="5320" w:type="dxa"/>
            <w:vAlign w:val="bottom"/>
          </w:tcPr>
          <w:p>
            <w:pPr>
              <w:ind w:left="40"/>
              <w:spacing w:after="0"/>
              <w:rPr>
                <w:sz w:val="20"/>
                <w:szCs w:val="20"/>
                <w:color w:val="auto"/>
              </w:rPr>
            </w:pPr>
            <w:r>
              <w:rPr>
                <w:rFonts w:ascii="Arial" w:cs="Arial" w:eastAsia="Arial" w:hAnsi="Arial"/>
                <w:sz w:val="14"/>
                <w:szCs w:val="14"/>
                <w:b w:val="1"/>
                <w:bCs w:val="1"/>
                <w:color w:val="auto"/>
              </w:rPr>
              <w:t>(dollars in thousands)</w:t>
            </w:r>
          </w:p>
        </w:tc>
        <w:tc>
          <w:tcPr>
            <w:tcW w:w="180" w:type="dxa"/>
            <w:vAlign w:val="bottom"/>
            <w:tcBorders>
              <w:bottom w:val="single" w:sz="8" w:color="auto"/>
            </w:tcBorders>
          </w:tcPr>
          <w:p>
            <w:pPr>
              <w:spacing w:after="0"/>
              <w:rPr>
                <w:sz w:val="22"/>
                <w:szCs w:val="22"/>
                <w:color w:val="auto"/>
              </w:rPr>
            </w:pPr>
          </w:p>
        </w:tc>
        <w:tc>
          <w:tcPr>
            <w:tcW w:w="1220" w:type="dxa"/>
            <w:vAlign w:val="bottom"/>
            <w:tcBorders>
              <w:bottom w:val="single" w:sz="8" w:color="auto"/>
            </w:tcBorders>
          </w:tcPr>
          <w:p>
            <w:pPr>
              <w:jc w:val="right"/>
              <w:ind w:right="94"/>
              <w:spacing w:after="0"/>
              <w:rPr>
                <w:sz w:val="20"/>
                <w:szCs w:val="20"/>
                <w:color w:val="auto"/>
              </w:rPr>
            </w:pPr>
            <w:r>
              <w:rPr>
                <w:rFonts w:ascii="Arial" w:cs="Arial" w:eastAsia="Arial" w:hAnsi="Arial"/>
                <w:sz w:val="14"/>
                <w:szCs w:val="14"/>
                <w:b w:val="1"/>
                <w:bCs w:val="1"/>
                <w:color w:val="auto"/>
                <w:w w:val="97"/>
              </w:rPr>
              <w:t>January 1, 2016</w:t>
            </w:r>
          </w:p>
        </w:tc>
        <w:tc>
          <w:tcPr>
            <w:tcW w:w="60" w:type="dxa"/>
            <w:vAlign w:val="bottom"/>
            <w:tcBorders>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1260" w:type="dxa"/>
            <w:vAlign w:val="bottom"/>
            <w:tcBorders>
              <w:bottom w:val="single" w:sz="8" w:color="auto"/>
            </w:tcBorders>
          </w:tcPr>
          <w:p>
            <w:pPr>
              <w:jc w:val="right"/>
              <w:ind w:right="134"/>
              <w:spacing w:after="0"/>
              <w:rPr>
                <w:sz w:val="20"/>
                <w:szCs w:val="20"/>
                <w:color w:val="auto"/>
              </w:rPr>
            </w:pPr>
            <w:r>
              <w:rPr>
                <w:rFonts w:ascii="Arial" w:cs="Arial" w:eastAsia="Arial" w:hAnsi="Arial"/>
                <w:sz w:val="14"/>
                <w:szCs w:val="14"/>
                <w:b w:val="1"/>
                <w:bCs w:val="1"/>
                <w:color w:val="auto"/>
                <w:w w:val="97"/>
              </w:rPr>
              <w:t>January 2, 2015</w:t>
            </w:r>
          </w:p>
        </w:tc>
      </w:tr>
      <w:tr>
        <w:trPr>
          <w:trHeight w:val="243"/>
        </w:trPr>
        <w:tc>
          <w:tcPr>
            <w:tcW w:w="5320" w:type="dxa"/>
            <w:vAlign w:val="bottom"/>
          </w:tcPr>
          <w:p>
            <w:pPr>
              <w:ind w:left="40"/>
              <w:spacing w:after="0"/>
              <w:rPr>
                <w:sz w:val="20"/>
                <w:szCs w:val="20"/>
                <w:color w:val="auto"/>
              </w:rPr>
            </w:pPr>
            <w:r>
              <w:rPr>
                <w:rFonts w:ascii="Arial" w:cs="Arial" w:eastAsia="Arial" w:hAnsi="Arial"/>
                <w:sz w:val="18"/>
                <w:szCs w:val="18"/>
                <w:color w:val="auto"/>
              </w:rPr>
              <w:t>Cash and cash equivalents</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Pr>
          <w:p>
            <w:pPr>
              <w:jc w:val="right"/>
              <w:spacing w:after="0"/>
              <w:rPr>
                <w:sz w:val="20"/>
                <w:szCs w:val="20"/>
                <w:color w:val="auto"/>
              </w:rPr>
            </w:pPr>
            <w:r>
              <w:rPr>
                <w:rFonts w:ascii="Arial" w:cs="Arial" w:eastAsia="Arial" w:hAnsi="Arial"/>
                <w:sz w:val="18"/>
                <w:szCs w:val="18"/>
                <w:color w:val="auto"/>
              </w:rPr>
              <w:t>82,478</w:t>
            </w:r>
          </w:p>
        </w:tc>
        <w:tc>
          <w:tcPr>
            <w:tcW w:w="340" w:type="dxa"/>
            <w:vAlign w:val="bottom"/>
            <w:gridSpan w:val="3"/>
          </w:tcPr>
          <w:p>
            <w:pPr>
              <w:jc w:val="right"/>
              <w:ind w:right="60"/>
              <w:spacing w:after="0"/>
              <w:rPr>
                <w:sz w:val="20"/>
                <w:szCs w:val="20"/>
                <w:color w:val="auto"/>
              </w:rPr>
            </w:pPr>
            <w:r>
              <w:rPr>
                <w:rFonts w:ascii="Arial" w:cs="Arial" w:eastAsia="Arial" w:hAnsi="Arial"/>
                <w:sz w:val="18"/>
                <w:szCs w:val="18"/>
                <w:color w:val="auto"/>
              </w:rPr>
              <w:t>$</w:t>
            </w:r>
          </w:p>
        </w:tc>
        <w:tc>
          <w:tcPr>
            <w:tcW w:w="1260" w:type="dxa"/>
            <w:vAlign w:val="bottom"/>
          </w:tcPr>
          <w:p>
            <w:pPr>
              <w:jc w:val="right"/>
              <w:spacing w:after="0"/>
              <w:rPr>
                <w:sz w:val="20"/>
                <w:szCs w:val="20"/>
                <w:color w:val="auto"/>
              </w:rPr>
            </w:pPr>
            <w:r>
              <w:rPr>
                <w:rFonts w:ascii="Arial" w:cs="Arial" w:eastAsia="Arial" w:hAnsi="Arial"/>
                <w:sz w:val="18"/>
                <w:szCs w:val="18"/>
                <w:color w:val="auto"/>
              </w:rPr>
              <w:t>76,824</w:t>
            </w:r>
          </w:p>
        </w:tc>
      </w:tr>
      <w:tr>
        <w:trPr>
          <w:trHeight w:val="27"/>
        </w:trPr>
        <w:tc>
          <w:tcPr>
            <w:tcW w:w="53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Working capital</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360,764</w:t>
            </w:r>
          </w:p>
        </w:tc>
        <w:tc>
          <w:tcPr>
            <w:tcW w:w="340" w:type="dxa"/>
            <w:vAlign w:val="bottom"/>
            <w:tcBorders>
              <w:bottom w:val="single" w:sz="8" w:color="CCEEFF"/>
            </w:tcBorders>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242,022</w:t>
            </w:r>
          </w:p>
        </w:tc>
      </w:tr>
      <w:tr>
        <w:trPr>
          <w:trHeight w:val="243"/>
        </w:trPr>
        <w:tc>
          <w:tcPr>
            <w:tcW w:w="5320" w:type="dxa"/>
            <w:vAlign w:val="bottom"/>
          </w:tcPr>
          <w:p>
            <w:pPr>
              <w:ind w:left="40"/>
              <w:spacing w:after="0"/>
              <w:rPr>
                <w:sz w:val="20"/>
                <w:szCs w:val="20"/>
                <w:color w:val="auto"/>
              </w:rPr>
            </w:pPr>
            <w:r>
              <w:rPr>
                <w:rFonts w:ascii="Arial" w:cs="Arial" w:eastAsia="Arial" w:hAnsi="Arial"/>
                <w:sz w:val="18"/>
                <w:szCs w:val="18"/>
                <w:color w:val="auto"/>
              </w:rPr>
              <w:t>Current ratio</w:t>
            </w:r>
          </w:p>
        </w:tc>
        <w:tc>
          <w:tcPr>
            <w:tcW w:w="18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2.69</w:t>
            </w:r>
          </w:p>
        </w:tc>
        <w:tc>
          <w:tcPr>
            <w:tcW w:w="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3.23</w:t>
            </w:r>
          </w:p>
        </w:tc>
      </w:tr>
    </w:tbl>
    <w:p>
      <w:pPr>
        <w:spacing w:after="0" w:line="229" w:lineRule="exact"/>
        <w:rPr>
          <w:sz w:val="20"/>
          <w:szCs w:val="20"/>
          <w:color w:val="auto"/>
        </w:rPr>
      </w:pPr>
    </w:p>
    <w:p>
      <w:pPr>
        <w:ind w:right="120"/>
        <w:spacing w:after="0" w:line="297" w:lineRule="auto"/>
        <w:rPr>
          <w:sz w:val="20"/>
          <w:szCs w:val="20"/>
          <w:color w:val="auto"/>
        </w:rPr>
      </w:pPr>
      <w:r>
        <w:rPr>
          <w:rFonts w:ascii="Arial" w:cs="Arial" w:eastAsia="Arial" w:hAnsi="Arial"/>
          <w:sz w:val="16"/>
          <w:szCs w:val="16"/>
          <w:color w:val="auto"/>
        </w:rPr>
        <w:t>The increase in cash and cash equivalents from January 2, 2015 was primarily due to $467.9 in net cash provided by financing activities and $12.5 million in net cash provided by operating activities. This increase was partially offset by the $423.4 net cash paid for the Lake Region Medical acquisition and $44.6 million of capital expenditures. Additionally, working capital balances increased $118.7 million from the end of 2014, primarily due to the $167.3 million of working capital acquired from Lake Region Medical partially offset by the net cash outflow in connection with the acquisition of Lake Region Medical. Of the $82.5 million of cash on hand as of January 1, 2016, $31.0 million is being held at our foreign subsidiaries and is considered permanently reinvested.</w:t>
      </w:r>
    </w:p>
    <w:p>
      <w:pPr>
        <w:spacing w:after="0" w:line="158"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b w:val="1"/>
          <w:bCs w:val="1"/>
          <w:i w:val="1"/>
          <w:iCs w:val="1"/>
          <w:color w:val="auto"/>
        </w:rPr>
        <w:t xml:space="preserve">Credit Facilities </w:t>
      </w:r>
      <w:r>
        <w:rPr>
          <w:rFonts w:ascii="Arial" w:cs="Arial" w:eastAsia="Arial" w:hAnsi="Arial"/>
          <w:sz w:val="18"/>
          <w:szCs w:val="18"/>
          <w:color w:val="auto"/>
        </w:rPr>
        <w:t>– In connection with the acquisition of Lake Region Medical, during the fourth quarter of 2015, we replaced our existing credit facility and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term loan with new senior secured credit facilities and completed a senior notes offering.</w:t>
      </w:r>
    </w:p>
    <w:p>
      <w:pPr>
        <w:spacing w:after="0" w:line="170"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The new senior secured credit facilities (the “Senior Secured Credit Facilities”) consist of (i) a $200 million revolving credit facility (the “Revolving Credit Facility”), (ii) a $375 million term loan A facility (the “TLA Facility”), and (iii) a $1,025 million term loan B facility (the “TLB Facility”). We also completed a private offering of $360 million aggregate principal amount of 9.125% senior notes due on November 1, 2023 (the “Senior Notes”). The TLA Facility and TLB Facility were funded in full on</w:t>
      </w:r>
    </w:p>
    <w:p>
      <w:pPr>
        <w:sectPr>
          <w:pgSz w:w="11900" w:h="16838" w:orient="portrait"/>
          <w:cols w:equalWidth="0" w:num="1">
            <w:col w:w="11420"/>
          </w:cols>
          <w:pgMar w:left="240" w:top="909" w:right="239" w:bottom="1440" w:gutter="0" w:footer="0" w:header="0"/>
        </w:sectPr>
      </w:pPr>
    </w:p>
    <w:p>
      <w:pPr>
        <w:spacing w:after="0" w:line="32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- 57 -</w:t>
      </w:r>
    </w:p>
    <w:p>
      <w:pPr>
        <w:sectPr>
          <w:pgSz w:w="11900" w:h="16838" w:orient="portrait"/>
          <w:cols w:equalWidth="0" w:num="1">
            <w:col w:w="11420"/>
          </w:cols>
          <w:pgMar w:left="240" w:top="909" w:right="239" w:bottom="1440" w:gutter="0" w:footer="0" w:header="0"/>
          <w:type w:val="continuous"/>
        </w:sectPr>
      </w:pPr>
    </w:p>
    <w:bookmarkStart w:id="58" w:name="page59"/>
    <w:bookmarkEnd w:id="58"/>
    <w:p>
      <w:pPr>
        <w:spacing w:after="0" w:line="312" w:lineRule="auto"/>
        <w:rPr>
          <w:sz w:val="20"/>
          <w:szCs w:val="20"/>
          <w:color w:val="auto"/>
        </w:rPr>
      </w:pPr>
      <w:r>
        <w:rPr>
          <w:rFonts w:ascii="Arial" w:cs="Arial" w:eastAsia="Arial" w:hAnsi="Arial"/>
          <w:sz w:val="16"/>
          <w:szCs w:val="16"/>
          <w:color w:val="auto"/>
        </w:rPr>
        <w:t>October 27, 2015, and used, together with cash on hand and the net proceeds from the Senior Notes to fund the cash portion of the purchase price, to repay the outstanding debt of Lake Region Medical at closing, and to repay our term loan. The Revolving Credit Facility will mature on October 27, 2020, the TLA Facility will mature on October 27, 2021, and the TLB Facility will mature on October 27, 2022. The TLB facility was issued at a 1% discount.</w:t>
      </w:r>
    </w:p>
    <w:p>
      <w:pPr>
        <w:spacing w:after="0" w:line="147" w:lineRule="exact"/>
        <w:rPr>
          <w:sz w:val="20"/>
          <w:szCs w:val="20"/>
          <w:color w:val="auto"/>
        </w:rPr>
      </w:pPr>
    </w:p>
    <w:p>
      <w:pPr>
        <w:ind w:right="140"/>
        <w:spacing w:after="0" w:line="255" w:lineRule="auto"/>
        <w:rPr>
          <w:sz w:val="20"/>
          <w:szCs w:val="20"/>
          <w:color w:val="auto"/>
        </w:rPr>
      </w:pPr>
      <w:r>
        <w:rPr>
          <w:rFonts w:ascii="Arial" w:cs="Arial" w:eastAsia="Arial" w:hAnsi="Arial"/>
          <w:sz w:val="18"/>
          <w:szCs w:val="18"/>
          <w:color w:val="auto"/>
        </w:rPr>
        <w:t>The Revolving Credit Facility and the TLA Facility contain covenants requiring (A) a maximum total net leverage ratio (as defined in the Senior Secured Credit Facilities) of 6.5:1.00, subject to step downs and (B) a minimum interest coverage ratio of adjusted EBITDA (as defined in the Senior Secured Credit Facilities) to interest expense of not less than 3.00:1.00. As of January 1, 2016, our total net leverage ratio, calculated in accordance with our credit agreement, was approximately 5.2 to 1.00. For the twelve month period ended January 1, 2016, our ratio of adjusted EBITDA to interest expense, calculated in accordance with our credit agreement, was approximately 4.8 to 1.00. The Senior Secured Credit Facilities include mandatory prepayments customary for credit facilities of its nature. See Note 9 “Debt” of the Notes to Consolidated Financial Statements contained in Item 8 of this report for a more detailed description of the Revolving Credit Facility.</w:t>
      </w:r>
    </w:p>
    <w:p>
      <w:pPr>
        <w:spacing w:after="0" w:line="81" w:lineRule="exact"/>
        <w:rPr>
          <w:sz w:val="20"/>
          <w:szCs w:val="20"/>
          <w:color w:val="auto"/>
        </w:rPr>
      </w:pPr>
    </w:p>
    <w:p>
      <w:pPr>
        <w:ind w:right="40"/>
        <w:spacing w:after="0" w:line="264" w:lineRule="auto"/>
        <w:rPr>
          <w:sz w:val="20"/>
          <w:szCs w:val="20"/>
          <w:color w:val="auto"/>
        </w:rPr>
      </w:pPr>
      <w:r>
        <w:rPr>
          <w:rFonts w:ascii="Arial" w:cs="Arial" w:eastAsia="Arial" w:hAnsi="Arial"/>
          <w:sz w:val="18"/>
          <w:szCs w:val="18"/>
          <w:color w:val="auto"/>
        </w:rPr>
        <w:t>The Revolving Credit Facility is supported by a consortium of fourteen banks with no bank controlling more than 27% of the facility. As of January 1, 2016, the banks supporting 88% of the Revolving Credit Facility each had an S&amp;P credit rating of at least BBB or better, which is considered investment grade. The banks which support the remaining 12% of the Revolving Credit Facility are not currently being rated.</w:t>
      </w:r>
    </w:p>
    <w:p>
      <w:pPr>
        <w:spacing w:after="0" w:line="181" w:lineRule="exact"/>
        <w:rPr>
          <w:sz w:val="20"/>
          <w:szCs w:val="20"/>
          <w:color w:val="auto"/>
        </w:rPr>
      </w:pPr>
    </w:p>
    <w:p>
      <w:pPr>
        <w:ind w:right="40"/>
        <w:spacing w:after="0" w:line="255" w:lineRule="auto"/>
        <w:rPr>
          <w:sz w:val="20"/>
          <w:szCs w:val="20"/>
          <w:color w:val="auto"/>
        </w:rPr>
      </w:pPr>
      <w:r>
        <w:rPr>
          <w:rFonts w:ascii="Arial" w:cs="Arial" w:eastAsia="Arial" w:hAnsi="Arial"/>
          <w:sz w:val="18"/>
          <w:szCs w:val="18"/>
          <w:b w:val="1"/>
          <w:bCs w:val="1"/>
          <w:i w:val="1"/>
          <w:iCs w:val="1"/>
          <w:color w:val="auto"/>
        </w:rPr>
        <w:t xml:space="preserve">Operating Activities – </w:t>
      </w:r>
      <w:r>
        <w:rPr>
          <w:rFonts w:ascii="Arial" w:cs="Arial" w:eastAsia="Arial" w:hAnsi="Arial"/>
          <w:sz w:val="18"/>
          <w:szCs w:val="18"/>
          <w:color w:val="auto"/>
        </w:rPr>
        <w:t>Cash flows from operating activities for 2015 were $12.5 million compared to $81.3 million for 2014. This decrease was primarily due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to $28.0 million of lower cash net income in comparison to the prior year as well as $40.8 million higher working capital balances, primarily accrued expenses in connection with the acquisition of Lake Region Medical and the Spin-off, and higher inventory levels in anticipation of higher sales volumes, which fell short of expectations. We expect inventory will decrease to more normalized levels by the end of 2016. Immediately prior to the completion of the pending Spin-off, we expect to make a cash capital contribution of $75.0 million to Nuvectra, which is expected to be funded with cash on hand and/or availability under our Revolving Credit Facility.</w:t>
      </w:r>
    </w:p>
    <w:p>
      <w:pPr>
        <w:spacing w:after="0" w:line="193" w:lineRule="exact"/>
        <w:rPr>
          <w:sz w:val="20"/>
          <w:szCs w:val="20"/>
          <w:color w:val="auto"/>
        </w:rPr>
      </w:pPr>
    </w:p>
    <w:p>
      <w:pPr>
        <w:ind w:right="100"/>
        <w:spacing w:after="0" w:line="259" w:lineRule="auto"/>
        <w:rPr>
          <w:sz w:val="20"/>
          <w:szCs w:val="20"/>
          <w:color w:val="auto"/>
        </w:rPr>
      </w:pPr>
      <w:r>
        <w:rPr>
          <w:rFonts w:ascii="Arial" w:cs="Arial" w:eastAsia="Arial" w:hAnsi="Arial"/>
          <w:sz w:val="18"/>
          <w:szCs w:val="18"/>
          <w:color w:val="auto"/>
        </w:rPr>
        <w:t>Cash flows from operating activities for 2014 of $81.3 million were $24.5 million above 2013. During 2013, the Company made estimated tax payments of $28.8 million in connection with the retirement of our convertible subordinated notes. Excluding these payments, cash flows from operating activities for 2014 were slightly below 2013 as the increased level of cash operating income was more than offset by an increase in working capital levels primarily due to the timing of receivable collections.</w:t>
      </w:r>
    </w:p>
    <w:p>
      <w:pPr>
        <w:spacing w:after="0" w:line="187" w:lineRule="exact"/>
        <w:rPr>
          <w:sz w:val="20"/>
          <w:szCs w:val="20"/>
          <w:color w:val="auto"/>
        </w:rPr>
      </w:pPr>
    </w:p>
    <w:p>
      <w:pPr>
        <w:ind w:right="280"/>
        <w:spacing w:after="0" w:line="259" w:lineRule="auto"/>
        <w:rPr>
          <w:sz w:val="20"/>
          <w:szCs w:val="20"/>
          <w:color w:val="auto"/>
        </w:rPr>
      </w:pPr>
      <w:r>
        <w:rPr>
          <w:rFonts w:ascii="Arial" w:cs="Arial" w:eastAsia="Arial" w:hAnsi="Arial"/>
          <w:sz w:val="18"/>
          <w:szCs w:val="18"/>
          <w:b w:val="1"/>
          <w:bCs w:val="1"/>
          <w:i w:val="1"/>
          <w:iCs w:val="1"/>
          <w:color w:val="auto"/>
        </w:rPr>
        <w:t xml:space="preserve">Investing Activities </w:t>
      </w:r>
      <w:r>
        <w:rPr>
          <w:rFonts w:ascii="Arial" w:cs="Arial" w:eastAsia="Arial" w:hAnsi="Arial"/>
          <w:sz w:val="18"/>
          <w:szCs w:val="18"/>
          <w:color w:val="auto"/>
        </w:rPr>
        <w:t>– Net cash used in investing activities for 2015 was $473.6 million compared to $35.9 million for 2014. This increase was primarily</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related to $423.4 million of net cash used for the acquisition of Lake Region Medical as well as $44.6 million of additional investments made in property, plant and equipment in connection with the consolidation and optimization initiatives discussed in the “Cost Savings and Consolidation Efforts” section of this Item.</w:t>
      </w:r>
    </w:p>
    <w:p>
      <w:pPr>
        <w:spacing w:after="0" w:line="187" w:lineRule="exact"/>
        <w:rPr>
          <w:sz w:val="20"/>
          <w:szCs w:val="20"/>
          <w:color w:val="auto"/>
        </w:rPr>
      </w:pPr>
    </w:p>
    <w:p>
      <w:pPr>
        <w:ind w:right="20"/>
        <w:spacing w:after="0" w:line="279" w:lineRule="auto"/>
        <w:rPr>
          <w:sz w:val="20"/>
          <w:szCs w:val="20"/>
          <w:color w:val="auto"/>
        </w:rPr>
      </w:pPr>
      <w:r>
        <w:rPr>
          <w:rFonts w:ascii="Arial" w:cs="Arial" w:eastAsia="Arial" w:hAnsi="Arial"/>
          <w:sz w:val="17"/>
          <w:szCs w:val="17"/>
          <w:color w:val="auto"/>
        </w:rPr>
        <w:t>Net cash used in investing activities for 2014 of $35.9 million were $17.6 million above 2013. 2014 investing activities include $16.0 million of net cash used for the acquisition of CCC as well as $24.8 million of cash used for the purchase of property, plant and equipment. These transactions were partially offset by a $2.7 million contingent payment received in 2014 in connection with the sale of certain non-core Swiss orthopaedic product lines, which closed during the first quarter of 2013, as well as $2.2 million of net proceeds received from our cost and equity method investments.</w:t>
      </w:r>
    </w:p>
    <w:p>
      <w:pPr>
        <w:spacing w:after="0" w:line="171" w:lineRule="exact"/>
        <w:rPr>
          <w:sz w:val="20"/>
          <w:szCs w:val="20"/>
          <w:color w:val="auto"/>
        </w:rPr>
      </w:pPr>
    </w:p>
    <w:p>
      <w:pPr>
        <w:ind w:right="20"/>
        <w:spacing w:after="0" w:line="264" w:lineRule="auto"/>
        <w:rPr>
          <w:sz w:val="20"/>
          <w:szCs w:val="20"/>
          <w:color w:val="auto"/>
        </w:rPr>
      </w:pPr>
      <w:r>
        <w:rPr>
          <w:rFonts w:ascii="Arial" w:cs="Arial" w:eastAsia="Arial" w:hAnsi="Arial"/>
          <w:sz w:val="18"/>
          <w:szCs w:val="18"/>
          <w:color w:val="auto"/>
        </w:rPr>
        <w:t>Our current expectation is that capital spending for 2016 will be in the range of $60.0 million to $70.0 million, of which approximately half is discretionary in nature. We anticipate that cash on hand, cash flows from operations, and available borrowing capacity under our Revolving Credit Facility will be sufficient to fund these capital expenditures.</w:t>
      </w:r>
    </w:p>
    <w:p>
      <w:pPr>
        <w:spacing w:after="0" w:line="181"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b w:val="1"/>
          <w:bCs w:val="1"/>
          <w:i w:val="1"/>
          <w:iCs w:val="1"/>
          <w:color w:val="auto"/>
        </w:rPr>
        <w:t xml:space="preserve">Financing Activities – </w:t>
      </w:r>
      <w:r>
        <w:rPr>
          <w:rFonts w:ascii="Arial" w:cs="Arial" w:eastAsia="Arial" w:hAnsi="Arial"/>
          <w:sz w:val="18"/>
          <w:szCs w:val="18"/>
          <w:color w:val="auto"/>
        </w:rPr>
        <w:t>Net cash provided by financing activities for 2015 was $467.9 million compared to net cash used in financing activities of $2.4 million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for the prior year period. The net cash inflow for 2015 included $1.75 billion in borrowings to fund the acquisition of Lake Region Medical and $6.6 million of cash received from the exercise of stock options, which was partially offset by $1.2 billion in long-term debt repayments and $45.9 million in debt issuance costs paid in connection with the Lake Region Medical acquisition. Additionally, during 2015, we paid $9.9 million to purchase the non-controlling interests in QiG’s Algostim and PelviStim subsidiaries.</w:t>
      </w:r>
    </w:p>
    <w:p>
      <w:pPr>
        <w:spacing w:after="0" w:line="188"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Net cash used in financing activities for 2014 of $2.4 million was $21.0 million less than the cash used in financing activities in 2013. This cash outflow is the result of $10.0 million of principal payments on long-term debt partially offset by $8.3 million of cash received from the exercise of stock options during 2014.</w:t>
      </w:r>
    </w:p>
    <w:p>
      <w:pPr>
        <w:spacing w:after="0" w:line="181"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b w:val="1"/>
          <w:bCs w:val="1"/>
          <w:i w:val="1"/>
          <w:iCs w:val="1"/>
          <w:color w:val="auto"/>
        </w:rPr>
        <w:t xml:space="preserve">Capital Structure – </w:t>
      </w:r>
      <w:r>
        <w:rPr>
          <w:rFonts w:ascii="Arial" w:cs="Arial" w:eastAsia="Arial" w:hAnsi="Arial"/>
          <w:sz w:val="18"/>
          <w:szCs w:val="18"/>
          <w:color w:val="auto"/>
        </w:rPr>
        <w:t>After completion of the acquisition of Lake Region Medical, our capital structure consists of $1.7 billion of debt outstanding on our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Senior Secured Credit Facilities and Senior Notes and 30.6 million shares of common stock outstanding as of January 1, 2016. As of January 1, 2016, we had $186.6 million of borrowing capacity available under the Revolving Credit Facility. This amount may vary from period to period based upon our debt and EBITDA levels, which impacts the</w:t>
      </w:r>
    </w:p>
    <w:p>
      <w:pPr>
        <w:spacing w:after="0" w:line="3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- 58 -</w:t>
      </w:r>
    </w:p>
    <w:p>
      <w:pPr>
        <w:sectPr>
          <w:pgSz w:w="11900" w:h="16838" w:orient="portrait"/>
          <w:cols w:equalWidth="0" w:num="1">
            <w:col w:w="11420"/>
          </w:cols>
          <w:pgMar w:left="240" w:top="909" w:right="239" w:bottom="1440" w:gutter="0" w:footer="0" w:header="0"/>
        </w:sectPr>
      </w:pPr>
    </w:p>
    <w:bookmarkStart w:id="59" w:name="page60"/>
    <w:bookmarkEnd w:id="59"/>
    <w:p>
      <w:pPr>
        <w:ind w:right="40"/>
        <w:spacing w:after="0" w:line="255" w:lineRule="auto"/>
        <w:rPr>
          <w:sz w:val="20"/>
          <w:szCs w:val="20"/>
          <w:color w:val="auto"/>
        </w:rPr>
      </w:pPr>
      <w:r>
        <w:rPr>
          <w:rFonts w:ascii="Arial" w:cs="Arial" w:eastAsia="Arial" w:hAnsi="Arial"/>
          <w:sz w:val="18"/>
          <w:szCs w:val="18"/>
          <w:color w:val="auto"/>
        </w:rPr>
        <w:t>covenant calculations discussed above. As of January 1, 2016, our debt service obligations, comprised of principal and interest, for 2016 are estimated to be approximately $130 million. We believe that our cash flow from operations and available borrowing capacity under the Revolving Credit Facility provide adequate liquidity to meet our short- and long-term funding needs. We have clear line of sight to the committed Lake Region Medical acquisition synergies and believe we will be able to de-lever the company to 3.5X to 3X over the next two to three years. If necessary, we are authorized to issue 100 million shares of common stock and 100 million shares of preferred stock. We believe that, if needed, we can access public markets to raise additional capital. We continuously evaluate our capital structure as it relates to our anticipated long-term funding needs. Changes to our capital structure may occur as a result of this analysis or changes in market conditions.</w:t>
      </w:r>
    </w:p>
    <w:p>
      <w:pPr>
        <w:spacing w:after="0" w:line="189" w:lineRule="exact"/>
        <w:rPr>
          <w:sz w:val="20"/>
          <w:szCs w:val="20"/>
          <w:color w:val="auto"/>
        </w:rPr>
      </w:pPr>
    </w:p>
    <w:p>
      <w:pPr>
        <w:ind w:right="240"/>
        <w:spacing w:after="0" w:line="297" w:lineRule="auto"/>
        <w:rPr>
          <w:sz w:val="20"/>
          <w:szCs w:val="20"/>
          <w:color w:val="auto"/>
        </w:rPr>
      </w:pPr>
      <w:r>
        <w:rPr>
          <w:rFonts w:ascii="Arial" w:cs="Arial" w:eastAsia="Arial" w:hAnsi="Arial"/>
          <w:sz w:val="16"/>
          <w:szCs w:val="16"/>
          <w:b w:val="1"/>
          <w:bCs w:val="1"/>
          <w:i w:val="1"/>
          <w:iCs w:val="1"/>
          <w:color w:val="auto"/>
        </w:rPr>
        <w:t xml:space="preserve">Non-Guarantor Information – </w:t>
      </w:r>
      <w:r>
        <w:rPr>
          <w:rFonts w:ascii="Arial" w:cs="Arial" w:eastAsia="Arial" w:hAnsi="Arial"/>
          <w:sz w:val="16"/>
          <w:szCs w:val="16"/>
          <w:color w:val="auto"/>
        </w:rPr>
        <w:t>For the year ended January 1, 2016, after giving pro forma effect to the completion of the Lake Region Medical acquisition</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and Nuvectra Spin-off, the non-Guarantors of our credit facilities represented approximately 26% and 37% of our revenue and EBITDA, respectively. In addition, as of January 1, 2016, after giving pro forma effect to the completion of the Nuvectra Spin-off, the non-Guarantors of our credit facilities held approximately 25% of our total tangible assets and 3% of our total tangible liabilities. Tangible assets consist of total assets less intangible assets, intercompany receivables, and deferred taxes. Tangible liabilities consist of total liabilities less intercompany payables and deferred taxes.</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Off-Balance Sheet Arrangements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We have no off-balance sheet arrangements within the meaning of Item 303(a)(4) of Regulation S-K.</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Litigation</w:t>
      </w:r>
    </w:p>
    <w:p>
      <w:pPr>
        <w:spacing w:after="0" w:line="229" w:lineRule="exact"/>
        <w:rPr>
          <w:sz w:val="20"/>
          <w:szCs w:val="20"/>
          <w:color w:val="auto"/>
        </w:rPr>
      </w:pPr>
    </w:p>
    <w:p>
      <w:pPr>
        <w:ind w:right="60"/>
        <w:spacing w:after="0" w:line="257" w:lineRule="auto"/>
        <w:rPr>
          <w:sz w:val="20"/>
          <w:szCs w:val="20"/>
          <w:color w:val="auto"/>
        </w:rPr>
      </w:pPr>
      <w:r>
        <w:rPr>
          <w:rFonts w:ascii="Arial" w:cs="Arial" w:eastAsia="Arial" w:hAnsi="Arial"/>
          <w:sz w:val="18"/>
          <w:szCs w:val="18"/>
          <w:color w:val="auto"/>
        </w:rPr>
        <w:t>We are party to various legal actions arising in the normal course of business. A description of pending legal actions against the Company is set forth in Note 15 “Commitments and Contingencies” of the Notes to Consolidated Financial Statements contained at Item 8 of this report. Other than as discussed in Note 15, we do not believe that the ultimate resolution of any individual pending legal action will have a material effect on our consolidated results of operations, financial position or cash flows. However, litigation is subject to inherent uncertainties and there can be no assurance that any pending legal action, which we currently believe to be immaterial, does not become material in the future.</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Contractual Obligations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summarizes our contractual obligations at January 1, 2016:</w:t>
      </w:r>
    </w:p>
    <w:p>
      <w:pPr>
        <w:spacing w:after="0" w:line="27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0" w:type="dxa"/>
            <w:vAlign w:val="bottom"/>
          </w:tcPr>
          <w:p>
            <w:pPr>
              <w:spacing w:after="0"/>
              <w:rPr>
                <w:sz w:val="20"/>
                <w:szCs w:val="20"/>
                <w:color w:val="auto"/>
              </w:rPr>
            </w:pPr>
          </w:p>
        </w:tc>
        <w:tc>
          <w:tcPr>
            <w:tcW w:w="256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760" w:type="dxa"/>
            <w:vAlign w:val="bottom"/>
            <w:gridSpan w:val="5"/>
          </w:tcPr>
          <w:p>
            <w:pPr>
              <w:ind w:left="20"/>
              <w:spacing w:after="0"/>
              <w:rPr>
                <w:sz w:val="20"/>
                <w:szCs w:val="20"/>
                <w:color w:val="auto"/>
              </w:rPr>
            </w:pPr>
            <w:r>
              <w:rPr>
                <w:rFonts w:ascii="Arial" w:cs="Arial" w:eastAsia="Arial" w:hAnsi="Arial"/>
                <w:sz w:val="18"/>
                <w:szCs w:val="18"/>
                <w:color w:val="auto"/>
                <w:w w:val="88"/>
              </w:rPr>
              <w:t>Payments due by period</w:t>
            </w:r>
          </w:p>
        </w:tc>
        <w:tc>
          <w:tcPr>
            <w:tcW w:w="26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60" w:type="dxa"/>
            <w:vAlign w:val="bottom"/>
          </w:tcPr>
          <w:p>
            <w:pPr>
              <w:spacing w:after="0"/>
              <w:rPr>
                <w:sz w:val="20"/>
                <w:szCs w:val="20"/>
                <w:color w:val="auto"/>
              </w:rPr>
            </w:pPr>
          </w:p>
        </w:tc>
      </w:tr>
      <w:tr>
        <w:trPr>
          <w:trHeight w:val="27"/>
        </w:trPr>
        <w:tc>
          <w:tcPr>
            <w:tcW w:w="40" w:type="dxa"/>
            <w:vAlign w:val="bottom"/>
          </w:tcPr>
          <w:p>
            <w:pPr>
              <w:spacing w:after="0"/>
              <w:rPr>
                <w:sz w:val="2"/>
                <w:szCs w:val="2"/>
                <w:color w:val="auto"/>
              </w:rPr>
            </w:pPr>
          </w:p>
        </w:tc>
        <w:tc>
          <w:tcPr>
            <w:tcW w:w="2560" w:type="dxa"/>
            <w:vAlign w:val="bottom"/>
          </w:tcPr>
          <w:p>
            <w:pPr>
              <w:spacing w:after="0"/>
              <w:rPr>
                <w:sz w:val="2"/>
                <w:szCs w:val="2"/>
                <w:color w:val="auto"/>
              </w:rPr>
            </w:pPr>
          </w:p>
        </w:tc>
        <w:tc>
          <w:tcPr>
            <w:tcW w:w="94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22"/>
        </w:trPr>
        <w:tc>
          <w:tcPr>
            <w:tcW w:w="40" w:type="dxa"/>
            <w:vAlign w:val="bottom"/>
          </w:tcPr>
          <w:p>
            <w:pPr>
              <w:spacing w:after="0"/>
              <w:rPr>
                <w:sz w:val="19"/>
                <w:szCs w:val="19"/>
                <w:color w:val="auto"/>
              </w:rPr>
            </w:pPr>
          </w:p>
        </w:tc>
        <w:tc>
          <w:tcPr>
            <w:tcW w:w="256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0" w:type="dxa"/>
            <w:vAlign w:val="bottom"/>
          </w:tcPr>
          <w:p>
            <w:pPr>
              <w:jc w:val="right"/>
              <w:ind w:right="170"/>
              <w:spacing w:after="0"/>
              <w:rPr>
                <w:sz w:val="20"/>
                <w:szCs w:val="20"/>
                <w:color w:val="auto"/>
              </w:rPr>
            </w:pPr>
            <w:r>
              <w:rPr>
                <w:rFonts w:ascii="Arial" w:cs="Arial" w:eastAsia="Arial" w:hAnsi="Arial"/>
                <w:sz w:val="18"/>
                <w:szCs w:val="18"/>
                <w:color w:val="auto"/>
                <w:w w:val="98"/>
              </w:rPr>
              <w:t>Less than 1</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60" w:type="dxa"/>
            <w:vAlign w:val="bottom"/>
          </w:tcPr>
          <w:p>
            <w:pPr>
              <w:jc w:val="right"/>
              <w:ind w:right="210"/>
              <w:spacing w:after="0"/>
              <w:rPr>
                <w:sz w:val="20"/>
                <w:szCs w:val="20"/>
                <w:color w:val="auto"/>
              </w:rPr>
            </w:pPr>
            <w:r>
              <w:rPr>
                <w:rFonts w:ascii="Arial" w:cs="Arial" w:eastAsia="Arial" w:hAnsi="Arial"/>
                <w:sz w:val="18"/>
                <w:szCs w:val="18"/>
                <w:color w:val="auto"/>
                <w:w w:val="97"/>
              </w:rPr>
              <w:t>More than 5</w:t>
            </w:r>
          </w:p>
        </w:tc>
      </w:tr>
      <w:tr>
        <w:trPr>
          <w:trHeight w:val="190"/>
        </w:trPr>
        <w:tc>
          <w:tcPr>
            <w:tcW w:w="3540" w:type="dxa"/>
            <w:vAlign w:val="bottom"/>
            <w:gridSpan w:val="3"/>
          </w:tcPr>
          <w:p>
            <w:pPr>
              <w:ind w:left="40"/>
              <w:spacing w:after="0" w:line="190" w:lineRule="exact"/>
              <w:rPr>
                <w:sz w:val="20"/>
                <w:szCs w:val="20"/>
                <w:color w:val="auto"/>
              </w:rPr>
            </w:pPr>
            <w:r>
              <w:rPr>
                <w:rFonts w:ascii="Arial" w:cs="Arial" w:eastAsia="Arial" w:hAnsi="Arial"/>
                <w:sz w:val="18"/>
                <w:szCs w:val="18"/>
                <w:color w:val="auto"/>
              </w:rPr>
              <w:t>CONTRACTUAL OBLIGATIONS</w:t>
            </w:r>
          </w:p>
        </w:tc>
        <w:tc>
          <w:tcPr>
            <w:tcW w:w="360" w:type="dxa"/>
            <w:vAlign w:val="bottom"/>
          </w:tcPr>
          <w:p>
            <w:pPr>
              <w:spacing w:after="0"/>
              <w:rPr>
                <w:sz w:val="16"/>
                <w:szCs w:val="16"/>
                <w:color w:val="auto"/>
              </w:rPr>
            </w:pPr>
          </w:p>
        </w:tc>
        <w:tc>
          <w:tcPr>
            <w:tcW w:w="1280" w:type="dxa"/>
            <w:vAlign w:val="bottom"/>
            <w:gridSpan w:val="2"/>
          </w:tcPr>
          <w:p>
            <w:pPr>
              <w:ind w:left="220"/>
              <w:spacing w:after="0" w:line="190" w:lineRule="exact"/>
              <w:rPr>
                <w:sz w:val="20"/>
                <w:szCs w:val="20"/>
                <w:color w:val="auto"/>
              </w:rPr>
            </w:pPr>
            <w:r>
              <w:rPr>
                <w:rFonts w:ascii="Arial" w:cs="Arial" w:eastAsia="Arial" w:hAnsi="Arial"/>
                <w:sz w:val="18"/>
                <w:szCs w:val="18"/>
                <w:color w:val="auto"/>
              </w:rPr>
              <w:t>Total</w:t>
            </w:r>
          </w:p>
        </w:tc>
        <w:tc>
          <w:tcPr>
            <w:tcW w:w="220" w:type="dxa"/>
            <w:vAlign w:val="bottom"/>
          </w:tcPr>
          <w:p>
            <w:pPr>
              <w:spacing w:after="0"/>
              <w:rPr>
                <w:sz w:val="16"/>
                <w:szCs w:val="16"/>
                <w:color w:val="auto"/>
              </w:rPr>
            </w:pPr>
          </w:p>
        </w:tc>
        <w:tc>
          <w:tcPr>
            <w:tcW w:w="1200" w:type="dxa"/>
            <w:vAlign w:val="bottom"/>
          </w:tcPr>
          <w:p>
            <w:pPr>
              <w:jc w:val="right"/>
              <w:ind w:right="430"/>
              <w:spacing w:after="0" w:line="190" w:lineRule="exact"/>
              <w:rPr>
                <w:sz w:val="20"/>
                <w:szCs w:val="20"/>
                <w:color w:val="auto"/>
              </w:rPr>
            </w:pPr>
            <w:r>
              <w:rPr>
                <w:rFonts w:ascii="Arial" w:cs="Arial" w:eastAsia="Arial" w:hAnsi="Arial"/>
                <w:sz w:val="18"/>
                <w:szCs w:val="18"/>
                <w:color w:val="auto"/>
              </w:rPr>
              <w:t>year</w:t>
            </w: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320" w:type="dxa"/>
            <w:vAlign w:val="bottom"/>
            <w:gridSpan w:val="2"/>
          </w:tcPr>
          <w:p>
            <w:pPr>
              <w:ind w:left="160"/>
              <w:spacing w:after="0" w:line="190" w:lineRule="exact"/>
              <w:rPr>
                <w:sz w:val="20"/>
                <w:szCs w:val="20"/>
                <w:color w:val="auto"/>
              </w:rPr>
            </w:pPr>
            <w:r>
              <w:rPr>
                <w:rFonts w:ascii="Arial" w:cs="Arial" w:eastAsia="Arial" w:hAnsi="Arial"/>
                <w:sz w:val="18"/>
                <w:szCs w:val="18"/>
                <w:color w:val="auto"/>
              </w:rPr>
              <w:t>1-3 years</w:t>
            </w:r>
          </w:p>
        </w:tc>
        <w:tc>
          <w:tcPr>
            <w:tcW w:w="260" w:type="dxa"/>
            <w:vAlign w:val="bottom"/>
          </w:tcPr>
          <w:p>
            <w:pPr>
              <w:spacing w:after="0"/>
              <w:rPr>
                <w:sz w:val="16"/>
                <w:szCs w:val="16"/>
                <w:color w:val="auto"/>
              </w:rPr>
            </w:pPr>
          </w:p>
        </w:tc>
        <w:tc>
          <w:tcPr>
            <w:tcW w:w="1320" w:type="dxa"/>
            <w:vAlign w:val="bottom"/>
            <w:gridSpan w:val="2"/>
          </w:tcPr>
          <w:p>
            <w:pPr>
              <w:ind w:left="160"/>
              <w:spacing w:after="0" w:line="190" w:lineRule="exact"/>
              <w:rPr>
                <w:sz w:val="20"/>
                <w:szCs w:val="20"/>
                <w:color w:val="auto"/>
              </w:rPr>
            </w:pPr>
            <w:r>
              <w:rPr>
                <w:rFonts w:ascii="Arial" w:cs="Arial" w:eastAsia="Arial" w:hAnsi="Arial"/>
                <w:sz w:val="18"/>
                <w:szCs w:val="18"/>
                <w:color w:val="auto"/>
              </w:rPr>
              <w:t>3-5 years</w:t>
            </w:r>
          </w:p>
        </w:tc>
        <w:tc>
          <w:tcPr>
            <w:tcW w:w="220" w:type="dxa"/>
            <w:vAlign w:val="bottom"/>
          </w:tcPr>
          <w:p>
            <w:pPr>
              <w:spacing w:after="0"/>
              <w:rPr>
                <w:sz w:val="16"/>
                <w:szCs w:val="16"/>
                <w:color w:val="auto"/>
              </w:rPr>
            </w:pPr>
          </w:p>
        </w:tc>
        <w:tc>
          <w:tcPr>
            <w:tcW w:w="1260" w:type="dxa"/>
            <w:vAlign w:val="bottom"/>
          </w:tcPr>
          <w:p>
            <w:pPr>
              <w:jc w:val="right"/>
              <w:ind w:right="450"/>
              <w:spacing w:after="0" w:line="190" w:lineRule="exact"/>
              <w:rPr>
                <w:sz w:val="20"/>
                <w:szCs w:val="20"/>
                <w:color w:val="auto"/>
              </w:rPr>
            </w:pPr>
            <w:r>
              <w:rPr>
                <w:rFonts w:ascii="Arial" w:cs="Arial" w:eastAsia="Arial" w:hAnsi="Arial"/>
                <w:sz w:val="18"/>
                <w:szCs w:val="18"/>
                <w:color w:val="auto"/>
              </w:rPr>
              <w:t>years</w:t>
            </w:r>
          </w:p>
        </w:tc>
      </w:tr>
      <w:tr>
        <w:trPr>
          <w:trHeight w:val="48"/>
        </w:trPr>
        <w:tc>
          <w:tcPr>
            <w:tcW w:w="40" w:type="dxa"/>
            <w:vAlign w:val="bottom"/>
            <w:tcBorders>
              <w:bottom w:val="single" w:sz="8" w:color="CCEEFF"/>
            </w:tcBorders>
          </w:tcPr>
          <w:p>
            <w:pPr>
              <w:spacing w:after="0"/>
              <w:rPr>
                <w:sz w:val="4"/>
                <w:szCs w:val="4"/>
                <w:color w:val="auto"/>
              </w:rPr>
            </w:pPr>
          </w:p>
        </w:tc>
        <w:tc>
          <w:tcPr>
            <w:tcW w:w="2560" w:type="dxa"/>
            <w:vAlign w:val="bottom"/>
            <w:tcBorders>
              <w:top w:val="single" w:sz="8" w:color="auto"/>
              <w:bottom w:val="single" w:sz="8" w:color="CCEEFF"/>
            </w:tcBorders>
          </w:tcPr>
          <w:p>
            <w:pPr>
              <w:spacing w:after="0"/>
              <w:rPr>
                <w:sz w:val="4"/>
                <w:szCs w:val="4"/>
                <w:color w:val="auto"/>
              </w:rPr>
            </w:pPr>
          </w:p>
        </w:tc>
        <w:tc>
          <w:tcPr>
            <w:tcW w:w="940" w:type="dxa"/>
            <w:vAlign w:val="bottom"/>
            <w:tcBorders>
              <w:bottom w:val="single" w:sz="8" w:color="CCEEFF"/>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116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120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122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122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1260" w:type="dxa"/>
            <w:vAlign w:val="bottom"/>
            <w:tcBorders>
              <w:bottom w:val="single" w:sz="8" w:color="auto"/>
            </w:tcBorders>
          </w:tcPr>
          <w:p>
            <w:pPr>
              <w:spacing w:after="0"/>
              <w:rPr>
                <w:sz w:val="4"/>
                <w:szCs w:val="4"/>
                <w:color w:val="auto"/>
              </w:rPr>
            </w:pPr>
          </w:p>
        </w:tc>
      </w:tr>
      <w:tr>
        <w:trPr>
          <w:trHeight w:val="264"/>
        </w:trPr>
        <w:tc>
          <w:tcPr>
            <w:tcW w:w="3540" w:type="dxa"/>
            <w:vAlign w:val="bottom"/>
            <w:gridSpan w:val="3"/>
            <w:shd w:val="clear" w:color="auto" w:fill="CCEEFF"/>
          </w:tcPr>
          <w:p>
            <w:pPr>
              <w:ind w:left="40"/>
              <w:spacing w:after="0" w:line="264" w:lineRule="exact"/>
              <w:rPr>
                <w:sz w:val="20"/>
                <w:szCs w:val="20"/>
                <w:color w:val="auto"/>
              </w:rPr>
            </w:pPr>
            <w:r>
              <w:rPr>
                <w:rFonts w:ascii="Arial" w:cs="Arial" w:eastAsia="Arial" w:hAnsi="Arial"/>
                <w:sz w:val="18"/>
                <w:szCs w:val="18"/>
                <w:color w:val="auto"/>
              </w:rPr>
              <w:t>Debt obligations</w:t>
            </w:r>
            <w:r>
              <w:rPr>
                <w:rFonts w:ascii="Arial" w:cs="Arial" w:eastAsia="Arial" w:hAnsi="Arial"/>
                <w:sz w:val="25"/>
                <w:szCs w:val="25"/>
                <w:color w:val="auto"/>
                <w:vertAlign w:val="superscript"/>
              </w:rPr>
              <w:t>(a)</w:t>
            </w:r>
          </w:p>
        </w:tc>
        <w:tc>
          <w:tcPr>
            <w:tcW w:w="36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2,459,312</w:t>
            </w:r>
          </w:p>
        </w:tc>
        <w:tc>
          <w:tcPr>
            <w:tcW w:w="12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130,325</w:t>
            </w:r>
          </w:p>
        </w:tc>
        <w:tc>
          <w:tcPr>
            <w:tcW w:w="44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271,002</w:t>
            </w:r>
          </w:p>
        </w:tc>
        <w:tc>
          <w:tcPr>
            <w:tcW w:w="100" w:type="dxa"/>
            <w:vAlign w:val="bottom"/>
            <w:shd w:val="clear" w:color="auto" w:fill="CCEEFF"/>
          </w:tcPr>
          <w:p>
            <w:pPr>
              <w:spacing w:after="0"/>
              <w:rPr>
                <w:sz w:val="22"/>
                <w:szCs w:val="22"/>
                <w:color w:val="auto"/>
              </w:rPr>
            </w:pPr>
          </w:p>
        </w:tc>
        <w:tc>
          <w:tcPr>
            <w:tcW w:w="26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285,531</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1,772,454</w:t>
            </w:r>
          </w:p>
        </w:tc>
      </w:tr>
      <w:tr>
        <w:trPr>
          <w:trHeight w:val="270"/>
        </w:trPr>
        <w:tc>
          <w:tcPr>
            <w:tcW w:w="3540" w:type="dxa"/>
            <w:vAlign w:val="bottom"/>
            <w:gridSpan w:val="3"/>
          </w:tcPr>
          <w:p>
            <w:pPr>
              <w:ind w:left="40"/>
              <w:spacing w:after="0" w:line="270" w:lineRule="exact"/>
              <w:rPr>
                <w:sz w:val="20"/>
                <w:szCs w:val="20"/>
                <w:color w:val="auto"/>
              </w:rPr>
            </w:pPr>
            <w:r>
              <w:rPr>
                <w:rFonts w:ascii="Arial" w:cs="Arial" w:eastAsia="Arial" w:hAnsi="Arial"/>
                <w:sz w:val="18"/>
                <w:szCs w:val="18"/>
                <w:color w:val="auto"/>
              </w:rPr>
              <w:t>Operating lease obligations</w:t>
            </w:r>
            <w:r>
              <w:rPr>
                <w:rFonts w:ascii="Arial" w:cs="Arial" w:eastAsia="Arial" w:hAnsi="Arial"/>
                <w:sz w:val="25"/>
                <w:szCs w:val="25"/>
                <w:color w:val="auto"/>
                <w:vertAlign w:val="superscript"/>
              </w:rPr>
              <w:t>(b)</w:t>
            </w:r>
          </w:p>
        </w:tc>
        <w:tc>
          <w:tcPr>
            <w:tcW w:w="360" w:type="dxa"/>
            <w:vAlign w:val="bottom"/>
          </w:tcPr>
          <w:p>
            <w:pPr>
              <w:spacing w:after="0"/>
              <w:rPr>
                <w:sz w:val="23"/>
                <w:szCs w:val="23"/>
                <w:color w:val="auto"/>
              </w:rPr>
            </w:pPr>
          </w:p>
        </w:tc>
        <w:tc>
          <w:tcPr>
            <w:tcW w:w="1160" w:type="dxa"/>
            <w:vAlign w:val="bottom"/>
          </w:tcPr>
          <w:p>
            <w:pPr>
              <w:jc w:val="right"/>
              <w:ind w:right="30"/>
              <w:spacing w:after="0"/>
              <w:rPr>
                <w:sz w:val="20"/>
                <w:szCs w:val="20"/>
                <w:color w:val="auto"/>
              </w:rPr>
            </w:pPr>
            <w:r>
              <w:rPr>
                <w:rFonts w:ascii="Arial" w:cs="Arial" w:eastAsia="Arial" w:hAnsi="Arial"/>
                <w:sz w:val="18"/>
                <w:szCs w:val="18"/>
                <w:color w:val="auto"/>
              </w:rPr>
              <w:t>78,597</w:t>
            </w:r>
          </w:p>
        </w:tc>
        <w:tc>
          <w:tcPr>
            <w:tcW w:w="1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14,118</w:t>
            </w:r>
          </w:p>
        </w:tc>
        <w:tc>
          <w:tcPr>
            <w:tcW w:w="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20,901</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15,904</w:t>
            </w:r>
          </w:p>
        </w:tc>
        <w:tc>
          <w:tcPr>
            <w:tcW w:w="1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27,674</w:t>
            </w:r>
          </w:p>
        </w:tc>
      </w:tr>
      <w:tr>
        <w:trPr>
          <w:trHeight w:val="270"/>
        </w:trPr>
        <w:tc>
          <w:tcPr>
            <w:tcW w:w="3540" w:type="dxa"/>
            <w:vAlign w:val="bottom"/>
            <w:gridSpan w:val="3"/>
            <w:shd w:val="clear" w:color="auto" w:fill="CCEEFF"/>
          </w:tcPr>
          <w:p>
            <w:pPr>
              <w:ind w:left="40"/>
              <w:spacing w:after="0" w:line="270" w:lineRule="exact"/>
              <w:rPr>
                <w:sz w:val="20"/>
                <w:szCs w:val="20"/>
                <w:color w:val="auto"/>
              </w:rPr>
            </w:pPr>
            <w:r>
              <w:rPr>
                <w:rFonts w:ascii="Arial" w:cs="Arial" w:eastAsia="Arial" w:hAnsi="Arial"/>
                <w:sz w:val="18"/>
                <w:szCs w:val="18"/>
                <w:color w:val="auto"/>
              </w:rPr>
              <w:t>Purchase obligations</w:t>
            </w:r>
            <w:r>
              <w:rPr>
                <w:rFonts w:ascii="Arial" w:cs="Arial" w:eastAsia="Arial" w:hAnsi="Arial"/>
                <w:sz w:val="25"/>
                <w:szCs w:val="25"/>
                <w:color w:val="auto"/>
                <w:vertAlign w:val="superscript"/>
              </w:rPr>
              <w:t>(b)</w:t>
            </w:r>
          </w:p>
        </w:tc>
        <w:tc>
          <w:tcPr>
            <w:tcW w:w="360" w:type="dxa"/>
            <w:vAlign w:val="bottom"/>
            <w:shd w:val="clear" w:color="auto" w:fill="CCEEFF"/>
          </w:tcPr>
          <w:p>
            <w:pPr>
              <w:spacing w:after="0"/>
              <w:rPr>
                <w:sz w:val="23"/>
                <w:szCs w:val="23"/>
                <w:color w:val="auto"/>
              </w:rPr>
            </w:pPr>
          </w:p>
        </w:tc>
        <w:tc>
          <w:tcPr>
            <w:tcW w:w="11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63,653</w:t>
            </w:r>
          </w:p>
        </w:tc>
        <w:tc>
          <w:tcPr>
            <w:tcW w:w="12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61,867</w:t>
            </w:r>
          </w:p>
        </w:tc>
        <w:tc>
          <w:tcPr>
            <w:tcW w:w="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60" w:type="dxa"/>
            <w:vAlign w:val="bottom"/>
            <w:shd w:val="clear" w:color="auto" w:fill="CCEEFF"/>
          </w:tcPr>
          <w:p>
            <w:pPr>
              <w:spacing w:after="0"/>
              <w:rPr>
                <w:sz w:val="23"/>
                <w:szCs w:val="23"/>
                <w:color w:val="auto"/>
              </w:rPr>
            </w:pPr>
          </w:p>
        </w:tc>
        <w:tc>
          <w:tcPr>
            <w:tcW w:w="1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1,347</w:t>
            </w:r>
          </w:p>
        </w:tc>
        <w:tc>
          <w:tcPr>
            <w:tcW w:w="100" w:type="dxa"/>
            <w:vAlign w:val="bottom"/>
            <w:shd w:val="clear" w:color="auto" w:fill="CCEEFF"/>
          </w:tcPr>
          <w:p>
            <w:pPr>
              <w:spacing w:after="0"/>
              <w:rPr>
                <w:sz w:val="23"/>
                <w:szCs w:val="23"/>
                <w:color w:val="auto"/>
              </w:rPr>
            </w:pPr>
          </w:p>
        </w:tc>
        <w:tc>
          <w:tcPr>
            <w:tcW w:w="260" w:type="dxa"/>
            <w:vAlign w:val="bottom"/>
            <w:shd w:val="clear" w:color="auto" w:fill="CCEEFF"/>
          </w:tcPr>
          <w:p>
            <w:pPr>
              <w:spacing w:after="0"/>
              <w:rPr>
                <w:sz w:val="23"/>
                <w:szCs w:val="23"/>
                <w:color w:val="auto"/>
              </w:rPr>
            </w:pPr>
          </w:p>
        </w:tc>
        <w:tc>
          <w:tcPr>
            <w:tcW w:w="1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439</w:t>
            </w:r>
          </w:p>
        </w:tc>
        <w:tc>
          <w:tcPr>
            <w:tcW w:w="10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12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70"/>
        </w:trPr>
        <w:tc>
          <w:tcPr>
            <w:tcW w:w="3540" w:type="dxa"/>
            <w:vAlign w:val="bottom"/>
            <w:gridSpan w:val="3"/>
          </w:tcPr>
          <w:p>
            <w:pPr>
              <w:ind w:left="40"/>
              <w:spacing w:after="0" w:line="270" w:lineRule="exact"/>
              <w:rPr>
                <w:sz w:val="20"/>
                <w:szCs w:val="20"/>
                <w:color w:val="auto"/>
              </w:rPr>
            </w:pPr>
            <w:r>
              <w:rPr>
                <w:rFonts w:ascii="Arial" w:cs="Arial" w:eastAsia="Arial" w:hAnsi="Arial"/>
                <w:sz w:val="18"/>
                <w:szCs w:val="18"/>
                <w:color w:val="auto"/>
              </w:rPr>
              <w:t>Foreign currency contracts</w:t>
            </w:r>
            <w:r>
              <w:rPr>
                <w:rFonts w:ascii="Arial" w:cs="Arial" w:eastAsia="Arial" w:hAnsi="Arial"/>
                <w:sz w:val="25"/>
                <w:szCs w:val="25"/>
                <w:color w:val="auto"/>
                <w:vertAlign w:val="superscript"/>
              </w:rPr>
              <w:t>(b)</w:t>
            </w:r>
          </w:p>
        </w:tc>
        <w:tc>
          <w:tcPr>
            <w:tcW w:w="360" w:type="dxa"/>
            <w:vAlign w:val="bottom"/>
          </w:tcPr>
          <w:p>
            <w:pPr>
              <w:spacing w:after="0"/>
              <w:rPr>
                <w:sz w:val="23"/>
                <w:szCs w:val="23"/>
                <w:color w:val="auto"/>
              </w:rPr>
            </w:pPr>
          </w:p>
        </w:tc>
        <w:tc>
          <w:tcPr>
            <w:tcW w:w="1160" w:type="dxa"/>
            <w:vAlign w:val="bottom"/>
          </w:tcPr>
          <w:p>
            <w:pPr>
              <w:jc w:val="right"/>
              <w:ind w:right="30"/>
              <w:spacing w:after="0"/>
              <w:rPr>
                <w:sz w:val="20"/>
                <w:szCs w:val="20"/>
                <w:color w:val="auto"/>
              </w:rPr>
            </w:pPr>
            <w:r>
              <w:rPr>
                <w:rFonts w:ascii="Arial" w:cs="Arial" w:eastAsia="Arial" w:hAnsi="Arial"/>
                <w:sz w:val="18"/>
                <w:szCs w:val="18"/>
                <w:color w:val="auto"/>
              </w:rPr>
              <w:t>16,480</w:t>
            </w:r>
          </w:p>
        </w:tc>
        <w:tc>
          <w:tcPr>
            <w:tcW w:w="1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16,480</w:t>
            </w:r>
          </w:p>
        </w:tc>
        <w:tc>
          <w:tcPr>
            <w:tcW w:w="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3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3"/>
                <w:szCs w:val="23"/>
                <w:color w:val="auto"/>
              </w:rPr>
            </w:pPr>
          </w:p>
        </w:tc>
        <w:tc>
          <w:tcPr>
            <w:tcW w:w="13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3"/>
                <w:szCs w:val="23"/>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0"/>
        </w:trPr>
        <w:tc>
          <w:tcPr>
            <w:tcW w:w="3540" w:type="dxa"/>
            <w:vAlign w:val="bottom"/>
            <w:gridSpan w:val="3"/>
            <w:shd w:val="clear" w:color="auto" w:fill="CCEEFF"/>
          </w:tcPr>
          <w:p>
            <w:pPr>
              <w:ind w:left="40"/>
              <w:spacing w:after="0" w:line="270" w:lineRule="exact"/>
              <w:rPr>
                <w:sz w:val="20"/>
                <w:szCs w:val="20"/>
                <w:color w:val="auto"/>
              </w:rPr>
            </w:pPr>
            <w:r>
              <w:rPr>
                <w:rFonts w:ascii="Arial" w:cs="Arial" w:eastAsia="Arial" w:hAnsi="Arial"/>
                <w:sz w:val="18"/>
                <w:szCs w:val="18"/>
                <w:color w:val="auto"/>
              </w:rPr>
              <w:t>Defined benefit plan obligations</w:t>
            </w:r>
            <w:r>
              <w:rPr>
                <w:rFonts w:ascii="Arial" w:cs="Arial" w:eastAsia="Arial" w:hAnsi="Arial"/>
                <w:sz w:val="25"/>
                <w:szCs w:val="25"/>
                <w:color w:val="auto"/>
                <w:vertAlign w:val="superscript"/>
              </w:rPr>
              <w:t>(c)</w:t>
            </w:r>
          </w:p>
        </w:tc>
        <w:tc>
          <w:tcPr>
            <w:tcW w:w="360" w:type="dxa"/>
            <w:vAlign w:val="bottom"/>
            <w:tcBorders>
              <w:bottom w:val="single" w:sz="8" w:color="auto"/>
            </w:tcBorders>
            <w:shd w:val="clear" w:color="auto" w:fill="CCEEFF"/>
          </w:tcPr>
          <w:p>
            <w:pPr>
              <w:spacing w:after="0"/>
              <w:rPr>
                <w:sz w:val="23"/>
                <w:szCs w:val="23"/>
                <w:color w:val="auto"/>
              </w:rPr>
            </w:pPr>
          </w:p>
        </w:tc>
        <w:tc>
          <w:tcPr>
            <w:tcW w:w="116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2,757</w:t>
            </w:r>
          </w:p>
        </w:tc>
        <w:tc>
          <w:tcPr>
            <w:tcW w:w="12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166</w:t>
            </w:r>
          </w:p>
        </w:tc>
        <w:tc>
          <w:tcPr>
            <w:tcW w:w="80" w:type="dxa"/>
            <w:vAlign w:val="bottom"/>
            <w:tcBorders>
              <w:bottom w:val="single" w:sz="8" w:color="auto"/>
            </w:tcBorders>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1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430</w:t>
            </w:r>
          </w:p>
        </w:tc>
        <w:tc>
          <w:tcPr>
            <w:tcW w:w="10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1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542</w:t>
            </w:r>
          </w:p>
        </w:tc>
        <w:tc>
          <w:tcPr>
            <w:tcW w:w="10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12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1,619</w:t>
            </w:r>
          </w:p>
        </w:tc>
      </w:tr>
      <w:tr>
        <w:trPr>
          <w:trHeight w:val="257"/>
        </w:trPr>
        <w:tc>
          <w:tcPr>
            <w:tcW w:w="3540" w:type="dxa"/>
            <w:vAlign w:val="bottom"/>
            <w:gridSpan w:val="3"/>
          </w:tcPr>
          <w:p>
            <w:pPr>
              <w:ind w:left="40"/>
              <w:spacing w:after="0"/>
              <w:rPr>
                <w:sz w:val="20"/>
                <w:szCs w:val="20"/>
                <w:color w:val="auto"/>
              </w:rPr>
            </w:pPr>
            <w:r>
              <w:rPr>
                <w:rFonts w:ascii="Arial" w:cs="Arial" w:eastAsia="Arial" w:hAnsi="Arial"/>
                <w:sz w:val="18"/>
                <w:szCs w:val="18"/>
                <w:color w:val="auto"/>
              </w:rPr>
              <w:t>Total contractual obligations</w:t>
            </w: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30"/>
              <w:spacing w:after="0"/>
              <w:rPr>
                <w:sz w:val="20"/>
                <w:szCs w:val="20"/>
                <w:color w:val="auto"/>
              </w:rPr>
            </w:pPr>
            <w:r>
              <w:rPr>
                <w:rFonts w:ascii="Arial" w:cs="Arial" w:eastAsia="Arial" w:hAnsi="Arial"/>
                <w:sz w:val="18"/>
                <w:szCs w:val="18"/>
                <w:color w:val="auto"/>
              </w:rPr>
              <w:t>2,620,799</w:t>
            </w:r>
          </w:p>
        </w:tc>
        <w:tc>
          <w:tcPr>
            <w:tcW w:w="120" w:type="dxa"/>
            <w:vAlign w:val="bottom"/>
          </w:tcPr>
          <w:p>
            <w:pPr>
              <w:spacing w:after="0"/>
              <w:rPr>
                <w:sz w:val="22"/>
                <w:szCs w:val="22"/>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spacing w:after="0"/>
              <w:rPr>
                <w:sz w:val="20"/>
                <w:szCs w:val="20"/>
                <w:color w:val="auto"/>
              </w:rPr>
            </w:pPr>
            <w:r>
              <w:rPr>
                <w:rFonts w:ascii="Arial" w:cs="Arial" w:eastAsia="Arial" w:hAnsi="Arial"/>
                <w:sz w:val="18"/>
                <w:szCs w:val="18"/>
                <w:color w:val="auto"/>
              </w:rPr>
              <w:t>222,956</w:t>
            </w:r>
          </w:p>
        </w:tc>
        <w:tc>
          <w:tcPr>
            <w:tcW w:w="440" w:type="dxa"/>
            <w:vAlign w:val="bottom"/>
            <w:gridSpan w:val="3"/>
          </w:tcPr>
          <w:p>
            <w:pPr>
              <w:jc w:val="right"/>
              <w:ind w:right="140"/>
              <w:spacing w:after="0"/>
              <w:rPr>
                <w:sz w:val="20"/>
                <w:szCs w:val="20"/>
                <w:color w:val="auto"/>
              </w:rPr>
            </w:pPr>
            <w:r>
              <w:rPr>
                <w:rFonts w:ascii="Arial" w:cs="Arial" w:eastAsia="Arial" w:hAnsi="Arial"/>
                <w:sz w:val="18"/>
                <w:szCs w:val="18"/>
                <w:color w:val="auto"/>
              </w:rPr>
              <w:t>$</w:t>
            </w: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293,680</w:t>
            </w:r>
          </w:p>
        </w:tc>
        <w:tc>
          <w:tcPr>
            <w:tcW w:w="100" w:type="dxa"/>
            <w:vAlign w:val="bottom"/>
          </w:tcPr>
          <w:p>
            <w:pPr>
              <w:spacing w:after="0"/>
              <w:rPr>
                <w:sz w:val="22"/>
                <w:szCs w:val="22"/>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302,416</w:t>
            </w:r>
          </w:p>
        </w:tc>
        <w:tc>
          <w:tcPr>
            <w:tcW w:w="100" w:type="dxa"/>
            <w:vAlign w:val="bottom"/>
          </w:tcPr>
          <w:p>
            <w:pPr>
              <w:spacing w:after="0"/>
              <w:rPr>
                <w:sz w:val="22"/>
                <w:szCs w:val="22"/>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1,801,747</w:t>
            </w:r>
          </w:p>
        </w:tc>
      </w:tr>
      <w:tr>
        <w:trPr>
          <w:trHeight w:val="20"/>
        </w:trPr>
        <w:tc>
          <w:tcPr>
            <w:tcW w:w="40" w:type="dxa"/>
            <w:vAlign w:val="bottom"/>
          </w:tcPr>
          <w:p>
            <w:pPr>
              <w:spacing w:after="0" w:line="20" w:lineRule="exact"/>
              <w:rPr>
                <w:sz w:val="1"/>
                <w:szCs w:val="1"/>
                <w:color w:val="auto"/>
              </w:rPr>
            </w:pPr>
          </w:p>
        </w:tc>
        <w:tc>
          <w:tcPr>
            <w:tcW w:w="256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r>
    </w:tbl>
    <w:p>
      <w:pPr>
        <w:spacing w:after="0" w:line="310" w:lineRule="exact"/>
        <w:rPr>
          <w:sz w:val="20"/>
          <w:szCs w:val="20"/>
          <w:color w:val="auto"/>
        </w:rPr>
      </w:pPr>
    </w:p>
    <w:p>
      <w:pPr>
        <w:ind w:left="340" w:right="140" w:hanging="332"/>
        <w:spacing w:after="0" w:line="286" w:lineRule="auto"/>
        <w:tabs>
          <w:tab w:leader="none" w:pos="340" w:val="left"/>
        </w:tabs>
        <w:numPr>
          <w:ilvl w:val="0"/>
          <w:numId w:val="32"/>
        </w:numPr>
        <w:rPr>
          <w:rFonts w:ascii="Arial" w:cs="Arial" w:eastAsia="Arial" w:hAnsi="Arial"/>
          <w:sz w:val="17"/>
          <w:szCs w:val="17"/>
          <w:color w:val="auto"/>
        </w:rPr>
      </w:pPr>
      <w:r>
        <w:rPr>
          <w:rFonts w:ascii="Arial" w:cs="Arial" w:eastAsia="Arial" w:hAnsi="Arial"/>
          <w:sz w:val="17"/>
          <w:szCs w:val="17"/>
          <w:color w:val="auto"/>
        </w:rPr>
        <w:t>Includes annual interest expense on the $1.7 billion outstanding on our Senior Secured Credit Facilities and Senior Notes based upon the period end weighted average interest rate of 5.69%. Also includes $3.7 million of deferred federal and state taxes on our convertible subordinated notes that will be due between 2016 and 2018. See Note 9 “Debt” of the Notes to Consolidated Financial Statements contained in Item 8 of this report.</w:t>
      </w:r>
    </w:p>
    <w:p>
      <w:pPr>
        <w:spacing w:after="0" w:line="165" w:lineRule="exact"/>
        <w:rPr>
          <w:rFonts w:ascii="Arial" w:cs="Arial" w:eastAsia="Arial" w:hAnsi="Arial"/>
          <w:sz w:val="17"/>
          <w:szCs w:val="17"/>
          <w:color w:val="auto"/>
        </w:rPr>
      </w:pPr>
    </w:p>
    <w:p>
      <w:pPr>
        <w:ind w:left="340" w:right="520" w:hanging="332"/>
        <w:spacing w:after="0" w:line="277" w:lineRule="auto"/>
        <w:tabs>
          <w:tab w:leader="none" w:pos="340" w:val="left"/>
        </w:tabs>
        <w:numPr>
          <w:ilvl w:val="0"/>
          <w:numId w:val="32"/>
        </w:numPr>
        <w:rPr>
          <w:rFonts w:ascii="Arial" w:cs="Arial" w:eastAsia="Arial" w:hAnsi="Arial"/>
          <w:sz w:val="18"/>
          <w:szCs w:val="18"/>
          <w:color w:val="auto"/>
        </w:rPr>
      </w:pPr>
      <w:r>
        <w:rPr>
          <w:rFonts w:ascii="Arial" w:cs="Arial" w:eastAsia="Arial" w:hAnsi="Arial"/>
          <w:sz w:val="18"/>
          <w:szCs w:val="18"/>
          <w:color w:val="auto"/>
        </w:rPr>
        <w:t>See Note 15 “Commitments and Contingencies” of the Notes to Consolidated Financial Statements contained in Item 8 of this report for additional information about our operating leases, purchase obligations and foreign currency contracts.</w:t>
      </w:r>
    </w:p>
    <w:p>
      <w:pPr>
        <w:spacing w:after="0" w:line="170" w:lineRule="exact"/>
        <w:rPr>
          <w:rFonts w:ascii="Arial" w:cs="Arial" w:eastAsia="Arial" w:hAnsi="Arial"/>
          <w:sz w:val="18"/>
          <w:szCs w:val="18"/>
          <w:color w:val="auto"/>
        </w:rPr>
      </w:pPr>
    </w:p>
    <w:p>
      <w:pPr>
        <w:ind w:left="340" w:right="320" w:hanging="332"/>
        <w:spacing w:after="0" w:line="277" w:lineRule="auto"/>
        <w:tabs>
          <w:tab w:leader="none" w:pos="340" w:val="left"/>
        </w:tabs>
        <w:numPr>
          <w:ilvl w:val="0"/>
          <w:numId w:val="32"/>
        </w:numPr>
        <w:rPr>
          <w:rFonts w:ascii="Arial" w:cs="Arial" w:eastAsia="Arial" w:hAnsi="Arial"/>
          <w:sz w:val="18"/>
          <w:szCs w:val="18"/>
          <w:color w:val="auto"/>
        </w:rPr>
      </w:pPr>
      <w:r>
        <w:rPr>
          <w:rFonts w:ascii="Arial" w:cs="Arial" w:eastAsia="Arial" w:hAnsi="Arial"/>
          <w:sz w:val="18"/>
          <w:szCs w:val="18"/>
          <w:color w:val="auto"/>
        </w:rPr>
        <w:t>See Note 10 “Benefit Plans” of the Notes to Consolidated Financial Statements contained in Item 8 of this report for additional information about our defined benefit plan obligations.</w:t>
      </w:r>
    </w:p>
    <w:p>
      <w:pPr>
        <w:spacing w:after="0" w:line="170" w:lineRule="exact"/>
        <w:rPr>
          <w:sz w:val="20"/>
          <w:szCs w:val="20"/>
          <w:color w:val="auto"/>
        </w:rPr>
      </w:pPr>
    </w:p>
    <w:p>
      <w:pPr>
        <w:ind w:right="200"/>
        <w:spacing w:after="0" w:line="342" w:lineRule="auto"/>
        <w:rPr>
          <w:sz w:val="20"/>
          <w:szCs w:val="20"/>
          <w:color w:val="auto"/>
        </w:rPr>
      </w:pPr>
      <w:r>
        <w:rPr>
          <w:rFonts w:ascii="Arial" w:cs="Arial" w:eastAsia="Arial" w:hAnsi="Arial"/>
          <w:sz w:val="16"/>
          <w:szCs w:val="16"/>
          <w:color w:val="auto"/>
        </w:rPr>
        <w:t>This table does not reflect $9.3 million of unrecognized tax benefits, as we are uncertain if or when such amounts may be settled. Refer to Note 14 “Income Taxes” of the Notes to Consolidated Financial Statements in Item 8 of this report for additional information about these unrecognized tax benefits.</w:t>
      </w:r>
    </w:p>
    <w:p>
      <w:pPr>
        <w:spacing w:after="0" w:line="124"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We self-fund the medical insurance coverage provided to our U.S. based employees. We limit our risk through the use of stop loss insurance. As of January 1, 2016, we had $4.0 million accrued related to our self-insurance obligations under our medical plan. This accrual is recorded in Accrued Expenses in the Consolidated Balance Sheet and is primarily based upon claim history. This table does not reflect any potential future payments for self-insured medical claims.</w:t>
      </w:r>
    </w:p>
    <w:p>
      <w:pPr>
        <w:sectPr>
          <w:pgSz w:w="11900" w:h="16838" w:orient="portrait"/>
          <w:cols w:equalWidth="0" w:num="1">
            <w:col w:w="11420"/>
          </w:cols>
          <w:pgMar w:left="240" w:top="908" w:right="239" w:bottom="1440" w:gutter="0" w:footer="0" w:header="0"/>
        </w:sectPr>
      </w:pPr>
    </w:p>
    <w:p>
      <w:pPr>
        <w:spacing w:after="0" w:line="32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- 59 -</w:t>
      </w:r>
    </w:p>
    <w:p>
      <w:pPr>
        <w:sectPr>
          <w:pgSz w:w="11900" w:h="16838" w:orient="portrait"/>
          <w:cols w:equalWidth="0" w:num="1">
            <w:col w:w="11420"/>
          </w:cols>
          <w:pgMar w:left="240" w:top="908" w:right="239" w:bottom="1440" w:gutter="0" w:footer="0" w:header="0"/>
          <w:type w:val="continuous"/>
        </w:sectPr>
      </w:pPr>
    </w:p>
    <w:bookmarkStart w:id="60" w:name="page61"/>
    <w:bookmarkEnd w:id="60"/>
    <w:p>
      <w:pPr>
        <w:ind w:right="60"/>
        <w:spacing w:after="0" w:line="273" w:lineRule="auto"/>
        <w:rPr>
          <w:sz w:val="20"/>
          <w:szCs w:val="20"/>
          <w:color w:val="auto"/>
        </w:rPr>
      </w:pPr>
      <w:r>
        <w:rPr>
          <w:rFonts w:ascii="Arial" w:cs="Arial" w:eastAsia="Arial" w:hAnsi="Arial"/>
          <w:sz w:val="17"/>
          <w:szCs w:val="17"/>
          <w:color w:val="auto"/>
        </w:rPr>
        <w:t>Prior to 2011, we were a member of a group self-insurance trust that provided workers’ compensation benefits to employees of the Company in Western New York (the “Trust”). Prior to being acquired by Greatbatch, Lake Region Medical self-insured the workers’ compensation benefits provided to its employees. As of January 1, 2016, the Company utilized a traditional insurance provider for workers’ compensation coverage for all associates. During 2015, the Company received an additional assessment from the Trust of $0.9 million. As of January 1, 2016, we had $3.9 million accrued for workers’ compensation claims. This accrual is recorded in Accrued Expenses in the Consolidated Balance Sheet and is primarily based upon claim history and assessments received. This table does not reflect any potential future payments for workers’ compensation benefits.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Inflation</w:t>
      </w:r>
    </w:p>
    <w:p>
      <w:pPr>
        <w:spacing w:after="0" w:line="229" w:lineRule="exact"/>
        <w:rPr>
          <w:sz w:val="20"/>
          <w:szCs w:val="20"/>
          <w:color w:val="auto"/>
        </w:rPr>
      </w:pPr>
    </w:p>
    <w:p>
      <w:pPr>
        <w:ind w:right="20"/>
        <w:spacing w:after="0" w:line="273" w:lineRule="auto"/>
        <w:rPr>
          <w:sz w:val="20"/>
          <w:szCs w:val="20"/>
          <w:color w:val="auto"/>
        </w:rPr>
      </w:pPr>
      <w:r>
        <w:rPr>
          <w:rFonts w:ascii="Arial" w:cs="Arial" w:eastAsia="Arial" w:hAnsi="Arial"/>
          <w:sz w:val="17"/>
          <w:szCs w:val="17"/>
          <w:color w:val="auto"/>
        </w:rPr>
        <w:t>We utilize certain critical raw materials (including precious metals) in our products that we obtain from a limited number of suppliers due to the technically challenging requirements of the supplied product and/or the lengthy process required to qualify these materials with our customers. We cannot quickly establish additional or replacement suppliers for these materials because of these requirements. Our results may be negatively impacted by an increase in the price of these critical raw materials. This risk is partially mitigated as many of the supply agreements with our customers allow us to partially adjust prices for the impact of any raw material price increases and the supply agreements with our vendors have final one-time buy clauses to meet a long-term need. Historically, raw material price increases have not materially impacted our results of operations.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Impact of Recently Issued Accounting Standards</w:t>
      </w:r>
    </w:p>
    <w:p>
      <w:pPr>
        <w:spacing w:after="0" w:line="229" w:lineRule="exact"/>
        <w:rPr>
          <w:sz w:val="20"/>
          <w:szCs w:val="20"/>
          <w:color w:val="auto"/>
        </w:rPr>
      </w:pPr>
    </w:p>
    <w:p>
      <w:pPr>
        <w:ind w:right="100"/>
        <w:spacing w:after="0" w:line="257" w:lineRule="auto"/>
        <w:rPr>
          <w:sz w:val="20"/>
          <w:szCs w:val="20"/>
          <w:color w:val="auto"/>
        </w:rPr>
      </w:pPr>
      <w:r>
        <w:rPr>
          <w:rFonts w:ascii="Arial" w:cs="Arial" w:eastAsia="Arial" w:hAnsi="Arial"/>
          <w:sz w:val="18"/>
          <w:szCs w:val="18"/>
          <w:color w:val="auto"/>
        </w:rPr>
        <w:t>In the normal course of business, we evaluate all new accounting pronouncements issued by the Financial Accounting Standards Board (“FASB”), Securities and Exchange Commission (“SEC”), Emerging Issues Task Force (“EITF”) or other authoritative accounting bodies to determine the potential impact they may have on our Consolidated Financial Statements. See Note 1 “Summary of Significant Accounting Policies” of the Notes to Consolidated Financial Statements contained in Item 8 of this report for additional information about these recently issued accounting standards and their potential impact on our financial condition or results of operations.</w:t>
      </w:r>
    </w:p>
    <w:p>
      <w:pPr>
        <w:spacing w:after="0" w:line="319" w:lineRule="exact"/>
        <w:rPr>
          <w:sz w:val="20"/>
          <w:szCs w:val="20"/>
          <w:color w:val="auto"/>
        </w:rPr>
      </w:pPr>
    </w:p>
    <w:p>
      <w:pPr>
        <w:ind w:left="40"/>
        <w:spacing w:after="0"/>
        <w:tabs>
          <w:tab w:leader="none" w:pos="1000" w:val="left"/>
        </w:tabs>
        <w:rPr>
          <w:sz w:val="20"/>
          <w:szCs w:val="20"/>
          <w:color w:val="auto"/>
        </w:rPr>
      </w:pPr>
      <w:r>
        <w:rPr>
          <w:rFonts w:ascii="Arial" w:cs="Arial" w:eastAsia="Arial" w:hAnsi="Arial"/>
          <w:sz w:val="18"/>
          <w:szCs w:val="18"/>
          <w:b w:val="1"/>
          <w:bCs w:val="1"/>
          <w:color w:val="auto"/>
        </w:rPr>
        <w:t>ITEM 7A.</w:t>
        <w:tab/>
        <w:t>QUANTITATIVE AND QUALITATIVE DISCLOSURES ABOUT MARKET RISK</w:t>
      </w:r>
    </w:p>
    <w:p>
      <w:pPr>
        <w:spacing w:after="0" w:line="148" w:lineRule="exact"/>
        <w:rPr>
          <w:sz w:val="20"/>
          <w:szCs w:val="20"/>
          <w:color w:val="auto"/>
        </w:rPr>
      </w:pPr>
    </w:p>
    <w:p>
      <w:pPr>
        <w:ind w:right="60"/>
        <w:spacing w:after="0" w:line="270" w:lineRule="auto"/>
        <w:rPr>
          <w:sz w:val="20"/>
          <w:szCs w:val="20"/>
          <w:color w:val="auto"/>
        </w:rPr>
      </w:pPr>
      <w:r>
        <w:rPr>
          <w:rFonts w:ascii="Arial" w:cs="Arial" w:eastAsia="Arial" w:hAnsi="Arial"/>
          <w:sz w:val="17"/>
          <w:szCs w:val="17"/>
          <w:b w:val="1"/>
          <w:bCs w:val="1"/>
          <w:i w:val="1"/>
          <w:iCs w:val="1"/>
          <w:color w:val="auto"/>
        </w:rPr>
        <w:t xml:space="preserve">Foreign Currency – </w:t>
      </w:r>
      <w:r>
        <w:rPr>
          <w:rFonts w:ascii="Arial" w:cs="Arial" w:eastAsia="Arial" w:hAnsi="Arial"/>
          <w:sz w:val="17"/>
          <w:szCs w:val="17"/>
          <w:color w:val="auto"/>
        </w:rPr>
        <w:t>We have foreign operations in Ireland, Germany, France, Switzerland, Mexico, Uruguay, and Malaysia which expose us to foreign</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currency exchange rate fluctuations due to transactions denominated in Euros, Swiss francs, Mexican pesos, Uruguayan pesos, and Malaysian ringgits. We continuously evaluate our foreign currency risk, and we use operational hedges, as well as forward currency exchange rate contracts, to manage the impact of currency exchange rate fluctuations on earnings and cash flows. We do not enter into currency exchange rate derivative instruments for speculative purposes. A hypothetical 10% change in the value of the U.S. dollar in relation to our most significant foreign currency exposures would have had an impact of approximately $8 million on our 2015 annual sales. This amount is not indicative of the hypothetical net earnings impact due to the partially offsetting impacts on cost of sales and operating expenses in those currencies. The impact of foreign currency exposures will be more significant to our consolidated results in 2016 due to the inclusion of a full year Lake Region Medical results. We estimate that foreign currency exchange rate fluctuations during 2015 decreased sales in comparison to 2014 by approximately $14.5 million.</w:t>
      </w:r>
    </w:p>
    <w:p>
      <w:pPr>
        <w:spacing w:after="0" w:line="182" w:lineRule="exact"/>
        <w:rPr>
          <w:sz w:val="20"/>
          <w:szCs w:val="20"/>
          <w:color w:val="auto"/>
        </w:rPr>
      </w:pPr>
    </w:p>
    <w:p>
      <w:pPr>
        <w:ind w:right="120"/>
        <w:spacing w:after="0" w:line="276" w:lineRule="auto"/>
        <w:rPr>
          <w:sz w:val="20"/>
          <w:szCs w:val="20"/>
          <w:color w:val="auto"/>
        </w:rPr>
      </w:pPr>
      <w:r>
        <w:rPr>
          <w:rFonts w:ascii="Arial" w:cs="Arial" w:eastAsia="Arial" w:hAnsi="Arial"/>
          <w:sz w:val="17"/>
          <w:szCs w:val="17"/>
          <w:color w:val="auto"/>
        </w:rPr>
        <w:t>Historically, we have entered into forward contracts to purchase Mexican pesos in order to hedge the risk of peso-denominated payments associated with our operations in Mexico. In connection with the Lake Region Medical acquisition, we terminated our outstanding forward contracts resulting in a $2.4 million payment to the foreign currency contract counterparty during 2015. During the fourth quarter of 2015, we entered into a new forward contract to purchase 23.5 million Mexican pesos per month beginning in January 2016 through December 2016 at an exchange rate of $0.0584 per peso. This contract is being accounted for as a cash flow hedge. As of January 1, 2016, this contract has a negative fair value of $0.3 million.</w:t>
      </w:r>
    </w:p>
    <w:p>
      <w:pPr>
        <w:spacing w:after="0" w:line="173" w:lineRule="exact"/>
        <w:rPr>
          <w:sz w:val="20"/>
          <w:szCs w:val="20"/>
          <w:color w:val="auto"/>
        </w:rPr>
      </w:pPr>
    </w:p>
    <w:p>
      <w:pPr>
        <w:spacing w:after="0" w:line="293" w:lineRule="auto"/>
        <w:rPr>
          <w:sz w:val="20"/>
          <w:szCs w:val="20"/>
          <w:color w:val="auto"/>
        </w:rPr>
      </w:pPr>
      <w:r>
        <w:rPr>
          <w:rFonts w:ascii="Arial" w:cs="Arial" w:eastAsia="Arial" w:hAnsi="Arial"/>
          <w:sz w:val="16"/>
          <w:szCs w:val="16"/>
          <w:color w:val="auto"/>
        </w:rPr>
        <w:t>We translate all assets and liabilities of our foreign operations where the U.S. dollar is not the functional currency at the period-end exchange rate and translate sales and expenses at the average exchange rates in effect during the period. The net effect of these translation adjustments is recorded in the Consolidated Financial Statements as Comprehensive Income (Loss). The translation adjustment for 2015 was a $7.8 million loss. Translation adjustments are not adjusted for income taxes as they relate to permanent investments in our foreign subsidiaries. Net foreign currency transaction gains and losses included in Other (Income) Expense, Net amounted to a gain of $1.3 million for 2015. A hypothetical 10% change in the value of the U.S. dollar in relation to our most significant foreign currency net assets would have had an impact of approximately $53 million on our foreign net assets as of January 1, 2016.</w:t>
      </w:r>
    </w:p>
    <w:p>
      <w:pPr>
        <w:spacing w:after="0" w:line="30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- 60 -</w:t>
      </w:r>
    </w:p>
    <w:p>
      <w:pPr>
        <w:sectPr>
          <w:pgSz w:w="11900" w:h="16838" w:orient="portrait"/>
          <w:cols w:equalWidth="0" w:num="1">
            <w:col w:w="11420"/>
          </w:cols>
          <w:pgMar w:left="240" w:top="908" w:right="239" w:bottom="1440" w:gutter="0" w:footer="0" w:header="0"/>
        </w:sectPr>
      </w:pPr>
    </w:p>
    <w:bookmarkStart w:id="61" w:name="page62"/>
    <w:bookmarkEnd w:id="61"/>
    <w:p>
      <w:pPr>
        <w:spacing w:after="0" w:line="279" w:lineRule="auto"/>
        <w:rPr>
          <w:sz w:val="20"/>
          <w:szCs w:val="20"/>
          <w:color w:val="auto"/>
        </w:rPr>
      </w:pPr>
      <w:r>
        <w:rPr>
          <w:rFonts w:ascii="Arial" w:cs="Arial" w:eastAsia="Arial" w:hAnsi="Arial"/>
          <w:sz w:val="17"/>
          <w:szCs w:val="17"/>
          <w:b w:val="1"/>
          <w:bCs w:val="1"/>
          <w:i w:val="1"/>
          <w:iCs w:val="1"/>
          <w:color w:val="auto"/>
        </w:rPr>
        <w:t xml:space="preserve">Interest Rates – </w:t>
      </w:r>
      <w:r>
        <w:rPr>
          <w:rFonts w:ascii="Arial" w:cs="Arial" w:eastAsia="Arial" w:hAnsi="Arial"/>
          <w:sz w:val="17"/>
          <w:szCs w:val="17"/>
          <w:color w:val="auto"/>
        </w:rPr>
        <w:t>Historically, we have entered into interest rate swap agreements in order to hedge against potential changes in cash flows on our outstanding</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variable rate debt. As a result of the Lake Region Medical acquisition, the forecasted cash flows that our interest rate swaps were hedging were no longer expected to occur. Accordingly, during 2015, we terminated our outstanding interest rate swap agreements resulting in a $2.8 million payment to the interest rate swap counterparty. As of January 1, 2016, we have no interest rate swap agreements outstanding.</w:t>
      </w:r>
    </w:p>
    <w:p>
      <w:pPr>
        <w:spacing w:after="0" w:line="171"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As of January 1, 2016, we had $1.7 billion in outstanding debt, of which $360 million related to our Senior Notes which has a fixed interest rate of 9.125%, $375 million related to our TLA Facility which has a variable interest rate, and $1,025 million related to our TLB Facility which has a 1.00% LIBOR floor, thus has a variable interest rate when LIBOR is above 1.00%. Interest rates on our TLA Facility and TLB Facility, reset, at our option, based upon the prime rate or LIBOR rate, thus subjecting us to interest rate risk. We are currently evaluating our interest rate risk exposures and may take steps to mitigate these exposures as appropriate. Refer to Note 9 “Debt” of the Notes to the Consolidated Financial Statements in Item 8 of this report for additional information about our outstanding debt. A hypothetical one percentage point (100 basis points) increase in the LIBOR rate on the $1.4 billion of unhedged variable rate debt outstanding at January 1, 2016 would increase our interest expense by approximately $7 million.</w:t>
      </w:r>
    </w:p>
    <w:p>
      <w:pPr>
        <w:spacing w:after="0" w:line="200" w:lineRule="exact"/>
        <w:rPr>
          <w:sz w:val="20"/>
          <w:szCs w:val="20"/>
          <w:color w:val="auto"/>
        </w:rPr>
      </w:pPr>
    </w:p>
    <w:p>
      <w:pPr>
        <w:spacing w:after="0" w:line="200" w:lineRule="exact"/>
        <w:rPr>
          <w:sz w:val="20"/>
          <w:szCs w:val="20"/>
          <w:color w:val="auto"/>
        </w:rPr>
      </w:pPr>
    </w:p>
    <w:p>
      <w:pPr>
        <w:spacing w:after="0" w:line="345"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- 61 -</w:t>
      </w:r>
    </w:p>
    <w:p>
      <w:pPr>
        <w:sectPr>
          <w:pgSz w:w="11900" w:h="16838" w:orient="portrait"/>
          <w:cols w:equalWidth="0" w:num="1">
            <w:col w:w="11320"/>
          </w:cols>
          <w:pgMar w:left="240" w:top="909" w:right="339" w:bottom="1440" w:gutter="0" w:footer="0" w:header="0"/>
        </w:sectPr>
      </w:pPr>
    </w:p>
    <w:bookmarkStart w:id="62" w:name="page63"/>
    <w:bookmarkEnd w:id="62"/>
    <w:tbl>
      <w:tblPr>
        <w:tblLayout w:type="fixed"/>
        <w:tblInd w:w="0" w:type="dxa"/>
        <w:tblCellMar>
          <w:top w:w="0" w:type="dxa"/>
          <w:left w:w="0" w:type="dxa"/>
          <w:bottom w:w="0" w:type="dxa"/>
          <w:right w:w="0" w:type="dxa"/>
        </w:tblCellMar>
      </w:tblPr>
      <w:tr>
        <w:trPr>
          <w:trHeight w:val="234"/>
        </w:trPr>
        <w:tc>
          <w:tcPr>
            <w:tcW w:w="40" w:type="dxa"/>
            <w:vAlign w:val="bottom"/>
          </w:tcPr>
          <w:p>
            <w:pPr>
              <w:spacing w:after="0"/>
              <w:rPr>
                <w:sz w:val="20"/>
                <w:szCs w:val="20"/>
                <w:color w:val="auto"/>
              </w:rPr>
            </w:pPr>
          </w:p>
        </w:tc>
        <w:tc>
          <w:tcPr>
            <w:tcW w:w="820" w:type="dxa"/>
            <w:vAlign w:val="bottom"/>
          </w:tcPr>
          <w:p>
            <w:pPr>
              <w:spacing w:after="0"/>
              <w:rPr>
                <w:sz w:val="20"/>
                <w:szCs w:val="20"/>
                <w:color w:val="auto"/>
              </w:rPr>
            </w:pPr>
            <w:r>
              <w:rPr>
                <w:rFonts w:ascii="Arial" w:cs="Arial" w:eastAsia="Arial" w:hAnsi="Arial"/>
                <w:sz w:val="18"/>
                <w:szCs w:val="18"/>
                <w:b w:val="1"/>
                <w:bCs w:val="1"/>
                <w:color w:val="auto"/>
              </w:rPr>
              <w:t>ITEM 8.</w:t>
            </w:r>
          </w:p>
        </w:tc>
        <w:tc>
          <w:tcPr>
            <w:tcW w:w="10360" w:type="dxa"/>
            <w:vAlign w:val="bottom"/>
            <w:gridSpan w:val="9"/>
          </w:tcPr>
          <w:p>
            <w:pPr>
              <w:ind w:left="160"/>
              <w:spacing w:after="0"/>
              <w:rPr>
                <w:sz w:val="20"/>
                <w:szCs w:val="20"/>
                <w:color w:val="auto"/>
              </w:rPr>
            </w:pPr>
            <w:r>
              <w:rPr>
                <w:rFonts w:ascii="Arial" w:cs="Arial" w:eastAsia="Arial" w:hAnsi="Arial"/>
                <w:sz w:val="18"/>
                <w:szCs w:val="18"/>
                <w:b w:val="1"/>
                <w:bCs w:val="1"/>
                <w:color w:val="auto"/>
              </w:rPr>
              <w:t>FINANCIAL STATEMENTS AND SUPPLEMENTARY DATA</w:t>
            </w:r>
          </w:p>
        </w:tc>
        <w:tc>
          <w:tcPr>
            <w:tcW w:w="180" w:type="dxa"/>
            <w:vAlign w:val="bottom"/>
          </w:tcPr>
          <w:p>
            <w:pPr>
              <w:spacing w:after="0"/>
              <w:rPr>
                <w:sz w:val="20"/>
                <w:szCs w:val="20"/>
                <w:color w:val="auto"/>
              </w:rPr>
            </w:pPr>
          </w:p>
        </w:tc>
      </w:tr>
      <w:tr>
        <w:trPr>
          <w:trHeight w:val="351"/>
        </w:trPr>
        <w:tc>
          <w:tcPr>
            <w:tcW w:w="11220" w:type="dxa"/>
            <w:vAlign w:val="bottom"/>
            <w:gridSpan w:val="11"/>
          </w:tcPr>
          <w:p>
            <w:pPr>
              <w:spacing w:after="0"/>
              <w:rPr>
                <w:sz w:val="20"/>
                <w:szCs w:val="20"/>
                <w:color w:val="auto"/>
              </w:rPr>
            </w:pPr>
            <w:r>
              <w:rPr>
                <w:rFonts w:ascii="Arial" w:cs="Arial" w:eastAsia="Arial" w:hAnsi="Arial"/>
                <w:sz w:val="18"/>
                <w:szCs w:val="18"/>
                <w:color w:val="auto"/>
              </w:rPr>
              <w:t>The following are set forth below:</w:t>
            </w:r>
          </w:p>
        </w:tc>
        <w:tc>
          <w:tcPr>
            <w:tcW w:w="180" w:type="dxa"/>
            <w:vAlign w:val="bottom"/>
          </w:tcPr>
          <w:p>
            <w:pPr>
              <w:spacing w:after="0"/>
              <w:rPr>
                <w:sz w:val="24"/>
                <w:szCs w:val="24"/>
                <w:color w:val="auto"/>
              </w:rPr>
            </w:pPr>
          </w:p>
        </w:tc>
      </w:tr>
      <w:tr>
        <w:trPr>
          <w:trHeight w:val="554"/>
        </w:trPr>
        <w:tc>
          <w:tcPr>
            <w:tcW w:w="40" w:type="dxa"/>
            <w:vAlign w:val="bottom"/>
          </w:tcPr>
          <w:p>
            <w:pPr>
              <w:spacing w:after="0"/>
              <w:rPr>
                <w:sz w:val="24"/>
                <w:szCs w:val="24"/>
                <w:color w:val="auto"/>
              </w:rPr>
            </w:pPr>
          </w:p>
        </w:tc>
        <w:tc>
          <w:tcPr>
            <w:tcW w:w="4900" w:type="dxa"/>
            <w:vAlign w:val="bottom"/>
            <w:tcBorders>
              <w:bottom w:val="single" w:sz="8" w:color="0000FF"/>
            </w:tcBorders>
            <w:gridSpan w:val="5"/>
          </w:tcPr>
          <w:p>
            <w:pPr>
              <w:spacing w:after="0"/>
              <w:rPr>
                <w:rFonts w:ascii="Arial" w:cs="Arial" w:eastAsia="Arial" w:hAnsi="Arial"/>
                <w:sz w:val="18"/>
                <w:szCs w:val="18"/>
                <w:color w:val="0000FF"/>
                <w:w w:val="91"/>
              </w:rPr>
            </w:pPr>
            <w:hyperlink w:anchor="page63">
              <w:r>
                <w:rPr>
                  <w:rFonts w:ascii="Arial" w:cs="Arial" w:eastAsia="Arial" w:hAnsi="Arial"/>
                  <w:sz w:val="18"/>
                  <w:szCs w:val="18"/>
                  <w:color w:val="0000FF"/>
                  <w:w w:val="91"/>
                </w:rPr>
                <w:t>Management’s Report on Internal Control Over Financial Reporting</w:t>
              </w:r>
            </w:hyperlink>
          </w:p>
        </w:tc>
        <w:tc>
          <w:tcPr>
            <w:tcW w:w="6280" w:type="dxa"/>
            <w:vAlign w:val="bottom"/>
            <w:gridSpan w:val="5"/>
          </w:tcPr>
          <w:p>
            <w:pPr>
              <w:spacing w:after="0"/>
              <w:rPr>
                <w:sz w:val="24"/>
                <w:szCs w:val="24"/>
                <w:color w:val="auto"/>
              </w:rPr>
            </w:pPr>
          </w:p>
        </w:tc>
        <w:tc>
          <w:tcPr>
            <w:tcW w:w="180" w:type="dxa"/>
            <w:vAlign w:val="bottom"/>
            <w:tcBorders>
              <w:bottom w:val="single" w:sz="8" w:color="0000FF"/>
            </w:tcBorders>
          </w:tcPr>
          <w:p>
            <w:pPr>
              <w:jc w:val="right"/>
              <w:spacing w:after="0"/>
              <w:rPr>
                <w:rFonts w:ascii="Arial" w:cs="Arial" w:eastAsia="Arial" w:hAnsi="Arial"/>
                <w:sz w:val="18"/>
                <w:szCs w:val="18"/>
                <w:color w:val="0000FF"/>
                <w:w w:val="79"/>
              </w:rPr>
            </w:pPr>
            <w:hyperlink w:anchor="page63">
              <w:r>
                <w:rPr>
                  <w:rFonts w:ascii="Arial" w:cs="Arial" w:eastAsia="Arial" w:hAnsi="Arial"/>
                  <w:sz w:val="18"/>
                  <w:szCs w:val="18"/>
                  <w:color w:val="0000FF"/>
                  <w:w w:val="79"/>
                </w:rPr>
                <w:t>63</w:t>
              </w:r>
            </w:hyperlink>
          </w:p>
        </w:tc>
      </w:tr>
      <w:tr>
        <w:trPr>
          <w:trHeight w:val="372"/>
        </w:trPr>
        <w:tc>
          <w:tcPr>
            <w:tcW w:w="40" w:type="dxa"/>
            <w:vAlign w:val="bottom"/>
          </w:tcPr>
          <w:p>
            <w:pPr>
              <w:spacing w:after="0"/>
              <w:rPr>
                <w:sz w:val="24"/>
                <w:szCs w:val="24"/>
                <w:color w:val="auto"/>
              </w:rPr>
            </w:pPr>
          </w:p>
        </w:tc>
        <w:tc>
          <w:tcPr>
            <w:tcW w:w="11180" w:type="dxa"/>
            <w:vAlign w:val="bottom"/>
            <w:gridSpan w:val="10"/>
          </w:tcPr>
          <w:p>
            <w:pPr>
              <w:spacing w:after="0"/>
              <w:rPr>
                <w:rFonts w:ascii="Arial" w:cs="Arial" w:eastAsia="Arial" w:hAnsi="Arial"/>
                <w:sz w:val="18"/>
                <w:szCs w:val="18"/>
                <w:color w:val="0000FF"/>
              </w:rPr>
            </w:pPr>
            <w:hyperlink w:anchor="page64">
              <w:r>
                <w:rPr>
                  <w:rFonts w:ascii="Arial" w:cs="Arial" w:eastAsia="Arial" w:hAnsi="Arial"/>
                  <w:sz w:val="18"/>
                  <w:szCs w:val="18"/>
                  <w:color w:val="0000FF"/>
                </w:rPr>
                <w:t>Reports of Independent Registered Public Accounting Firm</w:t>
              </w:r>
            </w:hyperlink>
          </w:p>
        </w:tc>
        <w:tc>
          <w:tcPr>
            <w:tcW w:w="180" w:type="dxa"/>
            <w:vAlign w:val="bottom"/>
          </w:tcPr>
          <w:p>
            <w:pPr>
              <w:jc w:val="right"/>
              <w:spacing w:after="0"/>
              <w:rPr>
                <w:rFonts w:ascii="Arial" w:cs="Arial" w:eastAsia="Arial" w:hAnsi="Arial"/>
                <w:sz w:val="18"/>
                <w:szCs w:val="18"/>
                <w:color w:val="0000FF"/>
                <w:w w:val="79"/>
              </w:rPr>
            </w:pPr>
            <w:hyperlink w:anchor="page64">
              <w:r>
                <w:rPr>
                  <w:rFonts w:ascii="Arial" w:cs="Arial" w:eastAsia="Arial" w:hAnsi="Arial"/>
                  <w:sz w:val="18"/>
                  <w:szCs w:val="18"/>
                  <w:color w:val="0000FF"/>
                  <w:w w:val="79"/>
                </w:rPr>
                <w:t>64</w:t>
              </w:r>
            </w:hyperlink>
          </w:p>
        </w:tc>
      </w:tr>
      <w:tr>
        <w:trPr>
          <w:trHeight w:val="20"/>
        </w:trPr>
        <w:tc>
          <w:tcPr>
            <w:tcW w:w="40" w:type="dxa"/>
            <w:vAlign w:val="bottom"/>
          </w:tcPr>
          <w:p>
            <w:pPr>
              <w:spacing w:after="0" w:line="20" w:lineRule="exact"/>
              <w:rPr>
                <w:sz w:val="1"/>
                <w:szCs w:val="1"/>
                <w:color w:val="auto"/>
              </w:rPr>
            </w:pPr>
          </w:p>
        </w:tc>
        <w:tc>
          <w:tcPr>
            <w:tcW w:w="1440" w:type="dxa"/>
            <w:vAlign w:val="bottom"/>
            <w:gridSpan w:val="2"/>
            <w:shd w:val="clear" w:color="auto" w:fill="0000FF"/>
          </w:tcPr>
          <w:p>
            <w:pPr>
              <w:spacing w:after="0" w:line="20" w:lineRule="exact"/>
              <w:rPr>
                <w:sz w:val="1"/>
                <w:szCs w:val="1"/>
                <w:color w:val="auto"/>
              </w:rPr>
            </w:pPr>
          </w:p>
        </w:tc>
        <w:tc>
          <w:tcPr>
            <w:tcW w:w="1700" w:type="dxa"/>
            <w:vAlign w:val="bottom"/>
            <w:shd w:val="clear" w:color="auto" w:fill="0000FF"/>
          </w:tcPr>
          <w:p>
            <w:pPr>
              <w:spacing w:after="0" w:line="20" w:lineRule="exact"/>
              <w:rPr>
                <w:sz w:val="1"/>
                <w:szCs w:val="1"/>
                <w:color w:val="auto"/>
              </w:rPr>
            </w:pPr>
          </w:p>
        </w:tc>
        <w:tc>
          <w:tcPr>
            <w:tcW w:w="1140" w:type="dxa"/>
            <w:vAlign w:val="bottom"/>
            <w:shd w:val="clear" w:color="auto" w:fill="0000FF"/>
          </w:tcPr>
          <w:p>
            <w:pPr>
              <w:spacing w:after="0" w:line="20" w:lineRule="exact"/>
              <w:rPr>
                <w:sz w:val="1"/>
                <w:szCs w:val="1"/>
                <w:color w:val="auto"/>
              </w:rPr>
            </w:pPr>
          </w:p>
        </w:tc>
        <w:tc>
          <w:tcPr>
            <w:tcW w:w="880" w:type="dxa"/>
            <w:vAlign w:val="bottom"/>
            <w:gridSpan w:val="2"/>
          </w:tcPr>
          <w:p>
            <w:pPr>
              <w:spacing w:after="0" w:line="20" w:lineRule="exact"/>
              <w:rPr>
                <w:sz w:val="1"/>
                <w:szCs w:val="1"/>
                <w:color w:val="auto"/>
              </w:rPr>
            </w:pPr>
          </w:p>
        </w:tc>
        <w:tc>
          <w:tcPr>
            <w:tcW w:w="30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r>
      <w:tr>
        <w:trPr>
          <w:trHeight w:val="372"/>
        </w:trPr>
        <w:tc>
          <w:tcPr>
            <w:tcW w:w="40" w:type="dxa"/>
            <w:vAlign w:val="bottom"/>
          </w:tcPr>
          <w:p>
            <w:pPr>
              <w:spacing w:after="0"/>
              <w:rPr>
                <w:sz w:val="24"/>
                <w:szCs w:val="24"/>
                <w:color w:val="auto"/>
              </w:rPr>
            </w:pPr>
          </w:p>
        </w:tc>
        <w:tc>
          <w:tcPr>
            <w:tcW w:w="5160" w:type="dxa"/>
            <w:vAlign w:val="bottom"/>
            <w:tcBorders>
              <w:bottom w:val="single" w:sz="8" w:color="0000EE"/>
            </w:tcBorders>
            <w:gridSpan w:val="6"/>
          </w:tcPr>
          <w:p>
            <w:pPr>
              <w:spacing w:after="0"/>
              <w:rPr>
                <w:rFonts w:ascii="Arial" w:cs="Arial" w:eastAsia="Arial" w:hAnsi="Arial"/>
                <w:sz w:val="18"/>
                <w:szCs w:val="18"/>
                <w:color w:val="0000EE"/>
                <w:w w:val="88"/>
              </w:rPr>
            </w:pPr>
            <w:hyperlink w:anchor="page66">
              <w:r>
                <w:rPr>
                  <w:rFonts w:ascii="Arial" w:cs="Arial" w:eastAsia="Arial" w:hAnsi="Arial"/>
                  <w:sz w:val="18"/>
                  <w:szCs w:val="18"/>
                  <w:color w:val="0000EE"/>
                  <w:w w:val="88"/>
                </w:rPr>
                <w:t>Consolidated Balance Sheets as of January 1, 2016 and January 2, 2015</w:t>
              </w:r>
            </w:hyperlink>
          </w:p>
        </w:tc>
        <w:tc>
          <w:tcPr>
            <w:tcW w:w="6020" w:type="dxa"/>
            <w:vAlign w:val="bottom"/>
            <w:gridSpan w:val="4"/>
          </w:tcPr>
          <w:p>
            <w:pPr>
              <w:spacing w:after="0"/>
              <w:rPr>
                <w:sz w:val="24"/>
                <w:szCs w:val="24"/>
                <w:color w:val="auto"/>
              </w:rPr>
            </w:pPr>
          </w:p>
        </w:tc>
        <w:tc>
          <w:tcPr>
            <w:tcW w:w="180" w:type="dxa"/>
            <w:vAlign w:val="bottom"/>
            <w:tcBorders>
              <w:bottom w:val="single" w:sz="8" w:color="0000FF"/>
            </w:tcBorders>
          </w:tcPr>
          <w:p>
            <w:pPr>
              <w:jc w:val="right"/>
              <w:spacing w:after="0"/>
              <w:rPr>
                <w:rFonts w:ascii="Arial" w:cs="Arial" w:eastAsia="Arial" w:hAnsi="Arial"/>
                <w:sz w:val="18"/>
                <w:szCs w:val="18"/>
                <w:color w:val="0000FF"/>
                <w:w w:val="79"/>
              </w:rPr>
            </w:pPr>
            <w:hyperlink w:anchor="page66">
              <w:r>
                <w:rPr>
                  <w:rFonts w:ascii="Arial" w:cs="Arial" w:eastAsia="Arial" w:hAnsi="Arial"/>
                  <w:sz w:val="18"/>
                  <w:szCs w:val="18"/>
                  <w:color w:val="0000FF"/>
                  <w:w w:val="79"/>
                </w:rPr>
                <w:t>66</w:t>
              </w:r>
            </w:hyperlink>
          </w:p>
        </w:tc>
      </w:tr>
      <w:tr>
        <w:trPr>
          <w:trHeight w:val="372"/>
        </w:trPr>
        <w:tc>
          <w:tcPr>
            <w:tcW w:w="40" w:type="dxa"/>
            <w:vAlign w:val="bottom"/>
          </w:tcPr>
          <w:p>
            <w:pPr>
              <w:spacing w:after="0"/>
              <w:rPr>
                <w:sz w:val="24"/>
                <w:szCs w:val="24"/>
                <w:color w:val="auto"/>
              </w:rPr>
            </w:pPr>
          </w:p>
        </w:tc>
        <w:tc>
          <w:tcPr>
            <w:tcW w:w="11180" w:type="dxa"/>
            <w:vAlign w:val="bottom"/>
            <w:gridSpan w:val="10"/>
          </w:tcPr>
          <w:p>
            <w:pPr>
              <w:spacing w:after="0"/>
              <w:rPr>
                <w:rFonts w:ascii="Arial" w:cs="Arial" w:eastAsia="Arial" w:hAnsi="Arial"/>
                <w:sz w:val="18"/>
                <w:szCs w:val="18"/>
                <w:color w:val="0000EE"/>
              </w:rPr>
            </w:pPr>
            <w:hyperlink w:anchor="page67">
              <w:r>
                <w:rPr>
                  <w:rFonts w:ascii="Arial" w:cs="Arial" w:eastAsia="Arial" w:hAnsi="Arial"/>
                  <w:sz w:val="18"/>
                  <w:szCs w:val="18"/>
                  <w:color w:val="0000EE"/>
                </w:rPr>
                <w:t>Consolidated Statements of Operations and Comprehensive Income (Loss) for the years ended January 1, 2016, January 2, 2015,</w:t>
              </w:r>
            </w:hyperlink>
          </w:p>
        </w:tc>
        <w:tc>
          <w:tcPr>
            <w:tcW w:w="180" w:type="dxa"/>
            <w:vAlign w:val="bottom"/>
          </w:tcPr>
          <w:p>
            <w:pPr>
              <w:spacing w:after="0"/>
              <w:rPr>
                <w:sz w:val="24"/>
                <w:szCs w:val="24"/>
                <w:color w:val="auto"/>
              </w:rPr>
            </w:pPr>
          </w:p>
        </w:tc>
      </w:tr>
      <w:tr>
        <w:trPr>
          <w:trHeight w:val="196"/>
        </w:trPr>
        <w:tc>
          <w:tcPr>
            <w:tcW w:w="40" w:type="dxa"/>
            <w:vAlign w:val="bottom"/>
          </w:tcPr>
          <w:p>
            <w:pPr>
              <w:spacing w:after="0"/>
              <w:rPr>
                <w:sz w:val="17"/>
                <w:szCs w:val="17"/>
                <w:color w:val="auto"/>
              </w:rPr>
            </w:pPr>
          </w:p>
        </w:tc>
        <w:tc>
          <w:tcPr>
            <w:tcW w:w="9260" w:type="dxa"/>
            <w:vAlign w:val="bottom"/>
            <w:tcBorders>
              <w:top w:val="single" w:sz="8" w:color="0000EE"/>
            </w:tcBorders>
            <w:gridSpan w:val="9"/>
          </w:tcPr>
          <w:p>
            <w:pPr>
              <w:spacing w:after="0" w:line="196" w:lineRule="exact"/>
              <w:rPr>
                <w:rFonts w:ascii="Arial" w:cs="Arial" w:eastAsia="Arial" w:hAnsi="Arial"/>
                <w:sz w:val="18"/>
                <w:szCs w:val="18"/>
                <w:color w:val="0000EE"/>
              </w:rPr>
            </w:pPr>
            <w:hyperlink w:anchor="page67">
              <w:r>
                <w:rPr>
                  <w:rFonts w:ascii="Arial" w:cs="Arial" w:eastAsia="Arial" w:hAnsi="Arial"/>
                  <w:sz w:val="18"/>
                  <w:szCs w:val="18"/>
                  <w:color w:val="0000EE"/>
                </w:rPr>
                <w:t>and January 3, 2014</w:t>
              </w:r>
            </w:hyperlink>
          </w:p>
        </w:tc>
        <w:tc>
          <w:tcPr>
            <w:tcW w:w="1920" w:type="dxa"/>
            <w:vAlign w:val="bottom"/>
          </w:tcPr>
          <w:p>
            <w:pPr>
              <w:spacing w:after="0"/>
              <w:rPr>
                <w:sz w:val="17"/>
                <w:szCs w:val="17"/>
                <w:color w:val="auto"/>
              </w:rPr>
            </w:pPr>
          </w:p>
        </w:tc>
        <w:tc>
          <w:tcPr>
            <w:tcW w:w="180" w:type="dxa"/>
            <w:vAlign w:val="bottom"/>
          </w:tcPr>
          <w:p>
            <w:pPr>
              <w:jc w:val="right"/>
              <w:spacing w:after="0" w:line="196" w:lineRule="exact"/>
              <w:rPr>
                <w:rFonts w:ascii="Arial" w:cs="Arial" w:eastAsia="Arial" w:hAnsi="Arial"/>
                <w:sz w:val="18"/>
                <w:szCs w:val="18"/>
                <w:color w:val="0000FF"/>
                <w:w w:val="79"/>
              </w:rPr>
            </w:pPr>
            <w:hyperlink w:anchor="page67">
              <w:r>
                <w:rPr>
                  <w:rFonts w:ascii="Arial" w:cs="Arial" w:eastAsia="Arial" w:hAnsi="Arial"/>
                  <w:sz w:val="18"/>
                  <w:szCs w:val="18"/>
                  <w:color w:val="0000FF"/>
                  <w:w w:val="79"/>
                </w:rPr>
                <w:t>67</w:t>
              </w:r>
            </w:hyperlink>
          </w:p>
        </w:tc>
      </w:tr>
      <w:tr>
        <w:trPr>
          <w:trHeight w:val="20"/>
        </w:trPr>
        <w:tc>
          <w:tcPr>
            <w:tcW w:w="40" w:type="dxa"/>
            <w:vAlign w:val="bottom"/>
          </w:tcPr>
          <w:p>
            <w:pPr>
              <w:spacing w:after="0" w:line="20" w:lineRule="exact"/>
              <w:rPr>
                <w:sz w:val="1"/>
                <w:szCs w:val="1"/>
                <w:color w:val="auto"/>
              </w:rPr>
            </w:pPr>
          </w:p>
        </w:tc>
        <w:tc>
          <w:tcPr>
            <w:tcW w:w="1440" w:type="dxa"/>
            <w:vAlign w:val="bottom"/>
            <w:gridSpan w:val="2"/>
            <w:shd w:val="clear" w:color="auto" w:fill="0000EE"/>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5100" w:type="dxa"/>
            <w:vAlign w:val="bottom"/>
            <w:gridSpan w:val="4"/>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260" w:type="dxa"/>
            <w:vAlign w:val="bottom"/>
            <w:gridSpan w:val="2"/>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r>
      <w:tr>
        <w:trPr>
          <w:trHeight w:val="372"/>
        </w:trPr>
        <w:tc>
          <w:tcPr>
            <w:tcW w:w="40" w:type="dxa"/>
            <w:vAlign w:val="bottom"/>
          </w:tcPr>
          <w:p>
            <w:pPr>
              <w:spacing w:after="0"/>
              <w:rPr>
                <w:sz w:val="24"/>
                <w:szCs w:val="24"/>
                <w:color w:val="auto"/>
              </w:rPr>
            </w:pPr>
          </w:p>
        </w:tc>
        <w:tc>
          <w:tcPr>
            <w:tcW w:w="11180" w:type="dxa"/>
            <w:vAlign w:val="bottom"/>
            <w:gridSpan w:val="10"/>
          </w:tcPr>
          <w:p>
            <w:pPr>
              <w:spacing w:after="0"/>
              <w:rPr>
                <w:rFonts w:ascii="Arial" w:cs="Arial" w:eastAsia="Arial" w:hAnsi="Arial"/>
                <w:sz w:val="18"/>
                <w:szCs w:val="18"/>
                <w:color w:val="0000EE"/>
              </w:rPr>
            </w:pPr>
            <w:hyperlink w:anchor="page68">
              <w:r>
                <w:rPr>
                  <w:rFonts w:ascii="Arial" w:cs="Arial" w:eastAsia="Arial" w:hAnsi="Arial"/>
                  <w:sz w:val="18"/>
                  <w:szCs w:val="18"/>
                  <w:color w:val="0000EE"/>
                </w:rPr>
                <w:t>Consolidated Statements of Cash Flows for the years ended January 1, 2016, January 2, 2015, and January 3, 2014</w:t>
              </w:r>
            </w:hyperlink>
          </w:p>
        </w:tc>
        <w:tc>
          <w:tcPr>
            <w:tcW w:w="180" w:type="dxa"/>
            <w:vAlign w:val="bottom"/>
          </w:tcPr>
          <w:p>
            <w:pPr>
              <w:jc w:val="right"/>
              <w:spacing w:after="0"/>
              <w:rPr>
                <w:rFonts w:ascii="Arial" w:cs="Arial" w:eastAsia="Arial" w:hAnsi="Arial"/>
                <w:sz w:val="18"/>
                <w:szCs w:val="18"/>
                <w:color w:val="0000FF"/>
                <w:w w:val="79"/>
              </w:rPr>
            </w:pPr>
            <w:hyperlink w:anchor="page68">
              <w:r>
                <w:rPr>
                  <w:rFonts w:ascii="Arial" w:cs="Arial" w:eastAsia="Arial" w:hAnsi="Arial"/>
                  <w:sz w:val="18"/>
                  <w:szCs w:val="18"/>
                  <w:color w:val="0000FF"/>
                  <w:w w:val="79"/>
                </w:rPr>
                <w:t>68</w:t>
              </w:r>
            </w:hyperlink>
          </w:p>
        </w:tc>
      </w:tr>
      <w:tr>
        <w:trPr>
          <w:trHeight w:val="20"/>
        </w:trPr>
        <w:tc>
          <w:tcPr>
            <w:tcW w:w="40" w:type="dxa"/>
            <w:vAlign w:val="bottom"/>
          </w:tcPr>
          <w:p>
            <w:pPr>
              <w:spacing w:after="0" w:line="20" w:lineRule="exact"/>
              <w:rPr>
                <w:sz w:val="1"/>
                <w:szCs w:val="1"/>
                <w:color w:val="auto"/>
              </w:rPr>
            </w:pPr>
          </w:p>
        </w:tc>
        <w:tc>
          <w:tcPr>
            <w:tcW w:w="3140" w:type="dxa"/>
            <w:vAlign w:val="bottom"/>
            <w:gridSpan w:val="3"/>
            <w:shd w:val="clear" w:color="auto" w:fill="0000EE"/>
          </w:tcPr>
          <w:p>
            <w:pPr>
              <w:spacing w:after="0" w:line="20" w:lineRule="exact"/>
              <w:rPr>
                <w:sz w:val="1"/>
                <w:szCs w:val="1"/>
                <w:color w:val="auto"/>
              </w:rPr>
            </w:pPr>
          </w:p>
        </w:tc>
        <w:tc>
          <w:tcPr>
            <w:tcW w:w="5100" w:type="dxa"/>
            <w:vAlign w:val="bottom"/>
            <w:gridSpan w:val="4"/>
            <w:shd w:val="clear" w:color="auto" w:fill="0000EE"/>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260" w:type="dxa"/>
            <w:vAlign w:val="bottom"/>
            <w:gridSpan w:val="2"/>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r>
      <w:tr>
        <w:trPr>
          <w:trHeight w:val="372"/>
        </w:trPr>
        <w:tc>
          <w:tcPr>
            <w:tcW w:w="40" w:type="dxa"/>
            <w:vAlign w:val="bottom"/>
          </w:tcPr>
          <w:p>
            <w:pPr>
              <w:spacing w:after="0"/>
              <w:rPr>
                <w:sz w:val="24"/>
                <w:szCs w:val="24"/>
                <w:color w:val="auto"/>
              </w:rPr>
            </w:pPr>
          </w:p>
        </w:tc>
        <w:tc>
          <w:tcPr>
            <w:tcW w:w="11180" w:type="dxa"/>
            <w:vAlign w:val="bottom"/>
            <w:gridSpan w:val="10"/>
          </w:tcPr>
          <w:p>
            <w:pPr>
              <w:spacing w:after="0"/>
              <w:rPr>
                <w:rFonts w:ascii="Arial" w:cs="Arial" w:eastAsia="Arial" w:hAnsi="Arial"/>
                <w:sz w:val="18"/>
                <w:szCs w:val="18"/>
                <w:color w:val="0000EE"/>
              </w:rPr>
            </w:pPr>
            <w:hyperlink w:anchor="page69">
              <w:r>
                <w:rPr>
                  <w:rFonts w:ascii="Arial" w:cs="Arial" w:eastAsia="Arial" w:hAnsi="Arial"/>
                  <w:sz w:val="18"/>
                  <w:szCs w:val="18"/>
                  <w:color w:val="0000EE"/>
                </w:rPr>
                <w:t>Consolidated Statements of Stockholders’ Equity for the years ended January 1, 2016, January 2, 2015, and January 3, 2014</w:t>
              </w:r>
            </w:hyperlink>
          </w:p>
        </w:tc>
        <w:tc>
          <w:tcPr>
            <w:tcW w:w="180" w:type="dxa"/>
            <w:vAlign w:val="bottom"/>
          </w:tcPr>
          <w:p>
            <w:pPr>
              <w:jc w:val="right"/>
              <w:spacing w:after="0"/>
              <w:rPr>
                <w:rFonts w:ascii="Arial" w:cs="Arial" w:eastAsia="Arial" w:hAnsi="Arial"/>
                <w:sz w:val="18"/>
                <w:szCs w:val="18"/>
                <w:color w:val="0000FF"/>
                <w:w w:val="79"/>
              </w:rPr>
            </w:pPr>
            <w:hyperlink w:anchor="page69">
              <w:r>
                <w:rPr>
                  <w:rFonts w:ascii="Arial" w:cs="Arial" w:eastAsia="Arial" w:hAnsi="Arial"/>
                  <w:sz w:val="18"/>
                  <w:szCs w:val="18"/>
                  <w:color w:val="0000FF"/>
                  <w:w w:val="79"/>
                </w:rPr>
                <w:t>69</w:t>
              </w:r>
            </w:hyperlink>
          </w:p>
        </w:tc>
      </w:tr>
      <w:tr>
        <w:trPr>
          <w:trHeight w:val="372"/>
        </w:trPr>
        <w:tc>
          <w:tcPr>
            <w:tcW w:w="40" w:type="dxa"/>
            <w:vAlign w:val="bottom"/>
          </w:tcPr>
          <w:p>
            <w:pPr>
              <w:spacing w:after="0"/>
              <w:rPr>
                <w:sz w:val="24"/>
                <w:szCs w:val="24"/>
                <w:color w:val="auto"/>
              </w:rPr>
            </w:pPr>
          </w:p>
        </w:tc>
        <w:tc>
          <w:tcPr>
            <w:tcW w:w="8920" w:type="dxa"/>
            <w:vAlign w:val="bottom"/>
            <w:tcBorders>
              <w:top w:val="single" w:sz="8" w:color="0000EE"/>
            </w:tcBorders>
            <w:gridSpan w:val="8"/>
          </w:tcPr>
          <w:p>
            <w:pPr>
              <w:spacing w:after="0"/>
              <w:rPr>
                <w:rFonts w:ascii="Arial" w:cs="Arial" w:eastAsia="Arial" w:hAnsi="Arial"/>
                <w:sz w:val="18"/>
                <w:szCs w:val="18"/>
                <w:color w:val="0000FF"/>
              </w:rPr>
            </w:pPr>
            <w:hyperlink w:anchor="page70">
              <w:r>
                <w:rPr>
                  <w:rFonts w:ascii="Arial" w:cs="Arial" w:eastAsia="Arial" w:hAnsi="Arial"/>
                  <w:sz w:val="18"/>
                  <w:szCs w:val="18"/>
                  <w:color w:val="0000FF"/>
                </w:rPr>
                <w:t>Notes to Consolidated Financial Statements</w:t>
              </w:r>
            </w:hyperlink>
          </w:p>
        </w:tc>
        <w:tc>
          <w:tcPr>
            <w:tcW w:w="2260" w:type="dxa"/>
            <w:vAlign w:val="bottom"/>
            <w:gridSpan w:val="2"/>
          </w:tcPr>
          <w:p>
            <w:pPr>
              <w:spacing w:after="0"/>
              <w:rPr>
                <w:sz w:val="24"/>
                <w:szCs w:val="24"/>
                <w:color w:val="auto"/>
              </w:rPr>
            </w:pPr>
          </w:p>
        </w:tc>
        <w:tc>
          <w:tcPr>
            <w:tcW w:w="180" w:type="dxa"/>
            <w:vAlign w:val="bottom"/>
            <w:tcBorders>
              <w:top w:val="single" w:sz="8" w:color="0000FF"/>
            </w:tcBorders>
          </w:tcPr>
          <w:p>
            <w:pPr>
              <w:jc w:val="right"/>
              <w:spacing w:after="0"/>
              <w:rPr>
                <w:rFonts w:ascii="Arial" w:cs="Arial" w:eastAsia="Arial" w:hAnsi="Arial"/>
                <w:sz w:val="18"/>
                <w:szCs w:val="18"/>
                <w:color w:val="0000FF"/>
                <w:w w:val="79"/>
              </w:rPr>
            </w:pPr>
            <w:hyperlink w:anchor="page70">
              <w:r>
                <w:rPr>
                  <w:rFonts w:ascii="Arial" w:cs="Arial" w:eastAsia="Arial" w:hAnsi="Arial"/>
                  <w:sz w:val="18"/>
                  <w:szCs w:val="18"/>
                  <w:color w:val="0000FF"/>
                  <w:w w:val="79"/>
                </w:rPr>
                <w:t>70</w:t>
              </w:r>
            </w:hyperlink>
          </w:p>
        </w:tc>
      </w:tr>
      <w:tr>
        <w:trPr>
          <w:trHeight w:val="615"/>
        </w:trPr>
        <w:tc>
          <w:tcPr>
            <w:tcW w:w="40" w:type="dxa"/>
            <w:vAlign w:val="bottom"/>
          </w:tcPr>
          <w:p>
            <w:pPr>
              <w:spacing w:after="0"/>
              <w:rPr>
                <w:sz w:val="24"/>
                <w:szCs w:val="24"/>
                <w:color w:val="auto"/>
              </w:rPr>
            </w:pPr>
          </w:p>
        </w:tc>
        <w:tc>
          <w:tcPr>
            <w:tcW w:w="820" w:type="dxa"/>
            <w:vAlign w:val="bottom"/>
            <w:tcBorders>
              <w:top w:val="single" w:sz="8" w:color="0000FF"/>
            </w:tcBorders>
          </w:tcPr>
          <w:p>
            <w:pPr>
              <w:spacing w:after="0"/>
              <w:rPr>
                <w:sz w:val="24"/>
                <w:szCs w:val="24"/>
                <w:color w:val="auto"/>
              </w:rPr>
            </w:pPr>
          </w:p>
        </w:tc>
        <w:tc>
          <w:tcPr>
            <w:tcW w:w="2320" w:type="dxa"/>
            <w:vAlign w:val="bottom"/>
            <w:tcBorders>
              <w:top w:val="single" w:sz="8" w:color="0000FF"/>
            </w:tcBorders>
            <w:gridSpan w:val="2"/>
          </w:tcPr>
          <w:p>
            <w:pPr>
              <w:spacing w:after="0"/>
              <w:rPr>
                <w:sz w:val="24"/>
                <w:szCs w:val="24"/>
                <w:color w:val="auto"/>
              </w:rPr>
            </w:pPr>
          </w:p>
        </w:tc>
        <w:tc>
          <w:tcPr>
            <w:tcW w:w="5100" w:type="dxa"/>
            <w:vAlign w:val="bottom"/>
            <w:gridSpan w:val="4"/>
          </w:tcPr>
          <w:p>
            <w:pPr>
              <w:jc w:val="right"/>
              <w:ind w:right="2380"/>
              <w:spacing w:after="0"/>
              <w:rPr>
                <w:sz w:val="20"/>
                <w:szCs w:val="20"/>
                <w:color w:val="auto"/>
              </w:rPr>
            </w:pPr>
            <w:r>
              <w:rPr>
                <w:rFonts w:ascii="Arial" w:cs="Arial" w:eastAsia="Arial" w:hAnsi="Arial"/>
                <w:sz w:val="18"/>
                <w:szCs w:val="18"/>
                <w:color w:val="auto"/>
              </w:rPr>
              <w:t>- 62 -</w:t>
            </w:r>
          </w:p>
        </w:tc>
        <w:tc>
          <w:tcPr>
            <w:tcW w:w="6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180" w:type="dxa"/>
            <w:vAlign w:val="bottom"/>
            <w:tcBorders>
              <w:top w:val="single" w:sz="8" w:color="0000FF"/>
            </w:tcBorders>
          </w:tcPr>
          <w:p>
            <w:pPr>
              <w:spacing w:after="0"/>
              <w:rPr>
                <w:sz w:val="24"/>
                <w:szCs w:val="24"/>
                <w:color w:val="auto"/>
              </w:rPr>
            </w:pPr>
          </w:p>
        </w:tc>
      </w:tr>
    </w:tbl>
    <w:p>
      <w:pPr>
        <w:sectPr>
          <w:pgSz w:w="11900" w:h="16838" w:orient="portrait"/>
          <w:cols w:equalWidth="0" w:num="1">
            <w:col w:w="11400"/>
          </w:cols>
          <w:pgMar w:left="240" w:top="958" w:right="259" w:bottom="1440" w:gutter="0" w:footer="0" w:header="0"/>
        </w:sectPr>
      </w:pPr>
    </w:p>
    <w:bookmarkStart w:id="63" w:name="page64"/>
    <w:bookmarkEnd w:id="63"/>
    <w:p>
      <w:pPr>
        <w:jc w:val="center"/>
        <w:spacing w:after="0"/>
        <w:rPr>
          <w:sz w:val="20"/>
          <w:szCs w:val="20"/>
          <w:color w:val="auto"/>
        </w:rPr>
      </w:pPr>
      <w:r>
        <w:rPr>
          <w:rFonts w:ascii="Arial" w:cs="Arial" w:eastAsia="Arial" w:hAnsi="Arial"/>
          <w:sz w:val="18"/>
          <w:szCs w:val="18"/>
          <w:b w:val="1"/>
          <w:bCs w:val="1"/>
          <w:color w:val="auto"/>
        </w:rPr>
        <w:t>MANAGEMENT’S REPORT ON INTERNAL CONTROL OVER FINANCIAL REPORTING</w:t>
      </w:r>
    </w:p>
    <w:p>
      <w:pPr>
        <w:spacing w:after="0" w:line="310"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The Company’s certifying officers are responsible for establishing and maintaining adequate internal control over financial reporting. The Company’s internal control over financial reporting is designed and maintained under the supervision of its certifying officers to provide reasonable assurance regarding the reliability of financial reporting and the preparation of the Company’s consolidated financial statements for external reporting purposes in accordance with accounting principles generally accepted in the United States of America.</w:t>
      </w:r>
    </w:p>
    <w:p>
      <w:pPr>
        <w:spacing w:after="0" w:line="133" w:lineRule="exact"/>
        <w:rPr>
          <w:sz w:val="20"/>
          <w:szCs w:val="20"/>
          <w:color w:val="auto"/>
        </w:rPr>
      </w:pPr>
    </w:p>
    <w:p>
      <w:pPr>
        <w:ind w:right="360"/>
        <w:spacing w:after="0" w:line="259" w:lineRule="auto"/>
        <w:rPr>
          <w:sz w:val="20"/>
          <w:szCs w:val="20"/>
          <w:color w:val="auto"/>
        </w:rPr>
      </w:pPr>
      <w:r>
        <w:rPr>
          <w:rFonts w:ascii="Arial" w:cs="Arial" w:eastAsia="Arial" w:hAnsi="Arial"/>
          <w:sz w:val="18"/>
          <w:szCs w:val="18"/>
          <w:color w:val="auto"/>
        </w:rPr>
        <w:t xml:space="preserve">As of January 1, 2016, management conducted an assessment of the effectiveness of the Company’s internal control over financial reporting based on the framework established in </w:t>
      </w:r>
      <w:r>
        <w:rPr>
          <w:rFonts w:ascii="Arial" w:cs="Arial" w:eastAsia="Arial" w:hAnsi="Arial"/>
          <w:sz w:val="18"/>
          <w:szCs w:val="18"/>
          <w:i w:val="1"/>
          <w:iCs w:val="1"/>
          <w:color w:val="auto"/>
        </w:rPr>
        <w:t>Internal Control – Integrated Framework (2013)</w:t>
      </w:r>
      <w:r>
        <w:rPr>
          <w:rFonts w:ascii="Arial" w:cs="Arial" w:eastAsia="Arial" w:hAnsi="Arial"/>
          <w:sz w:val="18"/>
          <w:szCs w:val="18"/>
          <w:color w:val="auto"/>
        </w:rPr>
        <w:t xml:space="preserve"> issued by the Committee of Sponsoring Organizations of the Treadway Commission. Based on this assessment, management has determined that the Company’s internal control over financial reporting as of January 1, 2016 is effective.</w:t>
      </w:r>
    </w:p>
    <w:p>
      <w:pPr>
        <w:spacing w:after="0" w:line="133" w:lineRule="exact"/>
        <w:rPr>
          <w:sz w:val="20"/>
          <w:szCs w:val="20"/>
          <w:color w:val="auto"/>
        </w:rPr>
      </w:pPr>
    </w:p>
    <w:p>
      <w:pPr>
        <w:spacing w:after="0"/>
        <w:rPr>
          <w:sz w:val="20"/>
          <w:szCs w:val="20"/>
          <w:color w:val="auto"/>
        </w:rPr>
      </w:pPr>
      <w:r>
        <w:rPr>
          <w:rFonts w:ascii="Arial" w:cs="Arial" w:eastAsia="Arial" w:hAnsi="Arial"/>
          <w:sz w:val="16"/>
          <w:szCs w:val="16"/>
          <w:color w:val="auto"/>
        </w:rPr>
        <w:t>In conducting the evaluation of the effectiveness of internal control over financial reporting as of January 1, 2016, as permitted by the guidance issued by the</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Office of the Chief Accountant of the Securities and Exchange Commission, management excluded the following subsidiary acquired in 2015:</w:t>
      </w:r>
    </w:p>
    <w:p>
      <w:pPr>
        <w:spacing w:after="0" w:line="157" w:lineRule="exact"/>
        <w:rPr>
          <w:sz w:val="20"/>
          <w:szCs w:val="20"/>
          <w:color w:val="auto"/>
        </w:rPr>
      </w:pPr>
    </w:p>
    <w:p>
      <w:pPr>
        <w:ind w:left="660" w:hanging="328"/>
        <w:spacing w:after="0"/>
        <w:tabs>
          <w:tab w:leader="none" w:pos="660" w:val="left"/>
        </w:tabs>
        <w:numPr>
          <w:ilvl w:val="0"/>
          <w:numId w:val="33"/>
        </w:numPr>
        <w:rPr>
          <w:rFonts w:ascii="Arial" w:cs="Arial" w:eastAsia="Arial" w:hAnsi="Arial"/>
          <w:sz w:val="18"/>
          <w:szCs w:val="18"/>
          <w:color w:val="auto"/>
        </w:rPr>
      </w:pPr>
      <w:r>
        <w:rPr>
          <w:rFonts w:ascii="Arial" w:cs="Arial" w:eastAsia="Arial" w:hAnsi="Arial"/>
          <w:sz w:val="18"/>
          <w:szCs w:val="18"/>
          <w:i w:val="1"/>
          <w:iCs w:val="1"/>
          <w:color w:val="auto"/>
        </w:rPr>
        <w:t>Lake Region Medical Holdings, Inc.</w:t>
      </w:r>
    </w:p>
    <w:p>
      <w:pPr>
        <w:spacing w:after="0" w:line="171" w:lineRule="exact"/>
        <w:rPr>
          <w:sz w:val="20"/>
          <w:szCs w:val="20"/>
          <w:color w:val="auto"/>
        </w:rPr>
      </w:pPr>
    </w:p>
    <w:p>
      <w:pPr>
        <w:ind w:right="40"/>
        <w:spacing w:after="0" w:line="264" w:lineRule="auto"/>
        <w:rPr>
          <w:sz w:val="20"/>
          <w:szCs w:val="20"/>
          <w:color w:val="auto"/>
        </w:rPr>
      </w:pPr>
      <w:r>
        <w:rPr>
          <w:rFonts w:ascii="Arial" w:cs="Arial" w:eastAsia="Arial" w:hAnsi="Arial"/>
          <w:sz w:val="18"/>
          <w:szCs w:val="18"/>
          <w:color w:val="auto"/>
        </w:rPr>
        <w:t>This subsidiary represented approximately 66% of total assets, 17% of revenues, and 229% of net loss of the consolidated financial statement amounts as of and for the year ended January 1, 2016. See Note 2 – “Acquisitions” of the Notes to Consolidated Financial Statements contained in Item 8 of this report for a discussion of this acquisition and its impact on the Company’s Consolidated Financial Statements.</w:t>
      </w:r>
    </w:p>
    <w:p>
      <w:pPr>
        <w:spacing w:after="0" w:line="127"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The effectiveness of internal control over financial reporting as of January 1, 2016 has been audited by Deloitte &amp; Touche LLP, the Company’s independent registered public accounting firm.</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color w:val="auto"/>
        </w:rPr>
        <w:t>Dated: March 1, 2016</w:t>
      </w:r>
    </w:p>
    <w:p>
      <w:pPr>
        <w:spacing w:after="0" w:line="36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500" w:type="dxa"/>
            <w:vAlign w:val="bottom"/>
          </w:tcPr>
          <w:p>
            <w:pPr>
              <w:ind w:left="40"/>
              <w:spacing w:after="0"/>
              <w:rPr>
                <w:sz w:val="20"/>
                <w:szCs w:val="20"/>
                <w:color w:val="auto"/>
              </w:rPr>
            </w:pPr>
            <w:r>
              <w:rPr>
                <w:rFonts w:ascii="Arial" w:cs="Arial" w:eastAsia="Arial" w:hAnsi="Arial"/>
                <w:sz w:val="18"/>
                <w:szCs w:val="18"/>
                <w:color w:val="auto"/>
              </w:rPr>
              <w:t>/s/ Thomas J. Hook</w:t>
            </w:r>
          </w:p>
        </w:tc>
        <w:tc>
          <w:tcPr>
            <w:tcW w:w="460" w:type="dxa"/>
            <w:vAlign w:val="bottom"/>
          </w:tcPr>
          <w:p>
            <w:pPr>
              <w:spacing w:after="0"/>
              <w:rPr>
                <w:sz w:val="20"/>
                <w:szCs w:val="20"/>
                <w:color w:val="auto"/>
              </w:rPr>
            </w:pPr>
          </w:p>
        </w:tc>
        <w:tc>
          <w:tcPr>
            <w:tcW w:w="5460" w:type="dxa"/>
            <w:vAlign w:val="bottom"/>
          </w:tcPr>
          <w:p>
            <w:pPr>
              <w:ind w:left="20"/>
              <w:spacing w:after="0"/>
              <w:rPr>
                <w:sz w:val="20"/>
                <w:szCs w:val="20"/>
                <w:color w:val="auto"/>
              </w:rPr>
            </w:pPr>
            <w:r>
              <w:rPr>
                <w:rFonts w:ascii="Arial" w:cs="Arial" w:eastAsia="Arial" w:hAnsi="Arial"/>
                <w:sz w:val="18"/>
                <w:szCs w:val="18"/>
                <w:color w:val="auto"/>
              </w:rPr>
              <w:t>/s/ Michael Dinkins</w:t>
            </w:r>
          </w:p>
        </w:tc>
      </w:tr>
      <w:tr>
        <w:trPr>
          <w:trHeight w:val="27"/>
        </w:trPr>
        <w:tc>
          <w:tcPr>
            <w:tcW w:w="5500" w:type="dxa"/>
            <w:vAlign w:val="bottom"/>
            <w:tcBorders>
              <w:bottom w:val="single" w:sz="8" w:color="auto"/>
            </w:tcBorders>
          </w:tcPr>
          <w:p>
            <w:pPr>
              <w:spacing w:after="0"/>
              <w:rPr>
                <w:sz w:val="2"/>
                <w:szCs w:val="2"/>
                <w:color w:val="auto"/>
              </w:rPr>
            </w:pPr>
          </w:p>
        </w:tc>
        <w:tc>
          <w:tcPr>
            <w:tcW w:w="460" w:type="dxa"/>
            <w:vAlign w:val="bottom"/>
          </w:tcPr>
          <w:p>
            <w:pPr>
              <w:spacing w:after="0"/>
              <w:rPr>
                <w:sz w:val="2"/>
                <w:szCs w:val="2"/>
                <w:color w:val="auto"/>
              </w:rPr>
            </w:pPr>
          </w:p>
        </w:tc>
        <w:tc>
          <w:tcPr>
            <w:tcW w:w="5460" w:type="dxa"/>
            <w:vAlign w:val="bottom"/>
            <w:tcBorders>
              <w:bottom w:val="single" w:sz="8" w:color="auto"/>
            </w:tcBorders>
          </w:tcPr>
          <w:p>
            <w:pPr>
              <w:spacing w:after="0"/>
              <w:rPr>
                <w:sz w:val="2"/>
                <w:szCs w:val="2"/>
                <w:color w:val="auto"/>
              </w:rPr>
            </w:pPr>
          </w:p>
        </w:tc>
      </w:tr>
      <w:tr>
        <w:trPr>
          <w:trHeight w:val="237"/>
        </w:trPr>
        <w:tc>
          <w:tcPr>
            <w:tcW w:w="5500" w:type="dxa"/>
            <w:vAlign w:val="bottom"/>
          </w:tcPr>
          <w:p>
            <w:pPr>
              <w:ind w:left="40"/>
              <w:spacing w:after="0"/>
              <w:rPr>
                <w:sz w:val="20"/>
                <w:szCs w:val="20"/>
                <w:color w:val="auto"/>
              </w:rPr>
            </w:pPr>
            <w:r>
              <w:rPr>
                <w:rFonts w:ascii="Arial" w:cs="Arial" w:eastAsia="Arial" w:hAnsi="Arial"/>
                <w:sz w:val="18"/>
                <w:szCs w:val="18"/>
                <w:color w:val="auto"/>
              </w:rPr>
              <w:t>Thomas J. Hook</w:t>
            </w:r>
          </w:p>
        </w:tc>
        <w:tc>
          <w:tcPr>
            <w:tcW w:w="460" w:type="dxa"/>
            <w:vAlign w:val="bottom"/>
          </w:tcPr>
          <w:p>
            <w:pPr>
              <w:spacing w:after="0"/>
              <w:rPr>
                <w:sz w:val="20"/>
                <w:szCs w:val="20"/>
                <w:color w:val="auto"/>
              </w:rPr>
            </w:pPr>
          </w:p>
        </w:tc>
        <w:tc>
          <w:tcPr>
            <w:tcW w:w="5460" w:type="dxa"/>
            <w:vAlign w:val="bottom"/>
          </w:tcPr>
          <w:p>
            <w:pPr>
              <w:ind w:left="20"/>
              <w:spacing w:after="0"/>
              <w:rPr>
                <w:sz w:val="20"/>
                <w:szCs w:val="20"/>
                <w:color w:val="auto"/>
              </w:rPr>
            </w:pPr>
            <w:r>
              <w:rPr>
                <w:rFonts w:ascii="Arial" w:cs="Arial" w:eastAsia="Arial" w:hAnsi="Arial"/>
                <w:sz w:val="18"/>
                <w:szCs w:val="18"/>
                <w:color w:val="auto"/>
              </w:rPr>
              <w:t>Michael Dinkins</w:t>
            </w:r>
          </w:p>
        </w:tc>
      </w:tr>
      <w:tr>
        <w:trPr>
          <w:trHeight w:val="270"/>
        </w:trPr>
        <w:tc>
          <w:tcPr>
            <w:tcW w:w="5500" w:type="dxa"/>
            <w:vAlign w:val="bottom"/>
          </w:tcPr>
          <w:p>
            <w:pPr>
              <w:ind w:left="40"/>
              <w:spacing w:after="0"/>
              <w:rPr>
                <w:sz w:val="20"/>
                <w:szCs w:val="20"/>
                <w:color w:val="auto"/>
              </w:rPr>
            </w:pPr>
            <w:r>
              <w:rPr>
                <w:rFonts w:ascii="Arial" w:cs="Arial" w:eastAsia="Arial" w:hAnsi="Arial"/>
                <w:sz w:val="18"/>
                <w:szCs w:val="18"/>
                <w:color w:val="auto"/>
              </w:rPr>
              <w:t>President &amp; Chief Executive Officer</w:t>
            </w:r>
          </w:p>
        </w:tc>
        <w:tc>
          <w:tcPr>
            <w:tcW w:w="460" w:type="dxa"/>
            <w:vAlign w:val="bottom"/>
          </w:tcPr>
          <w:p>
            <w:pPr>
              <w:spacing w:after="0"/>
              <w:rPr>
                <w:sz w:val="23"/>
                <w:szCs w:val="23"/>
                <w:color w:val="auto"/>
              </w:rPr>
            </w:pPr>
          </w:p>
        </w:tc>
        <w:tc>
          <w:tcPr>
            <w:tcW w:w="5460" w:type="dxa"/>
            <w:vAlign w:val="bottom"/>
          </w:tcPr>
          <w:p>
            <w:pPr>
              <w:ind w:left="20"/>
              <w:spacing w:after="0"/>
              <w:rPr>
                <w:sz w:val="20"/>
                <w:szCs w:val="20"/>
                <w:color w:val="auto"/>
              </w:rPr>
            </w:pPr>
            <w:r>
              <w:rPr>
                <w:rFonts w:ascii="Arial" w:cs="Arial" w:eastAsia="Arial" w:hAnsi="Arial"/>
                <w:sz w:val="18"/>
                <w:szCs w:val="18"/>
                <w:color w:val="auto"/>
              </w:rPr>
              <w:t>Executive Vice President &amp; Chief Financial Officer</w:t>
            </w:r>
          </w:p>
        </w:tc>
      </w:tr>
      <w:tr>
        <w:trPr>
          <w:trHeight w:val="702"/>
        </w:trPr>
        <w:tc>
          <w:tcPr>
            <w:tcW w:w="5500" w:type="dxa"/>
            <w:vAlign w:val="bottom"/>
          </w:tcPr>
          <w:p>
            <w:pPr>
              <w:spacing w:after="0"/>
              <w:rPr>
                <w:sz w:val="24"/>
                <w:szCs w:val="24"/>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w w:val="90"/>
              </w:rPr>
              <w:t>- 63 -</w:t>
            </w:r>
          </w:p>
        </w:tc>
        <w:tc>
          <w:tcPr>
            <w:tcW w:w="5460" w:type="dxa"/>
            <w:vAlign w:val="bottom"/>
          </w:tcPr>
          <w:p>
            <w:pPr>
              <w:spacing w:after="0"/>
              <w:rPr>
                <w:sz w:val="24"/>
                <w:szCs w:val="24"/>
                <w:color w:val="auto"/>
              </w:rPr>
            </w:pPr>
          </w:p>
        </w:tc>
      </w:tr>
    </w:tbl>
    <w:p>
      <w:pPr>
        <w:sectPr>
          <w:pgSz w:w="11900" w:h="16838" w:orient="portrait"/>
          <w:cols w:equalWidth="0" w:num="1">
            <w:col w:w="11420"/>
          </w:cols>
          <w:pgMar w:left="240" w:top="796" w:right="239" w:bottom="1440" w:gutter="0" w:footer="0" w:header="0"/>
        </w:sectPr>
      </w:pPr>
    </w:p>
    <w:bookmarkStart w:id="64" w:name="page65"/>
    <w:bookmarkEnd w:id="64"/>
    <w:p>
      <w:pPr>
        <w:jc w:val="center"/>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00" w:lineRule="exact"/>
        <w:rPr>
          <w:sz w:val="20"/>
          <w:szCs w:val="20"/>
          <w:color w:val="auto"/>
        </w:rPr>
      </w:pPr>
    </w:p>
    <w:p>
      <w:pPr>
        <w:spacing w:after="0" w:line="259" w:lineRule="exact"/>
        <w:rPr>
          <w:sz w:val="20"/>
          <w:szCs w:val="20"/>
          <w:color w:val="auto"/>
        </w:rPr>
      </w:pPr>
    </w:p>
    <w:p>
      <w:pPr>
        <w:spacing w:after="0"/>
        <w:rPr>
          <w:sz w:val="20"/>
          <w:szCs w:val="20"/>
          <w:color w:val="auto"/>
        </w:rPr>
      </w:pPr>
      <w:r>
        <w:rPr>
          <w:rFonts w:ascii="Arial" w:cs="Arial" w:eastAsia="Arial" w:hAnsi="Arial"/>
          <w:sz w:val="18"/>
          <w:szCs w:val="18"/>
          <w:color w:val="auto"/>
        </w:rPr>
        <w:t>To the Board of Directors and Stockholders of</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Greatbatch,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Frisco, Texas</w:t>
      </w:r>
    </w:p>
    <w:p>
      <w:pPr>
        <w:spacing w:after="0" w:line="319" w:lineRule="exact"/>
        <w:rPr>
          <w:sz w:val="20"/>
          <w:szCs w:val="20"/>
          <w:color w:val="auto"/>
        </w:rPr>
      </w:pPr>
    </w:p>
    <w:p>
      <w:pPr>
        <w:ind w:right="180"/>
        <w:spacing w:after="0" w:line="270" w:lineRule="auto"/>
        <w:rPr>
          <w:sz w:val="20"/>
          <w:szCs w:val="20"/>
          <w:color w:val="auto"/>
        </w:rPr>
      </w:pPr>
      <w:r>
        <w:rPr>
          <w:rFonts w:ascii="Arial" w:cs="Arial" w:eastAsia="Arial" w:hAnsi="Arial"/>
          <w:sz w:val="17"/>
          <w:szCs w:val="17"/>
          <w:color w:val="auto"/>
        </w:rPr>
        <w:t xml:space="preserve">We have audited the internal control over financial reporting of Greatbatch, Inc. and subsidiaries (the “Company”) as of January 1, 2016, based on criteria established in </w:t>
      </w:r>
      <w:r>
        <w:rPr>
          <w:rFonts w:ascii="Arial" w:cs="Arial" w:eastAsia="Arial" w:hAnsi="Arial"/>
          <w:sz w:val="17"/>
          <w:szCs w:val="17"/>
          <w:i w:val="1"/>
          <w:iCs w:val="1"/>
          <w:color w:val="auto"/>
        </w:rPr>
        <w:t>Internal Control - Integrated Framework (2013)</w:t>
      </w:r>
      <w:r>
        <w:rPr>
          <w:rFonts w:ascii="Arial" w:cs="Arial" w:eastAsia="Arial" w:hAnsi="Arial"/>
          <w:sz w:val="17"/>
          <w:szCs w:val="17"/>
          <w:color w:val="auto"/>
        </w:rPr>
        <w:t xml:space="preserve"> issued by the Committee of Sponsoring Organizations of the Treadway Commission. As described in Management’s Report on Internal Control Over Financial Reporting, management excluded from its assessment the internal control over financial reporting at Lake Region Medical Holdings, Inc., which was acquired on October 27, 2015 and whose consolidated financial statements constitute 66% of total assets, 17% of revenues, and 229% of net loss of the consolidated financial statement amounts as of and for the year ended January 1, 2016. Accordingly, our audit did not include the internal control over financial reporting at Lake Region Medical Holdings, Inc. The Company’s management is responsible for maintaining effective internal control over financial reporting and for its assessment of the effectiveness of internal control over financial reporting, included in the accompanying Management’s Report on Internal Control Over Financial Reporting. Our responsibility is to express an opinion on the Company’s internal control over financial reporting based on our audit.</w:t>
      </w:r>
    </w:p>
    <w:p>
      <w:pPr>
        <w:spacing w:after="0" w:line="182" w:lineRule="exact"/>
        <w:rPr>
          <w:sz w:val="20"/>
          <w:szCs w:val="20"/>
          <w:color w:val="auto"/>
        </w:rPr>
      </w:pPr>
    </w:p>
    <w:p>
      <w:pPr>
        <w:jc w:val="both"/>
        <w:ind w:right="120"/>
        <w:spacing w:after="0" w:line="276" w:lineRule="auto"/>
        <w:rPr>
          <w:sz w:val="20"/>
          <w:szCs w:val="20"/>
          <w:color w:val="auto"/>
        </w:rPr>
      </w:pPr>
      <w:r>
        <w:rPr>
          <w:rFonts w:ascii="Arial" w:cs="Arial" w:eastAsia="Arial" w:hAnsi="Arial"/>
          <w:sz w:val="17"/>
          <w:szCs w:val="17"/>
          <w:color w:val="auto"/>
        </w:rPr>
        <w:t>We conducted our audit in accordance with the standards of the Public Company Accounting Oversight Board (United States). Those standards require that we plan and perform the audit to obtain reasonable assurance about whether effective internal control over financial reporting was maintained in all material respects. Our audit included obtaining an understanding of internal control over financial reporting, assessing the risk that a material weakness exists, testing and evaluating the design and operating effectiveness of internal control based on the assessed risk, and performing such other procedures as we considered necessary in the circumstances. We believe that our audit provides a reasonable basis for our opinion.</w:t>
      </w:r>
    </w:p>
    <w:p>
      <w:pPr>
        <w:spacing w:after="0" w:line="173" w:lineRule="exact"/>
        <w:rPr>
          <w:sz w:val="20"/>
          <w:szCs w:val="20"/>
          <w:color w:val="auto"/>
        </w:rPr>
      </w:pPr>
    </w:p>
    <w:p>
      <w:pPr>
        <w:ind w:right="40"/>
        <w:spacing w:after="0" w:line="270" w:lineRule="auto"/>
        <w:rPr>
          <w:sz w:val="20"/>
          <w:szCs w:val="20"/>
          <w:color w:val="auto"/>
        </w:rPr>
      </w:pPr>
      <w:r>
        <w:rPr>
          <w:rFonts w:ascii="Arial" w:cs="Arial" w:eastAsia="Arial" w:hAnsi="Arial"/>
          <w:sz w:val="17"/>
          <w:szCs w:val="17"/>
          <w:color w:val="auto"/>
        </w:rPr>
        <w:t>A company’s internal control over financial reporting is a process designed by, or under the supervision of, the company’s principal executive and principal financial officers, or persons performing similar functions, and effected by the company’s board of directors, management, and other personnel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
    <w:p>
      <w:pPr>
        <w:spacing w:after="0" w:line="182" w:lineRule="exact"/>
        <w:rPr>
          <w:sz w:val="20"/>
          <w:szCs w:val="20"/>
          <w:color w:val="auto"/>
        </w:rPr>
      </w:pPr>
    </w:p>
    <w:p>
      <w:pPr>
        <w:ind w:right="380"/>
        <w:spacing w:after="0" w:line="279" w:lineRule="auto"/>
        <w:rPr>
          <w:sz w:val="20"/>
          <w:szCs w:val="20"/>
          <w:color w:val="auto"/>
        </w:rPr>
      </w:pPr>
      <w:r>
        <w:rPr>
          <w:rFonts w:ascii="Arial" w:cs="Arial" w:eastAsia="Arial" w:hAnsi="Arial"/>
          <w:sz w:val="17"/>
          <w:szCs w:val="17"/>
          <w:color w:val="auto"/>
        </w:rPr>
        <w:t>Because of the inherent limitations of internal control over financial reporting, including the possibility of collusion or improper management override of controls, material misstatements due to error or fraud may not be prevented or detected on a timely basis. Also, projections of any evaluation of the effectiveness of the internal control over financial reporting to future periods are subject to the risk that the controls may become inadequate because of changes in conditions, or that the degree of compliance with the policies or procedures may deteriorate.</w:t>
      </w:r>
    </w:p>
    <w:p>
      <w:pPr>
        <w:spacing w:after="0" w:line="171" w:lineRule="exact"/>
        <w:rPr>
          <w:sz w:val="20"/>
          <w:szCs w:val="20"/>
          <w:color w:val="auto"/>
        </w:rPr>
      </w:pPr>
    </w:p>
    <w:p>
      <w:pPr>
        <w:ind w:right="40"/>
        <w:spacing w:after="0" w:line="342" w:lineRule="auto"/>
        <w:rPr>
          <w:sz w:val="20"/>
          <w:szCs w:val="20"/>
          <w:color w:val="auto"/>
        </w:rPr>
      </w:pPr>
      <w:r>
        <w:rPr>
          <w:rFonts w:ascii="Arial" w:cs="Arial" w:eastAsia="Arial" w:hAnsi="Arial"/>
          <w:sz w:val="16"/>
          <w:szCs w:val="16"/>
          <w:color w:val="auto"/>
        </w:rPr>
        <w:t xml:space="preserve">In our opinion, the Company maintained, in all material respects, effective internal control over financial reporting as of January 1, 2016, based on the criteria established in </w:t>
      </w:r>
      <w:r>
        <w:rPr>
          <w:rFonts w:ascii="Arial" w:cs="Arial" w:eastAsia="Arial" w:hAnsi="Arial"/>
          <w:sz w:val="16"/>
          <w:szCs w:val="16"/>
          <w:i w:val="1"/>
          <w:iCs w:val="1"/>
          <w:color w:val="auto"/>
        </w:rPr>
        <w:t>Internal Control - Integrated Framework (2013)</w:t>
      </w:r>
      <w:r>
        <w:rPr>
          <w:rFonts w:ascii="Arial" w:cs="Arial" w:eastAsia="Arial" w:hAnsi="Arial"/>
          <w:sz w:val="16"/>
          <w:szCs w:val="16"/>
          <w:color w:val="auto"/>
        </w:rPr>
        <w:t xml:space="preserve"> issued by the Committee of Sponsoring Organizations of the Treadway Commission.</w:t>
      </w:r>
    </w:p>
    <w:p>
      <w:pPr>
        <w:spacing w:after="0" w:line="16"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We have also audited, in accordance with the standards of the Public Company Accounting Oversight Board (United States), the consolidated financial statements and consolidated financial statement schedule as of and for the year ended January 1, 2016 of the Company and our report dated March 1, 2016 expressed an unqualified opinion on those consolidated financial statements and consolidated financial statement schedule, and included explanatory paragraphs regarding the Company’s changes in method of accounting for its debt issuance costs and deferred income taxes.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/s/ Deloitte &amp; Touche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Williamsville, New York</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March 1, 2016</w:t>
      </w:r>
    </w:p>
    <w:p>
      <w:pPr>
        <w:spacing w:after="0" w:line="200" w:lineRule="exact"/>
        <w:rPr>
          <w:sz w:val="20"/>
          <w:szCs w:val="20"/>
          <w:color w:val="auto"/>
        </w:rPr>
      </w:pPr>
    </w:p>
    <w:p>
      <w:pPr>
        <w:spacing w:after="0" w:line="2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- 64 -</w:t>
      </w:r>
    </w:p>
    <w:p>
      <w:pPr>
        <w:sectPr>
          <w:pgSz w:w="11900" w:h="16838" w:orient="portrait"/>
          <w:cols w:equalWidth="0" w:num="1">
            <w:col w:w="11420"/>
          </w:cols>
          <w:pgMar w:left="240" w:top="796" w:right="239" w:bottom="1440" w:gutter="0" w:footer="0" w:header="0"/>
        </w:sectPr>
      </w:pPr>
    </w:p>
    <w:bookmarkStart w:id="65" w:name="page66"/>
    <w:bookmarkEnd w:id="65"/>
    <w:p>
      <w:pPr>
        <w:jc w:val="center"/>
        <w:ind w:right="-19"/>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00" w:lineRule="exact"/>
        <w:rPr>
          <w:sz w:val="20"/>
          <w:szCs w:val="20"/>
          <w:color w:val="auto"/>
        </w:rPr>
      </w:pPr>
    </w:p>
    <w:p>
      <w:pPr>
        <w:spacing w:after="0" w:line="245" w:lineRule="exact"/>
        <w:rPr>
          <w:sz w:val="20"/>
          <w:szCs w:val="20"/>
          <w:color w:val="auto"/>
        </w:rPr>
      </w:pPr>
    </w:p>
    <w:p>
      <w:pPr>
        <w:spacing w:after="0"/>
        <w:rPr>
          <w:sz w:val="20"/>
          <w:szCs w:val="20"/>
          <w:color w:val="auto"/>
        </w:rPr>
      </w:pPr>
      <w:r>
        <w:rPr>
          <w:rFonts w:ascii="Arial" w:cs="Arial" w:eastAsia="Arial" w:hAnsi="Arial"/>
          <w:sz w:val="18"/>
          <w:szCs w:val="18"/>
          <w:color w:val="auto"/>
        </w:rPr>
        <w:t>To the Board of Directors and Stockholders of</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Greatbatch,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Frisco, Texas</w:t>
      </w:r>
    </w:p>
    <w:p>
      <w:pPr>
        <w:spacing w:after="0" w:line="319" w:lineRule="exact"/>
        <w:rPr>
          <w:sz w:val="20"/>
          <w:szCs w:val="20"/>
          <w:color w:val="auto"/>
        </w:rPr>
      </w:pPr>
    </w:p>
    <w:p>
      <w:pPr>
        <w:ind w:right="60"/>
        <w:spacing w:after="0" w:line="297" w:lineRule="auto"/>
        <w:rPr>
          <w:sz w:val="20"/>
          <w:szCs w:val="20"/>
          <w:color w:val="auto"/>
        </w:rPr>
      </w:pPr>
      <w:r>
        <w:rPr>
          <w:rFonts w:ascii="Arial" w:cs="Arial" w:eastAsia="Arial" w:hAnsi="Arial"/>
          <w:sz w:val="16"/>
          <w:szCs w:val="16"/>
          <w:color w:val="auto"/>
        </w:rPr>
        <w:t>We have audited the accompanying consolidated balance sheets of Greatbatch, Inc. and subsidiaries (the “Company”) as of January 1, 2016 and January 2, 2015, and the related consolidated statements of operations and comprehensive income (loss), cash flows, and stockholders’ equity for each of the three years in the period ended January 1, 2016. Our audits also included the consolidated financial statement schedule listed in the Index at Item 15. These consolidated financial statements and consolidated financial statement schedule are the responsibility of the Company’s management. Our responsibility is to express an opinion on the consolidated financial statements and consolidated financial statement schedule based on our audits.</w:t>
      </w:r>
    </w:p>
    <w:p>
      <w:pPr>
        <w:spacing w:after="0" w:line="158" w:lineRule="exact"/>
        <w:rPr>
          <w:sz w:val="20"/>
          <w:szCs w:val="20"/>
          <w:color w:val="auto"/>
        </w:rPr>
      </w:pPr>
    </w:p>
    <w:p>
      <w:pPr>
        <w:spacing w:after="0" w:line="276" w:lineRule="auto"/>
        <w:rPr>
          <w:sz w:val="20"/>
          <w:szCs w:val="20"/>
          <w:color w:val="auto"/>
        </w:rPr>
      </w:pPr>
      <w:r>
        <w:rPr>
          <w:rFonts w:ascii="Arial" w:cs="Arial" w:eastAsia="Arial" w:hAnsi="Arial"/>
          <w:sz w:val="17"/>
          <w:szCs w:val="17"/>
          <w:color w:val="auto"/>
        </w:rPr>
        <w:t>We conducted our audits in accordance with the standards of the Public Company Accounting Oversight Board (United States). Those standards require that we plan and perform the audits to obtain reasonable assurance about whether the consolidated financial statements are free of material misstatement. An audit includes examining, on a test basis, evidence supporting the amounts and disclosures in the consolidated financial statements. An audit also includes assessing the accounting principles used and significant estimates made by management, as well as evaluating the overall financial statement presentation. We believe that our audits provide a reasonable basis for our opinion.</w:t>
      </w:r>
    </w:p>
    <w:p>
      <w:pPr>
        <w:spacing w:after="0" w:line="173" w:lineRule="exact"/>
        <w:rPr>
          <w:sz w:val="20"/>
          <w:szCs w:val="20"/>
          <w:color w:val="auto"/>
        </w:rPr>
      </w:pPr>
    </w:p>
    <w:p>
      <w:pPr>
        <w:ind w:right="60"/>
        <w:spacing w:after="0" w:line="302" w:lineRule="auto"/>
        <w:rPr>
          <w:sz w:val="20"/>
          <w:szCs w:val="20"/>
          <w:color w:val="auto"/>
        </w:rPr>
      </w:pPr>
      <w:r>
        <w:rPr>
          <w:rFonts w:ascii="Arial" w:cs="Arial" w:eastAsia="Arial" w:hAnsi="Arial"/>
          <w:sz w:val="16"/>
          <w:szCs w:val="16"/>
          <w:color w:val="auto"/>
        </w:rPr>
        <w:t>In our opinion, such consolidated financial statements present fairly, in all material respects, the financial position of the Company as of January 1, 2016 and January 2, 2015, and the results of its operations and its cash flows for each of the three years in the period ended January 1, 2016, in conformity with accounting principles generally accepted in the United States of America. Also, in our opinion, such consolidated financial statement schedule, when considered in relation to the basic consolidated financial statements taken as a whole, presents fairly, in all material respects, the information set forth therein.</w:t>
      </w:r>
    </w:p>
    <w:p>
      <w:pPr>
        <w:spacing w:after="0" w:line="154" w:lineRule="exact"/>
        <w:rPr>
          <w:sz w:val="20"/>
          <w:szCs w:val="20"/>
          <w:color w:val="auto"/>
        </w:rPr>
      </w:pPr>
    </w:p>
    <w:p>
      <w:pPr>
        <w:ind w:right="100"/>
        <w:spacing w:after="0" w:line="286" w:lineRule="auto"/>
        <w:rPr>
          <w:sz w:val="20"/>
          <w:szCs w:val="20"/>
          <w:color w:val="auto"/>
        </w:rPr>
      </w:pPr>
      <w:r>
        <w:rPr>
          <w:rFonts w:ascii="Arial" w:cs="Arial" w:eastAsia="Arial" w:hAnsi="Arial"/>
          <w:sz w:val="17"/>
          <w:szCs w:val="17"/>
          <w:color w:val="auto"/>
        </w:rPr>
        <w:t xml:space="preserve">As discussed in Note 1 to the consolidated financial statements, the Company changed its method of accounting for debt issuance costs as of January 1, 2016 and January 2, 2015 due to the adoption of Accounting Standards Update (“ASU”) No. 2015-03, </w:t>
      </w:r>
      <w:r>
        <w:rPr>
          <w:rFonts w:ascii="Arial" w:cs="Arial" w:eastAsia="Arial" w:hAnsi="Arial"/>
          <w:sz w:val="17"/>
          <w:szCs w:val="17"/>
          <w:i w:val="1"/>
          <w:iCs w:val="1"/>
          <w:color w:val="auto"/>
        </w:rPr>
        <w:t>Simplifying the Presentation of Debt Issuance Costs</w:t>
      </w:r>
      <w:r>
        <w:rPr>
          <w:rFonts w:ascii="Arial" w:cs="Arial" w:eastAsia="Arial" w:hAnsi="Arial"/>
          <w:sz w:val="17"/>
          <w:szCs w:val="17"/>
          <w:color w:val="auto"/>
        </w:rPr>
        <w:t xml:space="preserve"> and ASU No. 2015-15, </w:t>
      </w:r>
      <w:r>
        <w:rPr>
          <w:rFonts w:ascii="Arial" w:cs="Arial" w:eastAsia="Arial" w:hAnsi="Arial"/>
          <w:sz w:val="17"/>
          <w:szCs w:val="17"/>
          <w:i w:val="1"/>
          <w:iCs w:val="1"/>
          <w:color w:val="auto"/>
        </w:rPr>
        <w:t>Presentation and Subsequent Measurement of Debt Issuance Costs Associated with Line-of-Credit Arrangements</w:t>
      </w:r>
      <w:r>
        <w:rPr>
          <w:rFonts w:ascii="Arial" w:cs="Arial" w:eastAsia="Arial" w:hAnsi="Arial"/>
          <w:sz w:val="17"/>
          <w:szCs w:val="17"/>
          <w:color w:val="auto"/>
        </w:rPr>
        <w:t>.</w:t>
      </w:r>
    </w:p>
    <w:p>
      <w:pPr>
        <w:spacing w:after="0" w:line="166" w:lineRule="exact"/>
        <w:rPr>
          <w:sz w:val="20"/>
          <w:szCs w:val="20"/>
          <w:color w:val="auto"/>
        </w:rPr>
      </w:pPr>
    </w:p>
    <w:p>
      <w:pPr>
        <w:ind w:right="280"/>
        <w:spacing w:after="0" w:line="277" w:lineRule="auto"/>
        <w:rPr>
          <w:sz w:val="20"/>
          <w:szCs w:val="20"/>
          <w:color w:val="auto"/>
        </w:rPr>
      </w:pPr>
      <w:r>
        <w:rPr>
          <w:rFonts w:ascii="Arial" w:cs="Arial" w:eastAsia="Arial" w:hAnsi="Arial"/>
          <w:sz w:val="18"/>
          <w:szCs w:val="18"/>
          <w:color w:val="auto"/>
        </w:rPr>
        <w:t xml:space="preserve">As discussed in Note 1 to the consolidated financial statements, the Company changed its method of accounting for deferred income taxes as of January 1, 2016 due to the adoption of Accounting Standards Update No. </w:t>
      </w:r>
      <w:r>
        <w:rPr>
          <w:rFonts w:ascii="Arial" w:cs="Arial" w:eastAsia="Arial" w:hAnsi="Arial"/>
          <w:sz w:val="18"/>
          <w:szCs w:val="18"/>
          <w:color w:val="313131"/>
        </w:rPr>
        <w:t>2015-17,</w:t>
      </w:r>
      <w:r>
        <w:rPr>
          <w:rFonts w:ascii="Arial" w:cs="Arial" w:eastAsia="Arial" w:hAnsi="Arial"/>
          <w:sz w:val="18"/>
          <w:szCs w:val="18"/>
          <w:color w:val="auto"/>
        </w:rPr>
        <w:t xml:space="preserve"> </w:t>
      </w:r>
      <w:r>
        <w:rPr>
          <w:rFonts w:ascii="Arial" w:cs="Arial" w:eastAsia="Arial" w:hAnsi="Arial"/>
          <w:sz w:val="18"/>
          <w:szCs w:val="18"/>
          <w:i w:val="1"/>
          <w:iCs w:val="1"/>
          <w:color w:val="313131"/>
        </w:rPr>
        <w:t>Balance Sheet Classification of Deferred Taxes</w:t>
      </w:r>
      <w:r>
        <w:rPr>
          <w:rFonts w:ascii="Arial" w:cs="Arial" w:eastAsia="Arial" w:hAnsi="Arial"/>
          <w:sz w:val="18"/>
          <w:szCs w:val="18"/>
          <w:color w:val="313131"/>
        </w:rPr>
        <w:t>.</w:t>
      </w:r>
    </w:p>
    <w:p>
      <w:pPr>
        <w:spacing w:after="0" w:line="62" w:lineRule="exact"/>
        <w:rPr>
          <w:sz w:val="20"/>
          <w:szCs w:val="20"/>
          <w:color w:val="auto"/>
        </w:rPr>
      </w:pPr>
    </w:p>
    <w:p>
      <w:pPr>
        <w:jc w:val="both"/>
        <w:ind w:right="160"/>
        <w:spacing w:after="0" w:line="259" w:lineRule="auto"/>
        <w:rPr>
          <w:sz w:val="20"/>
          <w:szCs w:val="20"/>
          <w:color w:val="auto"/>
        </w:rPr>
      </w:pPr>
      <w:r>
        <w:rPr>
          <w:rFonts w:ascii="Arial" w:cs="Arial" w:eastAsia="Arial" w:hAnsi="Arial"/>
          <w:sz w:val="18"/>
          <w:szCs w:val="18"/>
          <w:color w:val="auto"/>
        </w:rPr>
        <w:t xml:space="preserve">We have also audited, in accordance with the standards of the Public Company Accounting Oversight Board (United States), the Company’s internal control over financial reporting as of January 1, 2016, based on the criteria established in </w:t>
      </w:r>
      <w:r>
        <w:rPr>
          <w:rFonts w:ascii="Arial" w:cs="Arial" w:eastAsia="Arial" w:hAnsi="Arial"/>
          <w:sz w:val="18"/>
          <w:szCs w:val="18"/>
          <w:i w:val="1"/>
          <w:iCs w:val="1"/>
          <w:color w:val="auto"/>
        </w:rPr>
        <w:t>Internal Control</w:t>
      </w:r>
      <w:r>
        <w:rPr>
          <w:rFonts w:ascii="Arial" w:cs="Arial" w:eastAsia="Arial" w:hAnsi="Arial"/>
          <w:sz w:val="18"/>
          <w:szCs w:val="18"/>
          <w:color w:val="auto"/>
        </w:rPr>
        <w:t xml:space="preserve"> – </w:t>
      </w:r>
      <w:r>
        <w:rPr>
          <w:rFonts w:ascii="Arial" w:cs="Arial" w:eastAsia="Arial" w:hAnsi="Arial"/>
          <w:sz w:val="18"/>
          <w:szCs w:val="18"/>
          <w:i w:val="1"/>
          <w:iCs w:val="1"/>
          <w:color w:val="auto"/>
        </w:rPr>
        <w:t>Integrated Framework (2013)</w:t>
      </w:r>
      <w:r>
        <w:rPr>
          <w:rFonts w:ascii="Arial" w:cs="Arial" w:eastAsia="Arial" w:hAnsi="Arial"/>
          <w:sz w:val="18"/>
          <w:szCs w:val="18"/>
          <w:color w:val="auto"/>
        </w:rPr>
        <w:t xml:space="preserve"> issued by the Committee of Sponsoring Organizations of the Treadway Commission and our report dated March 1, 2016 expressed an unqualified opinion on the Company’s internal control over financial reporting.</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/s/ Deloitte &amp; Touche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Williamsville, New York</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March 1, 2016</w:t>
      </w:r>
    </w:p>
    <w:p>
      <w:pPr>
        <w:spacing w:after="0" w:line="200" w:lineRule="exact"/>
        <w:rPr>
          <w:sz w:val="20"/>
          <w:szCs w:val="20"/>
          <w:color w:val="auto"/>
        </w:rPr>
      </w:pPr>
    </w:p>
    <w:p>
      <w:pPr>
        <w:spacing w:after="0" w:line="25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- 65 -</w:t>
      </w:r>
    </w:p>
    <w:p>
      <w:pPr>
        <w:sectPr>
          <w:pgSz w:w="11900" w:h="16838" w:orient="portrait"/>
          <w:cols w:equalWidth="0" w:num="1">
            <w:col w:w="11420"/>
          </w:cols>
          <w:pgMar w:left="240" w:top="796" w:right="239" w:bottom="1440" w:gutter="0" w:footer="0" w:header="0"/>
        </w:sectPr>
      </w:pPr>
    </w:p>
    <w:bookmarkStart w:id="66" w:name="page67"/>
    <w:bookmarkEnd w:id="66"/>
    <w:p>
      <w:pPr>
        <w:jc w:val="center"/>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BALANCE SHEETS</w:t>
      </w:r>
    </w:p>
    <w:p>
      <w:pPr>
        <w:spacing w:after="0" w:line="14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34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spacing w:after="0"/>
              <w:rPr>
                <w:sz w:val="16"/>
                <w:szCs w:val="16"/>
                <w:color w:val="auto"/>
              </w:rPr>
            </w:pPr>
          </w:p>
        </w:tc>
        <w:tc>
          <w:tcPr>
            <w:tcW w:w="400" w:type="dxa"/>
            <w:vAlign w:val="bottom"/>
            <w:tcBorders>
              <w:bottom w:val="single" w:sz="8" w:color="auto"/>
            </w:tcBorders>
            <w:gridSpan w:val="3"/>
          </w:tcPr>
          <w:p>
            <w:pPr>
              <w:jc w:val="right"/>
              <w:ind w:right="150"/>
              <w:spacing w:after="0"/>
              <w:rPr>
                <w:sz w:val="20"/>
                <w:szCs w:val="20"/>
                <w:color w:val="auto"/>
              </w:rPr>
            </w:pPr>
            <w:r>
              <w:rPr>
                <w:rFonts w:ascii="Arial" w:cs="Arial" w:eastAsia="Arial" w:hAnsi="Arial"/>
                <w:sz w:val="14"/>
                <w:szCs w:val="14"/>
                <w:b w:val="1"/>
                <w:bCs w:val="1"/>
                <w:color w:val="auto"/>
                <w:w w:val="94"/>
              </w:rPr>
              <w:t>At</w:t>
            </w:r>
          </w:p>
        </w:tc>
        <w:tc>
          <w:tcPr>
            <w:tcW w:w="12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834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(in thousands except share and per share data)</w:t>
            </w:r>
          </w:p>
        </w:tc>
        <w:tc>
          <w:tcPr>
            <w:tcW w:w="260" w:type="dxa"/>
            <w:vAlign w:val="bottom"/>
          </w:tcPr>
          <w:p>
            <w:pPr>
              <w:spacing w:after="0"/>
              <w:rPr>
                <w:sz w:val="13"/>
                <w:szCs w:val="13"/>
                <w:color w:val="auto"/>
              </w:rPr>
            </w:pPr>
          </w:p>
        </w:tc>
        <w:tc>
          <w:tcPr>
            <w:tcW w:w="1200" w:type="dxa"/>
            <w:vAlign w:val="bottom"/>
          </w:tcPr>
          <w:p>
            <w:pPr>
              <w:jc w:val="right"/>
              <w:ind w:right="311"/>
              <w:spacing w:after="0" w:line="153" w:lineRule="exact"/>
              <w:rPr>
                <w:sz w:val="20"/>
                <w:szCs w:val="20"/>
                <w:color w:val="auto"/>
              </w:rPr>
            </w:pPr>
            <w:r>
              <w:rPr>
                <w:rFonts w:ascii="Arial" w:cs="Arial" w:eastAsia="Arial" w:hAnsi="Arial"/>
                <w:sz w:val="14"/>
                <w:szCs w:val="14"/>
                <w:b w:val="1"/>
                <w:bCs w:val="1"/>
                <w:color w:val="auto"/>
              </w:rPr>
              <w:t>January 1,</w:t>
            </w: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220" w:type="dxa"/>
            <w:vAlign w:val="bottom"/>
          </w:tcPr>
          <w:p>
            <w:pPr>
              <w:jc w:val="right"/>
              <w:ind w:right="331"/>
              <w:spacing w:after="0" w:line="153" w:lineRule="exact"/>
              <w:rPr>
                <w:sz w:val="20"/>
                <w:szCs w:val="20"/>
                <w:color w:val="auto"/>
              </w:rPr>
            </w:pPr>
            <w:r>
              <w:rPr>
                <w:rFonts w:ascii="Arial" w:cs="Arial" w:eastAsia="Arial" w:hAnsi="Arial"/>
                <w:sz w:val="14"/>
                <w:szCs w:val="14"/>
                <w:b w:val="1"/>
                <w:bCs w:val="1"/>
                <w:color w:val="auto"/>
              </w:rPr>
              <w:t>January 2,</w:t>
            </w:r>
          </w:p>
        </w:tc>
        <w:tc>
          <w:tcPr>
            <w:tcW w:w="0" w:type="dxa"/>
            <w:vAlign w:val="bottom"/>
          </w:tcPr>
          <w:p>
            <w:pPr>
              <w:spacing w:after="0"/>
              <w:rPr>
                <w:sz w:val="1"/>
                <w:szCs w:val="1"/>
                <w:color w:val="auto"/>
              </w:rPr>
            </w:pPr>
          </w:p>
        </w:tc>
      </w:tr>
      <w:tr>
        <w:trPr>
          <w:trHeight w:val="192"/>
        </w:trPr>
        <w:tc>
          <w:tcPr>
            <w:tcW w:w="8340" w:type="dxa"/>
            <w:vAlign w:val="bottom"/>
            <w:tcBorders>
              <w:bottom w:val="single" w:sz="8" w:color="CCEEFF"/>
            </w:tcBorders>
            <w:vMerge w:val="continue"/>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471"/>
              <w:spacing w:after="0"/>
              <w:rPr>
                <w:sz w:val="20"/>
                <w:szCs w:val="20"/>
                <w:color w:val="auto"/>
              </w:rPr>
            </w:pPr>
            <w:r>
              <w:rPr>
                <w:rFonts w:ascii="Arial" w:cs="Arial" w:eastAsia="Arial" w:hAnsi="Arial"/>
                <w:sz w:val="14"/>
                <w:szCs w:val="14"/>
                <w:b w:val="1"/>
                <w:bCs w:val="1"/>
                <w:color w:val="auto"/>
              </w:rPr>
              <w:t>2016</w:t>
            </w:r>
          </w:p>
        </w:tc>
        <w:tc>
          <w:tcPr>
            <w:tcW w:w="4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2015</w:t>
            </w:r>
          </w:p>
        </w:tc>
        <w:tc>
          <w:tcPr>
            <w:tcW w:w="0" w:type="dxa"/>
            <w:vAlign w:val="bottom"/>
          </w:tcPr>
          <w:p>
            <w:pPr>
              <w:spacing w:after="0"/>
              <w:rPr>
                <w:sz w:val="1"/>
                <w:szCs w:val="1"/>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ASSETS</w:t>
            </w:r>
          </w:p>
        </w:tc>
        <w:tc>
          <w:tcPr>
            <w:tcW w:w="2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Current assets:</w:t>
            </w:r>
          </w:p>
        </w:tc>
        <w:tc>
          <w:tcPr>
            <w:tcW w:w="26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Cash and cash equivalents</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82,478</w:t>
            </w:r>
          </w:p>
        </w:tc>
        <w:tc>
          <w:tcPr>
            <w:tcW w:w="400" w:type="dxa"/>
            <w:vAlign w:val="bottom"/>
            <w:tcBorders>
              <w:bottom w:val="single" w:sz="8" w:color="CCEEFF"/>
            </w:tcBorders>
            <w:gridSpan w:val="3"/>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76,824</w:t>
            </w:r>
          </w:p>
        </w:tc>
        <w:tc>
          <w:tcPr>
            <w:tcW w:w="0" w:type="dxa"/>
            <w:vAlign w:val="bottom"/>
          </w:tcPr>
          <w:p>
            <w:pPr>
              <w:spacing w:after="0"/>
              <w:rPr>
                <w:sz w:val="1"/>
                <w:szCs w:val="1"/>
                <w:color w:val="auto"/>
              </w:rPr>
            </w:pPr>
          </w:p>
        </w:tc>
      </w:tr>
      <w:tr>
        <w:trPr>
          <w:trHeight w:val="243"/>
        </w:trPr>
        <w:tc>
          <w:tcPr>
            <w:tcW w:w="8340" w:type="dxa"/>
            <w:vAlign w:val="bottom"/>
          </w:tcPr>
          <w:p>
            <w:pPr>
              <w:ind w:left="380"/>
              <w:spacing w:after="0"/>
              <w:rPr>
                <w:sz w:val="20"/>
                <w:szCs w:val="20"/>
                <w:color w:val="auto"/>
              </w:rPr>
            </w:pPr>
            <w:r>
              <w:rPr>
                <w:rFonts w:ascii="Arial" w:cs="Arial" w:eastAsia="Arial" w:hAnsi="Arial"/>
                <w:sz w:val="18"/>
                <w:szCs w:val="18"/>
                <w:color w:val="auto"/>
                <w:w w:val="93"/>
              </w:rPr>
              <w:t>Accounts receivable, net of allowance for doubtful accounts of $1.0 million in 2015 and $1.4 million in 2014</w:t>
            </w:r>
          </w:p>
        </w:tc>
        <w:tc>
          <w:tcPr>
            <w:tcW w:w="2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207,342</w:t>
            </w: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11"/>
              <w:spacing w:after="0"/>
              <w:rPr>
                <w:sz w:val="20"/>
                <w:szCs w:val="20"/>
                <w:color w:val="auto"/>
              </w:rPr>
            </w:pPr>
            <w:r>
              <w:rPr>
                <w:rFonts w:ascii="Arial" w:cs="Arial" w:eastAsia="Arial" w:hAnsi="Arial"/>
                <w:sz w:val="18"/>
                <w:szCs w:val="18"/>
                <w:color w:val="auto"/>
              </w:rPr>
              <w:t>124,953</w:t>
            </w: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Inventories</w:t>
            </w:r>
          </w:p>
        </w:tc>
        <w:tc>
          <w:tcPr>
            <w:tcW w:w="2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252,166</w:t>
            </w:r>
          </w:p>
        </w:tc>
        <w:tc>
          <w:tcPr>
            <w:tcW w:w="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129,242</w:t>
            </w:r>
          </w:p>
        </w:tc>
        <w:tc>
          <w:tcPr>
            <w:tcW w:w="0" w:type="dxa"/>
            <w:vAlign w:val="bottom"/>
          </w:tcPr>
          <w:p>
            <w:pPr>
              <w:spacing w:after="0"/>
              <w:rPr>
                <w:sz w:val="1"/>
                <w:szCs w:val="1"/>
                <w:color w:val="auto"/>
              </w:rPr>
            </w:pPr>
          </w:p>
        </w:tc>
      </w:tr>
      <w:tr>
        <w:trPr>
          <w:trHeight w:val="243"/>
        </w:trPr>
        <w:tc>
          <w:tcPr>
            <w:tcW w:w="8340" w:type="dxa"/>
            <w:vAlign w:val="bottom"/>
          </w:tcPr>
          <w:p>
            <w:pPr>
              <w:ind w:left="380"/>
              <w:spacing w:after="0"/>
              <w:rPr>
                <w:sz w:val="20"/>
                <w:szCs w:val="20"/>
                <w:color w:val="auto"/>
              </w:rPr>
            </w:pPr>
            <w:r>
              <w:rPr>
                <w:rFonts w:ascii="Arial" w:cs="Arial" w:eastAsia="Arial" w:hAnsi="Arial"/>
                <w:sz w:val="18"/>
                <w:szCs w:val="18"/>
                <w:color w:val="auto"/>
              </w:rPr>
              <w:t>Refundable income taxes</w:t>
            </w:r>
          </w:p>
        </w:tc>
        <w:tc>
          <w:tcPr>
            <w:tcW w:w="2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11,730</w:t>
            </w: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11"/>
              <w:spacing w:after="0"/>
              <w:rPr>
                <w:sz w:val="20"/>
                <w:szCs w:val="20"/>
                <w:color w:val="auto"/>
              </w:rPr>
            </w:pPr>
            <w:r>
              <w:rPr>
                <w:rFonts w:ascii="Arial" w:cs="Arial" w:eastAsia="Arial" w:hAnsi="Arial"/>
                <w:sz w:val="18"/>
                <w:szCs w:val="18"/>
                <w:color w:val="auto"/>
              </w:rPr>
              <w:t>1,716</w:t>
            </w: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Deferred income taxes</w:t>
            </w:r>
          </w:p>
        </w:tc>
        <w:tc>
          <w:tcPr>
            <w:tcW w:w="2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6,168</w:t>
            </w:r>
          </w:p>
        </w:tc>
        <w:tc>
          <w:tcPr>
            <w:tcW w:w="0" w:type="dxa"/>
            <w:vAlign w:val="bottom"/>
          </w:tcPr>
          <w:p>
            <w:pPr>
              <w:spacing w:after="0"/>
              <w:rPr>
                <w:sz w:val="1"/>
                <w:szCs w:val="1"/>
                <w:color w:val="auto"/>
              </w:rPr>
            </w:pPr>
          </w:p>
        </w:tc>
      </w:tr>
      <w:tr>
        <w:trPr>
          <w:trHeight w:val="243"/>
        </w:trPr>
        <w:tc>
          <w:tcPr>
            <w:tcW w:w="8340" w:type="dxa"/>
            <w:vAlign w:val="bottom"/>
          </w:tcPr>
          <w:p>
            <w:pPr>
              <w:ind w:left="380"/>
              <w:spacing w:after="0"/>
              <w:rPr>
                <w:sz w:val="20"/>
                <w:szCs w:val="20"/>
                <w:color w:val="auto"/>
              </w:rPr>
            </w:pPr>
            <w:r>
              <w:rPr>
                <w:rFonts w:ascii="Arial" w:cs="Arial" w:eastAsia="Arial" w:hAnsi="Arial"/>
                <w:sz w:val="18"/>
                <w:szCs w:val="18"/>
                <w:color w:val="auto"/>
              </w:rPr>
              <w:t>Prepaid expenses and other current assets</w:t>
            </w:r>
          </w:p>
        </w:tc>
        <w:tc>
          <w:tcPr>
            <w:tcW w:w="2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20,888</w:t>
            </w: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11"/>
              <w:spacing w:after="0"/>
              <w:rPr>
                <w:sz w:val="20"/>
                <w:szCs w:val="20"/>
                <w:color w:val="auto"/>
              </w:rPr>
            </w:pPr>
            <w:r>
              <w:rPr>
                <w:rFonts w:ascii="Arial" w:cs="Arial" w:eastAsia="Arial" w:hAnsi="Arial"/>
                <w:sz w:val="18"/>
                <w:szCs w:val="18"/>
                <w:color w:val="auto"/>
              </w:rPr>
              <w:t>11,780</w:t>
            </w:r>
          </w:p>
        </w:tc>
        <w:tc>
          <w:tcPr>
            <w:tcW w:w="0" w:type="dxa"/>
            <w:vAlign w:val="bottom"/>
          </w:tcPr>
          <w:p>
            <w:pPr>
              <w:spacing w:after="0"/>
              <w:rPr>
                <w:sz w:val="1"/>
                <w:szCs w:val="1"/>
                <w:color w:val="auto"/>
              </w:rPr>
            </w:pPr>
          </w:p>
        </w:tc>
      </w:tr>
      <w:tr>
        <w:trPr>
          <w:trHeight w:val="27"/>
        </w:trPr>
        <w:tc>
          <w:tcPr>
            <w:tcW w:w="83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34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color w:val="auto"/>
              </w:rPr>
              <w:t>Total current assets</w:t>
            </w:r>
          </w:p>
        </w:tc>
        <w:tc>
          <w:tcPr>
            <w:tcW w:w="2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574,604</w:t>
            </w:r>
          </w:p>
        </w:tc>
        <w:tc>
          <w:tcPr>
            <w:tcW w:w="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350,683</w:t>
            </w:r>
          </w:p>
        </w:tc>
        <w:tc>
          <w:tcPr>
            <w:tcW w:w="0" w:type="dxa"/>
            <w:vAlign w:val="bottom"/>
          </w:tcPr>
          <w:p>
            <w:pPr>
              <w:spacing w:after="0"/>
              <w:rPr>
                <w:sz w:val="1"/>
                <w:szCs w:val="1"/>
                <w:color w:val="auto"/>
              </w:rPr>
            </w:pP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Property, plant and equipment, net</w:t>
            </w:r>
          </w:p>
        </w:tc>
        <w:tc>
          <w:tcPr>
            <w:tcW w:w="2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379,492</w:t>
            </w: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11"/>
              <w:spacing w:after="0"/>
              <w:rPr>
                <w:sz w:val="20"/>
                <w:szCs w:val="20"/>
                <w:color w:val="auto"/>
              </w:rPr>
            </w:pPr>
            <w:r>
              <w:rPr>
                <w:rFonts w:ascii="Arial" w:cs="Arial" w:eastAsia="Arial" w:hAnsi="Arial"/>
                <w:sz w:val="18"/>
                <w:szCs w:val="18"/>
                <w:color w:val="auto"/>
              </w:rPr>
              <w:t>144,925</w:t>
            </w: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Amortizing intangible assets, net</w:t>
            </w:r>
          </w:p>
        </w:tc>
        <w:tc>
          <w:tcPr>
            <w:tcW w:w="2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893,977</w:t>
            </w:r>
          </w:p>
        </w:tc>
        <w:tc>
          <w:tcPr>
            <w:tcW w:w="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65,337</w:t>
            </w:r>
          </w:p>
        </w:tc>
        <w:tc>
          <w:tcPr>
            <w:tcW w:w="0" w:type="dxa"/>
            <w:vAlign w:val="bottom"/>
          </w:tcPr>
          <w:p>
            <w:pPr>
              <w:spacing w:after="0"/>
              <w:rPr>
                <w:sz w:val="1"/>
                <w:szCs w:val="1"/>
                <w:color w:val="auto"/>
              </w:rPr>
            </w:pP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Indefinite-lived intangible assets</w:t>
            </w:r>
          </w:p>
        </w:tc>
        <w:tc>
          <w:tcPr>
            <w:tcW w:w="2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90,288</w:t>
            </w: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11"/>
              <w:spacing w:after="0"/>
              <w:rPr>
                <w:sz w:val="20"/>
                <w:szCs w:val="20"/>
                <w:color w:val="auto"/>
              </w:rPr>
            </w:pPr>
            <w:r>
              <w:rPr>
                <w:rFonts w:ascii="Arial" w:cs="Arial" w:eastAsia="Arial" w:hAnsi="Arial"/>
                <w:sz w:val="18"/>
                <w:szCs w:val="18"/>
                <w:color w:val="auto"/>
              </w:rPr>
              <w:t>20,288</w:t>
            </w: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Goodwill</w:t>
            </w:r>
          </w:p>
        </w:tc>
        <w:tc>
          <w:tcPr>
            <w:tcW w:w="2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1,013,570</w:t>
            </w:r>
          </w:p>
        </w:tc>
        <w:tc>
          <w:tcPr>
            <w:tcW w:w="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354,393</w:t>
            </w:r>
          </w:p>
        </w:tc>
        <w:tc>
          <w:tcPr>
            <w:tcW w:w="0" w:type="dxa"/>
            <w:vAlign w:val="bottom"/>
          </w:tcPr>
          <w:p>
            <w:pPr>
              <w:spacing w:after="0"/>
              <w:rPr>
                <w:sz w:val="1"/>
                <w:szCs w:val="1"/>
                <w:color w:val="auto"/>
              </w:rPr>
            </w:pP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Deferred income taxes</w:t>
            </w:r>
          </w:p>
        </w:tc>
        <w:tc>
          <w:tcPr>
            <w:tcW w:w="2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3,587</w:t>
            </w: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11"/>
              <w:spacing w:after="0"/>
              <w:rPr>
                <w:sz w:val="20"/>
                <w:szCs w:val="20"/>
                <w:color w:val="auto"/>
              </w:rPr>
            </w:pPr>
            <w:r>
              <w:rPr>
                <w:rFonts w:ascii="Arial" w:cs="Arial" w:eastAsia="Arial" w:hAnsi="Arial"/>
                <w:sz w:val="18"/>
                <w:szCs w:val="18"/>
                <w:color w:val="auto"/>
              </w:rPr>
              <w:t>2,626</w:t>
            </w: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assets</w:t>
            </w:r>
          </w:p>
        </w:tc>
        <w:tc>
          <w:tcPr>
            <w:tcW w:w="2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26,618</w:t>
            </w:r>
          </w:p>
        </w:tc>
        <w:tc>
          <w:tcPr>
            <w:tcW w:w="4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16,870</w:t>
            </w:r>
          </w:p>
        </w:tc>
        <w:tc>
          <w:tcPr>
            <w:tcW w:w="0" w:type="dxa"/>
            <w:vAlign w:val="bottom"/>
          </w:tcPr>
          <w:p>
            <w:pPr>
              <w:spacing w:after="0"/>
              <w:rPr>
                <w:sz w:val="1"/>
                <w:szCs w:val="1"/>
                <w:color w:val="auto"/>
              </w:rPr>
            </w:pPr>
          </w:p>
        </w:tc>
      </w:tr>
      <w:tr>
        <w:trPr>
          <w:trHeight w:val="297"/>
        </w:trPr>
        <w:tc>
          <w:tcPr>
            <w:tcW w:w="8340" w:type="dxa"/>
            <w:vAlign w:val="bottom"/>
            <w:tcBorders>
              <w:bottom w:val="single" w:sz="8" w:color="CCEEFF"/>
            </w:tcBorders>
          </w:tcPr>
          <w:p>
            <w:pPr>
              <w:ind w:left="720"/>
              <w:spacing w:after="0"/>
              <w:rPr>
                <w:sz w:val="20"/>
                <w:szCs w:val="20"/>
                <w:color w:val="auto"/>
              </w:rPr>
            </w:pPr>
            <w:r>
              <w:rPr>
                <w:rFonts w:ascii="Arial" w:cs="Arial" w:eastAsia="Arial" w:hAnsi="Arial"/>
                <w:sz w:val="18"/>
                <w:szCs w:val="18"/>
                <w:color w:val="auto"/>
              </w:rPr>
              <w:t>Total assets</w:t>
            </w:r>
          </w:p>
        </w:tc>
        <w:tc>
          <w:tcPr>
            <w:tcW w:w="26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2,982,136</w:t>
            </w:r>
          </w:p>
        </w:tc>
        <w:tc>
          <w:tcPr>
            <w:tcW w:w="40" w:type="dxa"/>
            <w:vAlign w:val="bottom"/>
            <w:tcBorders>
              <w:top w:val="single" w:sz="8" w:color="auto"/>
              <w:bottom w:val="single" w:sz="8" w:color="auto"/>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26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955,122</w:t>
            </w:r>
          </w:p>
        </w:tc>
        <w:tc>
          <w:tcPr>
            <w:tcW w:w="0" w:type="dxa"/>
            <w:vAlign w:val="bottom"/>
          </w:tcPr>
          <w:p>
            <w:pPr>
              <w:spacing w:after="0"/>
              <w:rPr>
                <w:sz w:val="1"/>
                <w:szCs w:val="1"/>
                <w:color w:val="auto"/>
              </w:rPr>
            </w:pPr>
          </w:p>
        </w:tc>
      </w:tr>
      <w:tr>
        <w:trPr>
          <w:trHeight w:val="237"/>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LIABILITIES AND STOCKHOLDERS’ EQUITY</w:t>
            </w:r>
          </w:p>
        </w:tc>
        <w:tc>
          <w:tcPr>
            <w:tcW w:w="2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spacing w:after="0"/>
              <w:rPr>
                <w:sz w:val="20"/>
                <w:szCs w:val="20"/>
                <w:color w:val="auto"/>
              </w:rPr>
            </w:pPr>
          </w:p>
        </w:tc>
        <w:tc>
          <w:tcPr>
            <w:tcW w:w="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Current liabilities:</w:t>
            </w:r>
          </w:p>
        </w:tc>
        <w:tc>
          <w:tcPr>
            <w:tcW w:w="26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Current portion of long-term debt</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29,000</w:t>
            </w:r>
          </w:p>
        </w:tc>
        <w:tc>
          <w:tcPr>
            <w:tcW w:w="400" w:type="dxa"/>
            <w:vAlign w:val="bottom"/>
            <w:tcBorders>
              <w:bottom w:val="single" w:sz="8" w:color="CCEEFF"/>
            </w:tcBorders>
            <w:gridSpan w:val="3"/>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11,250</w:t>
            </w:r>
          </w:p>
        </w:tc>
        <w:tc>
          <w:tcPr>
            <w:tcW w:w="0" w:type="dxa"/>
            <w:vAlign w:val="bottom"/>
          </w:tcPr>
          <w:p>
            <w:pPr>
              <w:spacing w:after="0"/>
              <w:rPr>
                <w:sz w:val="1"/>
                <w:szCs w:val="1"/>
                <w:color w:val="auto"/>
              </w:rPr>
            </w:pPr>
          </w:p>
        </w:tc>
      </w:tr>
      <w:tr>
        <w:trPr>
          <w:trHeight w:val="243"/>
        </w:trPr>
        <w:tc>
          <w:tcPr>
            <w:tcW w:w="8340" w:type="dxa"/>
            <w:vAlign w:val="bottom"/>
          </w:tcPr>
          <w:p>
            <w:pPr>
              <w:ind w:left="380"/>
              <w:spacing w:after="0"/>
              <w:rPr>
                <w:sz w:val="20"/>
                <w:szCs w:val="20"/>
                <w:color w:val="auto"/>
              </w:rPr>
            </w:pPr>
            <w:r>
              <w:rPr>
                <w:rFonts w:ascii="Arial" w:cs="Arial" w:eastAsia="Arial" w:hAnsi="Arial"/>
                <w:sz w:val="18"/>
                <w:szCs w:val="18"/>
                <w:color w:val="auto"/>
              </w:rPr>
              <w:t>Accounts payable</w:t>
            </w:r>
          </w:p>
        </w:tc>
        <w:tc>
          <w:tcPr>
            <w:tcW w:w="2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84,362</w:t>
            </w: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11"/>
              <w:spacing w:after="0"/>
              <w:rPr>
                <w:sz w:val="20"/>
                <w:szCs w:val="20"/>
                <w:color w:val="auto"/>
              </w:rPr>
            </w:pPr>
            <w:r>
              <w:rPr>
                <w:rFonts w:ascii="Arial" w:cs="Arial" w:eastAsia="Arial" w:hAnsi="Arial"/>
                <w:sz w:val="18"/>
                <w:szCs w:val="18"/>
                <w:color w:val="auto"/>
              </w:rPr>
              <w:t>46,436</w:t>
            </w: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Income taxes payable</w:t>
            </w:r>
          </w:p>
        </w:tc>
        <w:tc>
          <w:tcPr>
            <w:tcW w:w="2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3,221</w:t>
            </w:r>
          </w:p>
        </w:tc>
        <w:tc>
          <w:tcPr>
            <w:tcW w:w="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2,003</w:t>
            </w:r>
          </w:p>
        </w:tc>
        <w:tc>
          <w:tcPr>
            <w:tcW w:w="0" w:type="dxa"/>
            <w:vAlign w:val="bottom"/>
          </w:tcPr>
          <w:p>
            <w:pPr>
              <w:spacing w:after="0"/>
              <w:rPr>
                <w:sz w:val="1"/>
                <w:szCs w:val="1"/>
                <w:color w:val="auto"/>
              </w:rPr>
            </w:pPr>
          </w:p>
        </w:tc>
      </w:tr>
      <w:tr>
        <w:trPr>
          <w:trHeight w:val="243"/>
        </w:trPr>
        <w:tc>
          <w:tcPr>
            <w:tcW w:w="8340" w:type="dxa"/>
            <w:vAlign w:val="bottom"/>
          </w:tcPr>
          <w:p>
            <w:pPr>
              <w:ind w:left="380"/>
              <w:spacing w:after="0"/>
              <w:rPr>
                <w:sz w:val="20"/>
                <w:szCs w:val="20"/>
                <w:color w:val="auto"/>
              </w:rPr>
            </w:pPr>
            <w:r>
              <w:rPr>
                <w:rFonts w:ascii="Arial" w:cs="Arial" w:eastAsia="Arial" w:hAnsi="Arial"/>
                <w:sz w:val="18"/>
                <w:szCs w:val="18"/>
                <w:color w:val="auto"/>
              </w:rPr>
              <w:t>Deferred income taxes</w:t>
            </w:r>
          </w:p>
        </w:tc>
        <w:tc>
          <w:tcPr>
            <w:tcW w:w="2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11"/>
              <w:spacing w:after="0"/>
              <w:rPr>
                <w:sz w:val="20"/>
                <w:szCs w:val="20"/>
                <w:color w:val="auto"/>
              </w:rPr>
            </w:pPr>
            <w:r>
              <w:rPr>
                <w:rFonts w:ascii="Arial" w:cs="Arial" w:eastAsia="Arial" w:hAnsi="Arial"/>
                <w:sz w:val="18"/>
                <w:szCs w:val="18"/>
                <w:color w:val="auto"/>
              </w:rPr>
              <w:t>588</w:t>
            </w: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Accrued expenses</w:t>
            </w:r>
          </w:p>
        </w:tc>
        <w:tc>
          <w:tcPr>
            <w:tcW w:w="2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97,257</w:t>
            </w:r>
          </w:p>
        </w:tc>
        <w:tc>
          <w:tcPr>
            <w:tcW w:w="4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48,384</w:t>
            </w:r>
          </w:p>
        </w:tc>
        <w:tc>
          <w:tcPr>
            <w:tcW w:w="0" w:type="dxa"/>
            <w:vAlign w:val="bottom"/>
          </w:tcPr>
          <w:p>
            <w:pPr>
              <w:spacing w:after="0"/>
              <w:rPr>
                <w:sz w:val="1"/>
                <w:szCs w:val="1"/>
                <w:color w:val="auto"/>
              </w:rPr>
            </w:pPr>
          </w:p>
        </w:tc>
      </w:tr>
      <w:tr>
        <w:trPr>
          <w:trHeight w:val="237"/>
        </w:trPr>
        <w:tc>
          <w:tcPr>
            <w:tcW w:w="8340" w:type="dxa"/>
            <w:vAlign w:val="bottom"/>
          </w:tcPr>
          <w:p>
            <w:pPr>
              <w:ind w:left="720"/>
              <w:spacing w:after="0"/>
              <w:rPr>
                <w:sz w:val="20"/>
                <w:szCs w:val="20"/>
                <w:color w:val="auto"/>
              </w:rPr>
            </w:pPr>
            <w:r>
              <w:rPr>
                <w:rFonts w:ascii="Arial" w:cs="Arial" w:eastAsia="Arial" w:hAnsi="Arial"/>
                <w:sz w:val="18"/>
                <w:szCs w:val="18"/>
                <w:color w:val="auto"/>
              </w:rPr>
              <w:t>Total current liabilities</w:t>
            </w:r>
          </w:p>
        </w:tc>
        <w:tc>
          <w:tcPr>
            <w:tcW w:w="2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213,840</w:t>
            </w:r>
          </w:p>
        </w:tc>
        <w:tc>
          <w:tcPr>
            <w:tcW w:w="4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108,661</w:t>
            </w: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Long-term debt</w:t>
            </w:r>
          </w:p>
        </w:tc>
        <w:tc>
          <w:tcPr>
            <w:tcW w:w="2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1,685,053</w:t>
            </w:r>
          </w:p>
        </w:tc>
        <w:tc>
          <w:tcPr>
            <w:tcW w:w="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175,363</w:t>
            </w:r>
          </w:p>
        </w:tc>
        <w:tc>
          <w:tcPr>
            <w:tcW w:w="0" w:type="dxa"/>
            <w:vAlign w:val="bottom"/>
          </w:tcPr>
          <w:p>
            <w:pPr>
              <w:spacing w:after="0"/>
              <w:rPr>
                <w:sz w:val="1"/>
                <w:szCs w:val="1"/>
                <w:color w:val="auto"/>
              </w:rPr>
            </w:pP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Deferred income taxes</w:t>
            </w:r>
          </w:p>
        </w:tc>
        <w:tc>
          <w:tcPr>
            <w:tcW w:w="2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221,804</w:t>
            </w: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11"/>
              <w:spacing w:after="0"/>
              <w:rPr>
                <w:sz w:val="20"/>
                <w:szCs w:val="20"/>
                <w:color w:val="auto"/>
              </w:rPr>
            </w:pPr>
            <w:r>
              <w:rPr>
                <w:rFonts w:ascii="Arial" w:cs="Arial" w:eastAsia="Arial" w:hAnsi="Arial"/>
                <w:sz w:val="18"/>
                <w:szCs w:val="18"/>
                <w:color w:val="auto"/>
              </w:rPr>
              <w:t>53,195</w:t>
            </w: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long-term liabilities</w:t>
            </w:r>
          </w:p>
        </w:tc>
        <w:tc>
          <w:tcPr>
            <w:tcW w:w="2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10,814</w:t>
            </w:r>
          </w:p>
        </w:tc>
        <w:tc>
          <w:tcPr>
            <w:tcW w:w="4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4,541</w:t>
            </w:r>
          </w:p>
        </w:tc>
        <w:tc>
          <w:tcPr>
            <w:tcW w:w="0" w:type="dxa"/>
            <w:vAlign w:val="bottom"/>
          </w:tcPr>
          <w:p>
            <w:pPr>
              <w:spacing w:after="0"/>
              <w:rPr>
                <w:sz w:val="1"/>
                <w:szCs w:val="1"/>
                <w:color w:val="auto"/>
              </w:rPr>
            </w:pPr>
          </w:p>
        </w:tc>
      </w:tr>
      <w:tr>
        <w:trPr>
          <w:trHeight w:val="237"/>
        </w:trPr>
        <w:tc>
          <w:tcPr>
            <w:tcW w:w="8340" w:type="dxa"/>
            <w:vAlign w:val="bottom"/>
          </w:tcPr>
          <w:p>
            <w:pPr>
              <w:ind w:left="720"/>
              <w:spacing w:after="0"/>
              <w:rPr>
                <w:sz w:val="20"/>
                <w:szCs w:val="20"/>
                <w:color w:val="auto"/>
              </w:rPr>
            </w:pPr>
            <w:r>
              <w:rPr>
                <w:rFonts w:ascii="Arial" w:cs="Arial" w:eastAsia="Arial" w:hAnsi="Arial"/>
                <w:sz w:val="18"/>
                <w:szCs w:val="18"/>
                <w:color w:val="auto"/>
              </w:rPr>
              <w:t>Total liabilities</w:t>
            </w:r>
          </w:p>
        </w:tc>
        <w:tc>
          <w:tcPr>
            <w:tcW w:w="2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2,131,511</w:t>
            </w:r>
          </w:p>
        </w:tc>
        <w:tc>
          <w:tcPr>
            <w:tcW w:w="4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341,760</w:t>
            </w: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Commitments and contingencies (Note 15)</w:t>
            </w:r>
          </w:p>
        </w:tc>
        <w:tc>
          <w:tcPr>
            <w:tcW w:w="2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Stockholders’ equity:</w:t>
            </w:r>
          </w:p>
        </w:tc>
        <w:tc>
          <w:tcPr>
            <w:tcW w:w="26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8340" w:type="dxa"/>
            <w:vAlign w:val="bottom"/>
            <w:shd w:val="clear" w:color="auto" w:fill="CCEEFF"/>
          </w:tcPr>
          <w:p>
            <w:pPr>
              <w:ind w:left="380"/>
              <w:spacing w:after="0"/>
              <w:rPr>
                <w:sz w:val="20"/>
                <w:szCs w:val="20"/>
                <w:color w:val="auto"/>
              </w:rPr>
            </w:pPr>
            <w:r>
              <w:rPr>
                <w:rFonts w:ascii="Arial" w:cs="Arial" w:eastAsia="Arial" w:hAnsi="Arial"/>
                <w:sz w:val="18"/>
                <w:szCs w:val="18"/>
                <w:color w:val="auto"/>
                <w:w w:val="90"/>
              </w:rPr>
              <w:t>Preferred stock, $0.001 par value, authorized 100,000,000 shares; no shares issued or outstanding in 2015 or</w:t>
            </w:r>
          </w:p>
        </w:tc>
        <w:tc>
          <w:tcPr>
            <w:tcW w:w="2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8340" w:type="dxa"/>
            <w:vAlign w:val="bottom"/>
            <w:tcBorders>
              <w:bottom w:val="single" w:sz="8" w:color="CCEEFF"/>
            </w:tcBorders>
            <w:shd w:val="clear" w:color="auto" w:fill="CCEEFF"/>
          </w:tcPr>
          <w:p>
            <w:pPr>
              <w:ind w:left="540"/>
              <w:spacing w:after="0"/>
              <w:rPr>
                <w:sz w:val="20"/>
                <w:szCs w:val="20"/>
                <w:color w:val="auto"/>
              </w:rPr>
            </w:pPr>
            <w:r>
              <w:rPr>
                <w:rFonts w:ascii="Arial" w:cs="Arial" w:eastAsia="Arial" w:hAnsi="Arial"/>
                <w:sz w:val="18"/>
                <w:szCs w:val="18"/>
                <w:color w:val="auto"/>
              </w:rPr>
              <w:t>2014</w:t>
            </w:r>
          </w:p>
        </w:tc>
        <w:tc>
          <w:tcPr>
            <w:tcW w:w="2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8340" w:type="dxa"/>
            <w:vAlign w:val="bottom"/>
          </w:tcPr>
          <w:p>
            <w:pPr>
              <w:ind w:left="380"/>
              <w:spacing w:after="0"/>
              <w:rPr>
                <w:sz w:val="20"/>
                <w:szCs w:val="20"/>
                <w:color w:val="auto"/>
              </w:rPr>
            </w:pPr>
            <w:r>
              <w:rPr>
                <w:rFonts w:ascii="Arial" w:cs="Arial" w:eastAsia="Arial" w:hAnsi="Arial"/>
                <w:sz w:val="18"/>
                <w:szCs w:val="18"/>
                <w:color w:val="auto"/>
                <w:w w:val="91"/>
              </w:rPr>
              <w:t>Common stock, $0.001 par value, authorized 100,000,000 shares; 30,664,119 shares issued and 30,601,167</w:t>
            </w:r>
          </w:p>
        </w:tc>
        <w:tc>
          <w:tcPr>
            <w:tcW w:w="2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340" w:type="dxa"/>
            <w:vAlign w:val="bottom"/>
          </w:tcPr>
          <w:p>
            <w:pPr>
              <w:ind w:left="540"/>
              <w:spacing w:after="0"/>
              <w:rPr>
                <w:sz w:val="20"/>
                <w:szCs w:val="20"/>
                <w:color w:val="auto"/>
              </w:rPr>
            </w:pPr>
            <w:r>
              <w:rPr>
                <w:rFonts w:ascii="Arial" w:cs="Arial" w:eastAsia="Arial" w:hAnsi="Arial"/>
                <w:sz w:val="18"/>
                <w:szCs w:val="18"/>
                <w:color w:val="auto"/>
                <w:w w:val="99"/>
              </w:rPr>
              <w:t>shares outstanding in 2015; 25,099,293 shares issued and 25,070,931 shares outstanding in 2014</w:t>
            </w:r>
          </w:p>
        </w:tc>
        <w:tc>
          <w:tcPr>
            <w:tcW w:w="26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31</w:t>
            </w: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20" w:type="dxa"/>
            <w:vAlign w:val="bottom"/>
          </w:tcPr>
          <w:p>
            <w:pPr>
              <w:jc w:val="right"/>
              <w:ind w:right="11"/>
              <w:spacing w:after="0"/>
              <w:rPr>
                <w:sz w:val="20"/>
                <w:szCs w:val="20"/>
                <w:color w:val="auto"/>
              </w:rPr>
            </w:pPr>
            <w:r>
              <w:rPr>
                <w:rFonts w:ascii="Arial" w:cs="Arial" w:eastAsia="Arial" w:hAnsi="Arial"/>
                <w:sz w:val="18"/>
                <w:szCs w:val="18"/>
                <w:color w:val="auto"/>
              </w:rPr>
              <w:t>25</w:t>
            </w: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Additional paid-in capital</w:t>
            </w:r>
          </w:p>
        </w:tc>
        <w:tc>
          <w:tcPr>
            <w:tcW w:w="2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620,470</w:t>
            </w:r>
          </w:p>
        </w:tc>
        <w:tc>
          <w:tcPr>
            <w:tcW w:w="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366,073</w:t>
            </w:r>
          </w:p>
        </w:tc>
        <w:tc>
          <w:tcPr>
            <w:tcW w:w="0" w:type="dxa"/>
            <w:vAlign w:val="bottom"/>
          </w:tcPr>
          <w:p>
            <w:pPr>
              <w:spacing w:after="0"/>
              <w:rPr>
                <w:sz w:val="1"/>
                <w:szCs w:val="1"/>
                <w:color w:val="auto"/>
              </w:rPr>
            </w:pPr>
          </w:p>
        </w:tc>
      </w:tr>
      <w:tr>
        <w:trPr>
          <w:trHeight w:val="243"/>
        </w:trPr>
        <w:tc>
          <w:tcPr>
            <w:tcW w:w="8340" w:type="dxa"/>
            <w:vAlign w:val="bottom"/>
          </w:tcPr>
          <w:p>
            <w:pPr>
              <w:ind w:left="380"/>
              <w:spacing w:after="0"/>
              <w:rPr>
                <w:sz w:val="20"/>
                <w:szCs w:val="20"/>
                <w:color w:val="auto"/>
              </w:rPr>
            </w:pPr>
            <w:r>
              <w:rPr>
                <w:rFonts w:ascii="Arial" w:cs="Arial" w:eastAsia="Arial" w:hAnsi="Arial"/>
                <w:sz w:val="18"/>
                <w:szCs w:val="18"/>
                <w:color w:val="auto"/>
              </w:rPr>
              <w:t>Treasury stock, at cost, 62,952 shares in 2015 and 28,362 shares in 2014</w:t>
            </w:r>
          </w:p>
        </w:tc>
        <w:tc>
          <w:tcPr>
            <w:tcW w:w="2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(3,100)</w:t>
            </w: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(1,307)</w:t>
            </w: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Retained earnings</w:t>
            </w:r>
          </w:p>
        </w:tc>
        <w:tc>
          <w:tcPr>
            <w:tcW w:w="2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231,854</w:t>
            </w:r>
          </w:p>
        </w:tc>
        <w:tc>
          <w:tcPr>
            <w:tcW w:w="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239,448</w:t>
            </w:r>
          </w:p>
        </w:tc>
        <w:tc>
          <w:tcPr>
            <w:tcW w:w="0" w:type="dxa"/>
            <w:vAlign w:val="bottom"/>
          </w:tcPr>
          <w:p>
            <w:pPr>
              <w:spacing w:after="0"/>
              <w:rPr>
                <w:sz w:val="1"/>
                <w:szCs w:val="1"/>
                <w:color w:val="auto"/>
              </w:rPr>
            </w:pPr>
          </w:p>
        </w:tc>
      </w:tr>
      <w:tr>
        <w:trPr>
          <w:trHeight w:val="243"/>
        </w:trPr>
        <w:tc>
          <w:tcPr>
            <w:tcW w:w="8340" w:type="dxa"/>
            <w:vAlign w:val="bottom"/>
          </w:tcPr>
          <w:p>
            <w:pPr>
              <w:ind w:left="380"/>
              <w:spacing w:after="0"/>
              <w:rPr>
                <w:sz w:val="20"/>
                <w:szCs w:val="20"/>
                <w:color w:val="auto"/>
              </w:rPr>
            </w:pPr>
            <w:r>
              <w:rPr>
                <w:rFonts w:ascii="Arial" w:cs="Arial" w:eastAsia="Arial" w:hAnsi="Arial"/>
                <w:sz w:val="18"/>
                <w:szCs w:val="18"/>
                <w:color w:val="auto"/>
              </w:rPr>
              <w:t>Accumulated other comprehensive income</w:t>
            </w:r>
          </w:p>
        </w:tc>
        <w:tc>
          <w:tcPr>
            <w:tcW w:w="2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1,370</w:t>
            </w: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11"/>
              <w:spacing w:after="0"/>
              <w:rPr>
                <w:sz w:val="20"/>
                <w:szCs w:val="20"/>
                <w:color w:val="auto"/>
              </w:rPr>
            </w:pPr>
            <w:r>
              <w:rPr>
                <w:rFonts w:ascii="Arial" w:cs="Arial" w:eastAsia="Arial" w:hAnsi="Arial"/>
                <w:sz w:val="18"/>
                <w:szCs w:val="18"/>
                <w:color w:val="auto"/>
              </w:rPr>
              <w:t>9,123</w:t>
            </w:r>
          </w:p>
        </w:tc>
        <w:tc>
          <w:tcPr>
            <w:tcW w:w="0" w:type="dxa"/>
            <w:vAlign w:val="bottom"/>
          </w:tcPr>
          <w:p>
            <w:pPr>
              <w:spacing w:after="0"/>
              <w:rPr>
                <w:sz w:val="1"/>
                <w:szCs w:val="1"/>
                <w:color w:val="auto"/>
              </w:rPr>
            </w:pPr>
          </w:p>
        </w:tc>
      </w:tr>
      <w:tr>
        <w:trPr>
          <w:trHeight w:val="27"/>
        </w:trPr>
        <w:tc>
          <w:tcPr>
            <w:tcW w:w="83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834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color w:val="auto"/>
              </w:rPr>
              <w:t>Total stockholders’ equity</w:t>
            </w:r>
          </w:p>
        </w:tc>
        <w:tc>
          <w:tcPr>
            <w:tcW w:w="2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850,625</w:t>
            </w:r>
          </w:p>
        </w:tc>
        <w:tc>
          <w:tcPr>
            <w:tcW w:w="4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613,362</w:t>
            </w:r>
          </w:p>
        </w:tc>
        <w:tc>
          <w:tcPr>
            <w:tcW w:w="0" w:type="dxa"/>
            <w:vAlign w:val="bottom"/>
          </w:tcPr>
          <w:p>
            <w:pPr>
              <w:spacing w:after="0"/>
              <w:rPr>
                <w:sz w:val="1"/>
                <w:szCs w:val="1"/>
                <w:color w:val="auto"/>
              </w:rPr>
            </w:pPr>
          </w:p>
        </w:tc>
      </w:tr>
      <w:tr>
        <w:trPr>
          <w:trHeight w:val="257"/>
        </w:trPr>
        <w:tc>
          <w:tcPr>
            <w:tcW w:w="8340" w:type="dxa"/>
            <w:vAlign w:val="bottom"/>
          </w:tcPr>
          <w:p>
            <w:pPr>
              <w:ind w:left="720"/>
              <w:spacing w:after="0"/>
              <w:rPr>
                <w:sz w:val="20"/>
                <w:szCs w:val="20"/>
                <w:color w:val="auto"/>
              </w:rPr>
            </w:pPr>
            <w:r>
              <w:rPr>
                <w:rFonts w:ascii="Arial" w:cs="Arial" w:eastAsia="Arial" w:hAnsi="Arial"/>
                <w:sz w:val="18"/>
                <w:szCs w:val="18"/>
                <w:color w:val="auto"/>
              </w:rPr>
              <w:t>Total liabilities and stockholders’ equity</w:t>
            </w:r>
          </w:p>
        </w:tc>
        <w:tc>
          <w:tcPr>
            <w:tcW w:w="26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2,982,136</w:t>
            </w:r>
          </w:p>
        </w:tc>
        <w:tc>
          <w:tcPr>
            <w:tcW w:w="40" w:type="dxa"/>
            <w:vAlign w:val="bottom"/>
            <w:tcBorders>
              <w:top w:val="single" w:sz="8" w:color="auto"/>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6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955,122</w:t>
            </w:r>
          </w:p>
        </w:tc>
        <w:tc>
          <w:tcPr>
            <w:tcW w:w="0" w:type="dxa"/>
            <w:vAlign w:val="bottom"/>
          </w:tcPr>
          <w:p>
            <w:pPr>
              <w:spacing w:after="0"/>
              <w:rPr>
                <w:sz w:val="1"/>
                <w:szCs w:val="1"/>
                <w:color w:val="auto"/>
              </w:rPr>
            </w:pPr>
          </w:p>
        </w:tc>
      </w:tr>
      <w:tr>
        <w:trPr>
          <w:trHeight w:val="20"/>
        </w:trPr>
        <w:tc>
          <w:tcPr>
            <w:tcW w:w="83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- 66 -</w:t>
      </w:r>
    </w:p>
    <w:p>
      <w:pPr>
        <w:sectPr>
          <w:pgSz w:w="11900" w:h="16838" w:orient="portrait"/>
          <w:cols w:equalWidth="0" w:num="1">
            <w:col w:w="11420"/>
          </w:cols>
          <w:pgMar w:left="240" w:top="796" w:right="239" w:bottom="1440" w:gutter="0" w:footer="0" w:header="0"/>
        </w:sectPr>
      </w:pPr>
    </w:p>
    <w:bookmarkStart w:id="67" w:name="page68"/>
    <w:bookmarkEnd w:id="67"/>
    <w:p>
      <w:pPr>
        <w:jc w:val="center"/>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AND COMPREHENSIVE INCOME (LOSS)</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0" w:type="dxa"/>
            <w:vAlign w:val="bottom"/>
          </w:tcPr>
          <w:p>
            <w:pPr>
              <w:spacing w:after="0"/>
              <w:rPr>
                <w:sz w:val="16"/>
                <w:szCs w:val="16"/>
                <w:color w:val="auto"/>
              </w:rPr>
            </w:pPr>
          </w:p>
        </w:tc>
        <w:tc>
          <w:tcPr>
            <w:tcW w:w="23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410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gridSpan w:val="2"/>
          </w:tcPr>
          <w:p>
            <w:pPr>
              <w:jc w:val="center"/>
              <w:ind w:right="360"/>
              <w:spacing w:after="0"/>
              <w:rPr>
                <w:sz w:val="20"/>
                <w:szCs w:val="20"/>
                <w:color w:val="auto"/>
              </w:rPr>
            </w:pPr>
            <w:r>
              <w:rPr>
                <w:rFonts w:ascii="Arial" w:cs="Arial" w:eastAsia="Arial" w:hAnsi="Arial"/>
                <w:sz w:val="14"/>
                <w:szCs w:val="14"/>
                <w:b w:val="1"/>
                <w:bCs w:val="1"/>
                <w:color w:val="auto"/>
                <w:w w:val="93"/>
              </w:rPr>
              <w:t>Year Ended</w:t>
            </w:r>
          </w:p>
        </w:tc>
        <w:tc>
          <w:tcPr>
            <w:tcW w:w="26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6740" w:type="dxa"/>
            <w:vAlign w:val="bottom"/>
            <w:gridSpan w:val="4"/>
            <w:vMerge w:val="restart"/>
          </w:tcPr>
          <w:p>
            <w:pPr>
              <w:ind w:left="40"/>
              <w:spacing w:after="0"/>
              <w:rPr>
                <w:sz w:val="20"/>
                <w:szCs w:val="20"/>
                <w:color w:val="auto"/>
              </w:rPr>
            </w:pPr>
            <w:r>
              <w:rPr>
                <w:rFonts w:ascii="Arial" w:cs="Arial" w:eastAsia="Arial" w:hAnsi="Arial"/>
                <w:sz w:val="14"/>
                <w:szCs w:val="14"/>
                <w:b w:val="1"/>
                <w:bCs w:val="1"/>
                <w:color w:val="auto"/>
              </w:rPr>
              <w:t>(in thousands except per share data)</w:t>
            </w:r>
          </w:p>
        </w:tc>
        <w:tc>
          <w:tcPr>
            <w:tcW w:w="280" w:type="dxa"/>
            <w:vAlign w:val="bottom"/>
          </w:tcPr>
          <w:p>
            <w:pPr>
              <w:spacing w:after="0"/>
              <w:rPr>
                <w:sz w:val="13"/>
                <w:szCs w:val="13"/>
                <w:color w:val="auto"/>
              </w:rPr>
            </w:pPr>
          </w:p>
        </w:tc>
        <w:tc>
          <w:tcPr>
            <w:tcW w:w="1340" w:type="dxa"/>
            <w:vAlign w:val="bottom"/>
            <w:gridSpan w:val="2"/>
          </w:tcPr>
          <w:p>
            <w:pPr>
              <w:ind w:left="140"/>
              <w:spacing w:after="0" w:line="153" w:lineRule="exact"/>
              <w:rPr>
                <w:sz w:val="20"/>
                <w:szCs w:val="20"/>
                <w:color w:val="auto"/>
              </w:rPr>
            </w:pPr>
            <w:r>
              <w:rPr>
                <w:rFonts w:ascii="Arial" w:cs="Arial" w:eastAsia="Arial" w:hAnsi="Arial"/>
                <w:sz w:val="14"/>
                <w:szCs w:val="14"/>
                <w:b w:val="1"/>
                <w:bCs w:val="1"/>
                <w:color w:val="auto"/>
              </w:rPr>
              <w:t>January 1,</w:t>
            </w:r>
          </w:p>
        </w:tc>
        <w:tc>
          <w:tcPr>
            <w:tcW w:w="260" w:type="dxa"/>
            <w:vAlign w:val="bottom"/>
          </w:tcPr>
          <w:p>
            <w:pPr>
              <w:spacing w:after="0"/>
              <w:rPr>
                <w:sz w:val="13"/>
                <w:szCs w:val="13"/>
                <w:color w:val="auto"/>
              </w:rPr>
            </w:pPr>
          </w:p>
        </w:tc>
        <w:tc>
          <w:tcPr>
            <w:tcW w:w="1320" w:type="dxa"/>
            <w:vAlign w:val="bottom"/>
            <w:gridSpan w:val="2"/>
          </w:tcPr>
          <w:p>
            <w:pPr>
              <w:jc w:val="center"/>
              <w:ind w:right="380"/>
              <w:spacing w:after="0" w:line="153" w:lineRule="exact"/>
              <w:rPr>
                <w:sz w:val="20"/>
                <w:szCs w:val="20"/>
                <w:color w:val="auto"/>
              </w:rPr>
            </w:pPr>
            <w:r>
              <w:rPr>
                <w:rFonts w:ascii="Arial" w:cs="Arial" w:eastAsia="Arial" w:hAnsi="Arial"/>
                <w:sz w:val="14"/>
                <w:szCs w:val="14"/>
                <w:b w:val="1"/>
                <w:bCs w:val="1"/>
                <w:color w:val="auto"/>
                <w:w w:val="95"/>
              </w:rPr>
              <w:t>January 2,</w:t>
            </w:r>
          </w:p>
        </w:tc>
        <w:tc>
          <w:tcPr>
            <w:tcW w:w="260" w:type="dxa"/>
            <w:vAlign w:val="bottom"/>
          </w:tcPr>
          <w:p>
            <w:pPr>
              <w:spacing w:after="0"/>
              <w:rPr>
                <w:sz w:val="13"/>
                <w:szCs w:val="13"/>
                <w:color w:val="auto"/>
              </w:rPr>
            </w:pPr>
          </w:p>
        </w:tc>
        <w:tc>
          <w:tcPr>
            <w:tcW w:w="1220" w:type="dxa"/>
            <w:vAlign w:val="bottom"/>
          </w:tcPr>
          <w:p>
            <w:pPr>
              <w:jc w:val="right"/>
              <w:ind w:right="331"/>
              <w:spacing w:after="0" w:line="153" w:lineRule="exact"/>
              <w:rPr>
                <w:sz w:val="20"/>
                <w:szCs w:val="20"/>
                <w:color w:val="auto"/>
              </w:rPr>
            </w:pPr>
            <w:r>
              <w:rPr>
                <w:rFonts w:ascii="Arial" w:cs="Arial" w:eastAsia="Arial" w:hAnsi="Arial"/>
                <w:sz w:val="14"/>
                <w:szCs w:val="14"/>
                <w:b w:val="1"/>
                <w:bCs w:val="1"/>
                <w:color w:val="auto"/>
              </w:rPr>
              <w:t>January 3,</w:t>
            </w:r>
          </w:p>
        </w:tc>
        <w:tc>
          <w:tcPr>
            <w:tcW w:w="0" w:type="dxa"/>
            <w:vAlign w:val="bottom"/>
          </w:tcPr>
          <w:p>
            <w:pPr>
              <w:spacing w:after="0"/>
              <w:rPr>
                <w:sz w:val="1"/>
                <w:szCs w:val="1"/>
                <w:color w:val="auto"/>
              </w:rPr>
            </w:pPr>
          </w:p>
        </w:tc>
      </w:tr>
      <w:tr>
        <w:trPr>
          <w:trHeight w:val="192"/>
        </w:trPr>
        <w:tc>
          <w:tcPr>
            <w:tcW w:w="6740" w:type="dxa"/>
            <w:vAlign w:val="bottom"/>
            <w:tcBorders>
              <w:bottom w:val="single" w:sz="8" w:color="CCEEFF"/>
            </w:tcBorders>
            <w:gridSpan w:val="4"/>
            <w:vMerge w:val="continue"/>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tcPr>
          <w:p>
            <w:pPr>
              <w:jc w:val="right"/>
              <w:ind w:right="531"/>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jc w:val="center"/>
              <w:ind w:right="172"/>
              <w:spacing w:after="0"/>
              <w:rPr>
                <w:sz w:val="20"/>
                <w:szCs w:val="20"/>
                <w:color w:val="auto"/>
              </w:rPr>
            </w:pPr>
            <w:r>
              <w:rPr>
                <w:rFonts w:ascii="Arial" w:cs="Arial" w:eastAsia="Arial" w:hAnsi="Arial"/>
                <w:sz w:val="14"/>
                <w:szCs w:val="14"/>
                <w:b w:val="1"/>
                <w:bCs w:val="1"/>
                <w:color w:val="auto"/>
                <w:w w:val="89"/>
              </w:rPr>
              <w:t>2015</w:t>
            </w:r>
          </w:p>
        </w:tc>
        <w:tc>
          <w:tcPr>
            <w:tcW w:w="10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2014</w:t>
            </w:r>
          </w:p>
        </w:tc>
        <w:tc>
          <w:tcPr>
            <w:tcW w:w="0" w:type="dxa"/>
            <w:vAlign w:val="bottom"/>
          </w:tcPr>
          <w:p>
            <w:pPr>
              <w:spacing w:after="0"/>
              <w:rPr>
                <w:sz w:val="1"/>
                <w:szCs w:val="1"/>
                <w:color w:val="auto"/>
              </w:rPr>
            </w:pPr>
          </w:p>
        </w:tc>
      </w:tr>
      <w:tr>
        <w:trPr>
          <w:trHeight w:val="250"/>
        </w:trPr>
        <w:tc>
          <w:tcPr>
            <w:tcW w:w="6740" w:type="dxa"/>
            <w:vAlign w:val="bottom"/>
            <w:tcBorders>
              <w:bottom w:val="single" w:sz="8" w:color="CCEEFF"/>
            </w:tcBorders>
            <w:gridSpan w:val="4"/>
            <w:shd w:val="clear" w:color="auto" w:fill="CCEEFF"/>
          </w:tcPr>
          <w:p>
            <w:pPr>
              <w:ind w:left="40"/>
              <w:spacing w:after="0"/>
              <w:rPr>
                <w:sz w:val="20"/>
                <w:szCs w:val="20"/>
                <w:color w:val="auto"/>
              </w:rPr>
            </w:pPr>
            <w:r>
              <w:rPr>
                <w:rFonts w:ascii="Arial" w:cs="Arial" w:eastAsia="Arial" w:hAnsi="Arial"/>
                <w:sz w:val="18"/>
                <w:szCs w:val="18"/>
                <w:color w:val="auto"/>
              </w:rPr>
              <w:t>Sales</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800,414</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687,787</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663,945</w:t>
            </w:r>
          </w:p>
        </w:tc>
        <w:tc>
          <w:tcPr>
            <w:tcW w:w="0" w:type="dxa"/>
            <w:vAlign w:val="bottom"/>
          </w:tcPr>
          <w:p>
            <w:pPr>
              <w:spacing w:after="0"/>
              <w:rPr>
                <w:sz w:val="1"/>
                <w:szCs w:val="1"/>
                <w:color w:val="auto"/>
              </w:rPr>
            </w:pPr>
          </w:p>
        </w:tc>
      </w:tr>
      <w:tr>
        <w:trPr>
          <w:trHeight w:val="243"/>
        </w:trPr>
        <w:tc>
          <w:tcPr>
            <w:tcW w:w="6740" w:type="dxa"/>
            <w:vAlign w:val="bottom"/>
            <w:gridSpan w:val="4"/>
          </w:tcPr>
          <w:p>
            <w:pPr>
              <w:ind w:left="40"/>
              <w:spacing w:after="0"/>
              <w:rPr>
                <w:sz w:val="20"/>
                <w:szCs w:val="20"/>
                <w:color w:val="auto"/>
              </w:rPr>
            </w:pPr>
            <w:r>
              <w:rPr>
                <w:rFonts w:ascii="Arial" w:cs="Arial" w:eastAsia="Arial" w:hAnsi="Arial"/>
                <w:sz w:val="18"/>
                <w:szCs w:val="18"/>
                <w:color w:val="auto"/>
              </w:rPr>
              <w:t>Cost of sales</w:t>
            </w:r>
          </w:p>
        </w:tc>
        <w:tc>
          <w:tcPr>
            <w:tcW w:w="280" w:type="dxa"/>
            <w:vAlign w:val="bottom"/>
          </w:tcPr>
          <w:p>
            <w:pPr>
              <w:spacing w:after="0"/>
              <w:rPr>
                <w:sz w:val="21"/>
                <w:szCs w:val="21"/>
                <w:color w:val="auto"/>
              </w:rPr>
            </w:pP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565,279</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12"/>
              <w:spacing w:after="0"/>
              <w:rPr>
                <w:sz w:val="20"/>
                <w:szCs w:val="20"/>
                <w:color w:val="auto"/>
              </w:rPr>
            </w:pPr>
            <w:r>
              <w:rPr>
                <w:rFonts w:ascii="Arial" w:cs="Arial" w:eastAsia="Arial" w:hAnsi="Arial"/>
                <w:sz w:val="18"/>
                <w:szCs w:val="18"/>
                <w:color w:val="auto"/>
              </w:rPr>
              <w:t>456,389</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11"/>
              <w:spacing w:after="0"/>
              <w:rPr>
                <w:sz w:val="20"/>
                <w:szCs w:val="20"/>
                <w:color w:val="auto"/>
              </w:rPr>
            </w:pPr>
            <w:r>
              <w:rPr>
                <w:rFonts w:ascii="Arial" w:cs="Arial" w:eastAsia="Arial" w:hAnsi="Arial"/>
                <w:sz w:val="18"/>
                <w:szCs w:val="18"/>
                <w:color w:val="auto"/>
              </w:rPr>
              <w:t>444,632</w:t>
            </w:r>
          </w:p>
        </w:tc>
        <w:tc>
          <w:tcPr>
            <w:tcW w:w="0" w:type="dxa"/>
            <w:vAlign w:val="bottom"/>
          </w:tcPr>
          <w:p>
            <w:pPr>
              <w:spacing w:after="0"/>
              <w:rPr>
                <w:sz w:val="1"/>
                <w:szCs w:val="1"/>
                <w:color w:val="auto"/>
              </w:rPr>
            </w:pPr>
          </w:p>
        </w:tc>
      </w:tr>
      <w:tr>
        <w:trPr>
          <w:trHeight w:val="27"/>
        </w:trPr>
        <w:tc>
          <w:tcPr>
            <w:tcW w:w="40" w:type="dxa"/>
            <w:vAlign w:val="bottom"/>
            <w:tcBorders>
              <w:bottom w:val="single" w:sz="8" w:color="CCEEFF"/>
            </w:tcBorders>
          </w:tcPr>
          <w:p>
            <w:pPr>
              <w:spacing w:after="0"/>
              <w:rPr>
                <w:sz w:val="2"/>
                <w:szCs w:val="2"/>
                <w:color w:val="auto"/>
              </w:rPr>
            </w:pPr>
          </w:p>
        </w:tc>
        <w:tc>
          <w:tcPr>
            <w:tcW w:w="2320" w:type="dxa"/>
            <w:vAlign w:val="bottom"/>
            <w:tcBorders>
              <w:bottom w:val="single" w:sz="8" w:color="CCEEFF"/>
            </w:tcBorders>
          </w:tcPr>
          <w:p>
            <w:pPr>
              <w:spacing w:after="0"/>
              <w:rPr>
                <w:sz w:val="2"/>
                <w:szCs w:val="2"/>
                <w:color w:val="auto"/>
              </w:rPr>
            </w:pPr>
          </w:p>
        </w:tc>
        <w:tc>
          <w:tcPr>
            <w:tcW w:w="280" w:type="dxa"/>
            <w:vAlign w:val="bottom"/>
            <w:tcBorders>
              <w:bottom w:val="single" w:sz="8" w:color="CCEEFF"/>
            </w:tcBorders>
          </w:tcPr>
          <w:p>
            <w:pPr>
              <w:spacing w:after="0"/>
              <w:rPr>
                <w:sz w:val="2"/>
                <w:szCs w:val="2"/>
                <w:color w:val="auto"/>
              </w:rPr>
            </w:pPr>
          </w:p>
        </w:tc>
        <w:tc>
          <w:tcPr>
            <w:tcW w:w="4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0" w:type="dxa"/>
            <w:vAlign w:val="bottom"/>
            <w:tcBorders>
              <w:bottom w:val="single" w:sz="8" w:color="CCEEFF"/>
            </w:tcBorders>
            <w:shd w:val="clear" w:color="auto" w:fill="CCEEFF"/>
          </w:tcPr>
          <w:p>
            <w:pPr>
              <w:spacing w:after="0"/>
              <w:rPr>
                <w:sz w:val="21"/>
                <w:szCs w:val="21"/>
                <w:color w:val="auto"/>
              </w:rPr>
            </w:pPr>
          </w:p>
        </w:tc>
        <w:tc>
          <w:tcPr>
            <w:tcW w:w="6700" w:type="dxa"/>
            <w:vAlign w:val="bottom"/>
            <w:tcBorders>
              <w:bottom w:val="single" w:sz="8" w:color="CCEEFF"/>
            </w:tcBorders>
            <w:gridSpan w:val="3"/>
            <w:shd w:val="clear" w:color="auto" w:fill="CCEEFF"/>
          </w:tcPr>
          <w:p>
            <w:pPr>
              <w:ind w:left="340"/>
              <w:spacing w:after="0"/>
              <w:rPr>
                <w:sz w:val="20"/>
                <w:szCs w:val="20"/>
                <w:color w:val="auto"/>
              </w:rPr>
            </w:pPr>
            <w:r>
              <w:rPr>
                <w:rFonts w:ascii="Arial" w:cs="Arial" w:eastAsia="Arial" w:hAnsi="Arial"/>
                <w:sz w:val="18"/>
                <w:szCs w:val="18"/>
                <w:color w:val="auto"/>
              </w:rPr>
              <w:t>Gross profit</w:t>
            </w:r>
          </w:p>
        </w:tc>
        <w:tc>
          <w:tcPr>
            <w:tcW w:w="2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235,135</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231,398</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219,313</w:t>
            </w:r>
          </w:p>
        </w:tc>
        <w:tc>
          <w:tcPr>
            <w:tcW w:w="0" w:type="dxa"/>
            <w:vAlign w:val="bottom"/>
          </w:tcPr>
          <w:p>
            <w:pPr>
              <w:spacing w:after="0"/>
              <w:rPr>
                <w:sz w:val="1"/>
                <w:szCs w:val="1"/>
                <w:color w:val="auto"/>
              </w:rPr>
            </w:pPr>
          </w:p>
        </w:tc>
      </w:tr>
      <w:tr>
        <w:trPr>
          <w:trHeight w:val="243"/>
        </w:trPr>
        <w:tc>
          <w:tcPr>
            <w:tcW w:w="6740" w:type="dxa"/>
            <w:vAlign w:val="bottom"/>
            <w:gridSpan w:val="4"/>
          </w:tcPr>
          <w:p>
            <w:pPr>
              <w:ind w:left="40"/>
              <w:spacing w:after="0"/>
              <w:rPr>
                <w:sz w:val="20"/>
                <w:szCs w:val="20"/>
                <w:color w:val="auto"/>
              </w:rPr>
            </w:pPr>
            <w:r>
              <w:rPr>
                <w:rFonts w:ascii="Arial" w:cs="Arial" w:eastAsia="Arial" w:hAnsi="Arial"/>
                <w:sz w:val="18"/>
                <w:szCs w:val="18"/>
                <w:color w:val="auto"/>
              </w:rPr>
              <w:t>Operating expenses:</w:t>
            </w:r>
          </w:p>
        </w:tc>
        <w:tc>
          <w:tcPr>
            <w:tcW w:w="28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2320" w:type="dxa"/>
            <w:vAlign w:val="bottom"/>
          </w:tcPr>
          <w:p>
            <w:pPr>
              <w:spacing w:after="0"/>
              <w:rPr>
                <w:sz w:val="2"/>
                <w:szCs w:val="2"/>
                <w:color w:val="auto"/>
              </w:rPr>
            </w:pPr>
          </w:p>
        </w:tc>
        <w:tc>
          <w:tcPr>
            <w:tcW w:w="280" w:type="dxa"/>
            <w:vAlign w:val="bottom"/>
          </w:tcPr>
          <w:p>
            <w:pPr>
              <w:spacing w:after="0"/>
              <w:rPr>
                <w:sz w:val="2"/>
                <w:szCs w:val="2"/>
                <w:color w:val="auto"/>
              </w:rPr>
            </w:pPr>
          </w:p>
        </w:tc>
        <w:tc>
          <w:tcPr>
            <w:tcW w:w="4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0" w:type="dxa"/>
            <w:vAlign w:val="bottom"/>
            <w:tcBorders>
              <w:bottom w:val="single" w:sz="8" w:color="CCEEFF"/>
            </w:tcBorders>
            <w:shd w:val="clear" w:color="auto" w:fill="CCEEFF"/>
          </w:tcPr>
          <w:p>
            <w:pPr>
              <w:spacing w:after="0"/>
              <w:rPr>
                <w:sz w:val="21"/>
                <w:szCs w:val="21"/>
                <w:color w:val="auto"/>
              </w:rPr>
            </w:pPr>
          </w:p>
        </w:tc>
        <w:tc>
          <w:tcPr>
            <w:tcW w:w="6700" w:type="dxa"/>
            <w:vAlign w:val="bottom"/>
            <w:tcBorders>
              <w:bottom w:val="single" w:sz="8" w:color="CCEEFF"/>
            </w:tcBorders>
            <w:gridSpan w:val="3"/>
            <w:shd w:val="clear" w:color="auto" w:fill="CCEEFF"/>
          </w:tcPr>
          <w:p>
            <w:pPr>
              <w:ind w:left="340"/>
              <w:spacing w:after="0"/>
              <w:rPr>
                <w:sz w:val="20"/>
                <w:szCs w:val="20"/>
                <w:color w:val="auto"/>
              </w:rPr>
            </w:pPr>
            <w:r>
              <w:rPr>
                <w:rFonts w:ascii="Arial" w:cs="Arial" w:eastAsia="Arial" w:hAnsi="Arial"/>
                <w:sz w:val="18"/>
                <w:szCs w:val="18"/>
                <w:color w:val="auto"/>
              </w:rPr>
              <w:t>Selling, general and administrative expenses</w:t>
            </w:r>
          </w:p>
        </w:tc>
        <w:tc>
          <w:tcPr>
            <w:tcW w:w="2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102,530</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90,602</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88,107</w:t>
            </w:r>
          </w:p>
        </w:tc>
        <w:tc>
          <w:tcPr>
            <w:tcW w:w="0" w:type="dxa"/>
            <w:vAlign w:val="bottom"/>
          </w:tcPr>
          <w:p>
            <w:pPr>
              <w:spacing w:after="0"/>
              <w:rPr>
                <w:sz w:val="1"/>
                <w:szCs w:val="1"/>
                <w:color w:val="auto"/>
              </w:rPr>
            </w:pPr>
          </w:p>
        </w:tc>
      </w:tr>
      <w:tr>
        <w:trPr>
          <w:trHeight w:val="243"/>
        </w:trPr>
        <w:tc>
          <w:tcPr>
            <w:tcW w:w="40" w:type="dxa"/>
            <w:vAlign w:val="bottom"/>
          </w:tcPr>
          <w:p>
            <w:pPr>
              <w:spacing w:after="0"/>
              <w:rPr>
                <w:sz w:val="21"/>
                <w:szCs w:val="21"/>
                <w:color w:val="auto"/>
              </w:rPr>
            </w:pPr>
          </w:p>
        </w:tc>
        <w:tc>
          <w:tcPr>
            <w:tcW w:w="6700" w:type="dxa"/>
            <w:vAlign w:val="bottom"/>
            <w:gridSpan w:val="3"/>
          </w:tcPr>
          <w:p>
            <w:pPr>
              <w:ind w:left="340"/>
              <w:spacing w:after="0"/>
              <w:rPr>
                <w:sz w:val="20"/>
                <w:szCs w:val="20"/>
                <w:color w:val="auto"/>
              </w:rPr>
            </w:pPr>
            <w:r>
              <w:rPr>
                <w:rFonts w:ascii="Arial" w:cs="Arial" w:eastAsia="Arial" w:hAnsi="Arial"/>
                <w:sz w:val="18"/>
                <w:szCs w:val="18"/>
                <w:color w:val="auto"/>
              </w:rPr>
              <w:t>Research, development and engineering costs, net</w:t>
            </w:r>
          </w:p>
        </w:tc>
        <w:tc>
          <w:tcPr>
            <w:tcW w:w="280" w:type="dxa"/>
            <w:vAlign w:val="bottom"/>
          </w:tcPr>
          <w:p>
            <w:pPr>
              <w:spacing w:after="0"/>
              <w:rPr>
                <w:sz w:val="21"/>
                <w:szCs w:val="21"/>
                <w:color w:val="auto"/>
              </w:rPr>
            </w:pP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52,995</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12"/>
              <w:spacing w:after="0"/>
              <w:rPr>
                <w:sz w:val="20"/>
                <w:szCs w:val="20"/>
                <w:color w:val="auto"/>
              </w:rPr>
            </w:pPr>
            <w:r>
              <w:rPr>
                <w:rFonts w:ascii="Arial" w:cs="Arial" w:eastAsia="Arial" w:hAnsi="Arial"/>
                <w:sz w:val="18"/>
                <w:szCs w:val="18"/>
                <w:color w:val="auto"/>
              </w:rPr>
              <w:t>49,845</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11"/>
              <w:spacing w:after="0"/>
              <w:rPr>
                <w:sz w:val="20"/>
                <w:szCs w:val="20"/>
                <w:color w:val="auto"/>
              </w:rPr>
            </w:pPr>
            <w:r>
              <w:rPr>
                <w:rFonts w:ascii="Arial" w:cs="Arial" w:eastAsia="Arial" w:hAnsi="Arial"/>
                <w:sz w:val="18"/>
                <w:szCs w:val="18"/>
                <w:color w:val="auto"/>
              </w:rPr>
              <w:t>54,077</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2320" w:type="dxa"/>
            <w:vAlign w:val="bottom"/>
          </w:tcPr>
          <w:p>
            <w:pPr>
              <w:spacing w:after="0"/>
              <w:rPr>
                <w:sz w:val="2"/>
                <w:szCs w:val="2"/>
                <w:color w:val="auto"/>
              </w:rPr>
            </w:pPr>
          </w:p>
        </w:tc>
        <w:tc>
          <w:tcPr>
            <w:tcW w:w="280" w:type="dxa"/>
            <w:vAlign w:val="bottom"/>
          </w:tcPr>
          <w:p>
            <w:pPr>
              <w:spacing w:after="0"/>
              <w:rPr>
                <w:sz w:val="2"/>
                <w:szCs w:val="2"/>
                <w:color w:val="auto"/>
              </w:rPr>
            </w:pPr>
          </w:p>
        </w:tc>
        <w:tc>
          <w:tcPr>
            <w:tcW w:w="4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0" w:type="dxa"/>
            <w:vAlign w:val="bottom"/>
            <w:tcBorders>
              <w:bottom w:val="single" w:sz="8" w:color="CCEEFF"/>
            </w:tcBorders>
            <w:shd w:val="clear" w:color="auto" w:fill="CCEEFF"/>
          </w:tcPr>
          <w:p>
            <w:pPr>
              <w:spacing w:after="0"/>
              <w:rPr>
                <w:sz w:val="23"/>
                <w:szCs w:val="23"/>
                <w:color w:val="auto"/>
              </w:rPr>
            </w:pPr>
          </w:p>
        </w:tc>
        <w:tc>
          <w:tcPr>
            <w:tcW w:w="6700" w:type="dxa"/>
            <w:vAlign w:val="bottom"/>
            <w:tcBorders>
              <w:bottom w:val="single" w:sz="8" w:color="CCEEFF"/>
            </w:tcBorders>
            <w:gridSpan w:val="3"/>
            <w:shd w:val="clear" w:color="auto" w:fill="CCEEFF"/>
          </w:tcPr>
          <w:p>
            <w:pPr>
              <w:ind w:left="340"/>
              <w:spacing w:after="0"/>
              <w:rPr>
                <w:sz w:val="20"/>
                <w:szCs w:val="20"/>
                <w:color w:val="auto"/>
              </w:rPr>
            </w:pPr>
            <w:r>
              <w:rPr>
                <w:rFonts w:ascii="Arial" w:cs="Arial" w:eastAsia="Arial" w:hAnsi="Arial"/>
                <w:sz w:val="18"/>
                <w:szCs w:val="18"/>
                <w:color w:val="auto"/>
              </w:rPr>
              <w:t>Other operating expenses, net</w:t>
            </w:r>
          </w:p>
        </w:tc>
        <w:tc>
          <w:tcPr>
            <w:tcW w:w="28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66,464</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15,297</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15,790</w:t>
            </w:r>
          </w:p>
        </w:tc>
        <w:tc>
          <w:tcPr>
            <w:tcW w:w="0" w:type="dxa"/>
            <w:vAlign w:val="bottom"/>
          </w:tcPr>
          <w:p>
            <w:pPr>
              <w:spacing w:after="0"/>
              <w:rPr>
                <w:sz w:val="1"/>
                <w:szCs w:val="1"/>
                <w:color w:val="auto"/>
              </w:rPr>
            </w:pPr>
          </w:p>
        </w:tc>
      </w:tr>
      <w:tr>
        <w:trPr>
          <w:trHeight w:val="237"/>
        </w:trPr>
        <w:tc>
          <w:tcPr>
            <w:tcW w:w="40" w:type="dxa"/>
            <w:vAlign w:val="bottom"/>
          </w:tcPr>
          <w:p>
            <w:pPr>
              <w:spacing w:after="0"/>
              <w:rPr>
                <w:sz w:val="20"/>
                <w:szCs w:val="20"/>
                <w:color w:val="auto"/>
              </w:rPr>
            </w:pPr>
          </w:p>
        </w:tc>
        <w:tc>
          <w:tcPr>
            <w:tcW w:w="6700" w:type="dxa"/>
            <w:vAlign w:val="bottom"/>
            <w:gridSpan w:val="3"/>
          </w:tcPr>
          <w:p>
            <w:pPr>
              <w:ind w:left="680"/>
              <w:spacing w:after="0"/>
              <w:rPr>
                <w:sz w:val="20"/>
                <w:szCs w:val="20"/>
                <w:color w:val="auto"/>
              </w:rPr>
            </w:pPr>
            <w:r>
              <w:rPr>
                <w:rFonts w:ascii="Arial" w:cs="Arial" w:eastAsia="Arial" w:hAnsi="Arial"/>
                <w:sz w:val="18"/>
                <w:szCs w:val="18"/>
                <w:color w:val="auto"/>
              </w:rPr>
              <w:t>Total operating expenses</w:t>
            </w:r>
          </w:p>
        </w:tc>
        <w:tc>
          <w:tcPr>
            <w:tcW w:w="280" w:type="dxa"/>
            <w:vAlign w:val="bottom"/>
            <w:tcBorders>
              <w:top w:val="single" w:sz="8" w:color="auto"/>
            </w:tcBorders>
          </w:tcPr>
          <w:p>
            <w:pPr>
              <w:spacing w:after="0"/>
              <w:rPr>
                <w:sz w:val="20"/>
                <w:szCs w:val="20"/>
                <w:color w:val="auto"/>
              </w:rPr>
            </w:pPr>
          </w:p>
        </w:tc>
        <w:tc>
          <w:tcPr>
            <w:tcW w:w="124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221,989</w:t>
            </w:r>
          </w:p>
        </w:tc>
        <w:tc>
          <w:tcPr>
            <w:tcW w:w="10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155,744</w:t>
            </w:r>
          </w:p>
        </w:tc>
        <w:tc>
          <w:tcPr>
            <w:tcW w:w="10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157,974</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2320" w:type="dxa"/>
            <w:vAlign w:val="bottom"/>
          </w:tcPr>
          <w:p>
            <w:pPr>
              <w:spacing w:after="0"/>
              <w:rPr>
                <w:sz w:val="2"/>
                <w:szCs w:val="2"/>
                <w:color w:val="auto"/>
              </w:rPr>
            </w:pPr>
          </w:p>
        </w:tc>
        <w:tc>
          <w:tcPr>
            <w:tcW w:w="280" w:type="dxa"/>
            <w:vAlign w:val="bottom"/>
          </w:tcPr>
          <w:p>
            <w:pPr>
              <w:spacing w:after="0"/>
              <w:rPr>
                <w:sz w:val="2"/>
                <w:szCs w:val="2"/>
                <w:color w:val="auto"/>
              </w:rPr>
            </w:pPr>
          </w:p>
        </w:tc>
        <w:tc>
          <w:tcPr>
            <w:tcW w:w="4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0" w:type="dxa"/>
            <w:vAlign w:val="bottom"/>
            <w:tcBorders>
              <w:bottom w:val="single" w:sz="8" w:color="CCEEFF"/>
            </w:tcBorders>
            <w:shd w:val="clear" w:color="auto" w:fill="CCEEFF"/>
          </w:tcPr>
          <w:p>
            <w:pPr>
              <w:spacing w:after="0"/>
              <w:rPr>
                <w:sz w:val="21"/>
                <w:szCs w:val="21"/>
                <w:color w:val="auto"/>
              </w:rPr>
            </w:pPr>
          </w:p>
        </w:tc>
        <w:tc>
          <w:tcPr>
            <w:tcW w:w="6700" w:type="dxa"/>
            <w:vAlign w:val="bottom"/>
            <w:tcBorders>
              <w:bottom w:val="single" w:sz="8" w:color="CCEEFF"/>
            </w:tcBorders>
            <w:gridSpan w:val="3"/>
            <w:shd w:val="clear" w:color="auto" w:fill="CCEEFF"/>
          </w:tcPr>
          <w:p>
            <w:pPr>
              <w:ind w:left="680"/>
              <w:spacing w:after="0"/>
              <w:rPr>
                <w:sz w:val="20"/>
                <w:szCs w:val="20"/>
                <w:color w:val="auto"/>
              </w:rPr>
            </w:pPr>
            <w:r>
              <w:rPr>
                <w:rFonts w:ascii="Arial" w:cs="Arial" w:eastAsia="Arial" w:hAnsi="Arial"/>
                <w:sz w:val="18"/>
                <w:szCs w:val="18"/>
                <w:color w:val="auto"/>
              </w:rPr>
              <w:t>Operating income</w:t>
            </w:r>
          </w:p>
        </w:tc>
        <w:tc>
          <w:tcPr>
            <w:tcW w:w="2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13,146</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75,654</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61,339</w:t>
            </w:r>
          </w:p>
        </w:tc>
        <w:tc>
          <w:tcPr>
            <w:tcW w:w="0" w:type="dxa"/>
            <w:vAlign w:val="bottom"/>
          </w:tcPr>
          <w:p>
            <w:pPr>
              <w:spacing w:after="0"/>
              <w:rPr>
                <w:sz w:val="1"/>
                <w:szCs w:val="1"/>
                <w:color w:val="auto"/>
              </w:rPr>
            </w:pPr>
          </w:p>
        </w:tc>
      </w:tr>
      <w:tr>
        <w:trPr>
          <w:trHeight w:val="243"/>
        </w:trPr>
        <w:tc>
          <w:tcPr>
            <w:tcW w:w="6740" w:type="dxa"/>
            <w:vAlign w:val="bottom"/>
            <w:gridSpan w:val="4"/>
          </w:tcPr>
          <w:p>
            <w:pPr>
              <w:ind w:left="40"/>
              <w:spacing w:after="0"/>
              <w:rPr>
                <w:sz w:val="20"/>
                <w:szCs w:val="20"/>
                <w:color w:val="auto"/>
              </w:rPr>
            </w:pPr>
            <w:r>
              <w:rPr>
                <w:rFonts w:ascii="Arial" w:cs="Arial" w:eastAsia="Arial" w:hAnsi="Arial"/>
                <w:sz w:val="18"/>
                <w:szCs w:val="18"/>
                <w:color w:val="auto"/>
              </w:rPr>
              <w:t>Interest expense</w:t>
            </w:r>
          </w:p>
        </w:tc>
        <w:tc>
          <w:tcPr>
            <w:tcW w:w="280" w:type="dxa"/>
            <w:vAlign w:val="bottom"/>
          </w:tcPr>
          <w:p>
            <w:pPr>
              <w:spacing w:after="0"/>
              <w:rPr>
                <w:sz w:val="21"/>
                <w:szCs w:val="21"/>
                <w:color w:val="auto"/>
              </w:rPr>
            </w:pP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33,513</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12"/>
              <w:spacing w:after="0"/>
              <w:rPr>
                <w:sz w:val="20"/>
                <w:szCs w:val="20"/>
                <w:color w:val="auto"/>
              </w:rPr>
            </w:pPr>
            <w:r>
              <w:rPr>
                <w:rFonts w:ascii="Arial" w:cs="Arial" w:eastAsia="Arial" w:hAnsi="Arial"/>
                <w:sz w:val="18"/>
                <w:szCs w:val="18"/>
                <w:color w:val="auto"/>
              </w:rPr>
              <w:t>4,252</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11"/>
              <w:spacing w:after="0"/>
              <w:rPr>
                <w:sz w:val="20"/>
                <w:szCs w:val="20"/>
                <w:color w:val="auto"/>
              </w:rPr>
            </w:pPr>
            <w:r>
              <w:rPr>
                <w:rFonts w:ascii="Arial" w:cs="Arial" w:eastAsia="Arial" w:hAnsi="Arial"/>
                <w:sz w:val="18"/>
                <w:szCs w:val="18"/>
                <w:color w:val="auto"/>
              </w:rPr>
              <w:t>11,261</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2320" w:type="dxa"/>
            <w:vAlign w:val="bottom"/>
          </w:tcPr>
          <w:p>
            <w:pPr>
              <w:spacing w:after="0"/>
              <w:rPr>
                <w:sz w:val="2"/>
                <w:szCs w:val="2"/>
                <w:color w:val="auto"/>
              </w:rPr>
            </w:pPr>
          </w:p>
        </w:tc>
        <w:tc>
          <w:tcPr>
            <w:tcW w:w="280" w:type="dxa"/>
            <w:vAlign w:val="bottom"/>
          </w:tcPr>
          <w:p>
            <w:pPr>
              <w:spacing w:after="0"/>
              <w:rPr>
                <w:sz w:val="2"/>
                <w:szCs w:val="2"/>
                <w:color w:val="auto"/>
              </w:rPr>
            </w:pPr>
          </w:p>
        </w:tc>
        <w:tc>
          <w:tcPr>
            <w:tcW w:w="4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gridSpan w:val="4"/>
            <w:shd w:val="clear" w:color="auto" w:fill="CCEEFF"/>
          </w:tcPr>
          <w:p>
            <w:pPr>
              <w:ind w:left="40"/>
              <w:spacing w:after="0"/>
              <w:rPr>
                <w:sz w:val="20"/>
                <w:szCs w:val="20"/>
                <w:color w:val="auto"/>
              </w:rPr>
            </w:pPr>
            <w:r>
              <w:rPr>
                <w:rFonts w:ascii="Arial" w:cs="Arial" w:eastAsia="Arial" w:hAnsi="Arial"/>
                <w:sz w:val="18"/>
                <w:szCs w:val="18"/>
                <w:color w:val="auto"/>
              </w:rPr>
              <w:t>(Gain) loss on cost and equity method investments, net</w:t>
            </w:r>
          </w:p>
        </w:tc>
        <w:tc>
          <w:tcPr>
            <w:tcW w:w="2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(3,350)</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(4,370)</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694</w:t>
            </w:r>
          </w:p>
        </w:tc>
        <w:tc>
          <w:tcPr>
            <w:tcW w:w="0" w:type="dxa"/>
            <w:vAlign w:val="bottom"/>
          </w:tcPr>
          <w:p>
            <w:pPr>
              <w:spacing w:after="0"/>
              <w:rPr>
                <w:sz w:val="1"/>
                <w:szCs w:val="1"/>
                <w:color w:val="auto"/>
              </w:rPr>
            </w:pPr>
          </w:p>
        </w:tc>
      </w:tr>
      <w:tr>
        <w:trPr>
          <w:trHeight w:val="243"/>
        </w:trPr>
        <w:tc>
          <w:tcPr>
            <w:tcW w:w="6740" w:type="dxa"/>
            <w:vAlign w:val="bottom"/>
            <w:gridSpan w:val="4"/>
          </w:tcPr>
          <w:p>
            <w:pPr>
              <w:ind w:left="40"/>
              <w:spacing w:after="0"/>
              <w:rPr>
                <w:sz w:val="20"/>
                <w:szCs w:val="20"/>
                <w:color w:val="auto"/>
              </w:rPr>
            </w:pPr>
            <w:r>
              <w:rPr>
                <w:rFonts w:ascii="Arial" w:cs="Arial" w:eastAsia="Arial" w:hAnsi="Arial"/>
                <w:sz w:val="18"/>
                <w:szCs w:val="18"/>
                <w:color w:val="auto"/>
              </w:rPr>
              <w:t>Other (income) expense, net</w:t>
            </w:r>
          </w:p>
        </w:tc>
        <w:tc>
          <w:tcPr>
            <w:tcW w:w="28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(1,317)</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(807)</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11"/>
              <w:spacing w:after="0"/>
              <w:rPr>
                <w:sz w:val="20"/>
                <w:szCs w:val="20"/>
                <w:color w:val="auto"/>
              </w:rPr>
            </w:pPr>
            <w:r>
              <w:rPr>
                <w:rFonts w:ascii="Arial" w:cs="Arial" w:eastAsia="Arial" w:hAnsi="Arial"/>
                <w:sz w:val="18"/>
                <w:szCs w:val="18"/>
                <w:color w:val="auto"/>
              </w:rPr>
              <w:t>546</w:t>
            </w:r>
          </w:p>
        </w:tc>
        <w:tc>
          <w:tcPr>
            <w:tcW w:w="0" w:type="dxa"/>
            <w:vAlign w:val="bottom"/>
          </w:tcPr>
          <w:p>
            <w:pPr>
              <w:spacing w:after="0"/>
              <w:rPr>
                <w:sz w:val="1"/>
                <w:szCs w:val="1"/>
                <w:color w:val="auto"/>
              </w:rPr>
            </w:pPr>
          </w:p>
        </w:tc>
      </w:tr>
      <w:tr>
        <w:trPr>
          <w:trHeight w:val="27"/>
        </w:trPr>
        <w:tc>
          <w:tcPr>
            <w:tcW w:w="40" w:type="dxa"/>
            <w:vAlign w:val="bottom"/>
            <w:tcBorders>
              <w:bottom w:val="single" w:sz="8" w:color="CCEEFF"/>
            </w:tcBorders>
          </w:tcPr>
          <w:p>
            <w:pPr>
              <w:spacing w:after="0"/>
              <w:rPr>
                <w:sz w:val="2"/>
                <w:szCs w:val="2"/>
                <w:color w:val="auto"/>
              </w:rPr>
            </w:pPr>
          </w:p>
        </w:tc>
        <w:tc>
          <w:tcPr>
            <w:tcW w:w="2320" w:type="dxa"/>
            <w:vAlign w:val="bottom"/>
            <w:tcBorders>
              <w:bottom w:val="single" w:sz="8" w:color="CCEEFF"/>
            </w:tcBorders>
          </w:tcPr>
          <w:p>
            <w:pPr>
              <w:spacing w:after="0"/>
              <w:rPr>
                <w:sz w:val="2"/>
                <w:szCs w:val="2"/>
                <w:color w:val="auto"/>
              </w:rPr>
            </w:pPr>
          </w:p>
        </w:tc>
        <w:tc>
          <w:tcPr>
            <w:tcW w:w="280" w:type="dxa"/>
            <w:vAlign w:val="bottom"/>
            <w:tcBorders>
              <w:bottom w:val="single" w:sz="8" w:color="CCEEFF"/>
            </w:tcBorders>
          </w:tcPr>
          <w:p>
            <w:pPr>
              <w:spacing w:after="0"/>
              <w:rPr>
                <w:sz w:val="2"/>
                <w:szCs w:val="2"/>
                <w:color w:val="auto"/>
              </w:rPr>
            </w:pPr>
          </w:p>
        </w:tc>
        <w:tc>
          <w:tcPr>
            <w:tcW w:w="4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0" w:type="dxa"/>
            <w:vAlign w:val="bottom"/>
            <w:tcBorders>
              <w:bottom w:val="single" w:sz="8" w:color="CCEEFF"/>
            </w:tcBorders>
            <w:shd w:val="clear" w:color="auto" w:fill="CCEEFF"/>
          </w:tcPr>
          <w:p>
            <w:pPr>
              <w:spacing w:after="0"/>
              <w:rPr>
                <w:sz w:val="21"/>
                <w:szCs w:val="21"/>
                <w:color w:val="auto"/>
              </w:rPr>
            </w:pPr>
          </w:p>
        </w:tc>
        <w:tc>
          <w:tcPr>
            <w:tcW w:w="6700" w:type="dxa"/>
            <w:vAlign w:val="bottom"/>
            <w:tcBorders>
              <w:bottom w:val="single" w:sz="8" w:color="CCEEFF"/>
            </w:tcBorders>
            <w:gridSpan w:val="3"/>
            <w:shd w:val="clear" w:color="auto" w:fill="CCEEFF"/>
          </w:tcPr>
          <w:p>
            <w:pPr>
              <w:ind w:left="340"/>
              <w:spacing w:after="0"/>
              <w:rPr>
                <w:sz w:val="20"/>
                <w:szCs w:val="20"/>
                <w:color w:val="auto"/>
              </w:rPr>
            </w:pPr>
            <w:r>
              <w:rPr>
                <w:rFonts w:ascii="Arial" w:cs="Arial" w:eastAsia="Arial" w:hAnsi="Arial"/>
                <w:sz w:val="18"/>
                <w:szCs w:val="18"/>
                <w:color w:val="auto"/>
              </w:rPr>
              <w:t>Income (loss) before provision for income taxes</w:t>
            </w:r>
          </w:p>
        </w:tc>
        <w:tc>
          <w:tcPr>
            <w:tcW w:w="2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(15,700)</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76,579</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48,838</w:t>
            </w:r>
          </w:p>
        </w:tc>
        <w:tc>
          <w:tcPr>
            <w:tcW w:w="0" w:type="dxa"/>
            <w:vAlign w:val="bottom"/>
          </w:tcPr>
          <w:p>
            <w:pPr>
              <w:spacing w:after="0"/>
              <w:rPr>
                <w:sz w:val="1"/>
                <w:szCs w:val="1"/>
                <w:color w:val="auto"/>
              </w:rPr>
            </w:pPr>
          </w:p>
        </w:tc>
      </w:tr>
      <w:tr>
        <w:trPr>
          <w:trHeight w:val="243"/>
        </w:trPr>
        <w:tc>
          <w:tcPr>
            <w:tcW w:w="6740" w:type="dxa"/>
            <w:vAlign w:val="bottom"/>
            <w:gridSpan w:val="4"/>
          </w:tcPr>
          <w:p>
            <w:pPr>
              <w:ind w:left="40"/>
              <w:spacing w:after="0"/>
              <w:rPr>
                <w:sz w:val="20"/>
                <w:szCs w:val="20"/>
                <w:color w:val="auto"/>
              </w:rPr>
            </w:pPr>
            <w:r>
              <w:rPr>
                <w:rFonts w:ascii="Arial" w:cs="Arial" w:eastAsia="Arial" w:hAnsi="Arial"/>
                <w:sz w:val="18"/>
                <w:szCs w:val="18"/>
                <w:color w:val="auto"/>
              </w:rPr>
              <w:t>Provision (benefit) for income taxes</w:t>
            </w:r>
          </w:p>
        </w:tc>
        <w:tc>
          <w:tcPr>
            <w:tcW w:w="28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(8,106)</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12"/>
              <w:spacing w:after="0"/>
              <w:rPr>
                <w:sz w:val="20"/>
                <w:szCs w:val="20"/>
                <w:color w:val="auto"/>
              </w:rPr>
            </w:pPr>
            <w:r>
              <w:rPr>
                <w:rFonts w:ascii="Arial" w:cs="Arial" w:eastAsia="Arial" w:hAnsi="Arial"/>
                <w:sz w:val="18"/>
                <w:szCs w:val="18"/>
                <w:color w:val="auto"/>
              </w:rPr>
              <w:t>21,121</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11"/>
              <w:spacing w:after="0"/>
              <w:rPr>
                <w:sz w:val="20"/>
                <w:szCs w:val="20"/>
                <w:color w:val="auto"/>
              </w:rPr>
            </w:pPr>
            <w:r>
              <w:rPr>
                <w:rFonts w:ascii="Arial" w:cs="Arial" w:eastAsia="Arial" w:hAnsi="Arial"/>
                <w:sz w:val="18"/>
                <w:szCs w:val="18"/>
                <w:color w:val="auto"/>
              </w:rPr>
              <w:t>12,571</w:t>
            </w:r>
          </w:p>
        </w:tc>
        <w:tc>
          <w:tcPr>
            <w:tcW w:w="0" w:type="dxa"/>
            <w:vAlign w:val="bottom"/>
          </w:tcPr>
          <w:p>
            <w:pPr>
              <w:spacing w:after="0"/>
              <w:rPr>
                <w:sz w:val="1"/>
                <w:szCs w:val="1"/>
                <w:color w:val="auto"/>
              </w:rPr>
            </w:pPr>
          </w:p>
        </w:tc>
      </w:tr>
      <w:tr>
        <w:trPr>
          <w:trHeight w:val="27"/>
        </w:trPr>
        <w:tc>
          <w:tcPr>
            <w:tcW w:w="40" w:type="dxa"/>
            <w:vAlign w:val="bottom"/>
            <w:tcBorders>
              <w:bottom w:val="single" w:sz="8" w:color="CCEEFF"/>
            </w:tcBorders>
          </w:tcPr>
          <w:p>
            <w:pPr>
              <w:spacing w:after="0"/>
              <w:rPr>
                <w:sz w:val="2"/>
                <w:szCs w:val="2"/>
                <w:color w:val="auto"/>
              </w:rPr>
            </w:pPr>
          </w:p>
        </w:tc>
        <w:tc>
          <w:tcPr>
            <w:tcW w:w="2320" w:type="dxa"/>
            <w:vAlign w:val="bottom"/>
            <w:tcBorders>
              <w:bottom w:val="single" w:sz="8" w:color="CCEEFF"/>
            </w:tcBorders>
          </w:tcPr>
          <w:p>
            <w:pPr>
              <w:spacing w:after="0"/>
              <w:rPr>
                <w:sz w:val="2"/>
                <w:szCs w:val="2"/>
                <w:color w:val="auto"/>
              </w:rPr>
            </w:pPr>
          </w:p>
        </w:tc>
        <w:tc>
          <w:tcPr>
            <w:tcW w:w="280" w:type="dxa"/>
            <w:vAlign w:val="bottom"/>
            <w:tcBorders>
              <w:bottom w:val="single" w:sz="8" w:color="CCEEFF"/>
            </w:tcBorders>
          </w:tcPr>
          <w:p>
            <w:pPr>
              <w:spacing w:after="0"/>
              <w:rPr>
                <w:sz w:val="2"/>
                <w:szCs w:val="2"/>
                <w:color w:val="auto"/>
              </w:rPr>
            </w:pPr>
          </w:p>
        </w:tc>
        <w:tc>
          <w:tcPr>
            <w:tcW w:w="4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0" w:type="dxa"/>
            <w:vAlign w:val="bottom"/>
            <w:tcBorders>
              <w:bottom w:val="single" w:sz="8" w:color="CCEEFF"/>
            </w:tcBorders>
            <w:shd w:val="clear" w:color="auto" w:fill="CCEEFF"/>
          </w:tcPr>
          <w:p>
            <w:pPr>
              <w:spacing w:after="0"/>
              <w:rPr>
                <w:sz w:val="22"/>
                <w:szCs w:val="22"/>
                <w:color w:val="auto"/>
              </w:rPr>
            </w:pPr>
          </w:p>
        </w:tc>
        <w:tc>
          <w:tcPr>
            <w:tcW w:w="6700" w:type="dxa"/>
            <w:vAlign w:val="bottom"/>
            <w:tcBorders>
              <w:bottom w:val="single" w:sz="8" w:color="CCEEFF"/>
            </w:tcBorders>
            <w:gridSpan w:val="3"/>
            <w:shd w:val="clear" w:color="auto" w:fill="CCEEFF"/>
          </w:tcPr>
          <w:p>
            <w:pPr>
              <w:ind w:left="680"/>
              <w:spacing w:after="0"/>
              <w:rPr>
                <w:sz w:val="20"/>
                <w:szCs w:val="20"/>
                <w:color w:val="auto"/>
              </w:rPr>
            </w:pPr>
            <w:r>
              <w:rPr>
                <w:rFonts w:ascii="Arial" w:cs="Arial" w:eastAsia="Arial" w:hAnsi="Arial"/>
                <w:sz w:val="18"/>
                <w:szCs w:val="18"/>
                <w:color w:val="auto"/>
              </w:rPr>
              <w:t>Net income (loss)</w:t>
            </w: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(7,594)</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55,458</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36,267</w:t>
            </w:r>
          </w:p>
        </w:tc>
        <w:tc>
          <w:tcPr>
            <w:tcW w:w="0" w:type="dxa"/>
            <w:vAlign w:val="bottom"/>
          </w:tcPr>
          <w:p>
            <w:pPr>
              <w:spacing w:after="0"/>
              <w:rPr>
                <w:sz w:val="1"/>
                <w:szCs w:val="1"/>
                <w:color w:val="auto"/>
              </w:rPr>
            </w:pPr>
          </w:p>
        </w:tc>
      </w:tr>
      <w:tr>
        <w:trPr>
          <w:trHeight w:val="20"/>
        </w:trPr>
        <w:tc>
          <w:tcPr>
            <w:tcW w:w="6740" w:type="dxa"/>
            <w:vAlign w:val="bottom"/>
            <w:gridSpan w:val="4"/>
            <w:vMerge w:val="restart"/>
          </w:tcPr>
          <w:p>
            <w:pPr>
              <w:ind w:left="40"/>
              <w:spacing w:after="0"/>
              <w:rPr>
                <w:sz w:val="20"/>
                <w:szCs w:val="20"/>
                <w:color w:val="auto"/>
              </w:rPr>
            </w:pPr>
            <w:r>
              <w:rPr>
                <w:rFonts w:ascii="Arial" w:cs="Arial" w:eastAsia="Arial" w:hAnsi="Arial"/>
                <w:sz w:val="18"/>
                <w:szCs w:val="18"/>
                <w:color w:val="auto"/>
              </w:rPr>
              <w:t>Earnings (loss) per share:</w:t>
            </w:r>
          </w:p>
        </w:tc>
        <w:tc>
          <w:tcPr>
            <w:tcW w:w="28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6740" w:type="dxa"/>
            <w:vAlign w:val="bottom"/>
            <w:gridSpan w:val="4"/>
            <w:vMerge w:val="continue"/>
          </w:tcPr>
          <w:p>
            <w:pPr>
              <w:spacing w:after="0"/>
              <w:rPr>
                <w:sz w:val="20"/>
                <w:szCs w:val="20"/>
                <w:color w:val="auto"/>
              </w:rPr>
            </w:pPr>
          </w:p>
        </w:tc>
        <w:tc>
          <w:tcPr>
            <w:tcW w:w="28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2320" w:type="dxa"/>
            <w:vAlign w:val="bottom"/>
          </w:tcPr>
          <w:p>
            <w:pPr>
              <w:spacing w:after="0"/>
              <w:rPr>
                <w:sz w:val="2"/>
                <w:szCs w:val="2"/>
                <w:color w:val="auto"/>
              </w:rPr>
            </w:pPr>
          </w:p>
        </w:tc>
        <w:tc>
          <w:tcPr>
            <w:tcW w:w="280" w:type="dxa"/>
            <w:vAlign w:val="bottom"/>
          </w:tcPr>
          <w:p>
            <w:pPr>
              <w:spacing w:after="0"/>
              <w:rPr>
                <w:sz w:val="2"/>
                <w:szCs w:val="2"/>
                <w:color w:val="auto"/>
              </w:rPr>
            </w:pPr>
          </w:p>
        </w:tc>
        <w:tc>
          <w:tcPr>
            <w:tcW w:w="4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0" w:type="dxa"/>
            <w:vAlign w:val="bottom"/>
            <w:tcBorders>
              <w:bottom w:val="single" w:sz="8" w:color="CCEEFF"/>
            </w:tcBorders>
            <w:shd w:val="clear" w:color="auto" w:fill="CCEEFF"/>
          </w:tcPr>
          <w:p>
            <w:pPr>
              <w:spacing w:after="0"/>
              <w:rPr>
                <w:sz w:val="21"/>
                <w:szCs w:val="21"/>
                <w:color w:val="auto"/>
              </w:rPr>
            </w:pPr>
          </w:p>
        </w:tc>
        <w:tc>
          <w:tcPr>
            <w:tcW w:w="6700" w:type="dxa"/>
            <w:vAlign w:val="bottom"/>
            <w:tcBorders>
              <w:bottom w:val="single" w:sz="8" w:color="CCEEFF"/>
            </w:tcBorders>
            <w:gridSpan w:val="3"/>
            <w:shd w:val="clear" w:color="auto" w:fill="CCEEFF"/>
          </w:tcPr>
          <w:p>
            <w:pPr>
              <w:ind w:left="340"/>
              <w:spacing w:after="0"/>
              <w:rPr>
                <w:sz w:val="20"/>
                <w:szCs w:val="20"/>
                <w:color w:val="auto"/>
              </w:rPr>
            </w:pPr>
            <w:r>
              <w:rPr>
                <w:rFonts w:ascii="Arial" w:cs="Arial" w:eastAsia="Arial" w:hAnsi="Arial"/>
                <w:sz w:val="18"/>
                <w:szCs w:val="18"/>
                <w:color w:val="auto"/>
              </w:rPr>
              <w:t>Basic</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(0.29)</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2.23</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1.51</w:t>
            </w:r>
          </w:p>
        </w:tc>
        <w:tc>
          <w:tcPr>
            <w:tcW w:w="0" w:type="dxa"/>
            <w:vAlign w:val="bottom"/>
          </w:tcPr>
          <w:p>
            <w:pPr>
              <w:spacing w:after="0"/>
              <w:rPr>
                <w:sz w:val="1"/>
                <w:szCs w:val="1"/>
                <w:color w:val="auto"/>
              </w:rPr>
            </w:pPr>
          </w:p>
        </w:tc>
      </w:tr>
      <w:tr>
        <w:trPr>
          <w:trHeight w:val="243"/>
        </w:trPr>
        <w:tc>
          <w:tcPr>
            <w:tcW w:w="40" w:type="dxa"/>
            <w:vAlign w:val="bottom"/>
          </w:tcPr>
          <w:p>
            <w:pPr>
              <w:spacing w:after="0"/>
              <w:rPr>
                <w:sz w:val="21"/>
                <w:szCs w:val="21"/>
                <w:color w:val="auto"/>
              </w:rPr>
            </w:pPr>
          </w:p>
        </w:tc>
        <w:tc>
          <w:tcPr>
            <w:tcW w:w="6700" w:type="dxa"/>
            <w:vAlign w:val="bottom"/>
            <w:gridSpan w:val="3"/>
          </w:tcPr>
          <w:p>
            <w:pPr>
              <w:ind w:left="340"/>
              <w:spacing w:after="0"/>
              <w:rPr>
                <w:sz w:val="20"/>
                <w:szCs w:val="20"/>
                <w:color w:val="auto"/>
              </w:rPr>
            </w:pPr>
            <w:r>
              <w:rPr>
                <w:rFonts w:ascii="Arial" w:cs="Arial" w:eastAsia="Arial" w:hAnsi="Arial"/>
                <w:sz w:val="18"/>
                <w:szCs w:val="18"/>
                <w:color w:val="auto"/>
              </w:rPr>
              <w:t>Diluted</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(0.29)</w:t>
            </w:r>
          </w:p>
        </w:tc>
        <w:tc>
          <w:tcPr>
            <w:tcW w:w="10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Pr>
          <w:p>
            <w:pPr>
              <w:jc w:val="right"/>
              <w:ind w:right="12"/>
              <w:spacing w:after="0"/>
              <w:rPr>
                <w:sz w:val="20"/>
                <w:szCs w:val="20"/>
                <w:color w:val="auto"/>
              </w:rPr>
            </w:pPr>
            <w:r>
              <w:rPr>
                <w:rFonts w:ascii="Arial" w:cs="Arial" w:eastAsia="Arial" w:hAnsi="Arial"/>
                <w:sz w:val="18"/>
                <w:szCs w:val="18"/>
                <w:color w:val="auto"/>
              </w:rPr>
              <w:t>2.14</w:t>
            </w:r>
          </w:p>
        </w:tc>
        <w:tc>
          <w:tcPr>
            <w:tcW w:w="10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Pr>
          <w:p>
            <w:pPr>
              <w:jc w:val="right"/>
              <w:ind w:right="11"/>
              <w:spacing w:after="0"/>
              <w:rPr>
                <w:sz w:val="20"/>
                <w:szCs w:val="20"/>
                <w:color w:val="auto"/>
              </w:rPr>
            </w:pPr>
            <w:r>
              <w:rPr>
                <w:rFonts w:ascii="Arial" w:cs="Arial" w:eastAsia="Arial" w:hAnsi="Arial"/>
                <w:sz w:val="18"/>
                <w:szCs w:val="18"/>
                <w:color w:val="auto"/>
              </w:rPr>
              <w:t>1.43</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2320" w:type="dxa"/>
            <w:vAlign w:val="bottom"/>
          </w:tcPr>
          <w:p>
            <w:pPr>
              <w:spacing w:after="0"/>
              <w:rPr>
                <w:sz w:val="2"/>
                <w:szCs w:val="2"/>
                <w:color w:val="auto"/>
              </w:rPr>
            </w:pPr>
          </w:p>
        </w:tc>
        <w:tc>
          <w:tcPr>
            <w:tcW w:w="280" w:type="dxa"/>
            <w:vAlign w:val="bottom"/>
          </w:tcPr>
          <w:p>
            <w:pPr>
              <w:spacing w:after="0"/>
              <w:rPr>
                <w:sz w:val="2"/>
                <w:szCs w:val="2"/>
                <w:color w:val="auto"/>
              </w:rPr>
            </w:pPr>
          </w:p>
        </w:tc>
        <w:tc>
          <w:tcPr>
            <w:tcW w:w="4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gridSpan w:val="4"/>
            <w:shd w:val="clear" w:color="auto" w:fill="CCEEFF"/>
          </w:tcPr>
          <w:p>
            <w:pPr>
              <w:ind w:left="40"/>
              <w:spacing w:after="0"/>
              <w:rPr>
                <w:sz w:val="20"/>
                <w:szCs w:val="20"/>
                <w:color w:val="auto"/>
              </w:rPr>
            </w:pPr>
            <w:r>
              <w:rPr>
                <w:rFonts w:ascii="Arial" w:cs="Arial" w:eastAsia="Arial" w:hAnsi="Arial"/>
                <w:sz w:val="18"/>
                <w:szCs w:val="18"/>
                <w:color w:val="auto"/>
              </w:rPr>
              <w:t>Weighted average shares outstanding:</w:t>
            </w:r>
          </w:p>
        </w:tc>
        <w:tc>
          <w:tcPr>
            <w:tcW w:w="2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0" w:type="dxa"/>
            <w:vAlign w:val="bottom"/>
          </w:tcPr>
          <w:p>
            <w:pPr>
              <w:spacing w:after="0"/>
              <w:rPr>
                <w:sz w:val="21"/>
                <w:szCs w:val="21"/>
                <w:color w:val="auto"/>
              </w:rPr>
            </w:pPr>
          </w:p>
        </w:tc>
        <w:tc>
          <w:tcPr>
            <w:tcW w:w="6700" w:type="dxa"/>
            <w:vAlign w:val="bottom"/>
            <w:gridSpan w:val="3"/>
          </w:tcPr>
          <w:p>
            <w:pPr>
              <w:ind w:left="340"/>
              <w:spacing w:after="0"/>
              <w:rPr>
                <w:sz w:val="20"/>
                <w:szCs w:val="20"/>
                <w:color w:val="auto"/>
              </w:rPr>
            </w:pPr>
            <w:r>
              <w:rPr>
                <w:rFonts w:ascii="Arial" w:cs="Arial" w:eastAsia="Arial" w:hAnsi="Arial"/>
                <w:sz w:val="18"/>
                <w:szCs w:val="18"/>
                <w:color w:val="auto"/>
              </w:rPr>
              <w:t>Basic</w:t>
            </w:r>
          </w:p>
        </w:tc>
        <w:tc>
          <w:tcPr>
            <w:tcW w:w="280" w:type="dxa"/>
            <w:vAlign w:val="bottom"/>
          </w:tcPr>
          <w:p>
            <w:pPr>
              <w:spacing w:after="0"/>
              <w:rPr>
                <w:sz w:val="21"/>
                <w:szCs w:val="21"/>
                <w:color w:val="auto"/>
              </w:rPr>
            </w:pP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26,363</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12"/>
              <w:spacing w:after="0"/>
              <w:rPr>
                <w:sz w:val="20"/>
                <w:szCs w:val="20"/>
                <w:color w:val="auto"/>
              </w:rPr>
            </w:pPr>
            <w:r>
              <w:rPr>
                <w:rFonts w:ascii="Arial" w:cs="Arial" w:eastAsia="Arial" w:hAnsi="Arial"/>
                <w:sz w:val="18"/>
                <w:szCs w:val="18"/>
                <w:color w:val="auto"/>
              </w:rPr>
              <w:t>24,825</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11"/>
              <w:spacing w:after="0"/>
              <w:rPr>
                <w:sz w:val="20"/>
                <w:szCs w:val="20"/>
                <w:color w:val="auto"/>
              </w:rPr>
            </w:pPr>
            <w:r>
              <w:rPr>
                <w:rFonts w:ascii="Arial" w:cs="Arial" w:eastAsia="Arial" w:hAnsi="Arial"/>
                <w:sz w:val="18"/>
                <w:szCs w:val="18"/>
                <w:color w:val="auto"/>
              </w:rPr>
              <w:t>23,991</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2320" w:type="dxa"/>
            <w:vAlign w:val="bottom"/>
          </w:tcPr>
          <w:p>
            <w:pPr>
              <w:spacing w:after="0"/>
              <w:rPr>
                <w:sz w:val="2"/>
                <w:szCs w:val="2"/>
                <w:color w:val="auto"/>
              </w:rPr>
            </w:pPr>
          </w:p>
        </w:tc>
        <w:tc>
          <w:tcPr>
            <w:tcW w:w="280" w:type="dxa"/>
            <w:vAlign w:val="bottom"/>
          </w:tcPr>
          <w:p>
            <w:pPr>
              <w:spacing w:after="0"/>
              <w:rPr>
                <w:sz w:val="2"/>
                <w:szCs w:val="2"/>
                <w:color w:val="auto"/>
              </w:rPr>
            </w:pPr>
          </w:p>
        </w:tc>
        <w:tc>
          <w:tcPr>
            <w:tcW w:w="4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0" w:type="dxa"/>
            <w:vAlign w:val="bottom"/>
            <w:tcBorders>
              <w:bottom w:val="single" w:sz="8" w:color="CCEEFF"/>
            </w:tcBorders>
            <w:shd w:val="clear" w:color="auto" w:fill="CCEEFF"/>
          </w:tcPr>
          <w:p>
            <w:pPr>
              <w:spacing w:after="0"/>
              <w:rPr>
                <w:sz w:val="21"/>
                <w:szCs w:val="21"/>
                <w:color w:val="auto"/>
              </w:rPr>
            </w:pPr>
          </w:p>
        </w:tc>
        <w:tc>
          <w:tcPr>
            <w:tcW w:w="6700" w:type="dxa"/>
            <w:vAlign w:val="bottom"/>
            <w:tcBorders>
              <w:bottom w:val="single" w:sz="8" w:color="CCEEFF"/>
            </w:tcBorders>
            <w:gridSpan w:val="3"/>
            <w:shd w:val="clear" w:color="auto" w:fill="CCEEFF"/>
          </w:tcPr>
          <w:p>
            <w:pPr>
              <w:ind w:left="340"/>
              <w:spacing w:after="0"/>
              <w:rPr>
                <w:sz w:val="20"/>
                <w:szCs w:val="20"/>
                <w:color w:val="auto"/>
              </w:rPr>
            </w:pPr>
            <w:r>
              <w:rPr>
                <w:rFonts w:ascii="Arial" w:cs="Arial" w:eastAsia="Arial" w:hAnsi="Arial"/>
                <w:sz w:val="18"/>
                <w:szCs w:val="18"/>
                <w:color w:val="auto"/>
              </w:rPr>
              <w:t>Diluted</w:t>
            </w:r>
          </w:p>
        </w:tc>
        <w:tc>
          <w:tcPr>
            <w:tcW w:w="2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26,363</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25,975</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25,323</w:t>
            </w:r>
          </w:p>
        </w:tc>
        <w:tc>
          <w:tcPr>
            <w:tcW w:w="0" w:type="dxa"/>
            <w:vAlign w:val="bottom"/>
          </w:tcPr>
          <w:p>
            <w:pPr>
              <w:spacing w:after="0"/>
              <w:rPr>
                <w:sz w:val="1"/>
                <w:szCs w:val="1"/>
                <w:color w:val="auto"/>
              </w:rPr>
            </w:pPr>
          </w:p>
        </w:tc>
      </w:tr>
      <w:tr>
        <w:trPr>
          <w:trHeight w:val="203"/>
        </w:trPr>
        <w:tc>
          <w:tcPr>
            <w:tcW w:w="6740" w:type="dxa"/>
            <w:vAlign w:val="bottom"/>
            <w:gridSpan w:val="4"/>
          </w:tcPr>
          <w:p>
            <w:pPr>
              <w:ind w:left="40"/>
              <w:spacing w:after="0" w:line="202" w:lineRule="exact"/>
              <w:rPr>
                <w:sz w:val="20"/>
                <w:szCs w:val="20"/>
                <w:color w:val="auto"/>
              </w:rPr>
            </w:pPr>
            <w:r>
              <w:rPr>
                <w:rFonts w:ascii="Arial" w:cs="Arial" w:eastAsia="Arial" w:hAnsi="Arial"/>
                <w:sz w:val="18"/>
                <w:szCs w:val="18"/>
                <w:b w:val="1"/>
                <w:bCs w:val="1"/>
                <w:color w:val="auto"/>
              </w:rPr>
              <w:t>Comprehensive Income (Loss)</w:t>
            </w:r>
          </w:p>
        </w:tc>
        <w:tc>
          <w:tcPr>
            <w:tcW w:w="28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8"/>
        </w:trPr>
        <w:tc>
          <w:tcPr>
            <w:tcW w:w="40" w:type="dxa"/>
            <w:vAlign w:val="bottom"/>
          </w:tcPr>
          <w:p>
            <w:pPr>
              <w:spacing w:after="0"/>
              <w:rPr>
                <w:sz w:val="4"/>
                <w:szCs w:val="4"/>
                <w:color w:val="auto"/>
              </w:rPr>
            </w:pPr>
          </w:p>
        </w:tc>
        <w:tc>
          <w:tcPr>
            <w:tcW w:w="2320" w:type="dxa"/>
            <w:vAlign w:val="bottom"/>
            <w:tcBorders>
              <w:top w:val="single" w:sz="8" w:color="auto"/>
            </w:tcBorders>
          </w:tcPr>
          <w:p>
            <w:pPr>
              <w:spacing w:after="0"/>
              <w:rPr>
                <w:sz w:val="4"/>
                <w:szCs w:val="4"/>
                <w:color w:val="auto"/>
              </w:rPr>
            </w:pPr>
          </w:p>
        </w:tc>
        <w:tc>
          <w:tcPr>
            <w:tcW w:w="280" w:type="dxa"/>
            <w:vAlign w:val="bottom"/>
          </w:tcPr>
          <w:p>
            <w:pPr>
              <w:spacing w:after="0"/>
              <w:rPr>
                <w:sz w:val="4"/>
                <w:szCs w:val="4"/>
                <w:color w:val="auto"/>
              </w:rPr>
            </w:pPr>
          </w:p>
        </w:tc>
        <w:tc>
          <w:tcPr>
            <w:tcW w:w="4100" w:type="dxa"/>
            <w:vAlign w:val="bottom"/>
          </w:tcPr>
          <w:p>
            <w:pPr>
              <w:spacing w:after="0"/>
              <w:rPr>
                <w:sz w:val="4"/>
                <w:szCs w:val="4"/>
                <w:color w:val="auto"/>
              </w:rPr>
            </w:pPr>
          </w:p>
        </w:tc>
        <w:tc>
          <w:tcPr>
            <w:tcW w:w="280" w:type="dxa"/>
            <w:vAlign w:val="bottom"/>
          </w:tcPr>
          <w:p>
            <w:pPr>
              <w:spacing w:after="0"/>
              <w:rPr>
                <w:sz w:val="4"/>
                <w:szCs w:val="4"/>
                <w:color w:val="auto"/>
              </w:rPr>
            </w:pPr>
          </w:p>
        </w:tc>
        <w:tc>
          <w:tcPr>
            <w:tcW w:w="12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60" w:type="dxa"/>
            <w:vAlign w:val="bottom"/>
          </w:tcPr>
          <w:p>
            <w:pPr>
              <w:spacing w:after="0"/>
              <w:rPr>
                <w:sz w:val="4"/>
                <w:szCs w:val="4"/>
                <w:color w:val="auto"/>
              </w:rPr>
            </w:pPr>
          </w:p>
        </w:tc>
        <w:tc>
          <w:tcPr>
            <w:tcW w:w="12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60" w:type="dxa"/>
            <w:vAlign w:val="bottom"/>
          </w:tcPr>
          <w:p>
            <w:pPr>
              <w:spacing w:after="0"/>
              <w:rPr>
                <w:sz w:val="4"/>
                <w:szCs w:val="4"/>
                <w:color w:val="auto"/>
              </w:rPr>
            </w:pPr>
          </w:p>
        </w:tc>
        <w:tc>
          <w:tcPr>
            <w:tcW w:w="12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0"/>
        </w:trPr>
        <w:tc>
          <w:tcPr>
            <w:tcW w:w="6740" w:type="dxa"/>
            <w:vAlign w:val="bottom"/>
            <w:tcBorders>
              <w:bottom w:val="single" w:sz="8" w:color="CCEEFF"/>
            </w:tcBorders>
            <w:gridSpan w:val="4"/>
            <w:shd w:val="clear" w:color="auto" w:fill="CCEEFF"/>
          </w:tcPr>
          <w:p>
            <w:pPr>
              <w:ind w:left="40"/>
              <w:spacing w:after="0"/>
              <w:rPr>
                <w:sz w:val="20"/>
                <w:szCs w:val="20"/>
                <w:color w:val="auto"/>
              </w:rPr>
            </w:pPr>
            <w:r>
              <w:rPr>
                <w:rFonts w:ascii="Arial" w:cs="Arial" w:eastAsia="Arial" w:hAnsi="Arial"/>
                <w:sz w:val="18"/>
                <w:szCs w:val="18"/>
                <w:color w:val="auto"/>
              </w:rPr>
              <w:t>Net income (loss)</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(7,594)</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55,458</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36,267</w:t>
            </w:r>
          </w:p>
        </w:tc>
        <w:tc>
          <w:tcPr>
            <w:tcW w:w="0" w:type="dxa"/>
            <w:vAlign w:val="bottom"/>
          </w:tcPr>
          <w:p>
            <w:pPr>
              <w:spacing w:after="0"/>
              <w:rPr>
                <w:sz w:val="1"/>
                <w:szCs w:val="1"/>
                <w:color w:val="auto"/>
              </w:rPr>
            </w:pPr>
          </w:p>
        </w:tc>
      </w:tr>
      <w:tr>
        <w:trPr>
          <w:trHeight w:val="196"/>
        </w:trPr>
        <w:tc>
          <w:tcPr>
            <w:tcW w:w="6740" w:type="dxa"/>
            <w:vAlign w:val="bottom"/>
            <w:gridSpan w:val="4"/>
          </w:tcPr>
          <w:p>
            <w:pPr>
              <w:ind w:left="40"/>
              <w:spacing w:after="0" w:line="196" w:lineRule="exact"/>
              <w:rPr>
                <w:sz w:val="20"/>
                <w:szCs w:val="20"/>
                <w:color w:val="auto"/>
              </w:rPr>
            </w:pPr>
            <w:r>
              <w:rPr>
                <w:rFonts w:ascii="Arial" w:cs="Arial" w:eastAsia="Arial" w:hAnsi="Arial"/>
                <w:sz w:val="18"/>
                <w:szCs w:val="18"/>
                <w:color w:val="auto"/>
              </w:rPr>
              <w:t>Other comprehensive income (loss):</w:t>
            </w:r>
          </w:p>
        </w:tc>
        <w:tc>
          <w:tcPr>
            <w:tcW w:w="280" w:type="dxa"/>
            <w:vAlign w:val="bottom"/>
            <w:tcBorders>
              <w:top w:val="single" w:sz="8" w:color="auto"/>
            </w:tcBorders>
          </w:tcPr>
          <w:p>
            <w:pPr>
              <w:spacing w:after="0"/>
              <w:rPr>
                <w:sz w:val="17"/>
                <w:szCs w:val="17"/>
                <w:color w:val="auto"/>
              </w:rPr>
            </w:pPr>
          </w:p>
        </w:tc>
        <w:tc>
          <w:tcPr>
            <w:tcW w:w="124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Borders>
              <w:top w:val="single" w:sz="8" w:color="auto"/>
            </w:tcBorders>
          </w:tcPr>
          <w:p>
            <w:pPr>
              <w:spacing w:after="0"/>
              <w:rPr>
                <w:sz w:val="17"/>
                <w:szCs w:val="17"/>
                <w:color w:val="auto"/>
              </w:rPr>
            </w:pPr>
          </w:p>
        </w:tc>
        <w:tc>
          <w:tcPr>
            <w:tcW w:w="122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Borders>
              <w:top w:val="single" w:sz="8" w:color="auto"/>
            </w:tcBorders>
          </w:tcPr>
          <w:p>
            <w:pPr>
              <w:spacing w:after="0"/>
              <w:rPr>
                <w:sz w:val="17"/>
                <w:szCs w:val="17"/>
                <w:color w:val="auto"/>
              </w:rPr>
            </w:pPr>
          </w:p>
        </w:tc>
        <w:tc>
          <w:tcPr>
            <w:tcW w:w="1220" w:type="dxa"/>
            <w:vAlign w:val="bottom"/>
            <w:tcBorders>
              <w:top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48"/>
        </w:trPr>
        <w:tc>
          <w:tcPr>
            <w:tcW w:w="40" w:type="dxa"/>
            <w:vAlign w:val="bottom"/>
          </w:tcPr>
          <w:p>
            <w:pPr>
              <w:spacing w:after="0"/>
              <w:rPr>
                <w:sz w:val="4"/>
                <w:szCs w:val="4"/>
                <w:color w:val="auto"/>
              </w:rPr>
            </w:pPr>
          </w:p>
        </w:tc>
        <w:tc>
          <w:tcPr>
            <w:tcW w:w="2320" w:type="dxa"/>
            <w:vAlign w:val="bottom"/>
            <w:tcBorders>
              <w:top w:val="single" w:sz="8" w:color="auto"/>
            </w:tcBorders>
          </w:tcPr>
          <w:p>
            <w:pPr>
              <w:spacing w:after="0"/>
              <w:rPr>
                <w:sz w:val="4"/>
                <w:szCs w:val="4"/>
                <w:color w:val="auto"/>
              </w:rPr>
            </w:pPr>
          </w:p>
        </w:tc>
        <w:tc>
          <w:tcPr>
            <w:tcW w:w="280" w:type="dxa"/>
            <w:vAlign w:val="bottom"/>
            <w:tcBorders>
              <w:top w:val="single" w:sz="8" w:color="auto"/>
            </w:tcBorders>
          </w:tcPr>
          <w:p>
            <w:pPr>
              <w:spacing w:after="0"/>
              <w:rPr>
                <w:sz w:val="4"/>
                <w:szCs w:val="4"/>
                <w:color w:val="auto"/>
              </w:rPr>
            </w:pPr>
          </w:p>
        </w:tc>
        <w:tc>
          <w:tcPr>
            <w:tcW w:w="4100" w:type="dxa"/>
            <w:vAlign w:val="bottom"/>
          </w:tcPr>
          <w:p>
            <w:pPr>
              <w:spacing w:after="0"/>
              <w:rPr>
                <w:sz w:val="4"/>
                <w:szCs w:val="4"/>
                <w:color w:val="auto"/>
              </w:rPr>
            </w:pPr>
          </w:p>
        </w:tc>
        <w:tc>
          <w:tcPr>
            <w:tcW w:w="280" w:type="dxa"/>
            <w:vAlign w:val="bottom"/>
          </w:tcPr>
          <w:p>
            <w:pPr>
              <w:spacing w:after="0"/>
              <w:rPr>
                <w:sz w:val="4"/>
                <w:szCs w:val="4"/>
                <w:color w:val="auto"/>
              </w:rPr>
            </w:pPr>
          </w:p>
        </w:tc>
        <w:tc>
          <w:tcPr>
            <w:tcW w:w="12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60" w:type="dxa"/>
            <w:vAlign w:val="bottom"/>
          </w:tcPr>
          <w:p>
            <w:pPr>
              <w:spacing w:after="0"/>
              <w:rPr>
                <w:sz w:val="4"/>
                <w:szCs w:val="4"/>
                <w:color w:val="auto"/>
              </w:rPr>
            </w:pPr>
          </w:p>
        </w:tc>
        <w:tc>
          <w:tcPr>
            <w:tcW w:w="12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60" w:type="dxa"/>
            <w:vAlign w:val="bottom"/>
          </w:tcPr>
          <w:p>
            <w:pPr>
              <w:spacing w:after="0"/>
              <w:rPr>
                <w:sz w:val="4"/>
                <w:szCs w:val="4"/>
                <w:color w:val="auto"/>
              </w:rPr>
            </w:pPr>
          </w:p>
        </w:tc>
        <w:tc>
          <w:tcPr>
            <w:tcW w:w="12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40" w:type="dxa"/>
            <w:vAlign w:val="bottom"/>
            <w:tcBorders>
              <w:bottom w:val="single" w:sz="8" w:color="CCEEFF"/>
            </w:tcBorders>
            <w:shd w:val="clear" w:color="auto" w:fill="CCEEFF"/>
          </w:tcPr>
          <w:p>
            <w:pPr>
              <w:spacing w:after="0"/>
              <w:rPr>
                <w:sz w:val="21"/>
                <w:szCs w:val="21"/>
                <w:color w:val="auto"/>
              </w:rPr>
            </w:pPr>
          </w:p>
        </w:tc>
        <w:tc>
          <w:tcPr>
            <w:tcW w:w="6700" w:type="dxa"/>
            <w:vAlign w:val="bottom"/>
            <w:tcBorders>
              <w:bottom w:val="single" w:sz="8" w:color="CCEEFF"/>
            </w:tcBorders>
            <w:gridSpan w:val="3"/>
            <w:shd w:val="clear" w:color="auto" w:fill="CCEEFF"/>
          </w:tcPr>
          <w:p>
            <w:pPr>
              <w:ind w:left="340"/>
              <w:spacing w:after="0"/>
              <w:rPr>
                <w:sz w:val="20"/>
                <w:szCs w:val="20"/>
                <w:color w:val="auto"/>
              </w:rPr>
            </w:pPr>
            <w:r>
              <w:rPr>
                <w:rFonts w:ascii="Arial" w:cs="Arial" w:eastAsia="Arial" w:hAnsi="Arial"/>
                <w:sz w:val="18"/>
                <w:szCs w:val="18"/>
                <w:color w:val="auto"/>
              </w:rPr>
              <w:t>Foreign currency translation gain (loss)</w:t>
            </w:r>
          </w:p>
        </w:tc>
        <w:tc>
          <w:tcPr>
            <w:tcW w:w="2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(7,841)</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(3,502)</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1,521</w:t>
            </w:r>
          </w:p>
        </w:tc>
        <w:tc>
          <w:tcPr>
            <w:tcW w:w="0" w:type="dxa"/>
            <w:vAlign w:val="bottom"/>
          </w:tcPr>
          <w:p>
            <w:pPr>
              <w:spacing w:after="0"/>
              <w:rPr>
                <w:sz w:val="1"/>
                <w:szCs w:val="1"/>
                <w:color w:val="auto"/>
              </w:rPr>
            </w:pPr>
          </w:p>
        </w:tc>
      </w:tr>
      <w:tr>
        <w:trPr>
          <w:trHeight w:val="243"/>
        </w:trPr>
        <w:tc>
          <w:tcPr>
            <w:tcW w:w="40" w:type="dxa"/>
            <w:vAlign w:val="bottom"/>
          </w:tcPr>
          <w:p>
            <w:pPr>
              <w:spacing w:after="0"/>
              <w:rPr>
                <w:sz w:val="21"/>
                <w:szCs w:val="21"/>
                <w:color w:val="auto"/>
              </w:rPr>
            </w:pPr>
          </w:p>
        </w:tc>
        <w:tc>
          <w:tcPr>
            <w:tcW w:w="6700" w:type="dxa"/>
            <w:vAlign w:val="bottom"/>
            <w:gridSpan w:val="3"/>
          </w:tcPr>
          <w:p>
            <w:pPr>
              <w:ind w:left="340"/>
              <w:spacing w:after="0"/>
              <w:rPr>
                <w:sz w:val="20"/>
                <w:szCs w:val="20"/>
                <w:color w:val="auto"/>
              </w:rPr>
            </w:pPr>
            <w:r>
              <w:rPr>
                <w:rFonts w:ascii="Arial" w:cs="Arial" w:eastAsia="Arial" w:hAnsi="Arial"/>
                <w:sz w:val="18"/>
                <w:szCs w:val="18"/>
                <w:color w:val="auto"/>
              </w:rPr>
              <w:t>Net change in cash flow hedges, net of tax</w:t>
            </w:r>
          </w:p>
        </w:tc>
        <w:tc>
          <w:tcPr>
            <w:tcW w:w="280" w:type="dxa"/>
            <w:vAlign w:val="bottom"/>
          </w:tcPr>
          <w:p>
            <w:pPr>
              <w:spacing w:after="0"/>
              <w:rPr>
                <w:sz w:val="21"/>
                <w:szCs w:val="21"/>
                <w:color w:val="auto"/>
              </w:rPr>
            </w:pPr>
          </w:p>
        </w:tc>
        <w:tc>
          <w:tcPr>
            <w:tcW w:w="1240" w:type="dxa"/>
            <w:vAlign w:val="bottom"/>
          </w:tcPr>
          <w:p>
            <w:pPr>
              <w:jc w:val="right"/>
              <w:ind w:right="31"/>
              <w:spacing w:after="0"/>
              <w:rPr>
                <w:sz w:val="20"/>
                <w:szCs w:val="20"/>
                <w:color w:val="auto"/>
              </w:rPr>
            </w:pPr>
            <w:r>
              <w:rPr>
                <w:rFonts w:ascii="Arial" w:cs="Arial" w:eastAsia="Arial" w:hAnsi="Arial"/>
                <w:sz w:val="18"/>
                <w:szCs w:val="18"/>
                <w:color w:val="auto"/>
              </w:rPr>
              <w:t>108</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(1,359)</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(382)</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2320" w:type="dxa"/>
            <w:vAlign w:val="bottom"/>
          </w:tcPr>
          <w:p>
            <w:pPr>
              <w:spacing w:after="0"/>
              <w:rPr>
                <w:sz w:val="2"/>
                <w:szCs w:val="2"/>
                <w:color w:val="auto"/>
              </w:rPr>
            </w:pPr>
          </w:p>
        </w:tc>
        <w:tc>
          <w:tcPr>
            <w:tcW w:w="280" w:type="dxa"/>
            <w:vAlign w:val="bottom"/>
          </w:tcPr>
          <w:p>
            <w:pPr>
              <w:spacing w:after="0"/>
              <w:rPr>
                <w:sz w:val="2"/>
                <w:szCs w:val="2"/>
                <w:color w:val="auto"/>
              </w:rPr>
            </w:pPr>
          </w:p>
        </w:tc>
        <w:tc>
          <w:tcPr>
            <w:tcW w:w="4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0" w:type="dxa"/>
            <w:vAlign w:val="bottom"/>
            <w:tcBorders>
              <w:bottom w:val="single" w:sz="8" w:color="CCEEFF"/>
            </w:tcBorders>
            <w:shd w:val="clear" w:color="auto" w:fill="CCEEFF"/>
          </w:tcPr>
          <w:p>
            <w:pPr>
              <w:spacing w:after="0"/>
              <w:rPr>
                <w:sz w:val="23"/>
                <w:szCs w:val="23"/>
                <w:color w:val="auto"/>
              </w:rPr>
            </w:pPr>
          </w:p>
        </w:tc>
        <w:tc>
          <w:tcPr>
            <w:tcW w:w="6700" w:type="dxa"/>
            <w:vAlign w:val="bottom"/>
            <w:tcBorders>
              <w:bottom w:val="single" w:sz="8" w:color="CCEEFF"/>
            </w:tcBorders>
            <w:gridSpan w:val="3"/>
            <w:shd w:val="clear" w:color="auto" w:fill="CCEEFF"/>
          </w:tcPr>
          <w:p>
            <w:pPr>
              <w:ind w:left="340"/>
              <w:spacing w:after="0"/>
              <w:rPr>
                <w:sz w:val="20"/>
                <w:szCs w:val="20"/>
                <w:color w:val="auto"/>
              </w:rPr>
            </w:pPr>
            <w:r>
              <w:rPr>
                <w:rFonts w:ascii="Arial" w:cs="Arial" w:eastAsia="Arial" w:hAnsi="Arial"/>
                <w:sz w:val="18"/>
                <w:szCs w:val="18"/>
                <w:color w:val="auto"/>
              </w:rPr>
              <w:t>Defined benefit plan liability adjustment, net of tax</w:t>
            </w:r>
          </w:p>
        </w:tc>
        <w:tc>
          <w:tcPr>
            <w:tcW w:w="28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(374)</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272</w:t>
            </w:r>
          </w:p>
        </w:tc>
        <w:tc>
          <w:tcPr>
            <w:tcW w:w="0" w:type="dxa"/>
            <w:vAlign w:val="bottom"/>
          </w:tcPr>
          <w:p>
            <w:pPr>
              <w:spacing w:after="0"/>
              <w:rPr>
                <w:sz w:val="1"/>
                <w:szCs w:val="1"/>
                <w:color w:val="auto"/>
              </w:rPr>
            </w:pPr>
          </w:p>
        </w:tc>
      </w:tr>
      <w:tr>
        <w:trPr>
          <w:trHeight w:val="237"/>
        </w:trPr>
        <w:tc>
          <w:tcPr>
            <w:tcW w:w="40" w:type="dxa"/>
            <w:vAlign w:val="bottom"/>
          </w:tcPr>
          <w:p>
            <w:pPr>
              <w:spacing w:after="0"/>
              <w:rPr>
                <w:sz w:val="20"/>
                <w:szCs w:val="20"/>
                <w:color w:val="auto"/>
              </w:rPr>
            </w:pPr>
          </w:p>
        </w:tc>
        <w:tc>
          <w:tcPr>
            <w:tcW w:w="6700" w:type="dxa"/>
            <w:vAlign w:val="bottom"/>
            <w:gridSpan w:val="3"/>
          </w:tcPr>
          <w:p>
            <w:pPr>
              <w:ind w:left="680"/>
              <w:spacing w:after="0"/>
              <w:rPr>
                <w:sz w:val="20"/>
                <w:szCs w:val="20"/>
                <w:color w:val="auto"/>
              </w:rPr>
            </w:pPr>
            <w:r>
              <w:rPr>
                <w:rFonts w:ascii="Arial" w:cs="Arial" w:eastAsia="Arial" w:hAnsi="Arial"/>
                <w:sz w:val="18"/>
                <w:szCs w:val="18"/>
                <w:color w:val="auto"/>
              </w:rPr>
              <w:t>Other comprehensive income (loss)</w:t>
            </w:r>
          </w:p>
        </w:tc>
        <w:tc>
          <w:tcPr>
            <w:tcW w:w="280" w:type="dxa"/>
            <w:vAlign w:val="bottom"/>
            <w:tcBorders>
              <w:top w:val="single" w:sz="8" w:color="auto"/>
            </w:tcBorders>
          </w:tcPr>
          <w:p>
            <w:pPr>
              <w:spacing w:after="0"/>
              <w:rPr>
                <w:sz w:val="20"/>
                <w:szCs w:val="20"/>
                <w:color w:val="auto"/>
              </w:rPr>
            </w:pP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(7,753)</w:t>
            </w:r>
          </w:p>
        </w:tc>
        <w:tc>
          <w:tcPr>
            <w:tcW w:w="10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(5,235)</w:t>
            </w:r>
          </w:p>
        </w:tc>
        <w:tc>
          <w:tcPr>
            <w:tcW w:w="10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1,411</w:t>
            </w:r>
          </w:p>
        </w:tc>
        <w:tc>
          <w:tcPr>
            <w:tcW w:w="0" w:type="dxa"/>
            <w:vAlign w:val="bottom"/>
          </w:tcPr>
          <w:p>
            <w:pPr>
              <w:spacing w:after="0"/>
              <w:rPr>
                <w:sz w:val="1"/>
                <w:szCs w:val="1"/>
                <w:color w:val="auto"/>
              </w:rPr>
            </w:pPr>
          </w:p>
        </w:tc>
      </w:tr>
      <w:tr>
        <w:trPr>
          <w:trHeight w:val="27"/>
        </w:trPr>
        <w:tc>
          <w:tcPr>
            <w:tcW w:w="40" w:type="dxa"/>
            <w:vAlign w:val="bottom"/>
            <w:tcBorders>
              <w:bottom w:val="single" w:sz="8" w:color="CCEEFF"/>
            </w:tcBorders>
          </w:tcPr>
          <w:p>
            <w:pPr>
              <w:spacing w:after="0"/>
              <w:rPr>
                <w:sz w:val="2"/>
                <w:szCs w:val="2"/>
                <w:color w:val="auto"/>
              </w:rPr>
            </w:pPr>
          </w:p>
        </w:tc>
        <w:tc>
          <w:tcPr>
            <w:tcW w:w="2320" w:type="dxa"/>
            <w:vAlign w:val="bottom"/>
            <w:tcBorders>
              <w:bottom w:val="single" w:sz="8" w:color="CCEEFF"/>
            </w:tcBorders>
          </w:tcPr>
          <w:p>
            <w:pPr>
              <w:spacing w:after="0"/>
              <w:rPr>
                <w:sz w:val="2"/>
                <w:szCs w:val="2"/>
                <w:color w:val="auto"/>
              </w:rPr>
            </w:pPr>
          </w:p>
        </w:tc>
        <w:tc>
          <w:tcPr>
            <w:tcW w:w="280" w:type="dxa"/>
            <w:vAlign w:val="bottom"/>
            <w:tcBorders>
              <w:bottom w:val="single" w:sz="8" w:color="CCEEFF"/>
            </w:tcBorders>
          </w:tcPr>
          <w:p>
            <w:pPr>
              <w:spacing w:after="0"/>
              <w:rPr>
                <w:sz w:val="2"/>
                <w:szCs w:val="2"/>
                <w:color w:val="auto"/>
              </w:rPr>
            </w:pPr>
          </w:p>
        </w:tc>
        <w:tc>
          <w:tcPr>
            <w:tcW w:w="4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6740" w:type="dxa"/>
            <w:vAlign w:val="bottom"/>
            <w:tcBorders>
              <w:bottom w:val="single" w:sz="8" w:color="CCEEFF"/>
            </w:tcBorders>
            <w:gridSpan w:val="4"/>
            <w:shd w:val="clear" w:color="auto" w:fill="CCEEFF"/>
          </w:tcPr>
          <w:p>
            <w:pPr>
              <w:ind w:left="40"/>
              <w:spacing w:after="0"/>
              <w:rPr>
                <w:sz w:val="20"/>
                <w:szCs w:val="20"/>
                <w:color w:val="auto"/>
              </w:rPr>
            </w:pPr>
            <w:r>
              <w:rPr>
                <w:rFonts w:ascii="Arial" w:cs="Arial" w:eastAsia="Arial" w:hAnsi="Arial"/>
                <w:sz w:val="18"/>
                <w:szCs w:val="18"/>
                <w:color w:val="auto"/>
              </w:rPr>
              <w:t>Comprehensive income (loss)</w:t>
            </w: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(15,347)</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50,223</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37,678</w:t>
            </w: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23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- 67 -</w:t>
      </w:r>
    </w:p>
    <w:p>
      <w:pPr>
        <w:sectPr>
          <w:pgSz w:w="11900" w:h="16838" w:orient="portrait"/>
          <w:cols w:equalWidth="0" w:num="1">
            <w:col w:w="11420"/>
          </w:cols>
          <w:pgMar w:left="240" w:top="796" w:right="239" w:bottom="1440" w:gutter="0" w:footer="0" w:header="0"/>
        </w:sectPr>
      </w:pPr>
    </w:p>
    <w:bookmarkStart w:id="68" w:name="page69"/>
    <w:bookmarkEnd w:id="68"/>
    <w:p>
      <w:pPr>
        <w:jc w:val="center"/>
        <w:ind w:right="20"/>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0" w:type="dxa"/>
            <w:vAlign w:val="bottom"/>
          </w:tcPr>
          <w:p>
            <w:pPr>
              <w:spacing w:after="0"/>
              <w:rPr>
                <w:sz w:val="16"/>
                <w:szCs w:val="16"/>
                <w:color w:val="auto"/>
              </w:rPr>
            </w:pPr>
          </w:p>
        </w:tc>
        <w:tc>
          <w:tcPr>
            <w:tcW w:w="27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16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gridSpan w:val="2"/>
          </w:tcPr>
          <w:p>
            <w:pPr>
              <w:jc w:val="center"/>
              <w:ind w:right="260"/>
              <w:spacing w:after="0"/>
              <w:rPr>
                <w:sz w:val="20"/>
                <w:szCs w:val="20"/>
                <w:color w:val="auto"/>
              </w:rPr>
            </w:pPr>
            <w:r>
              <w:rPr>
                <w:rFonts w:ascii="Arial" w:cs="Arial" w:eastAsia="Arial" w:hAnsi="Arial"/>
                <w:sz w:val="14"/>
                <w:szCs w:val="14"/>
                <w:b w:val="1"/>
                <w:bCs w:val="1"/>
                <w:color w:val="auto"/>
                <w:w w:val="93"/>
              </w:rPr>
              <w:t>Year Ended</w:t>
            </w:r>
          </w:p>
        </w:tc>
        <w:tc>
          <w:tcPr>
            <w:tcW w:w="16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spacing w:after="0"/>
              <w:rPr>
                <w:sz w:val="16"/>
                <w:szCs w:val="16"/>
                <w:color w:val="auto"/>
              </w:rPr>
            </w:pPr>
          </w:p>
        </w:tc>
      </w:tr>
      <w:tr>
        <w:trPr>
          <w:trHeight w:val="250"/>
        </w:trPr>
        <w:tc>
          <w:tcPr>
            <w:tcW w:w="20" w:type="dxa"/>
            <w:vAlign w:val="bottom"/>
          </w:tcPr>
          <w:p>
            <w:pPr>
              <w:spacing w:after="0"/>
              <w:rPr>
                <w:sz w:val="21"/>
                <w:szCs w:val="21"/>
                <w:color w:val="auto"/>
              </w:rPr>
            </w:pPr>
          </w:p>
        </w:tc>
        <w:tc>
          <w:tcPr>
            <w:tcW w:w="6980" w:type="dxa"/>
            <w:vAlign w:val="bottom"/>
            <w:gridSpan w:val="4"/>
          </w:tcPr>
          <w:p>
            <w:pPr>
              <w:spacing w:after="0"/>
              <w:rPr>
                <w:sz w:val="20"/>
                <w:szCs w:val="20"/>
                <w:color w:val="auto"/>
              </w:rPr>
            </w:pPr>
            <w:r>
              <w:rPr>
                <w:rFonts w:ascii="Arial" w:cs="Arial" w:eastAsia="Arial" w:hAnsi="Arial"/>
                <w:sz w:val="14"/>
                <w:szCs w:val="14"/>
                <w:b w:val="1"/>
                <w:bCs w:val="1"/>
                <w:color w:val="auto"/>
              </w:rPr>
              <w:t>(in thousands)</w:t>
            </w:r>
          </w:p>
        </w:tc>
        <w:tc>
          <w:tcPr>
            <w:tcW w:w="140" w:type="dxa"/>
            <w:vAlign w:val="bottom"/>
          </w:tcPr>
          <w:p>
            <w:pPr>
              <w:spacing w:after="0"/>
              <w:rPr>
                <w:sz w:val="21"/>
                <w:szCs w:val="21"/>
                <w:color w:val="auto"/>
              </w:rPr>
            </w:pPr>
          </w:p>
        </w:tc>
        <w:tc>
          <w:tcPr>
            <w:tcW w:w="1320" w:type="dxa"/>
            <w:vAlign w:val="bottom"/>
            <w:gridSpan w:val="2"/>
          </w:tcPr>
          <w:p>
            <w:pPr>
              <w:ind w:left="40"/>
              <w:spacing w:after="0"/>
              <w:rPr>
                <w:sz w:val="20"/>
                <w:szCs w:val="20"/>
                <w:color w:val="auto"/>
              </w:rPr>
            </w:pPr>
            <w:r>
              <w:rPr>
                <w:rFonts w:ascii="Arial" w:cs="Arial" w:eastAsia="Arial" w:hAnsi="Arial"/>
                <w:sz w:val="14"/>
                <w:szCs w:val="14"/>
                <w:b w:val="1"/>
                <w:bCs w:val="1"/>
                <w:color w:val="auto"/>
              </w:rPr>
              <w:t>January 1, 2016</w:t>
            </w:r>
          </w:p>
        </w:tc>
        <w:tc>
          <w:tcPr>
            <w:tcW w:w="160" w:type="dxa"/>
            <w:vAlign w:val="bottom"/>
          </w:tcPr>
          <w:p>
            <w:pPr>
              <w:spacing w:after="0"/>
              <w:rPr>
                <w:sz w:val="21"/>
                <w:szCs w:val="21"/>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3"/>
              </w:rPr>
              <w:t>January 2, 2015</w:t>
            </w:r>
          </w:p>
        </w:tc>
        <w:tc>
          <w:tcPr>
            <w:tcW w:w="160" w:type="dxa"/>
            <w:vAlign w:val="bottom"/>
          </w:tcPr>
          <w:p>
            <w:pPr>
              <w:spacing w:after="0"/>
              <w:rPr>
                <w:sz w:val="21"/>
                <w:szCs w:val="21"/>
                <w:color w:val="auto"/>
              </w:rPr>
            </w:pPr>
          </w:p>
        </w:tc>
        <w:tc>
          <w:tcPr>
            <w:tcW w:w="1200" w:type="dxa"/>
            <w:vAlign w:val="bottom"/>
          </w:tcPr>
          <w:p>
            <w:pPr>
              <w:jc w:val="right"/>
              <w:ind w:right="111"/>
              <w:spacing w:after="0"/>
              <w:rPr>
                <w:sz w:val="20"/>
                <w:szCs w:val="20"/>
                <w:color w:val="auto"/>
              </w:rPr>
            </w:pPr>
            <w:r>
              <w:rPr>
                <w:rFonts w:ascii="Arial" w:cs="Arial" w:eastAsia="Arial" w:hAnsi="Arial"/>
                <w:sz w:val="14"/>
                <w:szCs w:val="14"/>
                <w:b w:val="1"/>
                <w:bCs w:val="1"/>
                <w:color w:val="auto"/>
                <w:w w:val="93"/>
              </w:rPr>
              <w:t>January 3, 2014</w:t>
            </w:r>
          </w:p>
        </w:tc>
      </w:tr>
      <w:tr>
        <w:trPr>
          <w:trHeight w:val="250"/>
        </w:trPr>
        <w:tc>
          <w:tcPr>
            <w:tcW w:w="20" w:type="dxa"/>
            <w:vAlign w:val="bottom"/>
            <w:tcBorders>
              <w:top w:val="single" w:sz="8" w:color="CCEEFF"/>
            </w:tcBorders>
            <w:shd w:val="clear" w:color="auto" w:fill="CCEEFF"/>
          </w:tcPr>
          <w:p>
            <w:pPr>
              <w:spacing w:after="0"/>
              <w:rPr>
                <w:sz w:val="21"/>
                <w:szCs w:val="21"/>
                <w:color w:val="auto"/>
              </w:rPr>
            </w:pPr>
          </w:p>
        </w:tc>
        <w:tc>
          <w:tcPr>
            <w:tcW w:w="6980" w:type="dxa"/>
            <w:vAlign w:val="bottom"/>
            <w:tcBorders>
              <w:top w:val="single" w:sz="8" w:color="CCEEFF"/>
            </w:tcBorders>
            <w:gridSpan w:val="4"/>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Cash flows from operating activities:</w:t>
            </w:r>
          </w:p>
        </w:tc>
        <w:tc>
          <w:tcPr>
            <w:tcW w:w="140" w:type="dxa"/>
            <w:vAlign w:val="bottom"/>
            <w:tcBorders>
              <w:top w:val="single" w:sz="8" w:color="auto"/>
            </w:tcBorders>
            <w:shd w:val="clear" w:color="auto" w:fill="CCEEFF"/>
          </w:tcPr>
          <w:p>
            <w:pPr>
              <w:spacing w:after="0"/>
              <w:rPr>
                <w:sz w:val="21"/>
                <w:szCs w:val="21"/>
                <w:color w:val="auto"/>
              </w:rPr>
            </w:pPr>
          </w:p>
        </w:tc>
        <w:tc>
          <w:tcPr>
            <w:tcW w:w="1220" w:type="dxa"/>
            <w:vAlign w:val="bottom"/>
            <w:tcBorders>
              <w:top w:val="single" w:sz="8" w:color="auto"/>
            </w:tcBorders>
            <w:shd w:val="clear" w:color="auto" w:fill="CCEEFF"/>
          </w:tcPr>
          <w:p>
            <w:pPr>
              <w:spacing w:after="0"/>
              <w:rPr>
                <w:sz w:val="21"/>
                <w:szCs w:val="21"/>
                <w:color w:val="auto"/>
              </w:rPr>
            </w:pPr>
          </w:p>
        </w:tc>
        <w:tc>
          <w:tcPr>
            <w:tcW w:w="100" w:type="dxa"/>
            <w:vAlign w:val="bottom"/>
            <w:tcBorders>
              <w:top w:val="single" w:sz="8" w:color="CCEEFF"/>
            </w:tcBorders>
            <w:shd w:val="clear" w:color="auto" w:fill="CCEEFF"/>
          </w:tcPr>
          <w:p>
            <w:pPr>
              <w:spacing w:after="0"/>
              <w:rPr>
                <w:sz w:val="21"/>
                <w:szCs w:val="21"/>
                <w:color w:val="auto"/>
              </w:rPr>
            </w:pPr>
          </w:p>
        </w:tc>
        <w:tc>
          <w:tcPr>
            <w:tcW w:w="160" w:type="dxa"/>
            <w:vAlign w:val="bottom"/>
            <w:tcBorders>
              <w:top w:val="single" w:sz="8" w:color="auto"/>
            </w:tcBorders>
            <w:shd w:val="clear" w:color="auto" w:fill="CCEEFF"/>
          </w:tcPr>
          <w:p>
            <w:pPr>
              <w:spacing w:after="0"/>
              <w:rPr>
                <w:sz w:val="21"/>
                <w:szCs w:val="21"/>
                <w:color w:val="auto"/>
              </w:rPr>
            </w:pPr>
          </w:p>
        </w:tc>
        <w:tc>
          <w:tcPr>
            <w:tcW w:w="1200" w:type="dxa"/>
            <w:vAlign w:val="bottom"/>
            <w:tcBorders>
              <w:top w:val="single" w:sz="8" w:color="auto"/>
            </w:tcBorders>
            <w:shd w:val="clear" w:color="auto" w:fill="CCEEFF"/>
          </w:tcPr>
          <w:p>
            <w:pPr>
              <w:spacing w:after="0"/>
              <w:rPr>
                <w:sz w:val="21"/>
                <w:szCs w:val="21"/>
                <w:color w:val="auto"/>
              </w:rPr>
            </w:pPr>
          </w:p>
        </w:tc>
        <w:tc>
          <w:tcPr>
            <w:tcW w:w="100" w:type="dxa"/>
            <w:vAlign w:val="bottom"/>
            <w:tcBorders>
              <w:top w:val="single" w:sz="8" w:color="CCEEFF"/>
            </w:tcBorders>
            <w:shd w:val="clear" w:color="auto" w:fill="CCEEFF"/>
          </w:tcPr>
          <w:p>
            <w:pPr>
              <w:spacing w:after="0"/>
              <w:rPr>
                <w:sz w:val="21"/>
                <w:szCs w:val="21"/>
                <w:color w:val="auto"/>
              </w:rPr>
            </w:pPr>
          </w:p>
        </w:tc>
        <w:tc>
          <w:tcPr>
            <w:tcW w:w="160" w:type="dxa"/>
            <w:vAlign w:val="bottom"/>
            <w:tcBorders>
              <w:top w:val="single" w:sz="8" w:color="auto"/>
            </w:tcBorders>
            <w:shd w:val="clear" w:color="auto" w:fill="CCEEFF"/>
          </w:tcPr>
          <w:p>
            <w:pPr>
              <w:spacing w:after="0"/>
              <w:rPr>
                <w:sz w:val="21"/>
                <w:szCs w:val="21"/>
                <w:color w:val="auto"/>
              </w:rPr>
            </w:pPr>
          </w:p>
        </w:tc>
        <w:tc>
          <w:tcPr>
            <w:tcW w:w="1200" w:type="dxa"/>
            <w:vAlign w:val="bottom"/>
            <w:tcBorders>
              <w:top w:val="single" w:sz="8" w:color="auto"/>
            </w:tcBorders>
            <w:shd w:val="clear" w:color="auto" w:fill="CCEEFF"/>
          </w:tcPr>
          <w:p>
            <w:pPr>
              <w:spacing w:after="0"/>
              <w:rPr>
                <w:sz w:val="21"/>
                <w:szCs w:val="21"/>
                <w:color w:val="auto"/>
              </w:rPr>
            </w:pPr>
          </w:p>
        </w:tc>
      </w:tr>
      <w:tr>
        <w:trPr>
          <w:trHeight w:val="243"/>
        </w:trPr>
        <w:tc>
          <w:tcPr>
            <w:tcW w:w="20" w:type="dxa"/>
            <w:vAlign w:val="bottom"/>
            <w:tcBorders>
              <w:top w:val="single" w:sz="8" w:color="CCEEFF"/>
            </w:tcBorders>
          </w:tcPr>
          <w:p>
            <w:pPr>
              <w:spacing w:after="0"/>
              <w:rPr>
                <w:sz w:val="21"/>
                <w:szCs w:val="21"/>
                <w:color w:val="auto"/>
              </w:rPr>
            </w:pPr>
          </w:p>
        </w:tc>
        <w:tc>
          <w:tcPr>
            <w:tcW w:w="2820" w:type="dxa"/>
            <w:vAlign w:val="bottom"/>
            <w:tcBorders>
              <w:top w:val="single" w:sz="8" w:color="auto"/>
            </w:tcBorders>
            <w:gridSpan w:val="3"/>
          </w:tcPr>
          <w:p>
            <w:pPr>
              <w:spacing w:after="0"/>
              <w:rPr>
                <w:sz w:val="20"/>
                <w:szCs w:val="20"/>
                <w:color w:val="auto"/>
              </w:rPr>
            </w:pPr>
            <w:r>
              <w:rPr>
                <w:rFonts w:ascii="Arial" w:cs="Arial" w:eastAsia="Arial" w:hAnsi="Arial"/>
                <w:sz w:val="18"/>
                <w:szCs w:val="18"/>
                <w:color w:val="auto"/>
              </w:rPr>
              <w:t>Net income (loss)</w:t>
            </w:r>
          </w:p>
        </w:tc>
        <w:tc>
          <w:tcPr>
            <w:tcW w:w="4160" w:type="dxa"/>
            <w:vAlign w:val="bottom"/>
            <w:tcBorders>
              <w:top w:val="single" w:sz="8" w:color="CCEEFF"/>
            </w:tcBorders>
          </w:tcPr>
          <w:p>
            <w:pPr>
              <w:spacing w:after="0"/>
              <w:rPr>
                <w:sz w:val="21"/>
                <w:szCs w:val="21"/>
                <w:color w:val="auto"/>
              </w:rPr>
            </w:pPr>
          </w:p>
        </w:tc>
        <w:tc>
          <w:tcPr>
            <w:tcW w:w="140" w:type="dxa"/>
            <w:vAlign w:val="bottom"/>
            <w:tcBorders>
              <w:top w:val="single" w:sz="8" w:color="CCEEFF"/>
            </w:tcBorders>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tcBorders>
              <w:top w:val="single" w:sz="8" w:color="CCEEFF"/>
            </w:tcBorders>
          </w:tcPr>
          <w:p>
            <w:pPr>
              <w:jc w:val="right"/>
              <w:spacing w:after="0"/>
              <w:rPr>
                <w:sz w:val="20"/>
                <w:szCs w:val="20"/>
                <w:color w:val="auto"/>
              </w:rPr>
            </w:pPr>
            <w:r>
              <w:rPr>
                <w:rFonts w:ascii="Arial" w:cs="Arial" w:eastAsia="Arial" w:hAnsi="Arial"/>
                <w:sz w:val="18"/>
                <w:szCs w:val="18"/>
                <w:color w:val="auto"/>
              </w:rPr>
              <w:t>(7,594)</w:t>
            </w:r>
          </w:p>
        </w:tc>
        <w:tc>
          <w:tcPr>
            <w:tcW w:w="100" w:type="dxa"/>
            <w:vAlign w:val="bottom"/>
            <w:tcBorders>
              <w:top w:val="single" w:sz="8" w:color="CCEEFF"/>
            </w:tcBorders>
          </w:tcPr>
          <w:p>
            <w:pPr>
              <w:spacing w:after="0"/>
              <w:rPr>
                <w:sz w:val="21"/>
                <w:szCs w:val="21"/>
                <w:color w:val="auto"/>
              </w:rPr>
            </w:pPr>
          </w:p>
        </w:tc>
        <w:tc>
          <w:tcPr>
            <w:tcW w:w="160" w:type="dxa"/>
            <w:vAlign w:val="bottom"/>
            <w:tcBorders>
              <w:top w:val="single" w:sz="8" w:color="CCEEFF"/>
            </w:tcBorders>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CCEEFF"/>
            </w:tcBorders>
          </w:tcPr>
          <w:p>
            <w:pPr>
              <w:jc w:val="right"/>
              <w:ind w:right="31"/>
              <w:spacing w:after="0"/>
              <w:rPr>
                <w:sz w:val="20"/>
                <w:szCs w:val="20"/>
                <w:color w:val="auto"/>
              </w:rPr>
            </w:pPr>
            <w:r>
              <w:rPr>
                <w:rFonts w:ascii="Arial" w:cs="Arial" w:eastAsia="Arial" w:hAnsi="Arial"/>
                <w:sz w:val="18"/>
                <w:szCs w:val="18"/>
                <w:color w:val="auto"/>
              </w:rPr>
              <w:t>55,458</w:t>
            </w:r>
          </w:p>
        </w:tc>
        <w:tc>
          <w:tcPr>
            <w:tcW w:w="100" w:type="dxa"/>
            <w:vAlign w:val="bottom"/>
            <w:tcBorders>
              <w:top w:val="single" w:sz="8" w:color="CCEEFF"/>
            </w:tcBorders>
          </w:tcPr>
          <w:p>
            <w:pPr>
              <w:spacing w:after="0"/>
              <w:rPr>
                <w:sz w:val="21"/>
                <w:szCs w:val="21"/>
                <w:color w:val="auto"/>
              </w:rPr>
            </w:pPr>
          </w:p>
        </w:tc>
        <w:tc>
          <w:tcPr>
            <w:tcW w:w="160" w:type="dxa"/>
            <w:vAlign w:val="bottom"/>
            <w:tcBorders>
              <w:top w:val="single" w:sz="8" w:color="CCEEFF"/>
            </w:tcBorders>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CCEEFF"/>
            </w:tcBorders>
          </w:tcPr>
          <w:p>
            <w:pPr>
              <w:jc w:val="right"/>
              <w:ind w:right="31"/>
              <w:spacing w:after="0"/>
              <w:rPr>
                <w:sz w:val="20"/>
                <w:szCs w:val="20"/>
                <w:color w:val="auto"/>
              </w:rPr>
            </w:pPr>
            <w:r>
              <w:rPr>
                <w:rFonts w:ascii="Arial" w:cs="Arial" w:eastAsia="Arial" w:hAnsi="Arial"/>
                <w:sz w:val="18"/>
                <w:szCs w:val="18"/>
                <w:color w:val="auto"/>
              </w:rPr>
              <w:t>36,267</w:t>
            </w:r>
          </w:p>
        </w:tc>
      </w:tr>
      <w:tr>
        <w:trPr>
          <w:trHeight w:val="27"/>
        </w:trPr>
        <w:tc>
          <w:tcPr>
            <w:tcW w:w="20" w:type="dxa"/>
            <w:vAlign w:val="bottom"/>
          </w:tcPr>
          <w:p>
            <w:pPr>
              <w:spacing w:after="0"/>
              <w:rPr>
                <w:sz w:val="2"/>
                <w:szCs w:val="2"/>
                <w:color w:val="auto"/>
              </w:rPr>
            </w:pPr>
          </w:p>
        </w:tc>
        <w:tc>
          <w:tcPr>
            <w:tcW w:w="278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4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6980" w:type="dxa"/>
            <w:vAlign w:val="bottom"/>
            <w:tcBorders>
              <w:bottom w:val="single" w:sz="8" w:color="CCEEFF"/>
            </w:tcBorders>
            <w:gridSpan w:val="4"/>
            <w:shd w:val="clear" w:color="auto" w:fill="CCEEFF"/>
          </w:tcPr>
          <w:p>
            <w:pPr>
              <w:spacing w:after="0"/>
              <w:rPr>
                <w:sz w:val="20"/>
                <w:szCs w:val="20"/>
                <w:color w:val="auto"/>
              </w:rPr>
            </w:pPr>
            <w:r>
              <w:rPr>
                <w:rFonts w:ascii="Arial" w:cs="Arial" w:eastAsia="Arial" w:hAnsi="Arial"/>
                <w:sz w:val="18"/>
                <w:szCs w:val="18"/>
                <w:color w:val="auto"/>
              </w:rPr>
              <w:t>Adjustments to reconcile net income (loss) to net cash provided by operating activities:</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r>
      <w:tr>
        <w:trPr>
          <w:trHeight w:val="243"/>
        </w:trPr>
        <w:tc>
          <w:tcPr>
            <w:tcW w:w="20" w:type="dxa"/>
            <w:vAlign w:val="bottom"/>
          </w:tcPr>
          <w:p>
            <w:pPr>
              <w:spacing w:after="0"/>
              <w:rPr>
                <w:sz w:val="21"/>
                <w:szCs w:val="21"/>
                <w:color w:val="auto"/>
              </w:rPr>
            </w:pPr>
          </w:p>
        </w:tc>
        <w:tc>
          <w:tcPr>
            <w:tcW w:w="6980" w:type="dxa"/>
            <w:vAlign w:val="bottom"/>
            <w:gridSpan w:val="4"/>
          </w:tcPr>
          <w:p>
            <w:pPr>
              <w:ind w:left="360"/>
              <w:spacing w:after="0"/>
              <w:rPr>
                <w:sz w:val="20"/>
                <w:szCs w:val="20"/>
                <w:color w:val="auto"/>
              </w:rPr>
            </w:pPr>
            <w:r>
              <w:rPr>
                <w:rFonts w:ascii="Arial" w:cs="Arial" w:eastAsia="Arial" w:hAnsi="Arial"/>
                <w:sz w:val="18"/>
                <w:szCs w:val="18"/>
                <w:color w:val="auto"/>
              </w:rPr>
              <w:t>Depreciation and amortization</w:t>
            </w:r>
          </w:p>
        </w:tc>
        <w:tc>
          <w:tcPr>
            <w:tcW w:w="140" w:type="dxa"/>
            <w:vAlign w:val="bottom"/>
          </w:tcPr>
          <w:p>
            <w:pPr>
              <w:spacing w:after="0"/>
              <w:rPr>
                <w:sz w:val="21"/>
                <w:szCs w:val="21"/>
                <w:color w:val="auto"/>
              </w:rPr>
            </w:pPr>
          </w:p>
        </w:tc>
        <w:tc>
          <w:tcPr>
            <w:tcW w:w="1220" w:type="dxa"/>
            <w:vAlign w:val="bottom"/>
          </w:tcPr>
          <w:p>
            <w:pPr>
              <w:jc w:val="right"/>
              <w:ind w:right="31"/>
              <w:spacing w:after="0"/>
              <w:rPr>
                <w:sz w:val="20"/>
                <w:szCs w:val="20"/>
                <w:color w:val="auto"/>
              </w:rPr>
            </w:pPr>
            <w:r>
              <w:rPr>
                <w:rFonts w:ascii="Arial" w:cs="Arial" w:eastAsia="Arial" w:hAnsi="Arial"/>
                <w:sz w:val="18"/>
                <w:szCs w:val="18"/>
                <w:color w:val="auto"/>
              </w:rPr>
              <w:t>44,632</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31"/>
              <w:spacing w:after="0"/>
              <w:rPr>
                <w:sz w:val="20"/>
                <w:szCs w:val="20"/>
                <w:color w:val="auto"/>
              </w:rPr>
            </w:pPr>
            <w:r>
              <w:rPr>
                <w:rFonts w:ascii="Arial" w:cs="Arial" w:eastAsia="Arial" w:hAnsi="Arial"/>
                <w:sz w:val="18"/>
                <w:szCs w:val="18"/>
                <w:color w:val="auto"/>
              </w:rPr>
              <w:t>37,197</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31"/>
              <w:spacing w:after="0"/>
              <w:rPr>
                <w:sz w:val="20"/>
                <w:szCs w:val="20"/>
                <w:color w:val="auto"/>
              </w:rPr>
            </w:pPr>
            <w:r>
              <w:rPr>
                <w:rFonts w:ascii="Arial" w:cs="Arial" w:eastAsia="Arial" w:hAnsi="Arial"/>
                <w:sz w:val="18"/>
                <w:szCs w:val="18"/>
                <w:color w:val="auto"/>
              </w:rPr>
              <w:t>35,966</w:t>
            </w:r>
          </w:p>
        </w:tc>
      </w:tr>
      <w:tr>
        <w:trPr>
          <w:trHeight w:val="27"/>
        </w:trPr>
        <w:tc>
          <w:tcPr>
            <w:tcW w:w="20" w:type="dxa"/>
            <w:vAlign w:val="bottom"/>
          </w:tcPr>
          <w:p>
            <w:pPr>
              <w:spacing w:after="0"/>
              <w:rPr>
                <w:sz w:val="2"/>
                <w:szCs w:val="2"/>
                <w:color w:val="auto"/>
              </w:rPr>
            </w:pPr>
          </w:p>
        </w:tc>
        <w:tc>
          <w:tcPr>
            <w:tcW w:w="278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4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6980" w:type="dxa"/>
            <w:vAlign w:val="bottom"/>
            <w:tcBorders>
              <w:bottom w:val="single" w:sz="8" w:color="CCEEFF"/>
            </w:tcBorders>
            <w:gridSpan w:val="4"/>
            <w:shd w:val="clear" w:color="auto" w:fill="CCEEFF"/>
          </w:tcPr>
          <w:p>
            <w:pPr>
              <w:ind w:left="360"/>
              <w:spacing w:after="0"/>
              <w:rPr>
                <w:sz w:val="20"/>
                <w:szCs w:val="20"/>
                <w:color w:val="auto"/>
              </w:rPr>
            </w:pPr>
            <w:r>
              <w:rPr>
                <w:rFonts w:ascii="Arial" w:cs="Arial" w:eastAsia="Arial" w:hAnsi="Arial"/>
                <w:sz w:val="18"/>
                <w:szCs w:val="18"/>
                <w:color w:val="auto"/>
              </w:rPr>
              <w:t>Debt related charges included in interest expense</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11,320</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773</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6,366</w:t>
            </w:r>
          </w:p>
        </w:tc>
      </w:tr>
      <w:tr>
        <w:trPr>
          <w:trHeight w:val="243"/>
        </w:trPr>
        <w:tc>
          <w:tcPr>
            <w:tcW w:w="20" w:type="dxa"/>
            <w:vAlign w:val="bottom"/>
          </w:tcPr>
          <w:p>
            <w:pPr>
              <w:spacing w:after="0"/>
              <w:rPr>
                <w:sz w:val="21"/>
                <w:szCs w:val="21"/>
                <w:color w:val="auto"/>
              </w:rPr>
            </w:pPr>
          </w:p>
        </w:tc>
        <w:tc>
          <w:tcPr>
            <w:tcW w:w="6980" w:type="dxa"/>
            <w:vAlign w:val="bottom"/>
            <w:gridSpan w:val="4"/>
          </w:tcPr>
          <w:p>
            <w:pPr>
              <w:ind w:left="360"/>
              <w:spacing w:after="0"/>
              <w:rPr>
                <w:sz w:val="20"/>
                <w:szCs w:val="20"/>
                <w:color w:val="auto"/>
              </w:rPr>
            </w:pPr>
            <w:r>
              <w:rPr>
                <w:rFonts w:ascii="Arial" w:cs="Arial" w:eastAsia="Arial" w:hAnsi="Arial"/>
                <w:sz w:val="18"/>
                <w:szCs w:val="18"/>
                <w:color w:val="auto"/>
              </w:rPr>
              <w:t>Inventory step-up amortization</w:t>
            </w:r>
          </w:p>
        </w:tc>
        <w:tc>
          <w:tcPr>
            <w:tcW w:w="140" w:type="dxa"/>
            <w:vAlign w:val="bottom"/>
          </w:tcPr>
          <w:p>
            <w:pPr>
              <w:spacing w:after="0"/>
              <w:rPr>
                <w:sz w:val="21"/>
                <w:szCs w:val="21"/>
                <w:color w:val="auto"/>
              </w:rPr>
            </w:pPr>
          </w:p>
        </w:tc>
        <w:tc>
          <w:tcPr>
            <w:tcW w:w="1220" w:type="dxa"/>
            <w:vAlign w:val="bottom"/>
          </w:tcPr>
          <w:p>
            <w:pPr>
              <w:jc w:val="right"/>
              <w:ind w:right="31"/>
              <w:spacing w:after="0"/>
              <w:rPr>
                <w:sz w:val="20"/>
                <w:szCs w:val="20"/>
                <w:color w:val="auto"/>
              </w:rPr>
            </w:pPr>
            <w:r>
              <w:rPr>
                <w:rFonts w:ascii="Arial" w:cs="Arial" w:eastAsia="Arial" w:hAnsi="Arial"/>
                <w:sz w:val="18"/>
                <w:szCs w:val="18"/>
                <w:color w:val="auto"/>
              </w:rPr>
              <w:t>22,986</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31"/>
              <w:spacing w:after="0"/>
              <w:rPr>
                <w:sz w:val="20"/>
                <w:szCs w:val="20"/>
                <w:color w:val="auto"/>
              </w:rPr>
            </w:pPr>
            <w:r>
              <w:rPr>
                <w:rFonts w:ascii="Arial" w:cs="Arial" w:eastAsia="Arial" w:hAnsi="Arial"/>
                <w:sz w:val="18"/>
                <w:szCs w:val="18"/>
                <w:color w:val="auto"/>
              </w:rPr>
              <w:t>260</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31"/>
              <w:spacing w:after="0"/>
              <w:rPr>
                <w:sz w:val="20"/>
                <w:szCs w:val="20"/>
                <w:color w:val="auto"/>
              </w:rPr>
            </w:pPr>
            <w:r>
              <w:rPr>
                <w:rFonts w:ascii="Arial" w:cs="Arial" w:eastAsia="Arial" w:hAnsi="Arial"/>
                <w:sz w:val="18"/>
                <w:szCs w:val="18"/>
                <w:color w:val="auto"/>
              </w:rPr>
              <w:t>—</w:t>
            </w:r>
          </w:p>
        </w:tc>
      </w:tr>
      <w:tr>
        <w:trPr>
          <w:trHeight w:val="27"/>
        </w:trPr>
        <w:tc>
          <w:tcPr>
            <w:tcW w:w="20" w:type="dxa"/>
            <w:vAlign w:val="bottom"/>
          </w:tcPr>
          <w:p>
            <w:pPr>
              <w:spacing w:after="0"/>
              <w:rPr>
                <w:sz w:val="2"/>
                <w:szCs w:val="2"/>
                <w:color w:val="auto"/>
              </w:rPr>
            </w:pPr>
          </w:p>
        </w:tc>
        <w:tc>
          <w:tcPr>
            <w:tcW w:w="278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4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6980" w:type="dxa"/>
            <w:vAlign w:val="bottom"/>
            <w:tcBorders>
              <w:bottom w:val="single" w:sz="8" w:color="CCEEFF"/>
            </w:tcBorders>
            <w:gridSpan w:val="4"/>
            <w:shd w:val="clear" w:color="auto" w:fill="CCEEFF"/>
          </w:tcPr>
          <w:p>
            <w:pPr>
              <w:ind w:left="360"/>
              <w:spacing w:after="0"/>
              <w:rPr>
                <w:sz w:val="20"/>
                <w:szCs w:val="20"/>
                <w:color w:val="auto"/>
              </w:rPr>
            </w:pPr>
            <w:r>
              <w:rPr>
                <w:rFonts w:ascii="Arial" w:cs="Arial" w:eastAsia="Arial" w:hAnsi="Arial"/>
                <w:sz w:val="18"/>
                <w:szCs w:val="18"/>
                <w:color w:val="auto"/>
              </w:rPr>
              <w:t>Stock-based compensation</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9,376</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13,186</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14,101</w:t>
            </w:r>
          </w:p>
        </w:tc>
      </w:tr>
      <w:tr>
        <w:trPr>
          <w:trHeight w:val="243"/>
        </w:trPr>
        <w:tc>
          <w:tcPr>
            <w:tcW w:w="20" w:type="dxa"/>
            <w:vAlign w:val="bottom"/>
          </w:tcPr>
          <w:p>
            <w:pPr>
              <w:spacing w:after="0"/>
              <w:rPr>
                <w:sz w:val="21"/>
                <w:szCs w:val="21"/>
                <w:color w:val="auto"/>
              </w:rPr>
            </w:pPr>
          </w:p>
        </w:tc>
        <w:tc>
          <w:tcPr>
            <w:tcW w:w="6980" w:type="dxa"/>
            <w:vAlign w:val="bottom"/>
            <w:gridSpan w:val="4"/>
          </w:tcPr>
          <w:p>
            <w:pPr>
              <w:ind w:left="360"/>
              <w:spacing w:after="0"/>
              <w:rPr>
                <w:sz w:val="20"/>
                <w:szCs w:val="20"/>
                <w:color w:val="auto"/>
              </w:rPr>
            </w:pPr>
            <w:r>
              <w:rPr>
                <w:rFonts w:ascii="Arial" w:cs="Arial" w:eastAsia="Arial" w:hAnsi="Arial"/>
                <w:sz w:val="18"/>
                <w:szCs w:val="18"/>
                <w:color w:val="auto"/>
              </w:rPr>
              <w:t>Non-cash (gain) loss on cost and equity method investments, net</w:t>
            </w:r>
          </w:p>
        </w:tc>
        <w:tc>
          <w:tcPr>
            <w:tcW w:w="140" w:type="dxa"/>
            <w:vAlign w:val="bottom"/>
          </w:tcPr>
          <w:p>
            <w:pPr>
              <w:spacing w:after="0"/>
              <w:rPr>
                <w:sz w:val="21"/>
                <w:szCs w:val="21"/>
                <w:color w:val="auto"/>
              </w:rPr>
            </w:pPr>
          </w:p>
        </w:tc>
        <w:tc>
          <w:tcPr>
            <w:tcW w:w="1220" w:type="dxa"/>
            <w:vAlign w:val="bottom"/>
          </w:tcPr>
          <w:p>
            <w:pPr>
              <w:jc w:val="right"/>
              <w:ind w:right="31"/>
              <w:spacing w:after="0"/>
              <w:rPr>
                <w:sz w:val="20"/>
                <w:szCs w:val="20"/>
                <w:color w:val="auto"/>
              </w:rPr>
            </w:pPr>
            <w:r>
              <w:rPr>
                <w:rFonts w:ascii="Arial" w:cs="Arial" w:eastAsia="Arial" w:hAnsi="Arial"/>
                <w:sz w:val="18"/>
                <w:szCs w:val="18"/>
                <w:color w:val="auto"/>
              </w:rPr>
              <w:t>275</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(4,370)</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31"/>
              <w:spacing w:after="0"/>
              <w:rPr>
                <w:sz w:val="20"/>
                <w:szCs w:val="20"/>
                <w:color w:val="auto"/>
              </w:rPr>
            </w:pPr>
            <w:r>
              <w:rPr>
                <w:rFonts w:ascii="Arial" w:cs="Arial" w:eastAsia="Arial" w:hAnsi="Arial"/>
                <w:sz w:val="18"/>
                <w:szCs w:val="18"/>
                <w:color w:val="auto"/>
              </w:rPr>
              <w:t>694</w:t>
            </w:r>
          </w:p>
        </w:tc>
      </w:tr>
      <w:tr>
        <w:trPr>
          <w:trHeight w:val="27"/>
        </w:trPr>
        <w:tc>
          <w:tcPr>
            <w:tcW w:w="20" w:type="dxa"/>
            <w:vAlign w:val="bottom"/>
          </w:tcPr>
          <w:p>
            <w:pPr>
              <w:spacing w:after="0"/>
              <w:rPr>
                <w:sz w:val="2"/>
                <w:szCs w:val="2"/>
                <w:color w:val="auto"/>
              </w:rPr>
            </w:pPr>
          </w:p>
        </w:tc>
        <w:tc>
          <w:tcPr>
            <w:tcW w:w="278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4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6980" w:type="dxa"/>
            <w:vAlign w:val="bottom"/>
            <w:tcBorders>
              <w:bottom w:val="single" w:sz="8" w:color="CCEEFF"/>
            </w:tcBorders>
            <w:gridSpan w:val="4"/>
            <w:shd w:val="clear" w:color="auto" w:fill="CCEEFF"/>
          </w:tcPr>
          <w:p>
            <w:pPr>
              <w:ind w:left="360"/>
              <w:spacing w:after="0"/>
              <w:rPr>
                <w:sz w:val="20"/>
                <w:szCs w:val="20"/>
                <w:color w:val="auto"/>
              </w:rPr>
            </w:pPr>
            <w:r>
              <w:rPr>
                <w:rFonts w:ascii="Arial" w:cs="Arial" w:eastAsia="Arial" w:hAnsi="Arial"/>
                <w:sz w:val="18"/>
                <w:szCs w:val="18"/>
                <w:color w:val="auto"/>
              </w:rPr>
              <w:t>Other non-cash (gains) losses, net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1,093</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(3,214)</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255</w:t>
            </w:r>
          </w:p>
        </w:tc>
      </w:tr>
      <w:tr>
        <w:trPr>
          <w:trHeight w:val="243"/>
        </w:trPr>
        <w:tc>
          <w:tcPr>
            <w:tcW w:w="20" w:type="dxa"/>
            <w:vAlign w:val="bottom"/>
          </w:tcPr>
          <w:p>
            <w:pPr>
              <w:spacing w:after="0"/>
              <w:rPr>
                <w:sz w:val="21"/>
                <w:szCs w:val="21"/>
                <w:color w:val="auto"/>
              </w:rPr>
            </w:pPr>
          </w:p>
        </w:tc>
        <w:tc>
          <w:tcPr>
            <w:tcW w:w="6980" w:type="dxa"/>
            <w:vAlign w:val="bottom"/>
            <w:gridSpan w:val="4"/>
          </w:tcPr>
          <w:p>
            <w:pPr>
              <w:ind w:left="360"/>
              <w:spacing w:after="0"/>
              <w:rPr>
                <w:sz w:val="20"/>
                <w:szCs w:val="20"/>
                <w:color w:val="auto"/>
              </w:rPr>
            </w:pPr>
            <w:r>
              <w:rPr>
                <w:rFonts w:ascii="Arial" w:cs="Arial" w:eastAsia="Arial" w:hAnsi="Arial"/>
                <w:sz w:val="18"/>
                <w:szCs w:val="18"/>
                <w:color w:val="auto"/>
              </w:rPr>
              <w:t>Deferred income taxes</w:t>
            </w:r>
          </w:p>
        </w:tc>
        <w:tc>
          <w:tcPr>
            <w:tcW w:w="1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(10,298)</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31"/>
              <w:spacing w:after="0"/>
              <w:rPr>
                <w:sz w:val="20"/>
                <w:szCs w:val="20"/>
                <w:color w:val="auto"/>
              </w:rPr>
            </w:pPr>
            <w:r>
              <w:rPr>
                <w:rFonts w:ascii="Arial" w:cs="Arial" w:eastAsia="Arial" w:hAnsi="Arial"/>
                <w:sz w:val="18"/>
                <w:szCs w:val="18"/>
                <w:color w:val="auto"/>
              </w:rPr>
              <w:t>531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(29,856)</w:t>
            </w:r>
          </w:p>
        </w:tc>
      </w:tr>
      <w:tr>
        <w:trPr>
          <w:trHeight w:val="27"/>
        </w:trPr>
        <w:tc>
          <w:tcPr>
            <w:tcW w:w="20" w:type="dxa"/>
            <w:vAlign w:val="bottom"/>
          </w:tcPr>
          <w:p>
            <w:pPr>
              <w:spacing w:after="0"/>
              <w:rPr>
                <w:sz w:val="2"/>
                <w:szCs w:val="2"/>
                <w:color w:val="auto"/>
              </w:rPr>
            </w:pPr>
          </w:p>
        </w:tc>
        <w:tc>
          <w:tcPr>
            <w:tcW w:w="278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4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6980" w:type="dxa"/>
            <w:vAlign w:val="bottom"/>
            <w:tcBorders>
              <w:bottom w:val="single" w:sz="8" w:color="CCEEFF"/>
            </w:tcBorders>
            <w:gridSpan w:val="4"/>
            <w:shd w:val="clear" w:color="auto" w:fill="CCEEFF"/>
          </w:tcPr>
          <w:p>
            <w:pPr>
              <w:spacing w:after="0"/>
              <w:rPr>
                <w:sz w:val="20"/>
                <w:szCs w:val="20"/>
                <w:color w:val="auto"/>
              </w:rPr>
            </w:pPr>
            <w:r>
              <w:rPr>
                <w:rFonts w:ascii="Arial" w:cs="Arial" w:eastAsia="Arial" w:hAnsi="Arial"/>
                <w:sz w:val="18"/>
                <w:szCs w:val="18"/>
                <w:color w:val="auto"/>
              </w:rPr>
              <w:t>Changes in operating assets and liabilities, net of acquisitions:</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r>
      <w:tr>
        <w:trPr>
          <w:trHeight w:val="243"/>
        </w:trPr>
        <w:tc>
          <w:tcPr>
            <w:tcW w:w="20" w:type="dxa"/>
            <w:vAlign w:val="bottom"/>
          </w:tcPr>
          <w:p>
            <w:pPr>
              <w:spacing w:after="0"/>
              <w:rPr>
                <w:sz w:val="21"/>
                <w:szCs w:val="21"/>
                <w:color w:val="auto"/>
              </w:rPr>
            </w:pPr>
          </w:p>
        </w:tc>
        <w:tc>
          <w:tcPr>
            <w:tcW w:w="6980" w:type="dxa"/>
            <w:vAlign w:val="bottom"/>
            <w:gridSpan w:val="4"/>
          </w:tcPr>
          <w:p>
            <w:pPr>
              <w:ind w:left="360"/>
              <w:spacing w:after="0"/>
              <w:rPr>
                <w:sz w:val="20"/>
                <w:szCs w:val="20"/>
                <w:color w:val="auto"/>
              </w:rPr>
            </w:pPr>
            <w:r>
              <w:rPr>
                <w:rFonts w:ascii="Arial" w:cs="Arial" w:eastAsia="Arial" w:hAnsi="Arial"/>
                <w:sz w:val="18"/>
                <w:szCs w:val="18"/>
                <w:color w:val="auto"/>
              </w:rPr>
              <w:t>Accounts receivable</w:t>
            </w:r>
          </w:p>
        </w:tc>
        <w:tc>
          <w:tcPr>
            <w:tcW w:w="140" w:type="dxa"/>
            <w:vAlign w:val="bottom"/>
          </w:tcPr>
          <w:p>
            <w:pPr>
              <w:spacing w:after="0"/>
              <w:rPr>
                <w:sz w:val="21"/>
                <w:szCs w:val="21"/>
                <w:color w:val="auto"/>
              </w:rPr>
            </w:pPr>
          </w:p>
        </w:tc>
        <w:tc>
          <w:tcPr>
            <w:tcW w:w="1220" w:type="dxa"/>
            <w:vAlign w:val="bottom"/>
          </w:tcPr>
          <w:p>
            <w:pPr>
              <w:jc w:val="right"/>
              <w:ind w:right="31"/>
              <w:spacing w:after="0"/>
              <w:rPr>
                <w:sz w:val="20"/>
                <w:szCs w:val="20"/>
                <w:color w:val="auto"/>
              </w:rPr>
            </w:pPr>
            <w:r>
              <w:rPr>
                <w:rFonts w:ascii="Arial" w:cs="Arial" w:eastAsia="Arial" w:hAnsi="Arial"/>
                <w:sz w:val="18"/>
                <w:szCs w:val="18"/>
                <w:color w:val="auto"/>
              </w:rPr>
              <w:t>3,684</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(11,731)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31"/>
              <w:spacing w:after="0"/>
              <w:rPr>
                <w:sz w:val="20"/>
                <w:szCs w:val="20"/>
                <w:color w:val="auto"/>
              </w:rPr>
            </w:pPr>
            <w:r>
              <w:rPr>
                <w:rFonts w:ascii="Arial" w:cs="Arial" w:eastAsia="Arial" w:hAnsi="Arial"/>
                <w:sz w:val="18"/>
                <w:szCs w:val="18"/>
                <w:color w:val="auto"/>
              </w:rPr>
              <w:t>7,379</w:t>
            </w:r>
          </w:p>
        </w:tc>
      </w:tr>
      <w:tr>
        <w:trPr>
          <w:trHeight w:val="27"/>
        </w:trPr>
        <w:tc>
          <w:tcPr>
            <w:tcW w:w="20" w:type="dxa"/>
            <w:vAlign w:val="bottom"/>
          </w:tcPr>
          <w:p>
            <w:pPr>
              <w:spacing w:after="0"/>
              <w:rPr>
                <w:sz w:val="2"/>
                <w:szCs w:val="2"/>
                <w:color w:val="auto"/>
              </w:rPr>
            </w:pPr>
          </w:p>
        </w:tc>
        <w:tc>
          <w:tcPr>
            <w:tcW w:w="278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4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6980" w:type="dxa"/>
            <w:vAlign w:val="bottom"/>
            <w:tcBorders>
              <w:bottom w:val="single" w:sz="8" w:color="CCEEFF"/>
            </w:tcBorders>
            <w:gridSpan w:val="4"/>
            <w:shd w:val="clear" w:color="auto" w:fill="CCEEFF"/>
          </w:tcPr>
          <w:p>
            <w:pPr>
              <w:ind w:left="360"/>
              <w:spacing w:after="0"/>
              <w:rPr>
                <w:sz w:val="20"/>
                <w:szCs w:val="20"/>
                <w:color w:val="auto"/>
              </w:rPr>
            </w:pPr>
            <w:r>
              <w:rPr>
                <w:rFonts w:ascii="Arial" w:cs="Arial" w:eastAsia="Arial" w:hAnsi="Arial"/>
                <w:sz w:val="18"/>
                <w:szCs w:val="18"/>
                <w:color w:val="auto"/>
              </w:rPr>
              <w:t>Inventories</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(25,752)</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(6,726)</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(11,508)</w:t>
            </w:r>
          </w:p>
        </w:tc>
      </w:tr>
      <w:tr>
        <w:trPr>
          <w:trHeight w:val="243"/>
        </w:trPr>
        <w:tc>
          <w:tcPr>
            <w:tcW w:w="20" w:type="dxa"/>
            <w:vAlign w:val="bottom"/>
          </w:tcPr>
          <w:p>
            <w:pPr>
              <w:spacing w:after="0"/>
              <w:rPr>
                <w:sz w:val="21"/>
                <w:szCs w:val="21"/>
                <w:color w:val="auto"/>
              </w:rPr>
            </w:pPr>
          </w:p>
        </w:tc>
        <w:tc>
          <w:tcPr>
            <w:tcW w:w="6980" w:type="dxa"/>
            <w:vAlign w:val="bottom"/>
            <w:gridSpan w:val="4"/>
          </w:tcPr>
          <w:p>
            <w:pPr>
              <w:ind w:left="360"/>
              <w:spacing w:after="0"/>
              <w:rPr>
                <w:sz w:val="20"/>
                <w:szCs w:val="20"/>
                <w:color w:val="auto"/>
              </w:rPr>
            </w:pPr>
            <w:r>
              <w:rPr>
                <w:rFonts w:ascii="Arial" w:cs="Arial" w:eastAsia="Arial" w:hAnsi="Arial"/>
                <w:sz w:val="18"/>
                <w:szCs w:val="18"/>
                <w:color w:val="auto"/>
              </w:rPr>
              <w:t>Prepaid expenses and other assets</w:t>
            </w:r>
          </w:p>
        </w:tc>
        <w:tc>
          <w:tcPr>
            <w:tcW w:w="1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(1,861)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(3,281)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(353)</w:t>
            </w:r>
          </w:p>
        </w:tc>
      </w:tr>
      <w:tr>
        <w:trPr>
          <w:trHeight w:val="27"/>
        </w:trPr>
        <w:tc>
          <w:tcPr>
            <w:tcW w:w="20" w:type="dxa"/>
            <w:vAlign w:val="bottom"/>
          </w:tcPr>
          <w:p>
            <w:pPr>
              <w:spacing w:after="0"/>
              <w:rPr>
                <w:sz w:val="2"/>
                <w:szCs w:val="2"/>
                <w:color w:val="auto"/>
              </w:rPr>
            </w:pPr>
          </w:p>
        </w:tc>
        <w:tc>
          <w:tcPr>
            <w:tcW w:w="278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4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6980" w:type="dxa"/>
            <w:vAlign w:val="bottom"/>
            <w:tcBorders>
              <w:bottom w:val="single" w:sz="8" w:color="CCEEFF"/>
            </w:tcBorders>
            <w:gridSpan w:val="4"/>
            <w:shd w:val="clear" w:color="auto" w:fill="CCEEFF"/>
          </w:tcPr>
          <w:p>
            <w:pPr>
              <w:ind w:left="360"/>
              <w:spacing w:after="0"/>
              <w:rPr>
                <w:sz w:val="20"/>
                <w:szCs w:val="20"/>
                <w:color w:val="auto"/>
              </w:rPr>
            </w:pPr>
            <w:r>
              <w:rPr>
                <w:rFonts w:ascii="Arial" w:cs="Arial" w:eastAsia="Arial" w:hAnsi="Arial"/>
                <w:sz w:val="18"/>
                <w:szCs w:val="18"/>
                <w:color w:val="auto"/>
              </w:rPr>
              <w:t>Accounts payable</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3,129</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(970)</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1,307</w:t>
            </w:r>
          </w:p>
        </w:tc>
      </w:tr>
      <w:tr>
        <w:trPr>
          <w:trHeight w:val="243"/>
        </w:trPr>
        <w:tc>
          <w:tcPr>
            <w:tcW w:w="20" w:type="dxa"/>
            <w:vAlign w:val="bottom"/>
          </w:tcPr>
          <w:p>
            <w:pPr>
              <w:spacing w:after="0"/>
              <w:rPr>
                <w:sz w:val="21"/>
                <w:szCs w:val="21"/>
                <w:color w:val="auto"/>
              </w:rPr>
            </w:pPr>
          </w:p>
        </w:tc>
        <w:tc>
          <w:tcPr>
            <w:tcW w:w="6980" w:type="dxa"/>
            <w:vAlign w:val="bottom"/>
            <w:gridSpan w:val="4"/>
          </w:tcPr>
          <w:p>
            <w:pPr>
              <w:ind w:left="360"/>
              <w:spacing w:after="0"/>
              <w:rPr>
                <w:sz w:val="20"/>
                <w:szCs w:val="20"/>
                <w:color w:val="auto"/>
              </w:rPr>
            </w:pPr>
            <w:r>
              <w:rPr>
                <w:rFonts w:ascii="Arial" w:cs="Arial" w:eastAsia="Arial" w:hAnsi="Arial"/>
                <w:sz w:val="18"/>
                <w:szCs w:val="18"/>
                <w:color w:val="auto"/>
              </w:rPr>
              <w:t>Accrued expenses</w:t>
            </w:r>
          </w:p>
        </w:tc>
        <w:tc>
          <w:tcPr>
            <w:tcW w:w="1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(28,605)</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31"/>
              <w:spacing w:after="0"/>
              <w:rPr>
                <w:sz w:val="20"/>
                <w:szCs w:val="20"/>
                <w:color w:val="auto"/>
              </w:rPr>
            </w:pPr>
            <w:r>
              <w:rPr>
                <w:rFonts w:ascii="Arial" w:cs="Arial" w:eastAsia="Arial" w:hAnsi="Arial"/>
                <w:sz w:val="18"/>
                <w:szCs w:val="18"/>
                <w:color w:val="auto"/>
              </w:rPr>
              <w:t>1,214</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(1,176)</w:t>
            </w:r>
          </w:p>
        </w:tc>
      </w:tr>
      <w:tr>
        <w:trPr>
          <w:trHeight w:val="27"/>
        </w:trPr>
        <w:tc>
          <w:tcPr>
            <w:tcW w:w="20" w:type="dxa"/>
            <w:vAlign w:val="bottom"/>
          </w:tcPr>
          <w:p>
            <w:pPr>
              <w:spacing w:after="0"/>
              <w:rPr>
                <w:sz w:val="2"/>
                <w:szCs w:val="2"/>
                <w:color w:val="auto"/>
              </w:rPr>
            </w:pPr>
          </w:p>
        </w:tc>
        <w:tc>
          <w:tcPr>
            <w:tcW w:w="278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4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70"/>
        </w:trPr>
        <w:tc>
          <w:tcPr>
            <w:tcW w:w="20" w:type="dxa"/>
            <w:vAlign w:val="bottom"/>
            <w:tcBorders>
              <w:bottom w:val="single" w:sz="8" w:color="CCEEFF"/>
            </w:tcBorders>
            <w:shd w:val="clear" w:color="auto" w:fill="CCEEFF"/>
          </w:tcPr>
          <w:p>
            <w:pPr>
              <w:spacing w:after="0"/>
              <w:rPr>
                <w:sz w:val="23"/>
                <w:szCs w:val="23"/>
                <w:color w:val="auto"/>
              </w:rPr>
            </w:pPr>
          </w:p>
        </w:tc>
        <w:tc>
          <w:tcPr>
            <w:tcW w:w="6980" w:type="dxa"/>
            <w:vAlign w:val="bottom"/>
            <w:tcBorders>
              <w:bottom w:val="single" w:sz="8" w:color="CCEEFF"/>
            </w:tcBorders>
            <w:gridSpan w:val="4"/>
            <w:shd w:val="clear" w:color="auto" w:fill="CCEEFF"/>
          </w:tcPr>
          <w:p>
            <w:pPr>
              <w:ind w:left="360"/>
              <w:spacing w:after="0"/>
              <w:rPr>
                <w:sz w:val="20"/>
                <w:szCs w:val="20"/>
                <w:color w:val="auto"/>
              </w:rPr>
            </w:pPr>
            <w:r>
              <w:rPr>
                <w:rFonts w:ascii="Arial" w:cs="Arial" w:eastAsia="Arial" w:hAnsi="Arial"/>
                <w:sz w:val="18"/>
                <w:szCs w:val="18"/>
                <w:color w:val="auto"/>
              </w:rPr>
              <w:t>Income taxes payable</w:t>
            </w: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(9,906)</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2,949</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(2,687)</w:t>
            </w:r>
          </w:p>
        </w:tc>
      </w:tr>
      <w:tr>
        <w:trPr>
          <w:trHeight w:val="237"/>
        </w:trPr>
        <w:tc>
          <w:tcPr>
            <w:tcW w:w="20" w:type="dxa"/>
            <w:vAlign w:val="bottom"/>
          </w:tcPr>
          <w:p>
            <w:pPr>
              <w:spacing w:after="0"/>
              <w:rPr>
                <w:sz w:val="20"/>
                <w:szCs w:val="20"/>
                <w:color w:val="auto"/>
              </w:rPr>
            </w:pPr>
          </w:p>
        </w:tc>
        <w:tc>
          <w:tcPr>
            <w:tcW w:w="6980" w:type="dxa"/>
            <w:vAlign w:val="bottom"/>
            <w:gridSpan w:val="4"/>
          </w:tcPr>
          <w:p>
            <w:pPr>
              <w:ind w:left="680"/>
              <w:spacing w:after="0"/>
              <w:rPr>
                <w:sz w:val="20"/>
                <w:szCs w:val="20"/>
                <w:color w:val="auto"/>
              </w:rPr>
            </w:pPr>
            <w:r>
              <w:rPr>
                <w:rFonts w:ascii="Arial" w:cs="Arial" w:eastAsia="Arial" w:hAnsi="Arial"/>
                <w:sz w:val="18"/>
                <w:szCs w:val="18"/>
                <w:color w:val="auto"/>
              </w:rPr>
              <w:t>Net cash provided by operating activities</w:t>
            </w: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12,479</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81,276</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56,755</w:t>
            </w:r>
          </w:p>
        </w:tc>
      </w:tr>
      <w:tr>
        <w:trPr>
          <w:trHeight w:val="27"/>
        </w:trPr>
        <w:tc>
          <w:tcPr>
            <w:tcW w:w="20" w:type="dxa"/>
            <w:vAlign w:val="bottom"/>
            <w:tcBorders>
              <w:bottom w:val="single" w:sz="8" w:color="CCEEFF"/>
            </w:tcBorders>
          </w:tcPr>
          <w:p>
            <w:pPr>
              <w:spacing w:after="0"/>
              <w:rPr>
                <w:sz w:val="2"/>
                <w:szCs w:val="2"/>
                <w:color w:val="auto"/>
              </w:rPr>
            </w:pPr>
          </w:p>
        </w:tc>
        <w:tc>
          <w:tcPr>
            <w:tcW w:w="2780" w:type="dxa"/>
            <w:vAlign w:val="bottom"/>
            <w:tcBorders>
              <w:bottom w:val="single" w:sz="8" w:color="CCEEFF"/>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416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244"/>
        </w:trPr>
        <w:tc>
          <w:tcPr>
            <w:tcW w:w="20" w:type="dxa"/>
            <w:vAlign w:val="bottom"/>
            <w:tcBorders>
              <w:bottom w:val="single" w:sz="8" w:color="CCEEFF"/>
            </w:tcBorders>
            <w:shd w:val="clear" w:color="auto" w:fill="CCEEFF"/>
          </w:tcPr>
          <w:p>
            <w:pPr>
              <w:spacing w:after="0"/>
              <w:rPr>
                <w:sz w:val="21"/>
                <w:szCs w:val="21"/>
                <w:color w:val="auto"/>
              </w:rPr>
            </w:pPr>
          </w:p>
        </w:tc>
        <w:tc>
          <w:tcPr>
            <w:tcW w:w="2780" w:type="dxa"/>
            <w:vAlign w:val="bottom"/>
            <w:tcBorders>
              <w:bottom w:val="single" w:sz="8" w:color="auto"/>
            </w:tcBorders>
            <w:shd w:val="clear" w:color="auto" w:fill="CCEEFF"/>
          </w:tcPr>
          <w:p>
            <w:pPr>
              <w:spacing w:after="0" w:line="196" w:lineRule="exact"/>
              <w:rPr>
                <w:sz w:val="20"/>
                <w:szCs w:val="20"/>
                <w:color w:val="auto"/>
              </w:rPr>
            </w:pPr>
            <w:r>
              <w:rPr>
                <w:rFonts w:ascii="Arial" w:cs="Arial" w:eastAsia="Arial" w:hAnsi="Arial"/>
                <w:sz w:val="18"/>
                <w:szCs w:val="18"/>
                <w:b w:val="1"/>
                <w:bCs w:val="1"/>
                <w:color w:val="auto"/>
                <w:w w:val="88"/>
              </w:rPr>
              <w:t>Cash flows from investing activities:</w:t>
            </w:r>
          </w:p>
        </w:tc>
        <w:tc>
          <w:tcPr>
            <w:tcW w:w="4200" w:type="dxa"/>
            <w:vAlign w:val="bottom"/>
            <w:tcBorders>
              <w:bottom w:val="single" w:sz="8" w:color="CCEEFF"/>
            </w:tcBorders>
            <w:gridSpan w:val="3"/>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r>
      <w:tr>
        <w:trPr>
          <w:trHeight w:val="243"/>
        </w:trPr>
        <w:tc>
          <w:tcPr>
            <w:tcW w:w="20" w:type="dxa"/>
            <w:vAlign w:val="bottom"/>
          </w:tcPr>
          <w:p>
            <w:pPr>
              <w:spacing w:after="0"/>
              <w:rPr>
                <w:sz w:val="21"/>
                <w:szCs w:val="21"/>
                <w:color w:val="auto"/>
              </w:rPr>
            </w:pPr>
          </w:p>
        </w:tc>
        <w:tc>
          <w:tcPr>
            <w:tcW w:w="6980" w:type="dxa"/>
            <w:vAlign w:val="bottom"/>
            <w:gridSpan w:val="4"/>
          </w:tcPr>
          <w:p>
            <w:pPr>
              <w:spacing w:after="0"/>
              <w:rPr>
                <w:sz w:val="20"/>
                <w:szCs w:val="20"/>
                <w:color w:val="auto"/>
              </w:rPr>
            </w:pPr>
            <w:r>
              <w:rPr>
                <w:rFonts w:ascii="Arial" w:cs="Arial" w:eastAsia="Arial" w:hAnsi="Arial"/>
                <w:sz w:val="18"/>
                <w:szCs w:val="18"/>
                <w:color w:val="auto"/>
              </w:rPr>
              <w:t>Proceeds from sale of orthopaedic product lines</w:t>
            </w:r>
          </w:p>
        </w:tc>
        <w:tc>
          <w:tcPr>
            <w:tcW w:w="14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200" w:type="dxa"/>
            <w:vAlign w:val="bottom"/>
          </w:tcPr>
          <w:p>
            <w:pPr>
              <w:jc w:val="right"/>
              <w:ind w:right="31"/>
              <w:spacing w:after="0"/>
              <w:rPr>
                <w:sz w:val="20"/>
                <w:szCs w:val="20"/>
                <w:color w:val="auto"/>
              </w:rPr>
            </w:pPr>
            <w:r>
              <w:rPr>
                <w:rFonts w:ascii="Arial" w:cs="Arial" w:eastAsia="Arial" w:hAnsi="Arial"/>
                <w:sz w:val="18"/>
                <w:szCs w:val="18"/>
                <w:color w:val="auto"/>
              </w:rPr>
              <w:t>2,655</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31"/>
              <w:spacing w:after="0"/>
              <w:rPr>
                <w:sz w:val="20"/>
                <w:szCs w:val="20"/>
                <w:color w:val="auto"/>
              </w:rPr>
            </w:pPr>
            <w:r>
              <w:rPr>
                <w:rFonts w:ascii="Arial" w:cs="Arial" w:eastAsia="Arial" w:hAnsi="Arial"/>
                <w:sz w:val="18"/>
                <w:szCs w:val="18"/>
                <w:color w:val="auto"/>
              </w:rPr>
              <w:t>4,746</w:t>
            </w:r>
          </w:p>
        </w:tc>
      </w:tr>
      <w:tr>
        <w:trPr>
          <w:trHeight w:val="27"/>
        </w:trPr>
        <w:tc>
          <w:tcPr>
            <w:tcW w:w="20" w:type="dxa"/>
            <w:vAlign w:val="bottom"/>
          </w:tcPr>
          <w:p>
            <w:pPr>
              <w:spacing w:after="0"/>
              <w:rPr>
                <w:sz w:val="2"/>
                <w:szCs w:val="2"/>
                <w:color w:val="auto"/>
              </w:rPr>
            </w:pPr>
          </w:p>
        </w:tc>
        <w:tc>
          <w:tcPr>
            <w:tcW w:w="278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4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6980" w:type="dxa"/>
            <w:vAlign w:val="bottom"/>
            <w:tcBorders>
              <w:bottom w:val="single" w:sz="8" w:color="CCEEFF"/>
            </w:tcBorders>
            <w:gridSpan w:val="4"/>
            <w:shd w:val="clear" w:color="auto" w:fill="CCEEFF"/>
          </w:tcPr>
          <w:p>
            <w:pPr>
              <w:spacing w:after="0"/>
              <w:rPr>
                <w:sz w:val="20"/>
                <w:szCs w:val="20"/>
                <w:color w:val="auto"/>
              </w:rPr>
            </w:pPr>
            <w:r>
              <w:rPr>
                <w:rFonts w:ascii="Arial" w:cs="Arial" w:eastAsia="Arial" w:hAnsi="Arial"/>
                <w:sz w:val="18"/>
                <w:szCs w:val="18"/>
                <w:color w:val="auto"/>
              </w:rPr>
              <w:t>Acquisition of property, plant and equipment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(44,616)</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(24,827)</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(18,858)</w:t>
            </w:r>
          </w:p>
        </w:tc>
      </w:tr>
      <w:tr>
        <w:trPr>
          <w:trHeight w:val="243"/>
        </w:trPr>
        <w:tc>
          <w:tcPr>
            <w:tcW w:w="20" w:type="dxa"/>
            <w:vAlign w:val="bottom"/>
          </w:tcPr>
          <w:p>
            <w:pPr>
              <w:spacing w:after="0"/>
              <w:rPr>
                <w:sz w:val="21"/>
                <w:szCs w:val="21"/>
                <w:color w:val="auto"/>
              </w:rPr>
            </w:pPr>
          </w:p>
        </w:tc>
        <w:tc>
          <w:tcPr>
            <w:tcW w:w="6980" w:type="dxa"/>
            <w:vAlign w:val="bottom"/>
            <w:gridSpan w:val="4"/>
          </w:tcPr>
          <w:p>
            <w:pPr>
              <w:spacing w:after="0"/>
              <w:rPr>
                <w:sz w:val="20"/>
                <w:szCs w:val="20"/>
                <w:color w:val="auto"/>
              </w:rPr>
            </w:pPr>
            <w:r>
              <w:rPr>
                <w:rFonts w:ascii="Arial" w:cs="Arial" w:eastAsia="Arial" w:hAnsi="Arial"/>
                <w:sz w:val="18"/>
                <w:szCs w:val="18"/>
                <w:color w:val="auto"/>
              </w:rPr>
              <w:t>Proceeds from sale of property, plant and equipment</w:t>
            </w:r>
          </w:p>
        </w:tc>
        <w:tc>
          <w:tcPr>
            <w:tcW w:w="140" w:type="dxa"/>
            <w:vAlign w:val="bottom"/>
          </w:tcPr>
          <w:p>
            <w:pPr>
              <w:spacing w:after="0"/>
              <w:rPr>
                <w:sz w:val="21"/>
                <w:szCs w:val="21"/>
                <w:color w:val="auto"/>
              </w:rPr>
            </w:pPr>
          </w:p>
        </w:tc>
        <w:tc>
          <w:tcPr>
            <w:tcW w:w="1220" w:type="dxa"/>
            <w:vAlign w:val="bottom"/>
          </w:tcPr>
          <w:p>
            <w:pPr>
              <w:jc w:val="right"/>
              <w:ind w:right="31"/>
              <w:spacing w:after="0"/>
              <w:rPr>
                <w:sz w:val="20"/>
                <w:szCs w:val="20"/>
                <w:color w:val="auto"/>
              </w:rPr>
            </w:pPr>
            <w:r>
              <w:rPr>
                <w:rFonts w:ascii="Arial" w:cs="Arial" w:eastAsia="Arial" w:hAnsi="Arial"/>
                <w:sz w:val="18"/>
                <w:szCs w:val="18"/>
                <w:color w:val="auto"/>
              </w:rPr>
              <w:t>746</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31"/>
              <w:spacing w:after="0"/>
              <w:rPr>
                <w:sz w:val="20"/>
                <w:szCs w:val="20"/>
                <w:color w:val="auto"/>
              </w:rPr>
            </w:pPr>
            <w:r>
              <w:rPr>
                <w:rFonts w:ascii="Arial" w:cs="Arial" w:eastAsia="Arial" w:hAnsi="Arial"/>
                <w:sz w:val="18"/>
                <w:szCs w:val="18"/>
                <w:color w:val="auto"/>
              </w:rPr>
              <w:t>4</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31"/>
              <w:spacing w:after="0"/>
              <w:rPr>
                <w:sz w:val="20"/>
                <w:szCs w:val="20"/>
                <w:color w:val="auto"/>
              </w:rPr>
            </w:pPr>
            <w:r>
              <w:rPr>
                <w:rFonts w:ascii="Arial" w:cs="Arial" w:eastAsia="Arial" w:hAnsi="Arial"/>
                <w:sz w:val="18"/>
                <w:szCs w:val="18"/>
                <w:color w:val="auto"/>
              </w:rPr>
              <w:t>300</w:t>
            </w:r>
          </w:p>
        </w:tc>
      </w:tr>
      <w:tr>
        <w:trPr>
          <w:trHeight w:val="27"/>
        </w:trPr>
        <w:tc>
          <w:tcPr>
            <w:tcW w:w="20" w:type="dxa"/>
            <w:vAlign w:val="bottom"/>
          </w:tcPr>
          <w:p>
            <w:pPr>
              <w:spacing w:after="0"/>
              <w:rPr>
                <w:sz w:val="2"/>
                <w:szCs w:val="2"/>
                <w:color w:val="auto"/>
              </w:rPr>
            </w:pPr>
          </w:p>
        </w:tc>
        <w:tc>
          <w:tcPr>
            <w:tcW w:w="278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4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6980" w:type="dxa"/>
            <w:vAlign w:val="bottom"/>
            <w:tcBorders>
              <w:bottom w:val="single" w:sz="8" w:color="CCEEFF"/>
            </w:tcBorders>
            <w:gridSpan w:val="4"/>
            <w:shd w:val="clear" w:color="auto" w:fill="CCEEFF"/>
          </w:tcPr>
          <w:p>
            <w:pPr>
              <w:spacing w:after="0"/>
              <w:rPr>
                <w:sz w:val="20"/>
                <w:szCs w:val="20"/>
                <w:color w:val="auto"/>
              </w:rPr>
            </w:pPr>
            <w:r>
              <w:rPr>
                <w:rFonts w:ascii="Arial" w:cs="Arial" w:eastAsia="Arial" w:hAnsi="Arial"/>
                <w:sz w:val="18"/>
                <w:szCs w:val="18"/>
                <w:color w:val="auto"/>
              </w:rPr>
              <w:t>Proceeds from sale (purchase of) cost and equity method investments, net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(6,300)</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2,248</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(3,732)</w:t>
            </w:r>
          </w:p>
        </w:tc>
      </w:tr>
      <w:tr>
        <w:trPr>
          <w:trHeight w:val="243"/>
        </w:trPr>
        <w:tc>
          <w:tcPr>
            <w:tcW w:w="20" w:type="dxa"/>
            <w:vAlign w:val="bottom"/>
          </w:tcPr>
          <w:p>
            <w:pPr>
              <w:spacing w:after="0"/>
              <w:rPr>
                <w:sz w:val="21"/>
                <w:szCs w:val="21"/>
                <w:color w:val="auto"/>
              </w:rPr>
            </w:pPr>
          </w:p>
        </w:tc>
        <w:tc>
          <w:tcPr>
            <w:tcW w:w="6980" w:type="dxa"/>
            <w:vAlign w:val="bottom"/>
            <w:gridSpan w:val="4"/>
          </w:tcPr>
          <w:p>
            <w:pPr>
              <w:spacing w:after="0"/>
              <w:rPr>
                <w:sz w:val="20"/>
                <w:szCs w:val="20"/>
                <w:color w:val="auto"/>
              </w:rPr>
            </w:pPr>
            <w:r>
              <w:rPr>
                <w:rFonts w:ascii="Arial" w:cs="Arial" w:eastAsia="Arial" w:hAnsi="Arial"/>
                <w:sz w:val="18"/>
                <w:szCs w:val="18"/>
                <w:color w:val="auto"/>
              </w:rPr>
              <w:t>Acquisitions, net of cash acquired</w:t>
            </w:r>
          </w:p>
        </w:tc>
        <w:tc>
          <w:tcPr>
            <w:tcW w:w="1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(423,389)</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(16,002)</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31"/>
              <w:spacing w:after="0"/>
              <w:rPr>
                <w:sz w:val="20"/>
                <w:szCs w:val="20"/>
                <w:color w:val="auto"/>
              </w:rPr>
            </w:pPr>
            <w:r>
              <w:rPr>
                <w:rFonts w:ascii="Arial" w:cs="Arial" w:eastAsia="Arial" w:hAnsi="Arial"/>
                <w:sz w:val="18"/>
                <w:szCs w:val="18"/>
                <w:color w:val="auto"/>
              </w:rPr>
              <w:t>—</w:t>
            </w:r>
          </w:p>
        </w:tc>
      </w:tr>
      <w:tr>
        <w:trPr>
          <w:trHeight w:val="27"/>
        </w:trPr>
        <w:tc>
          <w:tcPr>
            <w:tcW w:w="20" w:type="dxa"/>
            <w:vAlign w:val="bottom"/>
          </w:tcPr>
          <w:p>
            <w:pPr>
              <w:spacing w:after="0"/>
              <w:rPr>
                <w:sz w:val="2"/>
                <w:szCs w:val="2"/>
                <w:color w:val="auto"/>
              </w:rPr>
            </w:pPr>
          </w:p>
        </w:tc>
        <w:tc>
          <w:tcPr>
            <w:tcW w:w="278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4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70"/>
        </w:trPr>
        <w:tc>
          <w:tcPr>
            <w:tcW w:w="20" w:type="dxa"/>
            <w:vAlign w:val="bottom"/>
            <w:tcBorders>
              <w:bottom w:val="single" w:sz="8" w:color="CCEEFF"/>
            </w:tcBorders>
            <w:shd w:val="clear" w:color="auto" w:fill="CCEEFF"/>
          </w:tcPr>
          <w:p>
            <w:pPr>
              <w:spacing w:after="0"/>
              <w:rPr>
                <w:sz w:val="23"/>
                <w:szCs w:val="23"/>
                <w:color w:val="auto"/>
              </w:rPr>
            </w:pPr>
          </w:p>
        </w:tc>
        <w:tc>
          <w:tcPr>
            <w:tcW w:w="6980" w:type="dxa"/>
            <w:vAlign w:val="bottom"/>
            <w:tcBorders>
              <w:bottom w:val="single" w:sz="8" w:color="CCEEFF"/>
            </w:tcBorders>
            <w:gridSpan w:val="4"/>
            <w:shd w:val="clear" w:color="auto" w:fill="CCEEFF"/>
          </w:tcPr>
          <w:p>
            <w:pPr>
              <w:spacing w:after="0"/>
              <w:rPr>
                <w:sz w:val="20"/>
                <w:szCs w:val="20"/>
                <w:color w:val="auto"/>
              </w:rPr>
            </w:pPr>
            <w:r>
              <w:rPr>
                <w:rFonts w:ascii="Arial" w:cs="Arial" w:eastAsia="Arial" w:hAnsi="Arial"/>
                <w:sz w:val="18"/>
                <w:szCs w:val="18"/>
                <w:color w:val="auto"/>
              </w:rPr>
              <w:t>Other investing activities, net</w:t>
            </w:r>
          </w:p>
        </w:tc>
        <w:tc>
          <w:tcPr>
            <w:tcW w:w="14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(740)</w:t>
            </w:r>
          </w:p>
        </w:tc>
      </w:tr>
      <w:tr>
        <w:trPr>
          <w:trHeight w:val="237"/>
        </w:trPr>
        <w:tc>
          <w:tcPr>
            <w:tcW w:w="20" w:type="dxa"/>
            <w:vAlign w:val="bottom"/>
          </w:tcPr>
          <w:p>
            <w:pPr>
              <w:spacing w:after="0"/>
              <w:rPr>
                <w:sz w:val="20"/>
                <w:szCs w:val="20"/>
                <w:color w:val="auto"/>
              </w:rPr>
            </w:pPr>
          </w:p>
        </w:tc>
        <w:tc>
          <w:tcPr>
            <w:tcW w:w="6980" w:type="dxa"/>
            <w:vAlign w:val="bottom"/>
            <w:gridSpan w:val="4"/>
          </w:tcPr>
          <w:p>
            <w:pPr>
              <w:ind w:left="680"/>
              <w:spacing w:after="0"/>
              <w:rPr>
                <w:sz w:val="20"/>
                <w:szCs w:val="20"/>
                <w:color w:val="auto"/>
              </w:rPr>
            </w:pPr>
            <w:r>
              <w:rPr>
                <w:rFonts w:ascii="Arial" w:cs="Arial" w:eastAsia="Arial" w:hAnsi="Arial"/>
                <w:sz w:val="18"/>
                <w:szCs w:val="18"/>
                <w:color w:val="auto"/>
              </w:rPr>
              <w:t>Net cash used in investing activities</w:t>
            </w: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(473,559)</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(35,922)</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(18,284)</w:t>
            </w:r>
          </w:p>
        </w:tc>
      </w:tr>
      <w:tr>
        <w:trPr>
          <w:trHeight w:val="27"/>
        </w:trPr>
        <w:tc>
          <w:tcPr>
            <w:tcW w:w="20" w:type="dxa"/>
            <w:vAlign w:val="bottom"/>
            <w:tcBorders>
              <w:bottom w:val="single" w:sz="8" w:color="CCEEFF"/>
            </w:tcBorders>
          </w:tcPr>
          <w:p>
            <w:pPr>
              <w:spacing w:after="0"/>
              <w:rPr>
                <w:sz w:val="2"/>
                <w:szCs w:val="2"/>
                <w:color w:val="auto"/>
              </w:rPr>
            </w:pPr>
          </w:p>
        </w:tc>
        <w:tc>
          <w:tcPr>
            <w:tcW w:w="2780" w:type="dxa"/>
            <w:vAlign w:val="bottom"/>
            <w:tcBorders>
              <w:bottom w:val="single" w:sz="8" w:color="CCEEFF"/>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416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244"/>
        </w:trPr>
        <w:tc>
          <w:tcPr>
            <w:tcW w:w="20" w:type="dxa"/>
            <w:vAlign w:val="bottom"/>
            <w:shd w:val="clear" w:color="auto" w:fill="CCEEFF"/>
          </w:tcPr>
          <w:p>
            <w:pPr>
              <w:spacing w:after="0"/>
              <w:rPr>
                <w:sz w:val="21"/>
                <w:szCs w:val="21"/>
                <w:color w:val="auto"/>
              </w:rPr>
            </w:pPr>
          </w:p>
        </w:tc>
        <w:tc>
          <w:tcPr>
            <w:tcW w:w="6980" w:type="dxa"/>
            <w:vAlign w:val="bottom"/>
            <w:gridSpan w:val="4"/>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Cash flows from financing activities:</w:t>
            </w:r>
          </w:p>
        </w:tc>
        <w:tc>
          <w:tcPr>
            <w:tcW w:w="140" w:type="dxa"/>
            <w:vAlign w:val="bottom"/>
            <w:shd w:val="clear" w:color="auto" w:fill="CCEEFF"/>
          </w:tcPr>
          <w:p>
            <w:pPr>
              <w:spacing w:after="0"/>
              <w:rPr>
                <w:sz w:val="21"/>
                <w:szCs w:val="21"/>
                <w:color w:val="auto"/>
              </w:rPr>
            </w:pPr>
          </w:p>
        </w:tc>
        <w:tc>
          <w:tcPr>
            <w:tcW w:w="12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20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200" w:type="dxa"/>
            <w:vAlign w:val="bottom"/>
            <w:shd w:val="clear" w:color="auto" w:fill="CCEEFF"/>
          </w:tcPr>
          <w:p>
            <w:pPr>
              <w:spacing w:after="0"/>
              <w:rPr>
                <w:sz w:val="21"/>
                <w:szCs w:val="21"/>
                <w:color w:val="auto"/>
              </w:rPr>
            </w:pPr>
          </w:p>
        </w:tc>
      </w:tr>
      <w:tr>
        <w:trPr>
          <w:trHeight w:val="243"/>
        </w:trPr>
        <w:tc>
          <w:tcPr>
            <w:tcW w:w="20" w:type="dxa"/>
            <w:vAlign w:val="bottom"/>
            <w:tcBorders>
              <w:top w:val="single" w:sz="8" w:color="CCEEFF"/>
            </w:tcBorders>
          </w:tcPr>
          <w:p>
            <w:pPr>
              <w:spacing w:after="0"/>
              <w:rPr>
                <w:sz w:val="21"/>
                <w:szCs w:val="21"/>
                <w:color w:val="auto"/>
              </w:rPr>
            </w:pPr>
          </w:p>
        </w:tc>
        <w:tc>
          <w:tcPr>
            <w:tcW w:w="2800" w:type="dxa"/>
            <w:vAlign w:val="bottom"/>
            <w:tcBorders>
              <w:top w:val="single" w:sz="8" w:color="auto"/>
            </w:tcBorders>
            <w:gridSpan w:val="2"/>
          </w:tcPr>
          <w:p>
            <w:pPr>
              <w:spacing w:after="0"/>
              <w:rPr>
                <w:sz w:val="20"/>
                <w:szCs w:val="20"/>
                <w:color w:val="auto"/>
              </w:rPr>
            </w:pPr>
            <w:r>
              <w:rPr>
                <w:rFonts w:ascii="Arial" w:cs="Arial" w:eastAsia="Arial" w:hAnsi="Arial"/>
                <w:sz w:val="18"/>
                <w:szCs w:val="18"/>
                <w:color w:val="auto"/>
                <w:w w:val="94"/>
              </w:rPr>
              <w:t>Principal payments of long-term debt</w:t>
            </w:r>
          </w:p>
        </w:tc>
        <w:tc>
          <w:tcPr>
            <w:tcW w:w="4180" w:type="dxa"/>
            <w:vAlign w:val="bottom"/>
            <w:tcBorders>
              <w:top w:val="single" w:sz="8" w:color="CCEEFF"/>
            </w:tcBorders>
            <w:gridSpan w:val="2"/>
          </w:tcPr>
          <w:p>
            <w:pPr>
              <w:spacing w:after="0"/>
              <w:rPr>
                <w:sz w:val="21"/>
                <w:szCs w:val="21"/>
                <w:color w:val="auto"/>
              </w:rPr>
            </w:pPr>
          </w:p>
        </w:tc>
        <w:tc>
          <w:tcPr>
            <w:tcW w:w="140" w:type="dxa"/>
            <w:vAlign w:val="bottom"/>
            <w:tcBorders>
              <w:top w:val="single" w:sz="8" w:color="CCEEFF"/>
            </w:tcBorders>
          </w:tcPr>
          <w:p>
            <w:pPr>
              <w:spacing w:after="0"/>
              <w:rPr>
                <w:sz w:val="21"/>
                <w:szCs w:val="21"/>
                <w:color w:val="auto"/>
              </w:rPr>
            </w:pPr>
          </w:p>
        </w:tc>
        <w:tc>
          <w:tcPr>
            <w:tcW w:w="1220" w:type="dxa"/>
            <w:vAlign w:val="bottom"/>
            <w:tcBorders>
              <w:top w:val="single" w:sz="8" w:color="CCEEFF"/>
            </w:tcBorders>
          </w:tcPr>
          <w:p>
            <w:pPr>
              <w:jc w:val="right"/>
              <w:spacing w:after="0"/>
              <w:rPr>
                <w:sz w:val="20"/>
                <w:szCs w:val="20"/>
                <w:color w:val="auto"/>
              </w:rPr>
            </w:pPr>
            <w:r>
              <w:rPr>
                <w:rFonts w:ascii="Arial" w:cs="Arial" w:eastAsia="Arial" w:hAnsi="Arial"/>
                <w:sz w:val="18"/>
                <w:szCs w:val="18"/>
                <w:color w:val="auto"/>
              </w:rPr>
              <w:t>(1,232,175)</w:t>
            </w:r>
          </w:p>
        </w:tc>
        <w:tc>
          <w:tcPr>
            <w:tcW w:w="100" w:type="dxa"/>
            <w:vAlign w:val="bottom"/>
            <w:tcBorders>
              <w:top w:val="single" w:sz="8" w:color="CCEEFF"/>
            </w:tcBorders>
          </w:tcPr>
          <w:p>
            <w:pPr>
              <w:spacing w:after="0"/>
              <w:rPr>
                <w:sz w:val="21"/>
                <w:szCs w:val="21"/>
                <w:color w:val="auto"/>
              </w:rPr>
            </w:pPr>
          </w:p>
        </w:tc>
        <w:tc>
          <w:tcPr>
            <w:tcW w:w="160" w:type="dxa"/>
            <w:vAlign w:val="bottom"/>
            <w:tcBorders>
              <w:top w:val="single" w:sz="8" w:color="CCEEFF"/>
            </w:tcBorders>
          </w:tcPr>
          <w:p>
            <w:pPr>
              <w:spacing w:after="0"/>
              <w:rPr>
                <w:sz w:val="21"/>
                <w:szCs w:val="21"/>
                <w:color w:val="auto"/>
              </w:rPr>
            </w:pPr>
          </w:p>
        </w:tc>
        <w:tc>
          <w:tcPr>
            <w:tcW w:w="1200" w:type="dxa"/>
            <w:vAlign w:val="bottom"/>
            <w:tcBorders>
              <w:top w:val="single" w:sz="8" w:color="CCEEFF"/>
            </w:tcBorders>
          </w:tcPr>
          <w:p>
            <w:pPr>
              <w:jc w:val="right"/>
              <w:spacing w:after="0"/>
              <w:rPr>
                <w:sz w:val="20"/>
                <w:szCs w:val="20"/>
                <w:color w:val="auto"/>
              </w:rPr>
            </w:pPr>
            <w:r>
              <w:rPr>
                <w:rFonts w:ascii="Arial" w:cs="Arial" w:eastAsia="Arial" w:hAnsi="Arial"/>
                <w:sz w:val="18"/>
                <w:szCs w:val="18"/>
                <w:color w:val="auto"/>
              </w:rPr>
              <w:t>(10,000)</w:t>
            </w:r>
          </w:p>
        </w:tc>
        <w:tc>
          <w:tcPr>
            <w:tcW w:w="100" w:type="dxa"/>
            <w:vAlign w:val="bottom"/>
            <w:tcBorders>
              <w:top w:val="single" w:sz="8" w:color="CCEEFF"/>
            </w:tcBorders>
          </w:tcPr>
          <w:p>
            <w:pPr>
              <w:spacing w:after="0"/>
              <w:rPr>
                <w:sz w:val="21"/>
                <w:szCs w:val="21"/>
                <w:color w:val="auto"/>
              </w:rPr>
            </w:pPr>
          </w:p>
        </w:tc>
        <w:tc>
          <w:tcPr>
            <w:tcW w:w="160" w:type="dxa"/>
            <w:vAlign w:val="bottom"/>
            <w:tcBorders>
              <w:top w:val="single" w:sz="8" w:color="CCEEFF"/>
            </w:tcBorders>
          </w:tcPr>
          <w:p>
            <w:pPr>
              <w:spacing w:after="0"/>
              <w:rPr>
                <w:sz w:val="21"/>
                <w:szCs w:val="21"/>
                <w:color w:val="auto"/>
              </w:rPr>
            </w:pPr>
          </w:p>
        </w:tc>
        <w:tc>
          <w:tcPr>
            <w:tcW w:w="1200" w:type="dxa"/>
            <w:vAlign w:val="bottom"/>
            <w:tcBorders>
              <w:top w:val="single" w:sz="8" w:color="CCEEFF"/>
            </w:tcBorders>
          </w:tcPr>
          <w:p>
            <w:pPr>
              <w:jc w:val="right"/>
              <w:spacing w:after="0"/>
              <w:rPr>
                <w:sz w:val="20"/>
                <w:szCs w:val="20"/>
                <w:color w:val="auto"/>
              </w:rPr>
            </w:pPr>
            <w:r>
              <w:rPr>
                <w:rFonts w:ascii="Arial" w:cs="Arial" w:eastAsia="Arial" w:hAnsi="Arial"/>
                <w:sz w:val="18"/>
                <w:szCs w:val="18"/>
                <w:color w:val="auto"/>
              </w:rPr>
              <w:t>(458,282)</w:t>
            </w:r>
          </w:p>
        </w:tc>
      </w:tr>
      <w:tr>
        <w:trPr>
          <w:trHeight w:val="27"/>
        </w:trPr>
        <w:tc>
          <w:tcPr>
            <w:tcW w:w="20" w:type="dxa"/>
            <w:vAlign w:val="bottom"/>
          </w:tcPr>
          <w:p>
            <w:pPr>
              <w:spacing w:after="0"/>
              <w:rPr>
                <w:sz w:val="2"/>
                <w:szCs w:val="2"/>
                <w:color w:val="auto"/>
              </w:rPr>
            </w:pPr>
          </w:p>
        </w:tc>
        <w:tc>
          <w:tcPr>
            <w:tcW w:w="278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4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6980" w:type="dxa"/>
            <w:vAlign w:val="bottom"/>
            <w:tcBorders>
              <w:bottom w:val="single" w:sz="8" w:color="CCEEFF"/>
            </w:tcBorders>
            <w:gridSpan w:val="4"/>
            <w:shd w:val="clear" w:color="auto" w:fill="CCEEFF"/>
          </w:tcPr>
          <w:p>
            <w:pPr>
              <w:spacing w:after="0"/>
              <w:rPr>
                <w:sz w:val="20"/>
                <w:szCs w:val="20"/>
                <w:color w:val="auto"/>
              </w:rPr>
            </w:pPr>
            <w:r>
              <w:rPr>
                <w:rFonts w:ascii="Arial" w:cs="Arial" w:eastAsia="Arial" w:hAnsi="Arial"/>
                <w:sz w:val="18"/>
                <w:szCs w:val="18"/>
                <w:color w:val="auto"/>
              </w:rPr>
              <w:t>Proceeds from issuance of long-term debt, net of discount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1,749,750</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425,000</w:t>
            </w:r>
          </w:p>
        </w:tc>
      </w:tr>
      <w:tr>
        <w:trPr>
          <w:trHeight w:val="243"/>
        </w:trPr>
        <w:tc>
          <w:tcPr>
            <w:tcW w:w="20" w:type="dxa"/>
            <w:vAlign w:val="bottom"/>
          </w:tcPr>
          <w:p>
            <w:pPr>
              <w:spacing w:after="0"/>
              <w:rPr>
                <w:sz w:val="21"/>
                <w:szCs w:val="21"/>
                <w:color w:val="auto"/>
              </w:rPr>
            </w:pPr>
          </w:p>
        </w:tc>
        <w:tc>
          <w:tcPr>
            <w:tcW w:w="6980" w:type="dxa"/>
            <w:vAlign w:val="bottom"/>
            <w:gridSpan w:val="4"/>
          </w:tcPr>
          <w:p>
            <w:pPr>
              <w:spacing w:after="0"/>
              <w:rPr>
                <w:sz w:val="20"/>
                <w:szCs w:val="20"/>
                <w:color w:val="auto"/>
              </w:rPr>
            </w:pPr>
            <w:r>
              <w:rPr>
                <w:rFonts w:ascii="Arial" w:cs="Arial" w:eastAsia="Arial" w:hAnsi="Arial"/>
                <w:sz w:val="18"/>
                <w:szCs w:val="18"/>
                <w:color w:val="auto"/>
              </w:rPr>
              <w:t>Issuance of common stock</w:t>
            </w:r>
          </w:p>
        </w:tc>
        <w:tc>
          <w:tcPr>
            <w:tcW w:w="140" w:type="dxa"/>
            <w:vAlign w:val="bottom"/>
          </w:tcPr>
          <w:p>
            <w:pPr>
              <w:spacing w:after="0"/>
              <w:rPr>
                <w:sz w:val="21"/>
                <w:szCs w:val="21"/>
                <w:color w:val="auto"/>
              </w:rPr>
            </w:pPr>
          </w:p>
        </w:tc>
        <w:tc>
          <w:tcPr>
            <w:tcW w:w="1220" w:type="dxa"/>
            <w:vAlign w:val="bottom"/>
          </w:tcPr>
          <w:p>
            <w:pPr>
              <w:jc w:val="right"/>
              <w:ind w:right="31"/>
              <w:spacing w:after="0"/>
              <w:rPr>
                <w:sz w:val="20"/>
                <w:szCs w:val="20"/>
                <w:color w:val="auto"/>
              </w:rPr>
            </w:pPr>
            <w:r>
              <w:rPr>
                <w:rFonts w:ascii="Arial" w:cs="Arial" w:eastAsia="Arial" w:hAnsi="Arial"/>
                <w:sz w:val="18"/>
                <w:szCs w:val="18"/>
                <w:color w:val="auto"/>
              </w:rPr>
              <w:t>6,583</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31"/>
              <w:spacing w:after="0"/>
              <w:rPr>
                <w:sz w:val="20"/>
                <w:szCs w:val="20"/>
                <w:color w:val="auto"/>
              </w:rPr>
            </w:pPr>
            <w:r>
              <w:rPr>
                <w:rFonts w:ascii="Arial" w:cs="Arial" w:eastAsia="Arial" w:hAnsi="Arial"/>
                <w:sz w:val="18"/>
                <w:szCs w:val="18"/>
                <w:color w:val="auto"/>
              </w:rPr>
              <w:t>8,278</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31"/>
              <w:spacing w:after="0"/>
              <w:rPr>
                <w:sz w:val="20"/>
                <w:szCs w:val="20"/>
                <w:color w:val="auto"/>
              </w:rPr>
            </w:pPr>
            <w:r>
              <w:rPr>
                <w:rFonts w:ascii="Arial" w:cs="Arial" w:eastAsia="Arial" w:hAnsi="Arial"/>
                <w:sz w:val="18"/>
                <w:szCs w:val="18"/>
                <w:color w:val="auto"/>
              </w:rPr>
              <w:t>12,807</w:t>
            </w:r>
          </w:p>
        </w:tc>
      </w:tr>
      <w:tr>
        <w:trPr>
          <w:trHeight w:val="27"/>
        </w:trPr>
        <w:tc>
          <w:tcPr>
            <w:tcW w:w="20" w:type="dxa"/>
            <w:vAlign w:val="bottom"/>
          </w:tcPr>
          <w:p>
            <w:pPr>
              <w:spacing w:after="0"/>
              <w:rPr>
                <w:sz w:val="2"/>
                <w:szCs w:val="2"/>
                <w:color w:val="auto"/>
              </w:rPr>
            </w:pPr>
          </w:p>
        </w:tc>
        <w:tc>
          <w:tcPr>
            <w:tcW w:w="278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4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6980" w:type="dxa"/>
            <w:vAlign w:val="bottom"/>
            <w:tcBorders>
              <w:bottom w:val="single" w:sz="8" w:color="CCEEFF"/>
            </w:tcBorders>
            <w:gridSpan w:val="4"/>
            <w:shd w:val="clear" w:color="auto" w:fill="CCEEFF"/>
          </w:tcPr>
          <w:p>
            <w:pPr>
              <w:spacing w:after="0"/>
              <w:rPr>
                <w:sz w:val="20"/>
                <w:szCs w:val="20"/>
                <w:color w:val="auto"/>
              </w:rPr>
            </w:pPr>
            <w:r>
              <w:rPr>
                <w:rFonts w:ascii="Arial" w:cs="Arial" w:eastAsia="Arial" w:hAnsi="Arial"/>
                <w:sz w:val="18"/>
                <w:szCs w:val="18"/>
                <w:color w:val="auto"/>
              </w:rPr>
              <w:t>Payment of debt issuance costs</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(45,933)</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(2,802)</w:t>
            </w:r>
          </w:p>
        </w:tc>
      </w:tr>
      <w:tr>
        <w:trPr>
          <w:trHeight w:val="243"/>
        </w:trPr>
        <w:tc>
          <w:tcPr>
            <w:tcW w:w="20" w:type="dxa"/>
            <w:vAlign w:val="bottom"/>
          </w:tcPr>
          <w:p>
            <w:pPr>
              <w:spacing w:after="0"/>
              <w:rPr>
                <w:sz w:val="21"/>
                <w:szCs w:val="21"/>
                <w:color w:val="auto"/>
              </w:rPr>
            </w:pPr>
          </w:p>
        </w:tc>
        <w:tc>
          <w:tcPr>
            <w:tcW w:w="6980" w:type="dxa"/>
            <w:vAlign w:val="bottom"/>
            <w:gridSpan w:val="4"/>
          </w:tcPr>
          <w:p>
            <w:pPr>
              <w:spacing w:after="0"/>
              <w:rPr>
                <w:sz w:val="20"/>
                <w:szCs w:val="20"/>
                <w:color w:val="auto"/>
              </w:rPr>
            </w:pPr>
            <w:r>
              <w:rPr>
                <w:rFonts w:ascii="Arial" w:cs="Arial" w:eastAsia="Arial" w:hAnsi="Arial"/>
                <w:sz w:val="18"/>
                <w:szCs w:val="18"/>
                <w:color w:val="auto"/>
              </w:rPr>
              <w:t>Purchase of non-controlling interests</w:t>
            </w:r>
          </w:p>
        </w:tc>
        <w:tc>
          <w:tcPr>
            <w:tcW w:w="1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(9,875)</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200" w:type="dxa"/>
            <w:vAlign w:val="bottom"/>
          </w:tcPr>
          <w:p>
            <w:pPr>
              <w:jc w:val="right"/>
              <w:ind w:right="31"/>
              <w:spacing w:after="0"/>
              <w:rPr>
                <w:sz w:val="20"/>
                <w:szCs w:val="20"/>
                <w:color w:val="auto"/>
              </w:rPr>
            </w:pPr>
            <w:r>
              <w:rPr>
                <w:rFonts w:ascii="Arial" w:cs="Arial" w:eastAsia="Arial" w:hAnsi="Arial"/>
                <w:sz w:val="18"/>
                <w:szCs w:val="18"/>
                <w:color w:val="auto"/>
              </w:rPr>
              <w:t>—</w:t>
            </w:r>
          </w:p>
        </w:tc>
      </w:tr>
      <w:tr>
        <w:trPr>
          <w:trHeight w:val="27"/>
        </w:trPr>
        <w:tc>
          <w:tcPr>
            <w:tcW w:w="20" w:type="dxa"/>
            <w:vAlign w:val="bottom"/>
          </w:tcPr>
          <w:p>
            <w:pPr>
              <w:spacing w:after="0"/>
              <w:rPr>
                <w:sz w:val="2"/>
                <w:szCs w:val="2"/>
                <w:color w:val="auto"/>
              </w:rPr>
            </w:pPr>
          </w:p>
        </w:tc>
        <w:tc>
          <w:tcPr>
            <w:tcW w:w="278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4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70"/>
        </w:trPr>
        <w:tc>
          <w:tcPr>
            <w:tcW w:w="20" w:type="dxa"/>
            <w:vAlign w:val="bottom"/>
            <w:tcBorders>
              <w:bottom w:val="single" w:sz="8" w:color="CCEEFF"/>
            </w:tcBorders>
            <w:shd w:val="clear" w:color="auto" w:fill="CCEEFF"/>
          </w:tcPr>
          <w:p>
            <w:pPr>
              <w:spacing w:after="0"/>
              <w:rPr>
                <w:sz w:val="23"/>
                <w:szCs w:val="23"/>
                <w:color w:val="auto"/>
              </w:rPr>
            </w:pPr>
          </w:p>
        </w:tc>
        <w:tc>
          <w:tcPr>
            <w:tcW w:w="6980" w:type="dxa"/>
            <w:vAlign w:val="bottom"/>
            <w:tcBorders>
              <w:bottom w:val="single" w:sz="8" w:color="CCEEFF"/>
            </w:tcBorders>
            <w:gridSpan w:val="4"/>
            <w:shd w:val="clear" w:color="auto" w:fill="CCEEFF"/>
          </w:tcPr>
          <w:p>
            <w:pPr>
              <w:spacing w:after="0"/>
              <w:rPr>
                <w:sz w:val="20"/>
                <w:szCs w:val="20"/>
                <w:color w:val="auto"/>
              </w:rPr>
            </w:pPr>
            <w:r>
              <w:rPr>
                <w:rFonts w:ascii="Arial" w:cs="Arial" w:eastAsia="Arial" w:hAnsi="Arial"/>
                <w:sz w:val="18"/>
                <w:szCs w:val="18"/>
                <w:color w:val="auto"/>
              </w:rPr>
              <w:t>Other financing activities, net</w:t>
            </w: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(440)</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(655)</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(81)</w:t>
            </w:r>
          </w:p>
        </w:tc>
      </w:tr>
      <w:tr>
        <w:trPr>
          <w:trHeight w:val="237"/>
        </w:trPr>
        <w:tc>
          <w:tcPr>
            <w:tcW w:w="20" w:type="dxa"/>
            <w:vAlign w:val="bottom"/>
          </w:tcPr>
          <w:p>
            <w:pPr>
              <w:spacing w:after="0"/>
              <w:rPr>
                <w:sz w:val="20"/>
                <w:szCs w:val="20"/>
                <w:color w:val="auto"/>
              </w:rPr>
            </w:pPr>
          </w:p>
        </w:tc>
        <w:tc>
          <w:tcPr>
            <w:tcW w:w="6980" w:type="dxa"/>
            <w:vAlign w:val="bottom"/>
            <w:gridSpan w:val="4"/>
          </w:tcPr>
          <w:p>
            <w:pPr>
              <w:ind w:left="680"/>
              <w:spacing w:after="0"/>
              <w:rPr>
                <w:sz w:val="20"/>
                <w:szCs w:val="20"/>
                <w:color w:val="auto"/>
              </w:rPr>
            </w:pPr>
            <w:r>
              <w:rPr>
                <w:rFonts w:ascii="Arial" w:cs="Arial" w:eastAsia="Arial" w:hAnsi="Arial"/>
                <w:sz w:val="18"/>
                <w:szCs w:val="18"/>
                <w:color w:val="auto"/>
              </w:rPr>
              <w:t>Net cash provided by (used in) financing activities</w:t>
            </w: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467,910</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(2,377)</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(23,358)</w:t>
            </w:r>
          </w:p>
        </w:tc>
      </w:tr>
      <w:tr>
        <w:trPr>
          <w:trHeight w:val="27"/>
        </w:trPr>
        <w:tc>
          <w:tcPr>
            <w:tcW w:w="20" w:type="dxa"/>
            <w:vAlign w:val="bottom"/>
            <w:tcBorders>
              <w:bottom w:val="single" w:sz="8" w:color="CCEEFF"/>
            </w:tcBorders>
          </w:tcPr>
          <w:p>
            <w:pPr>
              <w:spacing w:after="0"/>
              <w:rPr>
                <w:sz w:val="2"/>
                <w:szCs w:val="2"/>
                <w:color w:val="auto"/>
              </w:rPr>
            </w:pPr>
          </w:p>
        </w:tc>
        <w:tc>
          <w:tcPr>
            <w:tcW w:w="2780" w:type="dxa"/>
            <w:vAlign w:val="bottom"/>
            <w:tcBorders>
              <w:bottom w:val="single" w:sz="8" w:color="CCEEFF"/>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416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264"/>
        </w:trPr>
        <w:tc>
          <w:tcPr>
            <w:tcW w:w="20" w:type="dxa"/>
            <w:vAlign w:val="bottom"/>
            <w:tcBorders>
              <w:bottom w:val="single" w:sz="8" w:color="CCEEFF"/>
            </w:tcBorders>
            <w:shd w:val="clear" w:color="auto" w:fill="CCEEFF"/>
          </w:tcPr>
          <w:p>
            <w:pPr>
              <w:spacing w:after="0"/>
              <w:rPr>
                <w:sz w:val="22"/>
                <w:szCs w:val="22"/>
                <w:color w:val="auto"/>
              </w:rPr>
            </w:pPr>
          </w:p>
        </w:tc>
        <w:tc>
          <w:tcPr>
            <w:tcW w:w="6980" w:type="dxa"/>
            <w:vAlign w:val="bottom"/>
            <w:tcBorders>
              <w:bottom w:val="single" w:sz="8" w:color="CCEEFF"/>
            </w:tcBorders>
            <w:gridSpan w:val="4"/>
            <w:shd w:val="clear" w:color="auto" w:fill="CCEEFF"/>
          </w:tcPr>
          <w:p>
            <w:pPr>
              <w:spacing w:after="0"/>
              <w:rPr>
                <w:sz w:val="20"/>
                <w:szCs w:val="20"/>
                <w:color w:val="auto"/>
              </w:rPr>
            </w:pPr>
            <w:r>
              <w:rPr>
                <w:rFonts w:ascii="Arial" w:cs="Arial" w:eastAsia="Arial" w:hAnsi="Arial"/>
                <w:sz w:val="18"/>
                <w:szCs w:val="18"/>
                <w:color w:val="auto"/>
              </w:rPr>
              <w:t>Effect of foreign currency exchange rates on cash and cash equivalents</w:t>
            </w: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(1,176)</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(1,618)</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68</w:t>
            </w:r>
          </w:p>
        </w:tc>
      </w:tr>
      <w:tr>
        <w:trPr>
          <w:trHeight w:val="237"/>
        </w:trPr>
        <w:tc>
          <w:tcPr>
            <w:tcW w:w="20" w:type="dxa"/>
            <w:vAlign w:val="bottom"/>
          </w:tcPr>
          <w:p>
            <w:pPr>
              <w:spacing w:after="0"/>
              <w:rPr>
                <w:sz w:val="20"/>
                <w:szCs w:val="20"/>
                <w:color w:val="auto"/>
              </w:rPr>
            </w:pPr>
          </w:p>
        </w:tc>
        <w:tc>
          <w:tcPr>
            <w:tcW w:w="6980" w:type="dxa"/>
            <w:vAlign w:val="bottom"/>
            <w:gridSpan w:val="4"/>
          </w:tcPr>
          <w:p>
            <w:pPr>
              <w:spacing w:after="0"/>
              <w:rPr>
                <w:sz w:val="20"/>
                <w:szCs w:val="20"/>
                <w:color w:val="auto"/>
              </w:rPr>
            </w:pPr>
            <w:r>
              <w:rPr>
                <w:rFonts w:ascii="Arial" w:cs="Arial" w:eastAsia="Arial" w:hAnsi="Arial"/>
                <w:sz w:val="18"/>
                <w:szCs w:val="18"/>
                <w:color w:val="auto"/>
              </w:rPr>
              <w:t>Net increase in cash and cash equivalents</w:t>
            </w: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5,654</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41,359</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15,181</w:t>
            </w:r>
          </w:p>
        </w:tc>
      </w:tr>
      <w:tr>
        <w:trPr>
          <w:trHeight w:val="27"/>
        </w:trPr>
        <w:tc>
          <w:tcPr>
            <w:tcW w:w="20" w:type="dxa"/>
            <w:vAlign w:val="bottom"/>
          </w:tcPr>
          <w:p>
            <w:pPr>
              <w:spacing w:after="0"/>
              <w:rPr>
                <w:sz w:val="2"/>
                <w:szCs w:val="2"/>
                <w:color w:val="auto"/>
              </w:rPr>
            </w:pPr>
          </w:p>
        </w:tc>
        <w:tc>
          <w:tcPr>
            <w:tcW w:w="278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4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70"/>
        </w:trPr>
        <w:tc>
          <w:tcPr>
            <w:tcW w:w="20" w:type="dxa"/>
            <w:vAlign w:val="bottom"/>
            <w:tcBorders>
              <w:bottom w:val="single" w:sz="8" w:color="CCEEFF"/>
            </w:tcBorders>
            <w:shd w:val="clear" w:color="auto" w:fill="CCEEFF"/>
          </w:tcPr>
          <w:p>
            <w:pPr>
              <w:spacing w:after="0"/>
              <w:rPr>
                <w:sz w:val="23"/>
                <w:szCs w:val="23"/>
                <w:color w:val="auto"/>
              </w:rPr>
            </w:pPr>
          </w:p>
        </w:tc>
        <w:tc>
          <w:tcPr>
            <w:tcW w:w="6980" w:type="dxa"/>
            <w:vAlign w:val="bottom"/>
            <w:tcBorders>
              <w:bottom w:val="single" w:sz="8" w:color="CCEEFF"/>
            </w:tcBorders>
            <w:gridSpan w:val="4"/>
            <w:shd w:val="clear" w:color="auto" w:fill="CCEEFF"/>
          </w:tcPr>
          <w:p>
            <w:pPr>
              <w:spacing w:after="0"/>
              <w:rPr>
                <w:sz w:val="20"/>
                <w:szCs w:val="20"/>
                <w:color w:val="auto"/>
              </w:rPr>
            </w:pPr>
            <w:r>
              <w:rPr>
                <w:rFonts w:ascii="Arial" w:cs="Arial" w:eastAsia="Arial" w:hAnsi="Arial"/>
                <w:sz w:val="18"/>
                <w:szCs w:val="18"/>
                <w:color w:val="auto"/>
              </w:rPr>
              <w:t>Cash and cash equivalents, beginning of year</w:t>
            </w: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76,824</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35,465</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20,284</w:t>
            </w:r>
          </w:p>
        </w:tc>
      </w:tr>
      <w:tr>
        <w:trPr>
          <w:trHeight w:val="257"/>
        </w:trPr>
        <w:tc>
          <w:tcPr>
            <w:tcW w:w="20" w:type="dxa"/>
            <w:vAlign w:val="bottom"/>
          </w:tcPr>
          <w:p>
            <w:pPr>
              <w:spacing w:after="0"/>
              <w:rPr>
                <w:sz w:val="22"/>
                <w:szCs w:val="22"/>
                <w:color w:val="auto"/>
              </w:rPr>
            </w:pPr>
          </w:p>
        </w:tc>
        <w:tc>
          <w:tcPr>
            <w:tcW w:w="6980" w:type="dxa"/>
            <w:vAlign w:val="bottom"/>
            <w:gridSpan w:val="4"/>
          </w:tcPr>
          <w:p>
            <w:pPr>
              <w:spacing w:after="0"/>
              <w:rPr>
                <w:sz w:val="20"/>
                <w:szCs w:val="20"/>
                <w:color w:val="auto"/>
              </w:rPr>
            </w:pPr>
            <w:r>
              <w:rPr>
                <w:rFonts w:ascii="Arial" w:cs="Arial" w:eastAsia="Arial" w:hAnsi="Arial"/>
                <w:sz w:val="18"/>
                <w:szCs w:val="18"/>
                <w:color w:val="auto"/>
              </w:rPr>
              <w:t>Cash and cash equivalents, end of year</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8"/>
                <w:szCs w:val="18"/>
                <w:color w:val="auto"/>
              </w:rPr>
              <w:t>82,478</w:t>
            </w:r>
          </w:p>
        </w:tc>
        <w:tc>
          <w:tcPr>
            <w:tcW w:w="100" w:type="dxa"/>
            <w:vAlign w:val="bottom"/>
          </w:tcPr>
          <w:p>
            <w:pPr>
              <w:spacing w:after="0"/>
              <w:rPr>
                <w:sz w:val="22"/>
                <w:szCs w:val="22"/>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8"/>
                <w:szCs w:val="18"/>
                <w:color w:val="auto"/>
              </w:rPr>
              <w:t>76,824</w:t>
            </w:r>
          </w:p>
        </w:tc>
        <w:tc>
          <w:tcPr>
            <w:tcW w:w="100" w:type="dxa"/>
            <w:vAlign w:val="bottom"/>
          </w:tcPr>
          <w:p>
            <w:pPr>
              <w:spacing w:after="0"/>
              <w:rPr>
                <w:sz w:val="22"/>
                <w:szCs w:val="22"/>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8"/>
                <w:szCs w:val="18"/>
                <w:color w:val="auto"/>
              </w:rPr>
              <w:t>35,465</w:t>
            </w:r>
          </w:p>
        </w:tc>
      </w:tr>
      <w:tr>
        <w:trPr>
          <w:trHeight w:val="20"/>
        </w:trPr>
        <w:tc>
          <w:tcPr>
            <w:tcW w:w="20" w:type="dxa"/>
            <w:vAlign w:val="bottom"/>
          </w:tcPr>
          <w:p>
            <w:pPr>
              <w:spacing w:after="0" w:line="20" w:lineRule="exact"/>
              <w:rPr>
                <w:sz w:val="1"/>
                <w:szCs w:val="1"/>
                <w:color w:val="auto"/>
              </w:rPr>
            </w:pPr>
          </w:p>
        </w:tc>
        <w:tc>
          <w:tcPr>
            <w:tcW w:w="27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p>
      <w:pPr>
        <w:spacing w:after="0" w:line="200" w:lineRule="exact"/>
        <w:rPr>
          <w:sz w:val="20"/>
          <w:szCs w:val="20"/>
          <w:color w:val="auto"/>
        </w:rPr>
      </w:pPr>
    </w:p>
    <w:p>
      <w:pPr>
        <w:spacing w:after="0" w:line="268"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- 68 -</w:t>
      </w:r>
    </w:p>
    <w:p>
      <w:pPr>
        <w:sectPr>
          <w:pgSz w:w="11900" w:h="16838" w:orient="portrait"/>
          <w:cols w:equalWidth="0" w:num="1">
            <w:col w:w="11280"/>
          </w:cols>
          <w:pgMar w:left="320" w:top="797" w:right="299" w:bottom="1440" w:gutter="0" w:footer="0" w:header="0"/>
        </w:sectPr>
      </w:pPr>
    </w:p>
    <w:bookmarkStart w:id="69" w:name="page70"/>
    <w:bookmarkEnd w:id="69"/>
    <w:p>
      <w:pPr>
        <w:jc w:val="center"/>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STOCKHOLDERS’ EQUITY</w:t>
      </w:r>
    </w:p>
    <w:p>
      <w:pPr>
        <w:spacing w:after="0" w:line="346"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23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920" w:type="dxa"/>
            <w:vAlign w:val="bottom"/>
            <w:gridSpan w:val="5"/>
            <w:vMerge w:val="restart"/>
          </w:tcPr>
          <w:p>
            <w:pPr>
              <w:jc w:val="center"/>
              <w:ind w:right="60"/>
              <w:spacing w:after="0"/>
              <w:rPr>
                <w:sz w:val="20"/>
                <w:szCs w:val="20"/>
                <w:color w:val="auto"/>
              </w:rPr>
            </w:pPr>
            <w:r>
              <w:rPr>
                <w:rFonts w:ascii="Arial" w:cs="Arial" w:eastAsia="Arial" w:hAnsi="Arial"/>
                <w:sz w:val="16"/>
                <w:szCs w:val="16"/>
                <w:b w:val="1"/>
                <w:bCs w:val="1"/>
                <w:color w:val="auto"/>
                <w:w w:val="91"/>
              </w:rPr>
              <w:t>Treasury</w:t>
            </w:r>
          </w:p>
        </w:tc>
        <w:tc>
          <w:tcPr>
            <w:tcW w:w="1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0" w:type="dxa"/>
            <w:vAlign w:val="bottom"/>
            <w:gridSpan w:val="2"/>
          </w:tcPr>
          <w:p>
            <w:pPr>
              <w:jc w:val="center"/>
              <w:ind w:right="240"/>
              <w:spacing w:after="0"/>
              <w:rPr>
                <w:sz w:val="20"/>
                <w:szCs w:val="20"/>
                <w:color w:val="auto"/>
              </w:rPr>
            </w:pPr>
            <w:r>
              <w:rPr>
                <w:rFonts w:ascii="Arial" w:cs="Arial" w:eastAsia="Arial" w:hAnsi="Arial"/>
                <w:sz w:val="16"/>
                <w:szCs w:val="16"/>
                <w:b w:val="1"/>
                <w:bCs w:val="1"/>
                <w:color w:val="auto"/>
                <w:w w:val="91"/>
              </w:rPr>
              <w:t>Accumulated</w:t>
            </w:r>
          </w:p>
        </w:tc>
        <w:tc>
          <w:tcPr>
            <w:tcW w:w="1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68"/>
        </w:trPr>
        <w:tc>
          <w:tcPr>
            <w:tcW w:w="2300" w:type="dxa"/>
            <w:vAlign w:val="bottom"/>
          </w:tcPr>
          <w:p>
            <w:pPr>
              <w:spacing w:after="0"/>
              <w:rPr>
                <w:sz w:val="5"/>
                <w:szCs w:val="5"/>
                <w:color w:val="auto"/>
              </w:rPr>
            </w:pPr>
          </w:p>
        </w:tc>
        <w:tc>
          <w:tcPr>
            <w:tcW w:w="9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40" w:type="dxa"/>
            <w:vAlign w:val="bottom"/>
          </w:tcPr>
          <w:p>
            <w:pPr>
              <w:spacing w:after="0"/>
              <w:rPr>
                <w:sz w:val="5"/>
                <w:szCs w:val="5"/>
                <w:color w:val="auto"/>
              </w:rPr>
            </w:pPr>
          </w:p>
        </w:tc>
        <w:tc>
          <w:tcPr>
            <w:tcW w:w="78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40" w:type="dxa"/>
            <w:vAlign w:val="bottom"/>
            <w:gridSpan w:val="2"/>
            <w:vMerge w:val="restart"/>
          </w:tcPr>
          <w:p>
            <w:pPr>
              <w:jc w:val="center"/>
              <w:ind w:right="260"/>
              <w:spacing w:after="0"/>
              <w:rPr>
                <w:sz w:val="20"/>
                <w:szCs w:val="20"/>
                <w:color w:val="auto"/>
              </w:rPr>
            </w:pPr>
            <w:r>
              <w:rPr>
                <w:rFonts w:ascii="Arial" w:cs="Arial" w:eastAsia="Arial" w:hAnsi="Arial"/>
                <w:sz w:val="16"/>
                <w:szCs w:val="16"/>
                <w:b w:val="1"/>
                <w:bCs w:val="1"/>
                <w:color w:val="auto"/>
                <w:w w:val="94"/>
              </w:rPr>
              <w:t>Additional</w:t>
            </w:r>
          </w:p>
        </w:tc>
        <w:tc>
          <w:tcPr>
            <w:tcW w:w="1920" w:type="dxa"/>
            <w:vAlign w:val="bottom"/>
            <w:gridSpan w:val="5"/>
            <w:vMerge w:val="continue"/>
          </w:tcPr>
          <w:p>
            <w:pPr>
              <w:spacing w:after="0"/>
              <w:rPr>
                <w:sz w:val="5"/>
                <w:szCs w:val="5"/>
                <w:color w:val="auto"/>
              </w:rPr>
            </w:pPr>
          </w:p>
        </w:tc>
        <w:tc>
          <w:tcPr>
            <w:tcW w:w="120" w:type="dxa"/>
            <w:vAlign w:val="bottom"/>
          </w:tcPr>
          <w:p>
            <w:pPr>
              <w:spacing w:after="0"/>
              <w:rPr>
                <w:sz w:val="5"/>
                <w:szCs w:val="5"/>
                <w:color w:val="auto"/>
              </w:rPr>
            </w:pPr>
          </w:p>
        </w:tc>
        <w:tc>
          <w:tcPr>
            <w:tcW w:w="780" w:type="dxa"/>
            <w:vAlign w:val="bottom"/>
          </w:tcPr>
          <w:p>
            <w:pPr>
              <w:spacing w:after="0"/>
              <w:rPr>
                <w:sz w:val="5"/>
                <w:szCs w:val="5"/>
                <w:color w:val="auto"/>
              </w:rPr>
            </w:pPr>
          </w:p>
        </w:tc>
        <w:tc>
          <w:tcPr>
            <w:tcW w:w="100" w:type="dxa"/>
            <w:vAlign w:val="bottom"/>
          </w:tcPr>
          <w:p>
            <w:pPr>
              <w:spacing w:after="0"/>
              <w:rPr>
                <w:sz w:val="5"/>
                <w:szCs w:val="5"/>
                <w:color w:val="auto"/>
              </w:rPr>
            </w:pPr>
          </w:p>
        </w:tc>
        <w:tc>
          <w:tcPr>
            <w:tcW w:w="160" w:type="dxa"/>
            <w:vAlign w:val="bottom"/>
          </w:tcPr>
          <w:p>
            <w:pPr>
              <w:spacing w:after="0"/>
              <w:rPr>
                <w:sz w:val="5"/>
                <w:szCs w:val="5"/>
                <w:color w:val="auto"/>
              </w:rPr>
            </w:pPr>
          </w:p>
        </w:tc>
        <w:tc>
          <w:tcPr>
            <w:tcW w:w="1400" w:type="dxa"/>
            <w:vAlign w:val="bottom"/>
            <w:gridSpan w:val="2"/>
            <w:vMerge w:val="restart"/>
          </w:tcPr>
          <w:p>
            <w:pPr>
              <w:jc w:val="center"/>
              <w:ind w:right="260"/>
              <w:spacing w:after="0"/>
              <w:rPr>
                <w:sz w:val="20"/>
                <w:szCs w:val="20"/>
                <w:color w:val="auto"/>
              </w:rPr>
            </w:pPr>
            <w:r>
              <w:rPr>
                <w:rFonts w:ascii="Arial" w:cs="Arial" w:eastAsia="Arial" w:hAnsi="Arial"/>
                <w:sz w:val="16"/>
                <w:szCs w:val="16"/>
                <w:b w:val="1"/>
                <w:bCs w:val="1"/>
                <w:color w:val="auto"/>
                <w:w w:val="98"/>
              </w:rPr>
              <w:t>Other</w:t>
            </w:r>
          </w:p>
        </w:tc>
        <w:tc>
          <w:tcPr>
            <w:tcW w:w="160" w:type="dxa"/>
            <w:vAlign w:val="bottom"/>
          </w:tcPr>
          <w:p>
            <w:pPr>
              <w:spacing w:after="0"/>
              <w:rPr>
                <w:sz w:val="5"/>
                <w:szCs w:val="5"/>
                <w:color w:val="auto"/>
              </w:rPr>
            </w:pPr>
          </w:p>
        </w:tc>
        <w:tc>
          <w:tcPr>
            <w:tcW w:w="1200" w:type="dxa"/>
            <w:vAlign w:val="bottom"/>
            <w:vMerge w:val="restart"/>
          </w:tcPr>
          <w:p>
            <w:pPr>
              <w:jc w:val="center"/>
              <w:ind w:right="79"/>
              <w:spacing w:after="0"/>
              <w:rPr>
                <w:sz w:val="20"/>
                <w:szCs w:val="20"/>
                <w:color w:val="auto"/>
              </w:rPr>
            </w:pPr>
            <w:r>
              <w:rPr>
                <w:rFonts w:ascii="Arial" w:cs="Arial" w:eastAsia="Arial" w:hAnsi="Arial"/>
                <w:sz w:val="16"/>
                <w:szCs w:val="16"/>
                <w:b w:val="1"/>
                <w:bCs w:val="1"/>
                <w:color w:val="auto"/>
                <w:w w:val="94"/>
              </w:rPr>
              <w:t>Total</w:t>
            </w:r>
          </w:p>
        </w:tc>
        <w:tc>
          <w:tcPr>
            <w:tcW w:w="0" w:type="dxa"/>
            <w:vAlign w:val="bottom"/>
          </w:tcPr>
          <w:p>
            <w:pPr>
              <w:spacing w:after="0"/>
              <w:rPr>
                <w:sz w:val="1"/>
                <w:szCs w:val="1"/>
                <w:color w:val="auto"/>
              </w:rPr>
            </w:pPr>
          </w:p>
        </w:tc>
      </w:tr>
      <w:tr>
        <w:trPr>
          <w:trHeight w:val="135"/>
        </w:trPr>
        <w:tc>
          <w:tcPr>
            <w:tcW w:w="2300" w:type="dxa"/>
            <w:vAlign w:val="bottom"/>
          </w:tcPr>
          <w:p>
            <w:pPr>
              <w:spacing w:after="0"/>
              <w:rPr>
                <w:sz w:val="11"/>
                <w:szCs w:val="11"/>
                <w:color w:val="auto"/>
              </w:rPr>
            </w:pPr>
          </w:p>
        </w:tc>
        <w:tc>
          <w:tcPr>
            <w:tcW w:w="2120" w:type="dxa"/>
            <w:vAlign w:val="bottom"/>
            <w:gridSpan w:val="5"/>
            <w:vMerge w:val="restart"/>
          </w:tcPr>
          <w:p>
            <w:pPr>
              <w:ind w:left="480"/>
              <w:spacing w:after="0"/>
              <w:rPr>
                <w:sz w:val="20"/>
                <w:szCs w:val="20"/>
                <w:color w:val="auto"/>
              </w:rPr>
            </w:pPr>
            <w:r>
              <w:rPr>
                <w:rFonts w:ascii="Arial" w:cs="Arial" w:eastAsia="Arial" w:hAnsi="Arial"/>
                <w:sz w:val="16"/>
                <w:szCs w:val="16"/>
                <w:b w:val="1"/>
                <w:bCs w:val="1"/>
                <w:color w:val="auto"/>
              </w:rPr>
              <w:t>Common Stock</w:t>
            </w:r>
          </w:p>
        </w:tc>
        <w:tc>
          <w:tcPr>
            <w:tcW w:w="120" w:type="dxa"/>
            <w:vAlign w:val="bottom"/>
          </w:tcPr>
          <w:p>
            <w:pPr>
              <w:spacing w:after="0"/>
              <w:rPr>
                <w:sz w:val="11"/>
                <w:szCs w:val="11"/>
                <w:color w:val="auto"/>
              </w:rPr>
            </w:pPr>
          </w:p>
        </w:tc>
        <w:tc>
          <w:tcPr>
            <w:tcW w:w="1040" w:type="dxa"/>
            <w:vAlign w:val="bottom"/>
            <w:gridSpan w:val="2"/>
            <w:vMerge w:val="continue"/>
          </w:tcPr>
          <w:p>
            <w:pPr>
              <w:spacing w:after="0"/>
              <w:rPr>
                <w:sz w:val="11"/>
                <w:szCs w:val="11"/>
                <w:color w:val="auto"/>
              </w:rPr>
            </w:pPr>
          </w:p>
        </w:tc>
        <w:tc>
          <w:tcPr>
            <w:tcW w:w="1920" w:type="dxa"/>
            <w:vAlign w:val="bottom"/>
            <w:gridSpan w:val="5"/>
            <w:vMerge w:val="restart"/>
          </w:tcPr>
          <w:p>
            <w:pPr>
              <w:jc w:val="center"/>
              <w:ind w:right="60"/>
              <w:spacing w:after="0"/>
              <w:rPr>
                <w:sz w:val="20"/>
                <w:szCs w:val="20"/>
                <w:color w:val="auto"/>
              </w:rPr>
            </w:pPr>
            <w:r>
              <w:rPr>
                <w:rFonts w:ascii="Arial" w:cs="Arial" w:eastAsia="Arial" w:hAnsi="Arial"/>
                <w:sz w:val="16"/>
                <w:szCs w:val="16"/>
                <w:b w:val="1"/>
                <w:bCs w:val="1"/>
                <w:color w:val="auto"/>
                <w:w w:val="87"/>
              </w:rPr>
              <w:t>Stock</w:t>
            </w: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0" w:type="dxa"/>
            <w:vAlign w:val="bottom"/>
            <w:gridSpan w:val="2"/>
            <w:vMerge w:val="continue"/>
          </w:tcPr>
          <w:p>
            <w:pPr>
              <w:spacing w:after="0"/>
              <w:rPr>
                <w:sz w:val="11"/>
                <w:szCs w:val="11"/>
                <w:color w:val="auto"/>
              </w:rPr>
            </w:pPr>
          </w:p>
        </w:tc>
        <w:tc>
          <w:tcPr>
            <w:tcW w:w="160" w:type="dxa"/>
            <w:vAlign w:val="bottom"/>
          </w:tcPr>
          <w:p>
            <w:pPr>
              <w:spacing w:after="0"/>
              <w:rPr>
                <w:sz w:val="11"/>
                <w:szCs w:val="11"/>
                <w:color w:val="auto"/>
              </w:rPr>
            </w:pPr>
          </w:p>
        </w:tc>
        <w:tc>
          <w:tcPr>
            <w:tcW w:w="120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2300" w:type="dxa"/>
            <w:vAlign w:val="bottom"/>
          </w:tcPr>
          <w:p>
            <w:pPr>
              <w:spacing w:after="0"/>
              <w:rPr>
                <w:sz w:val="6"/>
                <w:szCs w:val="6"/>
                <w:color w:val="auto"/>
              </w:rPr>
            </w:pPr>
          </w:p>
        </w:tc>
        <w:tc>
          <w:tcPr>
            <w:tcW w:w="2120" w:type="dxa"/>
            <w:vAlign w:val="bottom"/>
            <w:gridSpan w:val="5"/>
            <w:vMerge w:val="continue"/>
          </w:tcPr>
          <w:p>
            <w:pPr>
              <w:spacing w:after="0"/>
              <w:rPr>
                <w:sz w:val="6"/>
                <w:szCs w:val="6"/>
                <w:color w:val="auto"/>
              </w:rPr>
            </w:pPr>
          </w:p>
        </w:tc>
        <w:tc>
          <w:tcPr>
            <w:tcW w:w="120" w:type="dxa"/>
            <w:vAlign w:val="bottom"/>
          </w:tcPr>
          <w:p>
            <w:pPr>
              <w:spacing w:after="0"/>
              <w:rPr>
                <w:sz w:val="6"/>
                <w:szCs w:val="6"/>
                <w:color w:val="auto"/>
              </w:rPr>
            </w:pPr>
          </w:p>
        </w:tc>
        <w:tc>
          <w:tcPr>
            <w:tcW w:w="1040" w:type="dxa"/>
            <w:vAlign w:val="bottom"/>
            <w:gridSpan w:val="2"/>
            <w:vMerge w:val="restart"/>
          </w:tcPr>
          <w:p>
            <w:pPr>
              <w:jc w:val="center"/>
              <w:ind w:right="240"/>
              <w:spacing w:after="0"/>
              <w:rPr>
                <w:sz w:val="20"/>
                <w:szCs w:val="20"/>
                <w:color w:val="auto"/>
              </w:rPr>
            </w:pPr>
            <w:r>
              <w:rPr>
                <w:rFonts w:ascii="Arial" w:cs="Arial" w:eastAsia="Arial" w:hAnsi="Arial"/>
                <w:sz w:val="16"/>
                <w:szCs w:val="16"/>
                <w:b w:val="1"/>
                <w:bCs w:val="1"/>
                <w:color w:val="auto"/>
                <w:w w:val="97"/>
              </w:rPr>
              <w:t>Paid-In</w:t>
            </w:r>
          </w:p>
        </w:tc>
        <w:tc>
          <w:tcPr>
            <w:tcW w:w="1920" w:type="dxa"/>
            <w:vAlign w:val="bottom"/>
            <w:gridSpan w:val="5"/>
            <w:vMerge w:val="continue"/>
          </w:tcPr>
          <w:p>
            <w:pPr>
              <w:spacing w:after="0"/>
              <w:rPr>
                <w:sz w:val="6"/>
                <w:szCs w:val="6"/>
                <w:color w:val="auto"/>
              </w:rPr>
            </w:pPr>
          </w:p>
        </w:tc>
        <w:tc>
          <w:tcPr>
            <w:tcW w:w="120" w:type="dxa"/>
            <w:vAlign w:val="bottom"/>
          </w:tcPr>
          <w:p>
            <w:pPr>
              <w:spacing w:after="0"/>
              <w:rPr>
                <w:sz w:val="6"/>
                <w:szCs w:val="6"/>
                <w:color w:val="auto"/>
              </w:rPr>
            </w:pPr>
          </w:p>
        </w:tc>
        <w:tc>
          <w:tcPr>
            <w:tcW w:w="880" w:type="dxa"/>
            <w:vAlign w:val="bottom"/>
            <w:gridSpan w:val="2"/>
            <w:vMerge w:val="restart"/>
          </w:tcPr>
          <w:p>
            <w:pPr>
              <w:ind w:left="20"/>
              <w:spacing w:after="0"/>
              <w:rPr>
                <w:sz w:val="20"/>
                <w:szCs w:val="20"/>
                <w:color w:val="auto"/>
              </w:rPr>
            </w:pPr>
            <w:r>
              <w:rPr>
                <w:rFonts w:ascii="Arial" w:cs="Arial" w:eastAsia="Arial" w:hAnsi="Arial"/>
                <w:sz w:val="16"/>
                <w:szCs w:val="16"/>
                <w:b w:val="1"/>
                <w:bCs w:val="1"/>
                <w:color w:val="auto"/>
              </w:rPr>
              <w:t>Retained</w:t>
            </w:r>
          </w:p>
        </w:tc>
        <w:tc>
          <w:tcPr>
            <w:tcW w:w="160" w:type="dxa"/>
            <w:vAlign w:val="bottom"/>
          </w:tcPr>
          <w:p>
            <w:pPr>
              <w:spacing w:after="0"/>
              <w:rPr>
                <w:sz w:val="6"/>
                <w:szCs w:val="6"/>
                <w:color w:val="auto"/>
              </w:rPr>
            </w:pPr>
          </w:p>
        </w:tc>
        <w:tc>
          <w:tcPr>
            <w:tcW w:w="1400" w:type="dxa"/>
            <w:vAlign w:val="bottom"/>
            <w:gridSpan w:val="2"/>
            <w:vMerge w:val="restart"/>
          </w:tcPr>
          <w:p>
            <w:pPr>
              <w:jc w:val="center"/>
              <w:ind w:right="240"/>
              <w:spacing w:after="0"/>
              <w:rPr>
                <w:sz w:val="20"/>
                <w:szCs w:val="20"/>
                <w:color w:val="auto"/>
              </w:rPr>
            </w:pPr>
            <w:r>
              <w:rPr>
                <w:rFonts w:ascii="Arial" w:cs="Arial" w:eastAsia="Arial" w:hAnsi="Arial"/>
                <w:sz w:val="16"/>
                <w:szCs w:val="16"/>
                <w:b w:val="1"/>
                <w:bCs w:val="1"/>
                <w:color w:val="auto"/>
                <w:w w:val="89"/>
              </w:rPr>
              <w:t>Comprehensive</w:t>
            </w:r>
          </w:p>
        </w:tc>
        <w:tc>
          <w:tcPr>
            <w:tcW w:w="160" w:type="dxa"/>
            <w:vAlign w:val="bottom"/>
          </w:tcPr>
          <w:p>
            <w:pPr>
              <w:spacing w:after="0"/>
              <w:rPr>
                <w:sz w:val="6"/>
                <w:szCs w:val="6"/>
                <w:color w:val="auto"/>
              </w:rPr>
            </w:pPr>
          </w:p>
        </w:tc>
        <w:tc>
          <w:tcPr>
            <w:tcW w:w="1200" w:type="dxa"/>
            <w:vAlign w:val="bottom"/>
            <w:vMerge w:val="restart"/>
          </w:tcPr>
          <w:p>
            <w:pPr>
              <w:jc w:val="center"/>
              <w:ind w:right="79"/>
              <w:spacing w:after="0"/>
              <w:rPr>
                <w:sz w:val="20"/>
                <w:szCs w:val="20"/>
                <w:color w:val="auto"/>
              </w:rPr>
            </w:pPr>
            <w:r>
              <w:rPr>
                <w:rFonts w:ascii="Arial" w:cs="Arial" w:eastAsia="Arial" w:hAnsi="Arial"/>
                <w:sz w:val="16"/>
                <w:szCs w:val="16"/>
                <w:b w:val="1"/>
                <w:bCs w:val="1"/>
                <w:color w:val="auto"/>
                <w:w w:val="90"/>
              </w:rPr>
              <w:t>Stockholders’</w:t>
            </w:r>
          </w:p>
        </w:tc>
        <w:tc>
          <w:tcPr>
            <w:tcW w:w="0" w:type="dxa"/>
            <w:vAlign w:val="bottom"/>
          </w:tcPr>
          <w:p>
            <w:pPr>
              <w:spacing w:after="0"/>
              <w:rPr>
                <w:sz w:val="1"/>
                <w:szCs w:val="1"/>
                <w:color w:val="auto"/>
              </w:rPr>
            </w:pPr>
          </w:p>
        </w:tc>
      </w:tr>
      <w:tr>
        <w:trPr>
          <w:trHeight w:val="33"/>
        </w:trPr>
        <w:tc>
          <w:tcPr>
            <w:tcW w:w="2300" w:type="dxa"/>
            <w:vAlign w:val="bottom"/>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40" w:type="dxa"/>
            <w:vAlign w:val="bottom"/>
            <w:gridSpan w:val="2"/>
            <w:vMerge w:val="continue"/>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880" w:type="dxa"/>
            <w:vAlign w:val="bottom"/>
            <w:gridSpan w:val="2"/>
            <w:vMerge w:val="continue"/>
          </w:tcPr>
          <w:p>
            <w:pPr>
              <w:spacing w:after="0"/>
              <w:rPr>
                <w:sz w:val="2"/>
                <w:szCs w:val="2"/>
                <w:color w:val="auto"/>
              </w:rPr>
            </w:pPr>
          </w:p>
        </w:tc>
        <w:tc>
          <w:tcPr>
            <w:tcW w:w="160" w:type="dxa"/>
            <w:vAlign w:val="bottom"/>
          </w:tcPr>
          <w:p>
            <w:pPr>
              <w:spacing w:after="0"/>
              <w:rPr>
                <w:sz w:val="2"/>
                <w:szCs w:val="2"/>
                <w:color w:val="auto"/>
              </w:rPr>
            </w:pPr>
          </w:p>
        </w:tc>
        <w:tc>
          <w:tcPr>
            <w:tcW w:w="1400" w:type="dxa"/>
            <w:vAlign w:val="bottom"/>
            <w:gridSpan w:val="2"/>
            <w:vMerge w:val="continue"/>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vMerge w:val="continue"/>
          </w:tcPr>
          <w:p>
            <w:pPr>
              <w:spacing w:after="0"/>
              <w:rPr>
                <w:sz w:val="2"/>
                <w:szCs w:val="2"/>
                <w:color w:val="auto"/>
              </w:rPr>
            </w:pPr>
          </w:p>
        </w:tc>
        <w:tc>
          <w:tcPr>
            <w:tcW w:w="0" w:type="dxa"/>
            <w:vAlign w:val="bottom"/>
          </w:tcPr>
          <w:p>
            <w:pPr>
              <w:spacing w:after="0"/>
              <w:rPr>
                <w:sz w:val="1"/>
                <w:szCs w:val="1"/>
                <w:color w:val="auto"/>
              </w:rPr>
            </w:pPr>
          </w:p>
        </w:tc>
      </w:tr>
      <w:tr>
        <w:trPr>
          <w:trHeight w:val="74"/>
        </w:trPr>
        <w:tc>
          <w:tcPr>
            <w:tcW w:w="2300" w:type="dxa"/>
            <w:vAlign w:val="bottom"/>
          </w:tcPr>
          <w:p>
            <w:pPr>
              <w:spacing w:after="0"/>
              <w:rPr>
                <w:sz w:val="6"/>
                <w:szCs w:val="6"/>
                <w:color w:val="auto"/>
              </w:rPr>
            </w:pPr>
          </w:p>
        </w:tc>
        <w:tc>
          <w:tcPr>
            <w:tcW w:w="940" w:type="dxa"/>
            <w:vAlign w:val="bottom"/>
          </w:tcPr>
          <w:p>
            <w:pPr>
              <w:spacing w:after="0"/>
              <w:rPr>
                <w:sz w:val="6"/>
                <w:szCs w:val="6"/>
                <w:color w:val="auto"/>
              </w:rPr>
            </w:pPr>
          </w:p>
        </w:tc>
        <w:tc>
          <w:tcPr>
            <w:tcW w:w="120" w:type="dxa"/>
            <w:vAlign w:val="bottom"/>
          </w:tcPr>
          <w:p>
            <w:pPr>
              <w:spacing w:after="0"/>
              <w:rPr>
                <w:sz w:val="6"/>
                <w:szCs w:val="6"/>
                <w:color w:val="auto"/>
              </w:rPr>
            </w:pPr>
          </w:p>
        </w:tc>
        <w:tc>
          <w:tcPr>
            <w:tcW w:w="140" w:type="dxa"/>
            <w:vAlign w:val="bottom"/>
          </w:tcPr>
          <w:p>
            <w:pPr>
              <w:spacing w:after="0"/>
              <w:rPr>
                <w:sz w:val="6"/>
                <w:szCs w:val="6"/>
                <w:color w:val="auto"/>
              </w:rPr>
            </w:pPr>
          </w:p>
        </w:tc>
        <w:tc>
          <w:tcPr>
            <w:tcW w:w="780" w:type="dxa"/>
            <w:vAlign w:val="bottom"/>
          </w:tcPr>
          <w:p>
            <w:pPr>
              <w:spacing w:after="0"/>
              <w:rPr>
                <w:sz w:val="6"/>
                <w:szCs w:val="6"/>
                <w:color w:val="auto"/>
              </w:rPr>
            </w:pPr>
          </w:p>
        </w:tc>
        <w:tc>
          <w:tcPr>
            <w:tcW w:w="140" w:type="dxa"/>
            <w:vAlign w:val="bottom"/>
          </w:tcPr>
          <w:p>
            <w:pPr>
              <w:spacing w:after="0"/>
              <w:rPr>
                <w:sz w:val="6"/>
                <w:szCs w:val="6"/>
                <w:color w:val="auto"/>
              </w:rPr>
            </w:pPr>
          </w:p>
        </w:tc>
        <w:tc>
          <w:tcPr>
            <w:tcW w:w="120" w:type="dxa"/>
            <w:vAlign w:val="bottom"/>
          </w:tcPr>
          <w:p>
            <w:pPr>
              <w:spacing w:after="0"/>
              <w:rPr>
                <w:sz w:val="6"/>
                <w:szCs w:val="6"/>
                <w:color w:val="auto"/>
              </w:rPr>
            </w:pPr>
          </w:p>
        </w:tc>
        <w:tc>
          <w:tcPr>
            <w:tcW w:w="1040" w:type="dxa"/>
            <w:vAlign w:val="bottom"/>
            <w:gridSpan w:val="2"/>
            <w:vMerge w:val="continue"/>
          </w:tcPr>
          <w:p>
            <w:pPr>
              <w:spacing w:after="0"/>
              <w:rPr>
                <w:sz w:val="6"/>
                <w:szCs w:val="6"/>
                <w:color w:val="auto"/>
              </w:rPr>
            </w:pPr>
          </w:p>
        </w:tc>
        <w:tc>
          <w:tcPr>
            <w:tcW w:w="820" w:type="dxa"/>
            <w:vAlign w:val="bottom"/>
          </w:tcPr>
          <w:p>
            <w:pPr>
              <w:spacing w:after="0"/>
              <w:rPr>
                <w:sz w:val="6"/>
                <w:szCs w:val="6"/>
                <w:color w:val="auto"/>
              </w:rPr>
            </w:pPr>
          </w:p>
        </w:tc>
        <w:tc>
          <w:tcPr>
            <w:tcW w:w="100" w:type="dxa"/>
            <w:vAlign w:val="bottom"/>
          </w:tcPr>
          <w:p>
            <w:pPr>
              <w:spacing w:after="0"/>
              <w:rPr>
                <w:sz w:val="6"/>
                <w:szCs w:val="6"/>
                <w:color w:val="auto"/>
              </w:rPr>
            </w:pPr>
          </w:p>
        </w:tc>
        <w:tc>
          <w:tcPr>
            <w:tcW w:w="14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0" w:type="dxa"/>
            <w:vAlign w:val="bottom"/>
          </w:tcPr>
          <w:p>
            <w:pPr>
              <w:spacing w:after="0"/>
              <w:rPr>
                <w:sz w:val="6"/>
                <w:szCs w:val="6"/>
                <w:color w:val="auto"/>
              </w:rPr>
            </w:pPr>
          </w:p>
        </w:tc>
        <w:tc>
          <w:tcPr>
            <w:tcW w:w="120" w:type="dxa"/>
            <w:vAlign w:val="bottom"/>
          </w:tcPr>
          <w:p>
            <w:pPr>
              <w:spacing w:after="0"/>
              <w:rPr>
                <w:sz w:val="6"/>
                <w:szCs w:val="6"/>
                <w:color w:val="auto"/>
              </w:rPr>
            </w:pPr>
          </w:p>
        </w:tc>
        <w:tc>
          <w:tcPr>
            <w:tcW w:w="880" w:type="dxa"/>
            <w:vAlign w:val="bottom"/>
            <w:gridSpan w:val="2"/>
            <w:vMerge w:val="continue"/>
          </w:tcPr>
          <w:p>
            <w:pPr>
              <w:spacing w:after="0"/>
              <w:rPr>
                <w:sz w:val="6"/>
                <w:szCs w:val="6"/>
                <w:color w:val="auto"/>
              </w:rPr>
            </w:pPr>
          </w:p>
        </w:tc>
        <w:tc>
          <w:tcPr>
            <w:tcW w:w="160" w:type="dxa"/>
            <w:vAlign w:val="bottom"/>
          </w:tcPr>
          <w:p>
            <w:pPr>
              <w:spacing w:after="0"/>
              <w:rPr>
                <w:sz w:val="6"/>
                <w:szCs w:val="6"/>
                <w:color w:val="auto"/>
              </w:rPr>
            </w:pPr>
          </w:p>
        </w:tc>
        <w:tc>
          <w:tcPr>
            <w:tcW w:w="1400" w:type="dxa"/>
            <w:vAlign w:val="bottom"/>
            <w:gridSpan w:val="2"/>
            <w:vMerge w:val="continue"/>
          </w:tcPr>
          <w:p>
            <w:pPr>
              <w:spacing w:after="0"/>
              <w:rPr>
                <w:sz w:val="6"/>
                <w:szCs w:val="6"/>
                <w:color w:val="auto"/>
              </w:rPr>
            </w:pPr>
          </w:p>
        </w:tc>
        <w:tc>
          <w:tcPr>
            <w:tcW w:w="160" w:type="dxa"/>
            <w:vAlign w:val="bottom"/>
          </w:tcPr>
          <w:p>
            <w:pPr>
              <w:spacing w:after="0"/>
              <w:rPr>
                <w:sz w:val="6"/>
                <w:szCs w:val="6"/>
                <w:color w:val="auto"/>
              </w:rPr>
            </w:pPr>
          </w:p>
        </w:tc>
        <w:tc>
          <w:tcPr>
            <w:tcW w:w="120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10"/>
        </w:trPr>
        <w:tc>
          <w:tcPr>
            <w:tcW w:w="2300" w:type="dxa"/>
            <w:vAlign w:val="bottom"/>
          </w:tcPr>
          <w:p>
            <w:pPr>
              <w:ind w:left="40"/>
              <w:spacing w:after="0"/>
              <w:rPr>
                <w:sz w:val="20"/>
                <w:szCs w:val="20"/>
                <w:color w:val="auto"/>
              </w:rPr>
            </w:pPr>
            <w:r>
              <w:rPr>
                <w:rFonts w:ascii="Arial" w:cs="Arial" w:eastAsia="Arial" w:hAnsi="Arial"/>
                <w:sz w:val="16"/>
                <w:szCs w:val="16"/>
                <w:b w:val="1"/>
                <w:bCs w:val="1"/>
                <w:color w:val="auto"/>
              </w:rPr>
              <w:t>(in thousands)</w:t>
            </w:r>
          </w:p>
        </w:tc>
        <w:tc>
          <w:tcPr>
            <w:tcW w:w="1060" w:type="dxa"/>
            <w:vAlign w:val="bottom"/>
            <w:gridSpan w:val="2"/>
          </w:tcPr>
          <w:p>
            <w:pPr>
              <w:ind w:left="240"/>
              <w:spacing w:after="0"/>
              <w:rPr>
                <w:sz w:val="20"/>
                <w:szCs w:val="20"/>
                <w:color w:val="auto"/>
              </w:rPr>
            </w:pPr>
            <w:r>
              <w:rPr>
                <w:rFonts w:ascii="Arial" w:cs="Arial" w:eastAsia="Arial" w:hAnsi="Arial"/>
                <w:sz w:val="16"/>
                <w:szCs w:val="16"/>
                <w:b w:val="1"/>
                <w:bCs w:val="1"/>
                <w:color w:val="auto"/>
              </w:rPr>
              <w:t>Shares</w:t>
            </w:r>
          </w:p>
        </w:tc>
        <w:tc>
          <w:tcPr>
            <w:tcW w:w="140" w:type="dxa"/>
            <w:vAlign w:val="bottom"/>
          </w:tcPr>
          <w:p>
            <w:pPr>
              <w:spacing w:after="0"/>
              <w:rPr>
                <w:sz w:val="18"/>
                <w:szCs w:val="18"/>
                <w:color w:val="auto"/>
              </w:rPr>
            </w:pPr>
          </w:p>
        </w:tc>
        <w:tc>
          <w:tcPr>
            <w:tcW w:w="920" w:type="dxa"/>
            <w:vAlign w:val="bottom"/>
            <w:gridSpan w:val="2"/>
          </w:tcPr>
          <w:p>
            <w:pPr>
              <w:ind w:left="40"/>
              <w:spacing w:after="0"/>
              <w:rPr>
                <w:sz w:val="20"/>
                <w:szCs w:val="20"/>
                <w:color w:val="auto"/>
              </w:rPr>
            </w:pPr>
            <w:r>
              <w:rPr>
                <w:rFonts w:ascii="Arial" w:cs="Arial" w:eastAsia="Arial" w:hAnsi="Arial"/>
                <w:sz w:val="16"/>
                <w:szCs w:val="16"/>
                <w:b w:val="1"/>
                <w:bCs w:val="1"/>
                <w:color w:val="auto"/>
              </w:rPr>
              <w:t>Amount</w:t>
            </w:r>
          </w:p>
        </w:tc>
        <w:tc>
          <w:tcPr>
            <w:tcW w:w="120" w:type="dxa"/>
            <w:vAlign w:val="bottom"/>
          </w:tcPr>
          <w:p>
            <w:pPr>
              <w:spacing w:after="0"/>
              <w:rPr>
                <w:sz w:val="18"/>
                <w:szCs w:val="18"/>
                <w:color w:val="auto"/>
              </w:rPr>
            </w:pPr>
          </w:p>
        </w:tc>
        <w:tc>
          <w:tcPr>
            <w:tcW w:w="1040" w:type="dxa"/>
            <w:vAlign w:val="bottom"/>
            <w:gridSpan w:val="2"/>
          </w:tcPr>
          <w:p>
            <w:pPr>
              <w:jc w:val="center"/>
              <w:ind w:right="240"/>
              <w:spacing w:after="0"/>
              <w:rPr>
                <w:sz w:val="20"/>
                <w:szCs w:val="20"/>
                <w:color w:val="auto"/>
              </w:rPr>
            </w:pPr>
            <w:r>
              <w:rPr>
                <w:rFonts w:ascii="Arial" w:cs="Arial" w:eastAsia="Arial" w:hAnsi="Arial"/>
                <w:sz w:val="16"/>
                <w:szCs w:val="16"/>
                <w:b w:val="1"/>
                <w:bCs w:val="1"/>
                <w:color w:val="auto"/>
                <w:w w:val="97"/>
              </w:rPr>
              <w:t>Capital</w:t>
            </w:r>
          </w:p>
        </w:tc>
        <w:tc>
          <w:tcPr>
            <w:tcW w:w="920" w:type="dxa"/>
            <w:vAlign w:val="bottom"/>
            <w:gridSpan w:val="2"/>
          </w:tcPr>
          <w:p>
            <w:pPr>
              <w:ind w:left="180"/>
              <w:spacing w:after="0"/>
              <w:rPr>
                <w:sz w:val="20"/>
                <w:szCs w:val="20"/>
                <w:color w:val="auto"/>
              </w:rPr>
            </w:pPr>
            <w:r>
              <w:rPr>
                <w:rFonts w:ascii="Arial" w:cs="Arial" w:eastAsia="Arial" w:hAnsi="Arial"/>
                <w:sz w:val="16"/>
                <w:szCs w:val="16"/>
                <w:b w:val="1"/>
                <w:bCs w:val="1"/>
                <w:color w:val="auto"/>
              </w:rPr>
              <w:t>Shares</w:t>
            </w:r>
          </w:p>
        </w:tc>
        <w:tc>
          <w:tcPr>
            <w:tcW w:w="140" w:type="dxa"/>
            <w:vAlign w:val="bottom"/>
          </w:tcPr>
          <w:p>
            <w:pPr>
              <w:spacing w:after="0"/>
              <w:rPr>
                <w:sz w:val="18"/>
                <w:szCs w:val="18"/>
                <w:color w:val="auto"/>
              </w:rPr>
            </w:pPr>
          </w:p>
        </w:tc>
        <w:tc>
          <w:tcPr>
            <w:tcW w:w="860" w:type="dxa"/>
            <w:vAlign w:val="bottom"/>
            <w:gridSpan w:val="2"/>
          </w:tcPr>
          <w:p>
            <w:pPr>
              <w:ind w:left="20"/>
              <w:spacing w:after="0"/>
              <w:rPr>
                <w:sz w:val="20"/>
                <w:szCs w:val="20"/>
                <w:color w:val="auto"/>
              </w:rPr>
            </w:pPr>
            <w:r>
              <w:rPr>
                <w:rFonts w:ascii="Arial" w:cs="Arial" w:eastAsia="Arial" w:hAnsi="Arial"/>
                <w:sz w:val="16"/>
                <w:szCs w:val="16"/>
                <w:b w:val="1"/>
                <w:bCs w:val="1"/>
                <w:color w:val="auto"/>
              </w:rPr>
              <w:t>Amount</w:t>
            </w:r>
          </w:p>
        </w:tc>
        <w:tc>
          <w:tcPr>
            <w:tcW w:w="120" w:type="dxa"/>
            <w:vAlign w:val="bottom"/>
          </w:tcPr>
          <w:p>
            <w:pPr>
              <w:spacing w:after="0"/>
              <w:rPr>
                <w:sz w:val="18"/>
                <w:szCs w:val="18"/>
                <w:color w:val="auto"/>
              </w:rPr>
            </w:pPr>
          </w:p>
        </w:tc>
        <w:tc>
          <w:tcPr>
            <w:tcW w:w="880" w:type="dxa"/>
            <w:vAlign w:val="bottom"/>
            <w:gridSpan w:val="2"/>
          </w:tcPr>
          <w:p>
            <w:pPr>
              <w:ind w:left="20"/>
              <w:spacing w:after="0"/>
              <w:rPr>
                <w:sz w:val="20"/>
                <w:szCs w:val="20"/>
                <w:color w:val="auto"/>
              </w:rPr>
            </w:pPr>
            <w:r>
              <w:rPr>
                <w:rFonts w:ascii="Arial" w:cs="Arial" w:eastAsia="Arial" w:hAnsi="Arial"/>
                <w:sz w:val="16"/>
                <w:szCs w:val="16"/>
                <w:b w:val="1"/>
                <w:bCs w:val="1"/>
                <w:color w:val="auto"/>
              </w:rPr>
              <w:t>Earnings</w:t>
            </w:r>
          </w:p>
        </w:tc>
        <w:tc>
          <w:tcPr>
            <w:tcW w:w="160" w:type="dxa"/>
            <w:vAlign w:val="bottom"/>
          </w:tcPr>
          <w:p>
            <w:pPr>
              <w:spacing w:after="0"/>
              <w:rPr>
                <w:sz w:val="18"/>
                <w:szCs w:val="18"/>
                <w:color w:val="auto"/>
              </w:rPr>
            </w:pPr>
          </w:p>
        </w:tc>
        <w:tc>
          <w:tcPr>
            <w:tcW w:w="1400" w:type="dxa"/>
            <w:vAlign w:val="bottom"/>
            <w:gridSpan w:val="2"/>
          </w:tcPr>
          <w:p>
            <w:pPr>
              <w:jc w:val="center"/>
              <w:ind w:right="260"/>
              <w:spacing w:after="0"/>
              <w:rPr>
                <w:sz w:val="20"/>
                <w:szCs w:val="20"/>
                <w:color w:val="auto"/>
              </w:rPr>
            </w:pPr>
            <w:r>
              <w:rPr>
                <w:rFonts w:ascii="Arial" w:cs="Arial" w:eastAsia="Arial" w:hAnsi="Arial"/>
                <w:sz w:val="16"/>
                <w:szCs w:val="16"/>
                <w:b w:val="1"/>
                <w:bCs w:val="1"/>
                <w:color w:val="auto"/>
                <w:w w:val="90"/>
              </w:rPr>
              <w:t>Income (Loss)</w:t>
            </w:r>
          </w:p>
        </w:tc>
        <w:tc>
          <w:tcPr>
            <w:tcW w:w="160" w:type="dxa"/>
            <w:vAlign w:val="bottom"/>
          </w:tcPr>
          <w:p>
            <w:pPr>
              <w:spacing w:after="0"/>
              <w:rPr>
                <w:sz w:val="18"/>
                <w:szCs w:val="18"/>
                <w:color w:val="auto"/>
              </w:rPr>
            </w:pPr>
          </w:p>
        </w:tc>
        <w:tc>
          <w:tcPr>
            <w:tcW w:w="1200" w:type="dxa"/>
            <w:vAlign w:val="bottom"/>
          </w:tcPr>
          <w:p>
            <w:pPr>
              <w:jc w:val="center"/>
              <w:ind w:right="59"/>
              <w:spacing w:after="0"/>
              <w:rPr>
                <w:sz w:val="20"/>
                <w:szCs w:val="20"/>
                <w:color w:val="auto"/>
              </w:rPr>
            </w:pPr>
            <w:r>
              <w:rPr>
                <w:rFonts w:ascii="Arial" w:cs="Arial" w:eastAsia="Arial" w:hAnsi="Arial"/>
                <w:sz w:val="16"/>
                <w:szCs w:val="16"/>
                <w:b w:val="1"/>
                <w:bCs w:val="1"/>
                <w:color w:val="auto"/>
                <w:w w:val="93"/>
              </w:rPr>
              <w:t>Equity</w:t>
            </w:r>
          </w:p>
        </w:tc>
        <w:tc>
          <w:tcPr>
            <w:tcW w:w="0" w:type="dxa"/>
            <w:vAlign w:val="bottom"/>
          </w:tcPr>
          <w:p>
            <w:pPr>
              <w:spacing w:after="0"/>
              <w:rPr>
                <w:sz w:val="1"/>
                <w:szCs w:val="1"/>
                <w:color w:val="auto"/>
              </w:rPr>
            </w:pPr>
          </w:p>
        </w:tc>
      </w:tr>
      <w:tr>
        <w:trPr>
          <w:trHeight w:val="33"/>
        </w:trPr>
        <w:tc>
          <w:tcPr>
            <w:tcW w:w="2300" w:type="dxa"/>
            <w:vAlign w:val="bottom"/>
            <w:tcBorders>
              <w:bottom w:val="single" w:sz="8" w:color="CCEEFF"/>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3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At December 28, 2012</w:t>
            </w:r>
          </w:p>
        </w:tc>
        <w:tc>
          <w:tcPr>
            <w:tcW w:w="9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23,732</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7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24</w:t>
            </w:r>
          </w:p>
        </w:tc>
        <w:tc>
          <w:tcPr>
            <w:tcW w:w="14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320,618</w:t>
            </w:r>
          </w:p>
        </w:tc>
        <w:tc>
          <w:tcPr>
            <w:tcW w:w="12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(20)</w:t>
            </w:r>
          </w:p>
        </w:tc>
        <w:tc>
          <w:tcPr>
            <w:tcW w:w="1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(452)</w:t>
            </w:r>
          </w:p>
        </w:tc>
        <w:tc>
          <w:tcPr>
            <w:tcW w:w="1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147,723</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3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12,947</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480,860</w:t>
            </w:r>
          </w:p>
        </w:tc>
        <w:tc>
          <w:tcPr>
            <w:tcW w:w="0" w:type="dxa"/>
            <w:vAlign w:val="bottom"/>
          </w:tcPr>
          <w:p>
            <w:pPr>
              <w:spacing w:after="0"/>
              <w:rPr>
                <w:sz w:val="1"/>
                <w:szCs w:val="1"/>
                <w:color w:val="auto"/>
              </w:rPr>
            </w:pPr>
          </w:p>
        </w:tc>
      </w:tr>
      <w:tr>
        <w:trPr>
          <w:trHeight w:val="237"/>
        </w:trPr>
        <w:tc>
          <w:tcPr>
            <w:tcW w:w="2300" w:type="dxa"/>
            <w:vAlign w:val="bottom"/>
          </w:tcPr>
          <w:p>
            <w:pPr>
              <w:ind w:left="40"/>
              <w:spacing w:after="0"/>
              <w:rPr>
                <w:sz w:val="20"/>
                <w:szCs w:val="20"/>
                <w:color w:val="auto"/>
              </w:rPr>
            </w:pPr>
            <w:r>
              <w:rPr>
                <w:rFonts w:ascii="Arial" w:cs="Arial" w:eastAsia="Arial" w:hAnsi="Arial"/>
                <w:sz w:val="16"/>
                <w:szCs w:val="16"/>
                <w:color w:val="auto"/>
              </w:rPr>
              <w:t>Stock-based compensation</w:t>
            </w:r>
          </w:p>
        </w:tc>
        <w:tc>
          <w:tcPr>
            <w:tcW w:w="10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92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9,333</w:t>
            </w:r>
          </w:p>
        </w:tc>
        <w:tc>
          <w:tcPr>
            <w:tcW w:w="120" w:type="dxa"/>
            <w:vAlign w:val="bottom"/>
          </w:tcPr>
          <w:p>
            <w:pPr>
              <w:spacing w:after="0"/>
              <w:rPr>
                <w:sz w:val="20"/>
                <w:szCs w:val="20"/>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40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9,333</w:t>
            </w:r>
          </w:p>
        </w:tc>
        <w:tc>
          <w:tcPr>
            <w:tcW w:w="0" w:type="dxa"/>
            <w:vAlign w:val="bottom"/>
          </w:tcPr>
          <w:p>
            <w:pPr>
              <w:spacing w:after="0"/>
              <w:rPr>
                <w:sz w:val="1"/>
                <w:szCs w:val="1"/>
                <w:color w:val="auto"/>
              </w:rPr>
            </w:pPr>
          </w:p>
        </w:tc>
      </w:tr>
      <w:tr>
        <w:trPr>
          <w:trHeight w:val="33"/>
        </w:trPr>
        <w:tc>
          <w:tcPr>
            <w:tcW w:w="2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0"/>
        </w:trPr>
        <w:tc>
          <w:tcPr>
            <w:tcW w:w="2300" w:type="dxa"/>
            <w:vAlign w:val="bottom"/>
            <w:shd w:val="clear" w:color="auto" w:fill="CCEEFF"/>
          </w:tcPr>
          <w:p>
            <w:pPr>
              <w:ind w:left="40"/>
              <w:spacing w:after="0"/>
              <w:rPr>
                <w:sz w:val="20"/>
                <w:szCs w:val="20"/>
                <w:color w:val="auto"/>
              </w:rPr>
            </w:pPr>
            <w:r>
              <w:rPr>
                <w:rFonts w:ascii="Arial" w:cs="Arial" w:eastAsia="Arial" w:hAnsi="Arial"/>
                <w:sz w:val="16"/>
                <w:szCs w:val="16"/>
                <w:color w:val="auto"/>
                <w:w w:val="89"/>
              </w:rPr>
              <w:t>Net shares issued (acquired) under</w:t>
            </w:r>
          </w:p>
        </w:tc>
        <w:tc>
          <w:tcPr>
            <w:tcW w:w="9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7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9"/>
        </w:trPr>
        <w:tc>
          <w:tcPr>
            <w:tcW w:w="230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6"/>
                <w:szCs w:val="16"/>
                <w:color w:val="auto"/>
              </w:rPr>
              <w:t>stock incentive plans</w:t>
            </w:r>
          </w:p>
        </w:tc>
        <w:tc>
          <w:tcPr>
            <w:tcW w:w="9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636</w:t>
            </w:r>
          </w:p>
        </w:tc>
        <w:tc>
          <w:tcPr>
            <w:tcW w:w="12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CCEEFF"/>
            </w:tcBorders>
            <w:shd w:val="clear" w:color="auto" w:fill="CCEEFF"/>
          </w:tcPr>
          <w:p>
            <w:pPr>
              <w:spacing w:after="0"/>
              <w:rPr>
                <w:sz w:val="19"/>
                <w:szCs w:val="19"/>
                <w:color w:val="auto"/>
              </w:rPr>
            </w:pPr>
          </w:p>
        </w:tc>
        <w:tc>
          <w:tcPr>
            <w:tcW w:w="92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19"/>
                <w:szCs w:val="19"/>
                <w:color w:val="auto"/>
              </w:rPr>
            </w:pPr>
          </w:p>
        </w:tc>
        <w:tc>
          <w:tcPr>
            <w:tcW w:w="9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12,245</w:t>
            </w:r>
          </w:p>
        </w:tc>
        <w:tc>
          <w:tcPr>
            <w:tcW w:w="120" w:type="dxa"/>
            <w:vAlign w:val="bottom"/>
            <w:tcBorders>
              <w:bottom w:val="single" w:sz="8" w:color="CCEEFF"/>
            </w:tcBorders>
            <w:shd w:val="clear" w:color="auto" w:fill="CCEEFF"/>
          </w:tcPr>
          <w:p>
            <w:pPr>
              <w:spacing w:after="0"/>
              <w:rPr>
                <w:sz w:val="19"/>
                <w:szCs w:val="19"/>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(17)</w:t>
            </w:r>
          </w:p>
        </w:tc>
        <w:tc>
          <w:tcPr>
            <w:tcW w:w="10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CCEEFF"/>
            </w:tcBorders>
            <w:shd w:val="clear" w:color="auto" w:fill="CCEEFF"/>
          </w:tcPr>
          <w:p>
            <w:pPr>
              <w:spacing w:after="0"/>
              <w:rPr>
                <w:sz w:val="19"/>
                <w:szCs w:val="19"/>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(780)</w:t>
            </w:r>
          </w:p>
        </w:tc>
        <w:tc>
          <w:tcPr>
            <w:tcW w:w="1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8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19"/>
                <w:szCs w:val="19"/>
                <w:color w:val="auto"/>
              </w:rPr>
            </w:pPr>
          </w:p>
        </w:tc>
        <w:tc>
          <w:tcPr>
            <w:tcW w:w="14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19"/>
                <w:szCs w:val="19"/>
                <w:color w:val="auto"/>
              </w:rPr>
            </w:pPr>
          </w:p>
        </w:tc>
        <w:tc>
          <w:tcPr>
            <w:tcW w:w="1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11,465</w:t>
            </w:r>
          </w:p>
        </w:tc>
        <w:tc>
          <w:tcPr>
            <w:tcW w:w="0" w:type="dxa"/>
            <w:vAlign w:val="bottom"/>
          </w:tcPr>
          <w:p>
            <w:pPr>
              <w:spacing w:after="0"/>
              <w:rPr>
                <w:sz w:val="1"/>
                <w:szCs w:val="1"/>
                <w:color w:val="auto"/>
              </w:rPr>
            </w:pPr>
          </w:p>
        </w:tc>
      </w:tr>
      <w:tr>
        <w:trPr>
          <w:trHeight w:val="220"/>
        </w:trPr>
        <w:tc>
          <w:tcPr>
            <w:tcW w:w="2300" w:type="dxa"/>
            <w:vAlign w:val="bottom"/>
          </w:tcPr>
          <w:p>
            <w:pPr>
              <w:ind w:left="40"/>
              <w:spacing w:after="0"/>
              <w:rPr>
                <w:sz w:val="20"/>
                <w:szCs w:val="20"/>
                <w:color w:val="auto"/>
              </w:rPr>
            </w:pPr>
            <w:r>
              <w:rPr>
                <w:rFonts w:ascii="Arial" w:cs="Arial" w:eastAsia="Arial" w:hAnsi="Arial"/>
                <w:sz w:val="16"/>
                <w:szCs w:val="16"/>
                <w:color w:val="auto"/>
              </w:rPr>
              <w:t>Income tax benefit from stock</w:t>
            </w:r>
          </w:p>
        </w:tc>
        <w:tc>
          <w:tcPr>
            <w:tcW w:w="9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3"/>
        </w:trPr>
        <w:tc>
          <w:tcPr>
            <w:tcW w:w="2300" w:type="dxa"/>
            <w:vAlign w:val="bottom"/>
          </w:tcPr>
          <w:p>
            <w:pPr>
              <w:ind w:left="200"/>
              <w:spacing w:after="0"/>
              <w:rPr>
                <w:sz w:val="20"/>
                <w:szCs w:val="20"/>
                <w:color w:val="auto"/>
              </w:rPr>
            </w:pPr>
            <w:r>
              <w:rPr>
                <w:rFonts w:ascii="Arial" w:cs="Arial" w:eastAsia="Arial" w:hAnsi="Arial"/>
                <w:sz w:val="16"/>
                <w:szCs w:val="16"/>
                <w:color w:val="auto"/>
              </w:rPr>
              <w:t>options, restricted stock and</w:t>
            </w:r>
          </w:p>
        </w:tc>
        <w:tc>
          <w:tcPr>
            <w:tcW w:w="9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2300" w:type="dxa"/>
            <w:vAlign w:val="bottom"/>
          </w:tcPr>
          <w:p>
            <w:pPr>
              <w:ind w:left="200"/>
              <w:spacing w:after="0"/>
              <w:rPr>
                <w:sz w:val="20"/>
                <w:szCs w:val="20"/>
                <w:color w:val="auto"/>
              </w:rPr>
            </w:pPr>
            <w:r>
              <w:rPr>
                <w:rFonts w:ascii="Arial" w:cs="Arial" w:eastAsia="Arial" w:hAnsi="Arial"/>
                <w:sz w:val="16"/>
                <w:szCs w:val="16"/>
                <w:color w:val="auto"/>
              </w:rPr>
              <w:t>restricted stock units</w:t>
            </w:r>
          </w:p>
        </w:tc>
        <w:tc>
          <w:tcPr>
            <w:tcW w:w="10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92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242</w:t>
            </w:r>
          </w:p>
        </w:tc>
        <w:tc>
          <w:tcPr>
            <w:tcW w:w="120" w:type="dxa"/>
            <w:vAlign w:val="bottom"/>
          </w:tcPr>
          <w:p>
            <w:pPr>
              <w:spacing w:after="0"/>
              <w:rPr>
                <w:sz w:val="17"/>
                <w:szCs w:val="17"/>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140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242</w:t>
            </w:r>
          </w:p>
        </w:tc>
        <w:tc>
          <w:tcPr>
            <w:tcW w:w="0" w:type="dxa"/>
            <w:vAlign w:val="bottom"/>
          </w:tcPr>
          <w:p>
            <w:pPr>
              <w:spacing w:after="0"/>
              <w:rPr>
                <w:sz w:val="1"/>
                <w:szCs w:val="1"/>
                <w:color w:val="auto"/>
              </w:rPr>
            </w:pPr>
          </w:p>
        </w:tc>
      </w:tr>
      <w:tr>
        <w:trPr>
          <w:trHeight w:val="33"/>
        </w:trPr>
        <w:tc>
          <w:tcPr>
            <w:tcW w:w="2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3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w w:val="93"/>
              </w:rPr>
              <w:t>Shares contributed to 401(k) Plan</w:t>
            </w:r>
          </w:p>
        </w:tc>
        <w:tc>
          <w:tcPr>
            <w:tcW w:w="9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91</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2,477</w:t>
            </w:r>
          </w:p>
        </w:tc>
        <w:tc>
          <w:tcPr>
            <w:tcW w:w="1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2,477</w:t>
            </w:r>
          </w:p>
        </w:tc>
        <w:tc>
          <w:tcPr>
            <w:tcW w:w="0" w:type="dxa"/>
            <w:vAlign w:val="bottom"/>
          </w:tcPr>
          <w:p>
            <w:pPr>
              <w:spacing w:after="0"/>
              <w:rPr>
                <w:sz w:val="1"/>
                <w:szCs w:val="1"/>
                <w:color w:val="auto"/>
              </w:rPr>
            </w:pPr>
          </w:p>
        </w:tc>
      </w:tr>
      <w:tr>
        <w:trPr>
          <w:trHeight w:val="237"/>
        </w:trPr>
        <w:tc>
          <w:tcPr>
            <w:tcW w:w="2300" w:type="dxa"/>
            <w:vAlign w:val="bottom"/>
          </w:tcPr>
          <w:p>
            <w:pPr>
              <w:ind w:left="40"/>
              <w:spacing w:after="0"/>
              <w:rPr>
                <w:sz w:val="20"/>
                <w:szCs w:val="20"/>
                <w:color w:val="auto"/>
              </w:rPr>
            </w:pPr>
            <w:r>
              <w:rPr>
                <w:rFonts w:ascii="Arial" w:cs="Arial" w:eastAsia="Arial" w:hAnsi="Arial"/>
                <w:sz w:val="16"/>
                <w:szCs w:val="16"/>
                <w:color w:val="auto"/>
              </w:rPr>
              <w:t>Net income</w:t>
            </w:r>
          </w:p>
        </w:tc>
        <w:tc>
          <w:tcPr>
            <w:tcW w:w="10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92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04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9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780" w:type="dxa"/>
            <w:vAlign w:val="bottom"/>
          </w:tcPr>
          <w:p>
            <w:pPr>
              <w:jc w:val="right"/>
              <w:ind w:right="39"/>
              <w:spacing w:after="0"/>
              <w:rPr>
                <w:sz w:val="20"/>
                <w:szCs w:val="20"/>
                <w:color w:val="auto"/>
              </w:rPr>
            </w:pPr>
            <w:r>
              <w:rPr>
                <w:rFonts w:ascii="Arial" w:cs="Arial" w:eastAsia="Arial" w:hAnsi="Arial"/>
                <w:sz w:val="16"/>
                <w:szCs w:val="16"/>
                <w:color w:val="auto"/>
              </w:rPr>
              <w:t>36,267</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0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36,267</w:t>
            </w:r>
          </w:p>
        </w:tc>
        <w:tc>
          <w:tcPr>
            <w:tcW w:w="0" w:type="dxa"/>
            <w:vAlign w:val="bottom"/>
          </w:tcPr>
          <w:p>
            <w:pPr>
              <w:spacing w:after="0"/>
              <w:rPr>
                <w:sz w:val="1"/>
                <w:szCs w:val="1"/>
                <w:color w:val="auto"/>
              </w:rPr>
            </w:pPr>
          </w:p>
        </w:tc>
      </w:tr>
      <w:tr>
        <w:trPr>
          <w:trHeight w:val="33"/>
        </w:trPr>
        <w:tc>
          <w:tcPr>
            <w:tcW w:w="2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0"/>
        </w:trPr>
        <w:tc>
          <w:tcPr>
            <w:tcW w:w="2300" w:type="dxa"/>
            <w:vAlign w:val="bottom"/>
            <w:shd w:val="clear" w:color="auto" w:fill="CCEEFF"/>
          </w:tcPr>
          <w:p>
            <w:pPr>
              <w:ind w:left="40"/>
              <w:spacing w:after="0"/>
              <w:rPr>
                <w:sz w:val="20"/>
                <w:szCs w:val="20"/>
                <w:color w:val="auto"/>
              </w:rPr>
            </w:pPr>
            <w:r>
              <w:rPr>
                <w:rFonts w:ascii="Arial" w:cs="Arial" w:eastAsia="Arial" w:hAnsi="Arial"/>
                <w:sz w:val="16"/>
                <w:szCs w:val="16"/>
                <w:color w:val="auto"/>
              </w:rPr>
              <w:t>Total other comprehensive</w:t>
            </w:r>
          </w:p>
        </w:tc>
        <w:tc>
          <w:tcPr>
            <w:tcW w:w="9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7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30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6"/>
                <w:szCs w:val="16"/>
                <w:color w:val="auto"/>
              </w:rPr>
              <w:t>income, net</w:t>
            </w:r>
          </w:p>
        </w:tc>
        <w:tc>
          <w:tcPr>
            <w:tcW w:w="106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0"/>
                <w:szCs w:val="20"/>
                <w:color w:val="auto"/>
              </w:rPr>
            </w:pPr>
          </w:p>
        </w:tc>
        <w:tc>
          <w:tcPr>
            <w:tcW w:w="92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9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1,411</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1,411</w:t>
            </w:r>
          </w:p>
        </w:tc>
        <w:tc>
          <w:tcPr>
            <w:tcW w:w="0" w:type="dxa"/>
            <w:vAlign w:val="bottom"/>
          </w:tcPr>
          <w:p>
            <w:pPr>
              <w:spacing w:after="0"/>
              <w:rPr>
                <w:sz w:val="1"/>
                <w:szCs w:val="1"/>
                <w:color w:val="auto"/>
              </w:rPr>
            </w:pPr>
          </w:p>
        </w:tc>
      </w:tr>
      <w:tr>
        <w:trPr>
          <w:trHeight w:val="217"/>
        </w:trPr>
        <w:tc>
          <w:tcPr>
            <w:tcW w:w="2300" w:type="dxa"/>
            <w:vAlign w:val="bottom"/>
          </w:tcPr>
          <w:p>
            <w:pPr>
              <w:ind w:left="40"/>
              <w:spacing w:after="0"/>
              <w:rPr>
                <w:sz w:val="20"/>
                <w:szCs w:val="20"/>
                <w:color w:val="auto"/>
              </w:rPr>
            </w:pPr>
            <w:r>
              <w:rPr>
                <w:rFonts w:ascii="Arial" w:cs="Arial" w:eastAsia="Arial" w:hAnsi="Arial"/>
                <w:sz w:val="16"/>
                <w:szCs w:val="16"/>
                <w:color w:val="auto"/>
              </w:rPr>
              <w:t>At January 3, 2014</w:t>
            </w:r>
          </w:p>
        </w:tc>
        <w:tc>
          <w:tcPr>
            <w:tcW w:w="94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24,459</w:t>
            </w:r>
          </w:p>
        </w:tc>
        <w:tc>
          <w:tcPr>
            <w:tcW w:w="1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24</w:t>
            </w:r>
          </w:p>
        </w:tc>
        <w:tc>
          <w:tcPr>
            <w:tcW w:w="14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344,915</w:t>
            </w:r>
          </w:p>
        </w:tc>
        <w:tc>
          <w:tcPr>
            <w:tcW w:w="120" w:type="dxa"/>
            <w:vAlign w:val="bottom"/>
          </w:tcPr>
          <w:p>
            <w:pPr>
              <w:spacing w:after="0"/>
              <w:rPr>
                <w:sz w:val="18"/>
                <w:szCs w:val="18"/>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(37)</w:t>
            </w:r>
          </w:p>
        </w:tc>
        <w:tc>
          <w:tcPr>
            <w:tcW w:w="1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(1,232)</w:t>
            </w:r>
          </w:p>
        </w:tc>
        <w:tc>
          <w:tcPr>
            <w:tcW w:w="1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183,990</w:t>
            </w:r>
          </w:p>
        </w:tc>
        <w:tc>
          <w:tcPr>
            <w:tcW w:w="1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14,358</w:t>
            </w:r>
          </w:p>
        </w:tc>
        <w:tc>
          <w:tcPr>
            <w:tcW w:w="1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542,055</w:t>
            </w:r>
          </w:p>
        </w:tc>
        <w:tc>
          <w:tcPr>
            <w:tcW w:w="0" w:type="dxa"/>
            <w:vAlign w:val="bottom"/>
          </w:tcPr>
          <w:p>
            <w:pPr>
              <w:spacing w:after="0"/>
              <w:rPr>
                <w:sz w:val="1"/>
                <w:szCs w:val="1"/>
                <w:color w:val="auto"/>
              </w:rPr>
            </w:pPr>
          </w:p>
        </w:tc>
      </w:tr>
      <w:tr>
        <w:trPr>
          <w:trHeight w:val="33"/>
        </w:trPr>
        <w:tc>
          <w:tcPr>
            <w:tcW w:w="2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3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Stock-based compensation</w:t>
            </w:r>
          </w:p>
        </w:tc>
        <w:tc>
          <w:tcPr>
            <w:tcW w:w="106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8,921</w:t>
            </w:r>
          </w:p>
        </w:tc>
        <w:tc>
          <w:tcPr>
            <w:tcW w:w="1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8,921</w:t>
            </w:r>
          </w:p>
        </w:tc>
        <w:tc>
          <w:tcPr>
            <w:tcW w:w="0" w:type="dxa"/>
            <w:vAlign w:val="bottom"/>
          </w:tcPr>
          <w:p>
            <w:pPr>
              <w:spacing w:after="0"/>
              <w:rPr>
                <w:sz w:val="1"/>
                <w:szCs w:val="1"/>
                <w:color w:val="auto"/>
              </w:rPr>
            </w:pPr>
          </w:p>
        </w:tc>
      </w:tr>
      <w:tr>
        <w:trPr>
          <w:trHeight w:val="220"/>
        </w:trPr>
        <w:tc>
          <w:tcPr>
            <w:tcW w:w="2300" w:type="dxa"/>
            <w:vAlign w:val="bottom"/>
          </w:tcPr>
          <w:p>
            <w:pPr>
              <w:ind w:left="40"/>
              <w:spacing w:after="0"/>
              <w:rPr>
                <w:sz w:val="20"/>
                <w:szCs w:val="20"/>
                <w:color w:val="auto"/>
              </w:rPr>
            </w:pPr>
            <w:r>
              <w:rPr>
                <w:rFonts w:ascii="Arial" w:cs="Arial" w:eastAsia="Arial" w:hAnsi="Arial"/>
                <w:sz w:val="16"/>
                <w:szCs w:val="16"/>
                <w:color w:val="auto"/>
                <w:w w:val="89"/>
              </w:rPr>
              <w:t>Net shares issued (acquired) under</w:t>
            </w:r>
          </w:p>
        </w:tc>
        <w:tc>
          <w:tcPr>
            <w:tcW w:w="9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2300" w:type="dxa"/>
            <w:vAlign w:val="bottom"/>
          </w:tcPr>
          <w:p>
            <w:pPr>
              <w:ind w:left="200"/>
              <w:spacing w:after="0"/>
              <w:rPr>
                <w:sz w:val="20"/>
                <w:szCs w:val="20"/>
                <w:color w:val="auto"/>
              </w:rPr>
            </w:pPr>
            <w:r>
              <w:rPr>
                <w:rFonts w:ascii="Arial" w:cs="Arial" w:eastAsia="Arial" w:hAnsi="Arial"/>
                <w:sz w:val="16"/>
                <w:szCs w:val="16"/>
                <w:color w:val="auto"/>
              </w:rPr>
              <w:t>stock incentive plans</w:t>
            </w:r>
          </w:p>
        </w:tc>
        <w:tc>
          <w:tcPr>
            <w:tcW w:w="940" w:type="dxa"/>
            <w:vAlign w:val="bottom"/>
          </w:tcPr>
          <w:p>
            <w:pPr>
              <w:jc w:val="right"/>
              <w:ind w:right="39"/>
              <w:spacing w:after="0"/>
              <w:rPr>
                <w:sz w:val="20"/>
                <w:szCs w:val="20"/>
                <w:color w:val="auto"/>
              </w:rPr>
            </w:pPr>
            <w:r>
              <w:rPr>
                <w:rFonts w:ascii="Arial" w:cs="Arial" w:eastAsia="Arial" w:hAnsi="Arial"/>
                <w:sz w:val="16"/>
                <w:szCs w:val="16"/>
                <w:color w:val="auto"/>
              </w:rPr>
              <w:t>640</w:t>
            </w: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80" w:type="dxa"/>
            <w:vAlign w:val="bottom"/>
          </w:tcPr>
          <w:p>
            <w:pPr>
              <w:jc w:val="right"/>
              <w:ind w:right="39"/>
              <w:spacing w:after="0"/>
              <w:rPr>
                <w:sz w:val="20"/>
                <w:szCs w:val="20"/>
                <w:color w:val="auto"/>
              </w:rPr>
            </w:pPr>
            <w:r>
              <w:rPr>
                <w:rFonts w:ascii="Arial" w:cs="Arial" w:eastAsia="Arial" w:hAnsi="Arial"/>
                <w:sz w:val="16"/>
                <w:szCs w:val="16"/>
                <w:color w:val="auto"/>
              </w:rPr>
              <w:t>1</w:t>
            </w: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7,754</w:t>
            </w:r>
          </w:p>
        </w:tc>
        <w:tc>
          <w:tcPr>
            <w:tcW w:w="12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(86)</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(4,290)</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140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3,465</w:t>
            </w:r>
          </w:p>
        </w:tc>
        <w:tc>
          <w:tcPr>
            <w:tcW w:w="0" w:type="dxa"/>
            <w:vAlign w:val="bottom"/>
          </w:tcPr>
          <w:p>
            <w:pPr>
              <w:spacing w:after="0"/>
              <w:rPr>
                <w:sz w:val="1"/>
                <w:szCs w:val="1"/>
                <w:color w:val="auto"/>
              </w:rPr>
            </w:pPr>
          </w:p>
        </w:tc>
      </w:tr>
      <w:tr>
        <w:trPr>
          <w:trHeight w:val="33"/>
        </w:trPr>
        <w:tc>
          <w:tcPr>
            <w:tcW w:w="2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0"/>
        </w:trPr>
        <w:tc>
          <w:tcPr>
            <w:tcW w:w="2300" w:type="dxa"/>
            <w:vAlign w:val="bottom"/>
            <w:shd w:val="clear" w:color="auto" w:fill="CCEEFF"/>
          </w:tcPr>
          <w:p>
            <w:pPr>
              <w:ind w:left="40"/>
              <w:spacing w:after="0"/>
              <w:rPr>
                <w:sz w:val="20"/>
                <w:szCs w:val="20"/>
                <w:color w:val="auto"/>
              </w:rPr>
            </w:pPr>
            <w:r>
              <w:rPr>
                <w:rFonts w:ascii="Arial" w:cs="Arial" w:eastAsia="Arial" w:hAnsi="Arial"/>
                <w:sz w:val="16"/>
                <w:szCs w:val="16"/>
                <w:color w:val="auto"/>
              </w:rPr>
              <w:t>Income tax benefit from stock</w:t>
            </w:r>
          </w:p>
        </w:tc>
        <w:tc>
          <w:tcPr>
            <w:tcW w:w="9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7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3"/>
        </w:trPr>
        <w:tc>
          <w:tcPr>
            <w:tcW w:w="2300" w:type="dxa"/>
            <w:vAlign w:val="bottom"/>
            <w:shd w:val="clear" w:color="auto" w:fill="CCEEFF"/>
          </w:tcPr>
          <w:p>
            <w:pPr>
              <w:ind w:left="200"/>
              <w:spacing w:after="0"/>
              <w:rPr>
                <w:sz w:val="20"/>
                <w:szCs w:val="20"/>
                <w:color w:val="auto"/>
              </w:rPr>
            </w:pPr>
            <w:r>
              <w:rPr>
                <w:rFonts w:ascii="Arial" w:cs="Arial" w:eastAsia="Arial" w:hAnsi="Arial"/>
                <w:sz w:val="16"/>
                <w:szCs w:val="16"/>
                <w:color w:val="auto"/>
              </w:rPr>
              <w:t>options, restricted stock and</w:t>
            </w:r>
          </w:p>
        </w:tc>
        <w:tc>
          <w:tcPr>
            <w:tcW w:w="9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9"/>
        </w:trPr>
        <w:tc>
          <w:tcPr>
            <w:tcW w:w="230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6"/>
                <w:szCs w:val="16"/>
                <w:color w:val="auto"/>
              </w:rPr>
              <w:t>restricted stock units</w:t>
            </w:r>
          </w:p>
        </w:tc>
        <w:tc>
          <w:tcPr>
            <w:tcW w:w="106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19"/>
                <w:szCs w:val="19"/>
                <w:color w:val="auto"/>
              </w:rPr>
            </w:pPr>
          </w:p>
        </w:tc>
        <w:tc>
          <w:tcPr>
            <w:tcW w:w="92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19"/>
                <w:szCs w:val="19"/>
                <w:color w:val="auto"/>
              </w:rPr>
            </w:pPr>
          </w:p>
        </w:tc>
        <w:tc>
          <w:tcPr>
            <w:tcW w:w="9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4,357</w:t>
            </w:r>
          </w:p>
        </w:tc>
        <w:tc>
          <w:tcPr>
            <w:tcW w:w="120" w:type="dxa"/>
            <w:vAlign w:val="bottom"/>
            <w:tcBorders>
              <w:bottom w:val="single" w:sz="8" w:color="CCEEFF"/>
            </w:tcBorders>
            <w:shd w:val="clear" w:color="auto" w:fill="CCEEFF"/>
          </w:tcPr>
          <w:p>
            <w:pPr>
              <w:spacing w:after="0"/>
              <w:rPr>
                <w:sz w:val="19"/>
                <w:szCs w:val="19"/>
                <w:color w:val="auto"/>
              </w:rPr>
            </w:pPr>
          </w:p>
        </w:tc>
        <w:tc>
          <w:tcPr>
            <w:tcW w:w="9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19"/>
                <w:szCs w:val="19"/>
                <w:color w:val="auto"/>
              </w:rPr>
            </w:pPr>
          </w:p>
        </w:tc>
        <w:tc>
          <w:tcPr>
            <w:tcW w:w="8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19"/>
                <w:szCs w:val="19"/>
                <w:color w:val="auto"/>
              </w:rPr>
            </w:pPr>
          </w:p>
        </w:tc>
        <w:tc>
          <w:tcPr>
            <w:tcW w:w="8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19"/>
                <w:szCs w:val="19"/>
                <w:color w:val="auto"/>
              </w:rPr>
            </w:pPr>
          </w:p>
        </w:tc>
        <w:tc>
          <w:tcPr>
            <w:tcW w:w="14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19"/>
                <w:szCs w:val="19"/>
                <w:color w:val="auto"/>
              </w:rPr>
            </w:pPr>
          </w:p>
        </w:tc>
        <w:tc>
          <w:tcPr>
            <w:tcW w:w="1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4,357</w:t>
            </w:r>
          </w:p>
        </w:tc>
        <w:tc>
          <w:tcPr>
            <w:tcW w:w="0" w:type="dxa"/>
            <w:vAlign w:val="bottom"/>
          </w:tcPr>
          <w:p>
            <w:pPr>
              <w:spacing w:after="0"/>
              <w:rPr>
                <w:sz w:val="1"/>
                <w:szCs w:val="1"/>
                <w:color w:val="auto"/>
              </w:rPr>
            </w:pPr>
          </w:p>
        </w:tc>
      </w:tr>
      <w:tr>
        <w:trPr>
          <w:trHeight w:val="237"/>
        </w:trPr>
        <w:tc>
          <w:tcPr>
            <w:tcW w:w="2300" w:type="dxa"/>
            <w:vAlign w:val="bottom"/>
          </w:tcPr>
          <w:p>
            <w:pPr>
              <w:ind w:left="40"/>
              <w:spacing w:after="0"/>
              <w:rPr>
                <w:sz w:val="20"/>
                <w:szCs w:val="20"/>
                <w:color w:val="auto"/>
              </w:rPr>
            </w:pPr>
            <w:r>
              <w:rPr>
                <w:rFonts w:ascii="Arial" w:cs="Arial" w:eastAsia="Arial" w:hAnsi="Arial"/>
                <w:sz w:val="16"/>
                <w:szCs w:val="16"/>
                <w:color w:val="auto"/>
                <w:w w:val="93"/>
              </w:rPr>
              <w:t>Shares contributed to 401(k) Plan</w:t>
            </w:r>
          </w:p>
        </w:tc>
        <w:tc>
          <w:tcPr>
            <w:tcW w:w="10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92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126</w:t>
            </w:r>
          </w:p>
        </w:tc>
        <w:tc>
          <w:tcPr>
            <w:tcW w:w="120" w:type="dxa"/>
            <w:vAlign w:val="bottom"/>
          </w:tcPr>
          <w:p>
            <w:pPr>
              <w:spacing w:after="0"/>
              <w:rPr>
                <w:sz w:val="20"/>
                <w:szCs w:val="20"/>
                <w:color w:val="auto"/>
              </w:rPr>
            </w:pPr>
          </w:p>
        </w:tc>
        <w:tc>
          <w:tcPr>
            <w:tcW w:w="820" w:type="dxa"/>
            <w:vAlign w:val="bottom"/>
          </w:tcPr>
          <w:p>
            <w:pPr>
              <w:jc w:val="right"/>
              <w:ind w:right="39"/>
              <w:spacing w:after="0"/>
              <w:rPr>
                <w:sz w:val="20"/>
                <w:szCs w:val="20"/>
                <w:color w:val="auto"/>
              </w:rPr>
            </w:pPr>
            <w:r>
              <w:rPr>
                <w:rFonts w:ascii="Arial" w:cs="Arial" w:eastAsia="Arial" w:hAnsi="Arial"/>
                <w:sz w:val="16"/>
                <w:szCs w:val="16"/>
                <w:color w:val="auto"/>
              </w:rPr>
              <w:t>95</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60" w:type="dxa"/>
            <w:vAlign w:val="bottom"/>
          </w:tcPr>
          <w:p>
            <w:pPr>
              <w:jc w:val="right"/>
              <w:ind w:right="39"/>
              <w:spacing w:after="0"/>
              <w:rPr>
                <w:sz w:val="20"/>
                <w:szCs w:val="20"/>
                <w:color w:val="auto"/>
              </w:rPr>
            </w:pPr>
            <w:r>
              <w:rPr>
                <w:rFonts w:ascii="Arial" w:cs="Arial" w:eastAsia="Arial" w:hAnsi="Arial"/>
                <w:sz w:val="16"/>
                <w:szCs w:val="16"/>
                <w:color w:val="auto"/>
              </w:rPr>
              <w:t>4,215</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40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4,341</w:t>
            </w:r>
          </w:p>
        </w:tc>
        <w:tc>
          <w:tcPr>
            <w:tcW w:w="0" w:type="dxa"/>
            <w:vAlign w:val="bottom"/>
          </w:tcPr>
          <w:p>
            <w:pPr>
              <w:spacing w:after="0"/>
              <w:rPr>
                <w:sz w:val="1"/>
                <w:szCs w:val="1"/>
                <w:color w:val="auto"/>
              </w:rPr>
            </w:pPr>
          </w:p>
        </w:tc>
      </w:tr>
      <w:tr>
        <w:trPr>
          <w:trHeight w:val="33"/>
        </w:trPr>
        <w:tc>
          <w:tcPr>
            <w:tcW w:w="2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3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income</w:t>
            </w:r>
          </w:p>
        </w:tc>
        <w:tc>
          <w:tcPr>
            <w:tcW w:w="106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9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55,458</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55,458</w:t>
            </w:r>
          </w:p>
        </w:tc>
        <w:tc>
          <w:tcPr>
            <w:tcW w:w="0" w:type="dxa"/>
            <w:vAlign w:val="bottom"/>
          </w:tcPr>
          <w:p>
            <w:pPr>
              <w:spacing w:after="0"/>
              <w:rPr>
                <w:sz w:val="1"/>
                <w:szCs w:val="1"/>
                <w:color w:val="auto"/>
              </w:rPr>
            </w:pPr>
          </w:p>
        </w:tc>
      </w:tr>
      <w:tr>
        <w:trPr>
          <w:trHeight w:val="220"/>
        </w:trPr>
        <w:tc>
          <w:tcPr>
            <w:tcW w:w="2300" w:type="dxa"/>
            <w:vAlign w:val="bottom"/>
          </w:tcPr>
          <w:p>
            <w:pPr>
              <w:ind w:left="40"/>
              <w:spacing w:after="0"/>
              <w:rPr>
                <w:sz w:val="20"/>
                <w:szCs w:val="20"/>
                <w:color w:val="auto"/>
              </w:rPr>
            </w:pPr>
            <w:r>
              <w:rPr>
                <w:rFonts w:ascii="Arial" w:cs="Arial" w:eastAsia="Arial" w:hAnsi="Arial"/>
                <w:sz w:val="16"/>
                <w:szCs w:val="16"/>
                <w:color w:val="auto"/>
                <w:w w:val="98"/>
              </w:rPr>
              <w:t>Total other comprehensive loss,</w:t>
            </w:r>
          </w:p>
        </w:tc>
        <w:tc>
          <w:tcPr>
            <w:tcW w:w="9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2300" w:type="dxa"/>
            <w:vAlign w:val="bottom"/>
          </w:tcPr>
          <w:p>
            <w:pPr>
              <w:ind w:left="200"/>
              <w:spacing w:after="0"/>
              <w:rPr>
                <w:sz w:val="20"/>
                <w:szCs w:val="20"/>
                <w:color w:val="auto"/>
              </w:rPr>
            </w:pPr>
            <w:r>
              <w:rPr>
                <w:rFonts w:ascii="Arial" w:cs="Arial" w:eastAsia="Arial" w:hAnsi="Arial"/>
                <w:sz w:val="16"/>
                <w:szCs w:val="16"/>
                <w:color w:val="auto"/>
              </w:rPr>
              <w:t>net</w:t>
            </w:r>
          </w:p>
        </w:tc>
        <w:tc>
          <w:tcPr>
            <w:tcW w:w="10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92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104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9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(5,235)</w:t>
            </w: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(5,235)</w:t>
            </w:r>
          </w:p>
        </w:tc>
        <w:tc>
          <w:tcPr>
            <w:tcW w:w="0" w:type="dxa"/>
            <w:vAlign w:val="bottom"/>
          </w:tcPr>
          <w:p>
            <w:pPr>
              <w:spacing w:after="0"/>
              <w:rPr>
                <w:sz w:val="1"/>
                <w:szCs w:val="1"/>
                <w:color w:val="auto"/>
              </w:rPr>
            </w:pPr>
          </w:p>
        </w:tc>
      </w:tr>
      <w:tr>
        <w:trPr>
          <w:trHeight w:val="33"/>
        </w:trPr>
        <w:tc>
          <w:tcPr>
            <w:tcW w:w="2300" w:type="dxa"/>
            <w:vAlign w:val="bottom"/>
            <w:tcBorders>
              <w:bottom w:val="single" w:sz="8" w:color="CCEEFF"/>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3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At January 2, 2015</w:t>
            </w:r>
          </w:p>
        </w:tc>
        <w:tc>
          <w:tcPr>
            <w:tcW w:w="9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25,099</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25</w:t>
            </w:r>
          </w:p>
        </w:tc>
        <w:tc>
          <w:tcPr>
            <w:tcW w:w="14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9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366,073</w:t>
            </w:r>
          </w:p>
        </w:tc>
        <w:tc>
          <w:tcPr>
            <w:tcW w:w="12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(28)</w:t>
            </w:r>
          </w:p>
        </w:tc>
        <w:tc>
          <w:tcPr>
            <w:tcW w:w="1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(1,307)</w:t>
            </w:r>
          </w:p>
        </w:tc>
        <w:tc>
          <w:tcPr>
            <w:tcW w:w="1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239,448</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9,123</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613,362</w:t>
            </w:r>
          </w:p>
        </w:tc>
        <w:tc>
          <w:tcPr>
            <w:tcW w:w="0" w:type="dxa"/>
            <w:vAlign w:val="bottom"/>
          </w:tcPr>
          <w:p>
            <w:pPr>
              <w:spacing w:after="0"/>
              <w:rPr>
                <w:sz w:val="1"/>
                <w:szCs w:val="1"/>
                <w:color w:val="auto"/>
              </w:rPr>
            </w:pPr>
          </w:p>
        </w:tc>
      </w:tr>
      <w:tr>
        <w:trPr>
          <w:trHeight w:val="237"/>
        </w:trPr>
        <w:tc>
          <w:tcPr>
            <w:tcW w:w="2300" w:type="dxa"/>
            <w:vAlign w:val="bottom"/>
          </w:tcPr>
          <w:p>
            <w:pPr>
              <w:ind w:left="40"/>
              <w:spacing w:after="0"/>
              <w:rPr>
                <w:sz w:val="20"/>
                <w:szCs w:val="20"/>
                <w:color w:val="auto"/>
              </w:rPr>
            </w:pPr>
            <w:r>
              <w:rPr>
                <w:rFonts w:ascii="Arial" w:cs="Arial" w:eastAsia="Arial" w:hAnsi="Arial"/>
                <w:sz w:val="16"/>
                <w:szCs w:val="16"/>
                <w:color w:val="auto"/>
              </w:rPr>
              <w:t>Stock-based compensation</w:t>
            </w:r>
          </w:p>
        </w:tc>
        <w:tc>
          <w:tcPr>
            <w:tcW w:w="10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92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9,364</w:t>
            </w:r>
          </w:p>
        </w:tc>
        <w:tc>
          <w:tcPr>
            <w:tcW w:w="120" w:type="dxa"/>
            <w:vAlign w:val="bottom"/>
          </w:tcPr>
          <w:p>
            <w:pPr>
              <w:spacing w:after="0"/>
              <w:rPr>
                <w:sz w:val="20"/>
                <w:szCs w:val="20"/>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40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0"/>
                <w:szCs w:val="20"/>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9,364</w:t>
            </w:r>
          </w:p>
        </w:tc>
        <w:tc>
          <w:tcPr>
            <w:tcW w:w="0" w:type="dxa"/>
            <w:vAlign w:val="bottom"/>
          </w:tcPr>
          <w:p>
            <w:pPr>
              <w:spacing w:after="0"/>
              <w:rPr>
                <w:sz w:val="1"/>
                <w:szCs w:val="1"/>
                <w:color w:val="auto"/>
              </w:rPr>
            </w:pPr>
          </w:p>
        </w:tc>
      </w:tr>
      <w:tr>
        <w:trPr>
          <w:trHeight w:val="33"/>
        </w:trPr>
        <w:tc>
          <w:tcPr>
            <w:tcW w:w="2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0"/>
        </w:trPr>
        <w:tc>
          <w:tcPr>
            <w:tcW w:w="2300" w:type="dxa"/>
            <w:vAlign w:val="bottom"/>
            <w:shd w:val="clear" w:color="auto" w:fill="CCEEFF"/>
          </w:tcPr>
          <w:p>
            <w:pPr>
              <w:ind w:left="40"/>
              <w:spacing w:after="0"/>
              <w:rPr>
                <w:sz w:val="20"/>
                <w:szCs w:val="20"/>
                <w:color w:val="auto"/>
              </w:rPr>
            </w:pPr>
            <w:r>
              <w:rPr>
                <w:rFonts w:ascii="Arial" w:cs="Arial" w:eastAsia="Arial" w:hAnsi="Arial"/>
                <w:sz w:val="16"/>
                <w:szCs w:val="16"/>
                <w:color w:val="auto"/>
                <w:w w:val="89"/>
              </w:rPr>
              <w:t>Net shares issued (acquired) under</w:t>
            </w:r>
          </w:p>
        </w:tc>
        <w:tc>
          <w:tcPr>
            <w:tcW w:w="9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7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9"/>
        </w:trPr>
        <w:tc>
          <w:tcPr>
            <w:tcW w:w="230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6"/>
                <w:szCs w:val="16"/>
                <w:color w:val="auto"/>
              </w:rPr>
              <w:t>stock incentive plans</w:t>
            </w:r>
          </w:p>
        </w:tc>
        <w:tc>
          <w:tcPr>
            <w:tcW w:w="9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585</w:t>
            </w:r>
          </w:p>
        </w:tc>
        <w:tc>
          <w:tcPr>
            <w:tcW w:w="12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CCEEFF"/>
            </w:tcBorders>
            <w:shd w:val="clear" w:color="auto" w:fill="CCEEFF"/>
          </w:tcPr>
          <w:p>
            <w:pPr>
              <w:spacing w:after="0"/>
              <w:rPr>
                <w:sz w:val="19"/>
                <w:szCs w:val="19"/>
                <w:color w:val="auto"/>
              </w:rPr>
            </w:pPr>
          </w:p>
        </w:tc>
        <w:tc>
          <w:tcPr>
            <w:tcW w:w="7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w:t>
            </w:r>
          </w:p>
        </w:tc>
        <w:tc>
          <w:tcPr>
            <w:tcW w:w="14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9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5,764</w:t>
            </w:r>
          </w:p>
        </w:tc>
        <w:tc>
          <w:tcPr>
            <w:tcW w:w="120" w:type="dxa"/>
            <w:vAlign w:val="bottom"/>
            <w:tcBorders>
              <w:bottom w:val="single" w:sz="8" w:color="CCEEFF"/>
            </w:tcBorders>
            <w:shd w:val="clear" w:color="auto" w:fill="CCEEFF"/>
          </w:tcPr>
          <w:p>
            <w:pPr>
              <w:spacing w:after="0"/>
              <w:rPr>
                <w:sz w:val="19"/>
                <w:szCs w:val="19"/>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(107)</w:t>
            </w:r>
          </w:p>
        </w:tc>
        <w:tc>
          <w:tcPr>
            <w:tcW w:w="10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CCEEFF"/>
            </w:tcBorders>
            <w:shd w:val="clear" w:color="auto" w:fill="CCEEFF"/>
          </w:tcPr>
          <w:p>
            <w:pPr>
              <w:spacing w:after="0"/>
              <w:rPr>
                <w:sz w:val="19"/>
                <w:szCs w:val="19"/>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(5,261)</w:t>
            </w:r>
          </w:p>
        </w:tc>
        <w:tc>
          <w:tcPr>
            <w:tcW w:w="1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8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19"/>
                <w:szCs w:val="19"/>
                <w:color w:val="auto"/>
              </w:rPr>
            </w:pPr>
          </w:p>
        </w:tc>
        <w:tc>
          <w:tcPr>
            <w:tcW w:w="14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19"/>
                <w:szCs w:val="19"/>
                <w:color w:val="auto"/>
              </w:rPr>
            </w:pPr>
          </w:p>
        </w:tc>
        <w:tc>
          <w:tcPr>
            <w:tcW w:w="1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504</w:t>
            </w:r>
          </w:p>
        </w:tc>
        <w:tc>
          <w:tcPr>
            <w:tcW w:w="0" w:type="dxa"/>
            <w:vAlign w:val="bottom"/>
          </w:tcPr>
          <w:p>
            <w:pPr>
              <w:spacing w:after="0"/>
              <w:rPr>
                <w:sz w:val="1"/>
                <w:szCs w:val="1"/>
                <w:color w:val="auto"/>
              </w:rPr>
            </w:pPr>
          </w:p>
        </w:tc>
      </w:tr>
      <w:tr>
        <w:trPr>
          <w:trHeight w:val="220"/>
        </w:trPr>
        <w:tc>
          <w:tcPr>
            <w:tcW w:w="2300" w:type="dxa"/>
            <w:vAlign w:val="bottom"/>
          </w:tcPr>
          <w:p>
            <w:pPr>
              <w:ind w:left="40"/>
              <w:spacing w:after="0"/>
              <w:rPr>
                <w:sz w:val="20"/>
                <w:szCs w:val="20"/>
                <w:color w:val="auto"/>
              </w:rPr>
            </w:pPr>
            <w:r>
              <w:rPr>
                <w:rFonts w:ascii="Arial" w:cs="Arial" w:eastAsia="Arial" w:hAnsi="Arial"/>
                <w:sz w:val="16"/>
                <w:szCs w:val="16"/>
                <w:color w:val="auto"/>
              </w:rPr>
              <w:t>Income tax benefit from stock</w:t>
            </w:r>
          </w:p>
        </w:tc>
        <w:tc>
          <w:tcPr>
            <w:tcW w:w="9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3"/>
        </w:trPr>
        <w:tc>
          <w:tcPr>
            <w:tcW w:w="2300" w:type="dxa"/>
            <w:vAlign w:val="bottom"/>
          </w:tcPr>
          <w:p>
            <w:pPr>
              <w:ind w:left="200"/>
              <w:spacing w:after="0"/>
              <w:rPr>
                <w:sz w:val="20"/>
                <w:szCs w:val="20"/>
                <w:color w:val="auto"/>
              </w:rPr>
            </w:pPr>
            <w:r>
              <w:rPr>
                <w:rFonts w:ascii="Arial" w:cs="Arial" w:eastAsia="Arial" w:hAnsi="Arial"/>
                <w:sz w:val="16"/>
                <w:szCs w:val="16"/>
                <w:color w:val="auto"/>
              </w:rPr>
              <w:t>options, restricted stock and</w:t>
            </w:r>
          </w:p>
        </w:tc>
        <w:tc>
          <w:tcPr>
            <w:tcW w:w="9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2300" w:type="dxa"/>
            <w:vAlign w:val="bottom"/>
          </w:tcPr>
          <w:p>
            <w:pPr>
              <w:ind w:left="200"/>
              <w:spacing w:after="0"/>
              <w:rPr>
                <w:sz w:val="20"/>
                <w:szCs w:val="20"/>
                <w:color w:val="auto"/>
              </w:rPr>
            </w:pPr>
            <w:r>
              <w:rPr>
                <w:rFonts w:ascii="Arial" w:cs="Arial" w:eastAsia="Arial" w:hAnsi="Arial"/>
                <w:sz w:val="16"/>
                <w:szCs w:val="16"/>
                <w:color w:val="auto"/>
              </w:rPr>
              <w:t>restricted stock units</w:t>
            </w:r>
          </w:p>
        </w:tc>
        <w:tc>
          <w:tcPr>
            <w:tcW w:w="10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92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5,639</w:t>
            </w:r>
          </w:p>
        </w:tc>
        <w:tc>
          <w:tcPr>
            <w:tcW w:w="120" w:type="dxa"/>
            <w:vAlign w:val="bottom"/>
          </w:tcPr>
          <w:p>
            <w:pPr>
              <w:spacing w:after="0"/>
              <w:rPr>
                <w:sz w:val="17"/>
                <w:szCs w:val="17"/>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140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5,639</w:t>
            </w:r>
          </w:p>
        </w:tc>
        <w:tc>
          <w:tcPr>
            <w:tcW w:w="0" w:type="dxa"/>
            <w:vAlign w:val="bottom"/>
          </w:tcPr>
          <w:p>
            <w:pPr>
              <w:spacing w:after="0"/>
              <w:rPr>
                <w:sz w:val="1"/>
                <w:szCs w:val="1"/>
                <w:color w:val="auto"/>
              </w:rPr>
            </w:pPr>
          </w:p>
        </w:tc>
      </w:tr>
      <w:tr>
        <w:trPr>
          <w:trHeight w:val="33"/>
        </w:trPr>
        <w:tc>
          <w:tcPr>
            <w:tcW w:w="2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3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w w:val="93"/>
              </w:rPr>
              <w:t>Shares contributed to 401(k) Plan</w:t>
            </w:r>
          </w:p>
        </w:tc>
        <w:tc>
          <w:tcPr>
            <w:tcW w:w="106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452</w:t>
            </w:r>
          </w:p>
        </w:tc>
        <w:tc>
          <w:tcPr>
            <w:tcW w:w="1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72</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3,468</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3,920</w:t>
            </w:r>
          </w:p>
        </w:tc>
        <w:tc>
          <w:tcPr>
            <w:tcW w:w="0" w:type="dxa"/>
            <w:vAlign w:val="bottom"/>
          </w:tcPr>
          <w:p>
            <w:pPr>
              <w:spacing w:after="0"/>
              <w:rPr>
                <w:sz w:val="1"/>
                <w:szCs w:val="1"/>
                <w:color w:val="auto"/>
              </w:rPr>
            </w:pPr>
          </w:p>
        </w:tc>
      </w:tr>
      <w:tr>
        <w:trPr>
          <w:trHeight w:val="220"/>
        </w:trPr>
        <w:tc>
          <w:tcPr>
            <w:tcW w:w="2300" w:type="dxa"/>
            <w:vAlign w:val="bottom"/>
          </w:tcPr>
          <w:p>
            <w:pPr>
              <w:ind w:left="40"/>
              <w:spacing w:after="0"/>
              <w:rPr>
                <w:sz w:val="20"/>
                <w:szCs w:val="20"/>
                <w:color w:val="auto"/>
              </w:rPr>
            </w:pPr>
            <w:r>
              <w:rPr>
                <w:rFonts w:ascii="Arial" w:cs="Arial" w:eastAsia="Arial" w:hAnsi="Arial"/>
                <w:sz w:val="16"/>
                <w:szCs w:val="16"/>
                <w:color w:val="auto"/>
                <w:w w:val="96"/>
              </w:rPr>
              <w:t>Issuance of shares in connection</w:t>
            </w:r>
          </w:p>
        </w:tc>
        <w:tc>
          <w:tcPr>
            <w:tcW w:w="9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2300" w:type="dxa"/>
            <w:vAlign w:val="bottom"/>
          </w:tcPr>
          <w:p>
            <w:pPr>
              <w:ind w:left="40"/>
              <w:spacing w:after="0"/>
              <w:rPr>
                <w:sz w:val="20"/>
                <w:szCs w:val="20"/>
                <w:color w:val="auto"/>
              </w:rPr>
            </w:pPr>
            <w:r>
              <w:rPr>
                <w:rFonts w:ascii="Arial" w:cs="Arial" w:eastAsia="Arial" w:hAnsi="Arial"/>
                <w:sz w:val="16"/>
                <w:szCs w:val="16"/>
                <w:color w:val="auto"/>
              </w:rPr>
              <w:t>with acquisition</w:t>
            </w:r>
          </w:p>
        </w:tc>
        <w:tc>
          <w:tcPr>
            <w:tcW w:w="940" w:type="dxa"/>
            <w:vAlign w:val="bottom"/>
          </w:tcPr>
          <w:p>
            <w:pPr>
              <w:jc w:val="right"/>
              <w:ind w:right="39"/>
              <w:spacing w:after="0"/>
              <w:rPr>
                <w:sz w:val="20"/>
                <w:szCs w:val="20"/>
                <w:color w:val="auto"/>
              </w:rPr>
            </w:pPr>
            <w:r>
              <w:rPr>
                <w:rFonts w:ascii="Arial" w:cs="Arial" w:eastAsia="Arial" w:hAnsi="Arial"/>
                <w:sz w:val="16"/>
                <w:szCs w:val="16"/>
                <w:color w:val="auto"/>
              </w:rPr>
              <w:t>4,980</w:t>
            </w: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80" w:type="dxa"/>
            <w:vAlign w:val="bottom"/>
          </w:tcPr>
          <w:p>
            <w:pPr>
              <w:jc w:val="right"/>
              <w:ind w:right="39"/>
              <w:spacing w:after="0"/>
              <w:rPr>
                <w:sz w:val="20"/>
                <w:szCs w:val="20"/>
                <w:color w:val="auto"/>
              </w:rPr>
            </w:pPr>
            <w:r>
              <w:rPr>
                <w:rFonts w:ascii="Arial" w:cs="Arial" w:eastAsia="Arial" w:hAnsi="Arial"/>
                <w:sz w:val="16"/>
                <w:szCs w:val="16"/>
                <w:color w:val="auto"/>
              </w:rPr>
              <w:t>5</w:t>
            </w: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245,363</w:t>
            </w:r>
          </w:p>
        </w:tc>
        <w:tc>
          <w:tcPr>
            <w:tcW w:w="120" w:type="dxa"/>
            <w:vAlign w:val="bottom"/>
          </w:tcPr>
          <w:p>
            <w:pPr>
              <w:spacing w:after="0"/>
              <w:rPr>
                <w:sz w:val="17"/>
                <w:szCs w:val="17"/>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140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245,368</w:t>
            </w:r>
          </w:p>
        </w:tc>
        <w:tc>
          <w:tcPr>
            <w:tcW w:w="0" w:type="dxa"/>
            <w:vAlign w:val="bottom"/>
          </w:tcPr>
          <w:p>
            <w:pPr>
              <w:spacing w:after="0"/>
              <w:rPr>
                <w:sz w:val="1"/>
                <w:szCs w:val="1"/>
                <w:color w:val="auto"/>
              </w:rPr>
            </w:pPr>
          </w:p>
        </w:tc>
      </w:tr>
      <w:tr>
        <w:trPr>
          <w:trHeight w:val="33"/>
        </w:trPr>
        <w:tc>
          <w:tcPr>
            <w:tcW w:w="2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0"/>
        </w:trPr>
        <w:tc>
          <w:tcPr>
            <w:tcW w:w="2300" w:type="dxa"/>
            <w:vAlign w:val="bottom"/>
            <w:shd w:val="clear" w:color="auto" w:fill="CCEEFF"/>
          </w:tcPr>
          <w:p>
            <w:pPr>
              <w:ind w:left="40"/>
              <w:spacing w:after="0"/>
              <w:rPr>
                <w:sz w:val="20"/>
                <w:szCs w:val="20"/>
                <w:color w:val="auto"/>
              </w:rPr>
            </w:pPr>
            <w:r>
              <w:rPr>
                <w:rFonts w:ascii="Arial" w:cs="Arial" w:eastAsia="Arial" w:hAnsi="Arial"/>
                <w:sz w:val="16"/>
                <w:szCs w:val="16"/>
                <w:color w:val="auto"/>
              </w:rPr>
              <w:t>Issuance of roll-over options in</w:t>
            </w:r>
          </w:p>
        </w:tc>
        <w:tc>
          <w:tcPr>
            <w:tcW w:w="9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7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9"/>
        </w:trPr>
        <w:tc>
          <w:tcPr>
            <w:tcW w:w="23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connection with acquisition</w:t>
            </w:r>
          </w:p>
        </w:tc>
        <w:tc>
          <w:tcPr>
            <w:tcW w:w="106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19"/>
                <w:szCs w:val="19"/>
                <w:color w:val="auto"/>
              </w:rPr>
            </w:pPr>
          </w:p>
        </w:tc>
        <w:tc>
          <w:tcPr>
            <w:tcW w:w="92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19"/>
                <w:szCs w:val="19"/>
                <w:color w:val="auto"/>
              </w:rPr>
            </w:pPr>
          </w:p>
        </w:tc>
        <w:tc>
          <w:tcPr>
            <w:tcW w:w="9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4,508</w:t>
            </w:r>
          </w:p>
        </w:tc>
        <w:tc>
          <w:tcPr>
            <w:tcW w:w="120" w:type="dxa"/>
            <w:vAlign w:val="bottom"/>
            <w:tcBorders>
              <w:bottom w:val="single" w:sz="8" w:color="CCEEFF"/>
            </w:tcBorders>
            <w:shd w:val="clear" w:color="auto" w:fill="CCEEFF"/>
          </w:tcPr>
          <w:p>
            <w:pPr>
              <w:spacing w:after="0"/>
              <w:rPr>
                <w:sz w:val="19"/>
                <w:szCs w:val="19"/>
                <w:color w:val="auto"/>
              </w:rPr>
            </w:pPr>
          </w:p>
        </w:tc>
        <w:tc>
          <w:tcPr>
            <w:tcW w:w="9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19"/>
                <w:szCs w:val="19"/>
                <w:color w:val="auto"/>
              </w:rPr>
            </w:pPr>
          </w:p>
        </w:tc>
        <w:tc>
          <w:tcPr>
            <w:tcW w:w="8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19"/>
                <w:szCs w:val="19"/>
                <w:color w:val="auto"/>
              </w:rPr>
            </w:pPr>
          </w:p>
        </w:tc>
        <w:tc>
          <w:tcPr>
            <w:tcW w:w="8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19"/>
                <w:szCs w:val="19"/>
                <w:color w:val="auto"/>
              </w:rPr>
            </w:pPr>
          </w:p>
        </w:tc>
        <w:tc>
          <w:tcPr>
            <w:tcW w:w="14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19"/>
                <w:szCs w:val="19"/>
                <w:color w:val="auto"/>
              </w:rPr>
            </w:pPr>
          </w:p>
        </w:tc>
        <w:tc>
          <w:tcPr>
            <w:tcW w:w="1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4,508</w:t>
            </w:r>
          </w:p>
        </w:tc>
        <w:tc>
          <w:tcPr>
            <w:tcW w:w="0" w:type="dxa"/>
            <w:vAlign w:val="bottom"/>
          </w:tcPr>
          <w:p>
            <w:pPr>
              <w:spacing w:after="0"/>
              <w:rPr>
                <w:sz w:val="1"/>
                <w:szCs w:val="1"/>
                <w:color w:val="auto"/>
              </w:rPr>
            </w:pPr>
          </w:p>
        </w:tc>
      </w:tr>
      <w:tr>
        <w:trPr>
          <w:trHeight w:val="220"/>
        </w:trPr>
        <w:tc>
          <w:tcPr>
            <w:tcW w:w="2300" w:type="dxa"/>
            <w:vAlign w:val="bottom"/>
          </w:tcPr>
          <w:p>
            <w:pPr>
              <w:ind w:left="40"/>
              <w:spacing w:after="0"/>
              <w:rPr>
                <w:sz w:val="20"/>
                <w:szCs w:val="20"/>
                <w:color w:val="auto"/>
              </w:rPr>
            </w:pPr>
            <w:r>
              <w:rPr>
                <w:rFonts w:ascii="Arial" w:cs="Arial" w:eastAsia="Arial" w:hAnsi="Arial"/>
                <w:sz w:val="16"/>
                <w:szCs w:val="16"/>
                <w:color w:val="auto"/>
              </w:rPr>
              <w:t>Purchase of non-controlling</w:t>
            </w:r>
          </w:p>
        </w:tc>
        <w:tc>
          <w:tcPr>
            <w:tcW w:w="9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2300" w:type="dxa"/>
            <w:vAlign w:val="bottom"/>
          </w:tcPr>
          <w:p>
            <w:pPr>
              <w:ind w:left="40"/>
              <w:spacing w:after="0"/>
              <w:rPr>
                <w:sz w:val="20"/>
                <w:szCs w:val="20"/>
                <w:color w:val="auto"/>
              </w:rPr>
            </w:pPr>
            <w:r>
              <w:rPr>
                <w:rFonts w:ascii="Arial" w:cs="Arial" w:eastAsia="Arial" w:hAnsi="Arial"/>
                <w:sz w:val="16"/>
                <w:szCs w:val="16"/>
                <w:color w:val="auto"/>
              </w:rPr>
              <w:t>interests in subsidiaries</w:t>
            </w:r>
          </w:p>
        </w:tc>
        <w:tc>
          <w:tcPr>
            <w:tcW w:w="10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92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(16,693)</w:t>
            </w:r>
          </w:p>
        </w:tc>
        <w:tc>
          <w:tcPr>
            <w:tcW w:w="120" w:type="dxa"/>
            <w:vAlign w:val="bottom"/>
          </w:tcPr>
          <w:p>
            <w:pPr>
              <w:spacing w:after="0"/>
              <w:rPr>
                <w:sz w:val="17"/>
                <w:szCs w:val="17"/>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140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(16,693)</w:t>
            </w:r>
          </w:p>
        </w:tc>
        <w:tc>
          <w:tcPr>
            <w:tcW w:w="0" w:type="dxa"/>
            <w:vAlign w:val="bottom"/>
          </w:tcPr>
          <w:p>
            <w:pPr>
              <w:spacing w:after="0"/>
              <w:rPr>
                <w:sz w:val="1"/>
                <w:szCs w:val="1"/>
                <w:color w:val="auto"/>
              </w:rPr>
            </w:pPr>
          </w:p>
        </w:tc>
      </w:tr>
      <w:tr>
        <w:trPr>
          <w:trHeight w:val="33"/>
        </w:trPr>
        <w:tc>
          <w:tcPr>
            <w:tcW w:w="2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3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loss</w:t>
            </w:r>
          </w:p>
        </w:tc>
        <w:tc>
          <w:tcPr>
            <w:tcW w:w="106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9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(7,594)</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(7,594)</w:t>
            </w:r>
          </w:p>
        </w:tc>
        <w:tc>
          <w:tcPr>
            <w:tcW w:w="0" w:type="dxa"/>
            <w:vAlign w:val="bottom"/>
          </w:tcPr>
          <w:p>
            <w:pPr>
              <w:spacing w:after="0"/>
              <w:rPr>
                <w:sz w:val="1"/>
                <w:szCs w:val="1"/>
                <w:color w:val="auto"/>
              </w:rPr>
            </w:pPr>
          </w:p>
        </w:tc>
      </w:tr>
      <w:tr>
        <w:trPr>
          <w:trHeight w:val="220"/>
        </w:trPr>
        <w:tc>
          <w:tcPr>
            <w:tcW w:w="2300" w:type="dxa"/>
            <w:vAlign w:val="bottom"/>
          </w:tcPr>
          <w:p>
            <w:pPr>
              <w:ind w:left="40"/>
              <w:spacing w:after="0"/>
              <w:rPr>
                <w:sz w:val="20"/>
                <w:szCs w:val="20"/>
                <w:color w:val="auto"/>
              </w:rPr>
            </w:pPr>
            <w:r>
              <w:rPr>
                <w:rFonts w:ascii="Arial" w:cs="Arial" w:eastAsia="Arial" w:hAnsi="Arial"/>
                <w:sz w:val="16"/>
                <w:szCs w:val="16"/>
                <w:color w:val="auto"/>
                <w:w w:val="98"/>
              </w:rPr>
              <w:t>Total other comprehensive loss,</w:t>
            </w:r>
          </w:p>
        </w:tc>
        <w:tc>
          <w:tcPr>
            <w:tcW w:w="9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2300" w:type="dxa"/>
            <w:vAlign w:val="bottom"/>
          </w:tcPr>
          <w:p>
            <w:pPr>
              <w:ind w:left="200"/>
              <w:spacing w:after="0"/>
              <w:rPr>
                <w:sz w:val="20"/>
                <w:szCs w:val="20"/>
                <w:color w:val="auto"/>
              </w:rPr>
            </w:pPr>
            <w:r>
              <w:rPr>
                <w:rFonts w:ascii="Arial" w:cs="Arial" w:eastAsia="Arial" w:hAnsi="Arial"/>
                <w:sz w:val="16"/>
                <w:szCs w:val="16"/>
                <w:color w:val="auto"/>
              </w:rPr>
              <w:t>net</w:t>
            </w:r>
          </w:p>
        </w:tc>
        <w:tc>
          <w:tcPr>
            <w:tcW w:w="10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92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104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9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(7,753)</w:t>
            </w: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(7,753)</w:t>
            </w:r>
          </w:p>
        </w:tc>
        <w:tc>
          <w:tcPr>
            <w:tcW w:w="0" w:type="dxa"/>
            <w:vAlign w:val="bottom"/>
          </w:tcPr>
          <w:p>
            <w:pPr>
              <w:spacing w:after="0"/>
              <w:rPr>
                <w:sz w:val="1"/>
                <w:szCs w:val="1"/>
                <w:color w:val="auto"/>
              </w:rPr>
            </w:pPr>
          </w:p>
        </w:tc>
      </w:tr>
      <w:tr>
        <w:trPr>
          <w:trHeight w:val="33"/>
        </w:trPr>
        <w:tc>
          <w:tcPr>
            <w:tcW w:w="2300" w:type="dxa"/>
            <w:vAlign w:val="bottom"/>
            <w:tcBorders>
              <w:bottom w:val="single" w:sz="8" w:color="CCEEFF"/>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23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At January 1, 2016</w:t>
            </w:r>
          </w:p>
        </w:tc>
        <w:tc>
          <w:tcPr>
            <w:tcW w:w="94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30,664</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78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31</w:t>
            </w:r>
          </w:p>
        </w:tc>
        <w:tc>
          <w:tcPr>
            <w:tcW w:w="1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2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620,470</w:t>
            </w:r>
          </w:p>
        </w:tc>
        <w:tc>
          <w:tcPr>
            <w:tcW w:w="1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(63)</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(3,100)</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8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231,854</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30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1,370</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850,625</w:t>
            </w:r>
          </w:p>
        </w:tc>
        <w:tc>
          <w:tcPr>
            <w:tcW w:w="0" w:type="dxa"/>
            <w:vAlign w:val="bottom"/>
          </w:tcPr>
          <w:p>
            <w:pPr>
              <w:spacing w:after="0"/>
              <w:rPr>
                <w:sz w:val="1"/>
                <w:szCs w:val="1"/>
                <w:color w:val="auto"/>
              </w:rPr>
            </w:pPr>
          </w:p>
        </w:tc>
      </w:tr>
      <w:tr>
        <w:trPr>
          <w:trHeight w:val="20"/>
        </w:trPr>
        <w:tc>
          <w:tcPr>
            <w:tcW w:w="230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- 69 -</w:t>
      </w:r>
    </w:p>
    <w:p>
      <w:pPr>
        <w:sectPr>
          <w:pgSz w:w="11900" w:h="16838" w:orient="portrait"/>
          <w:cols w:equalWidth="0" w:num="1">
            <w:col w:w="11420"/>
          </w:cols>
          <w:pgMar w:left="240" w:top="796" w:right="239" w:bottom="1440" w:gutter="0" w:footer="0" w:header="0"/>
        </w:sectPr>
      </w:pPr>
    </w:p>
    <w:bookmarkStart w:id="70" w:name="page71"/>
    <w:bookmarkEnd w:id="70"/>
    <w:p>
      <w:pPr>
        <w:jc w:val="center"/>
        <w:ind w:right="-4"/>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ind w:right="-4"/>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342" w:lineRule="exact"/>
        <w:rPr>
          <w:sz w:val="20"/>
          <w:szCs w:val="20"/>
          <w:color w:val="auto"/>
        </w:rPr>
      </w:pPr>
    </w:p>
    <w:p>
      <w:pPr>
        <w:ind w:left="365" w:hanging="365"/>
        <w:spacing w:after="0"/>
        <w:tabs>
          <w:tab w:leader="none" w:pos="365" w:val="left"/>
        </w:tabs>
        <w:numPr>
          <w:ilvl w:val="0"/>
          <w:numId w:val="34"/>
        </w:numPr>
        <w:rPr>
          <w:rFonts w:ascii="Arial" w:cs="Arial" w:eastAsia="Arial" w:hAnsi="Arial"/>
          <w:sz w:val="18"/>
          <w:szCs w:val="18"/>
          <w:b w:val="1"/>
          <w:bCs w:val="1"/>
          <w:color w:val="auto"/>
        </w:rPr>
      </w:pPr>
      <w:r>
        <w:rPr>
          <w:rFonts w:ascii="Arial" w:cs="Arial" w:eastAsia="Arial" w:hAnsi="Arial"/>
          <w:sz w:val="18"/>
          <w:szCs w:val="18"/>
          <w:b w:val="1"/>
          <w:bCs w:val="1"/>
          <w:color w:val="auto"/>
        </w:rPr>
        <w:t>SUMMARY OF SIGNIFICANT ACCOUNTING POLICIES</w:t>
      </w:r>
    </w:p>
    <w:p>
      <w:pPr>
        <w:spacing w:after="0" w:line="148" w:lineRule="exact"/>
        <w:rPr>
          <w:rFonts w:ascii="Arial" w:cs="Arial" w:eastAsia="Arial" w:hAnsi="Arial"/>
          <w:sz w:val="18"/>
          <w:szCs w:val="18"/>
          <w:b w:val="1"/>
          <w:bCs w:val="1"/>
          <w:color w:val="auto"/>
        </w:rPr>
      </w:pPr>
    </w:p>
    <w:p>
      <w:pPr>
        <w:ind w:left="385" w:right="660"/>
        <w:spacing w:after="0" w:line="342" w:lineRule="auto"/>
        <w:rPr>
          <w:rFonts w:ascii="Arial" w:cs="Arial" w:eastAsia="Arial" w:hAnsi="Arial"/>
          <w:sz w:val="18"/>
          <w:szCs w:val="18"/>
          <w:b w:val="1"/>
          <w:bCs w:val="1"/>
          <w:color w:val="auto"/>
        </w:rPr>
      </w:pPr>
      <w:r>
        <w:rPr>
          <w:rFonts w:ascii="Arial" w:cs="Arial" w:eastAsia="Arial" w:hAnsi="Arial"/>
          <w:sz w:val="16"/>
          <w:szCs w:val="16"/>
          <w:b w:val="1"/>
          <w:bCs w:val="1"/>
          <w:i w:val="1"/>
          <w:iCs w:val="1"/>
          <w:color w:val="auto"/>
        </w:rPr>
        <w:t xml:space="preserve">Principles of Consolidation </w:t>
      </w:r>
      <w:r>
        <w:rPr>
          <w:rFonts w:ascii="Arial" w:cs="Arial" w:eastAsia="Arial" w:hAnsi="Arial"/>
          <w:sz w:val="16"/>
          <w:szCs w:val="16"/>
          <w:color w:val="auto"/>
        </w:rPr>
        <w:t>– The consolidated financial statements include the accounts of Greatbatch, Inc. and its wholly owned subsidiaries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(collectively, the “Company” or “Greatbatch”). All intercompany balances and transactions have been eliminated in consolidation.</w:t>
      </w:r>
    </w:p>
    <w:p>
      <w:pPr>
        <w:spacing w:after="0" w:line="123" w:lineRule="exact"/>
        <w:rPr>
          <w:rFonts w:ascii="Arial" w:cs="Arial" w:eastAsia="Arial" w:hAnsi="Arial"/>
          <w:sz w:val="18"/>
          <w:szCs w:val="18"/>
          <w:b w:val="1"/>
          <w:bCs w:val="1"/>
          <w:color w:val="auto"/>
        </w:rPr>
      </w:pPr>
    </w:p>
    <w:p>
      <w:pPr>
        <w:ind w:left="385"/>
        <w:spacing w:after="0" w:line="289" w:lineRule="auto"/>
        <w:rPr>
          <w:rFonts w:ascii="Arial" w:cs="Arial" w:eastAsia="Arial" w:hAnsi="Arial"/>
          <w:sz w:val="18"/>
          <w:szCs w:val="18"/>
          <w:b w:val="1"/>
          <w:bCs w:val="1"/>
          <w:color w:val="auto"/>
        </w:rPr>
      </w:pPr>
      <w:r>
        <w:rPr>
          <w:rFonts w:ascii="Arial" w:cs="Arial" w:eastAsia="Arial" w:hAnsi="Arial"/>
          <w:sz w:val="16"/>
          <w:szCs w:val="16"/>
          <w:b w:val="1"/>
          <w:bCs w:val="1"/>
          <w:i w:val="1"/>
          <w:iCs w:val="1"/>
          <w:color w:val="auto"/>
        </w:rPr>
        <w:t xml:space="preserve">Nature of Operations </w:t>
      </w:r>
      <w:r>
        <w:rPr>
          <w:rFonts w:ascii="Arial" w:cs="Arial" w:eastAsia="Arial" w:hAnsi="Arial"/>
          <w:sz w:val="16"/>
          <w:szCs w:val="16"/>
          <w:color w:val="auto"/>
        </w:rPr>
        <w:t>– On October 27, 2015, the Company acquired all of the outstanding common stock of Lake Region Medical Holdings, Inc.</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(“Lake Region Medical”) for a total purchase price including debt assumed of approximately $1.77 billion. As a result, the Company now has three reportable segments: Greatbatch Medical, QiG Group (“QiG”), and Lake Region Medical. In February 2016, Greatbatch announced that its Board of Directors has approved the spin-off of a portion of its QiG segment through a tax-free distribution of its QiG Group LLC subsidiary to the stockholders of Greatbatch on a pro rata basis (the “Spin-off”). Immediately prior to completion of the Spin-off, QiG Group LLC will be converted into a corporation organized under the laws of Delaware and change its name to Nuvectra Corporation (“Nuvectra”). The Spin-off is expected to be completed in March 2016. As a result of the Lake Region Medical acquisition and the pending Spin-off, the Company is reevaluating its operating and reporting segments, which is expected to be finalized in 2016 once the corporate and management reporting structure realignment is completed. Note 19 “Business Segment, Geographic and Concentration Risk Information” contains additional information on our reporting segments.</w:t>
      </w:r>
    </w:p>
    <w:p>
      <w:pPr>
        <w:spacing w:after="0" w:line="166" w:lineRule="exact"/>
        <w:rPr>
          <w:rFonts w:ascii="Arial" w:cs="Arial" w:eastAsia="Arial" w:hAnsi="Arial"/>
          <w:sz w:val="18"/>
          <w:szCs w:val="18"/>
          <w:b w:val="1"/>
          <w:bCs w:val="1"/>
          <w:color w:val="auto"/>
        </w:rPr>
      </w:pPr>
    </w:p>
    <w:p>
      <w:pPr>
        <w:ind w:left="385" w:right="80"/>
        <w:spacing w:after="0" w:line="259" w:lineRule="auto"/>
        <w:rPr>
          <w:rFonts w:ascii="Arial" w:cs="Arial" w:eastAsia="Arial" w:hAnsi="Arial"/>
          <w:sz w:val="18"/>
          <w:szCs w:val="18"/>
          <w:b w:val="1"/>
          <w:bCs w:val="1"/>
          <w:color w:val="auto"/>
        </w:rPr>
      </w:pPr>
      <w:r>
        <w:rPr>
          <w:rFonts w:ascii="Arial" w:cs="Arial" w:eastAsia="Arial" w:hAnsi="Arial"/>
          <w:sz w:val="18"/>
          <w:szCs w:val="18"/>
          <w:color w:val="auto"/>
        </w:rPr>
        <w:t>Simultaneous with the close of the Lake Region Medical acquisition, the Company also announced its intention to rename the combined entity Integer Holdings Corporation. Integer is defined as complete, whole, and comprehensive, and represents the joining of Greatbatch and Lake Region Medical as well as the combined company's product and service offerings provided to customers. The new name is subject to Greatbatch shareholder approval at the May 2016 annual meeting.</w:t>
      </w:r>
    </w:p>
    <w:p>
      <w:pPr>
        <w:spacing w:after="0" w:line="186" w:lineRule="exact"/>
        <w:rPr>
          <w:rFonts w:ascii="Arial" w:cs="Arial" w:eastAsia="Arial" w:hAnsi="Arial"/>
          <w:sz w:val="18"/>
          <w:szCs w:val="18"/>
          <w:b w:val="1"/>
          <w:bCs w:val="1"/>
          <w:color w:val="auto"/>
        </w:rPr>
      </w:pPr>
    </w:p>
    <w:p>
      <w:pPr>
        <w:ind w:left="385" w:right="40"/>
        <w:spacing w:after="0" w:line="259" w:lineRule="auto"/>
        <w:rPr>
          <w:rFonts w:ascii="Arial" w:cs="Arial" w:eastAsia="Arial" w:hAnsi="Arial"/>
          <w:sz w:val="18"/>
          <w:szCs w:val="18"/>
          <w:b w:val="1"/>
          <w:bCs w:val="1"/>
          <w:color w:val="auto"/>
        </w:rPr>
      </w:pPr>
      <w:r>
        <w:rPr>
          <w:rFonts w:ascii="Arial" w:cs="Arial" w:eastAsia="Arial" w:hAnsi="Arial"/>
          <w:sz w:val="18"/>
          <w:szCs w:val="18"/>
          <w:color w:val="auto"/>
        </w:rPr>
        <w:t>Greatbatch Medical designs and manufactures products where Greatbatch either owns the intellectual property or has unique manufacturing and assembly expertise. These products include medical devices and components for the cardiac, neuromodulation, orthopaedics, portable medical, vascular and energy markets among others. The Greatbatch Medical segment also offers value-added assembly and design engineering services for medical devices that utilize its component products.</w:t>
      </w:r>
    </w:p>
    <w:p>
      <w:pPr>
        <w:spacing w:after="0" w:line="186" w:lineRule="exact"/>
        <w:rPr>
          <w:rFonts w:ascii="Arial" w:cs="Arial" w:eastAsia="Arial" w:hAnsi="Arial"/>
          <w:sz w:val="18"/>
          <w:szCs w:val="18"/>
          <w:b w:val="1"/>
          <w:bCs w:val="1"/>
          <w:color w:val="auto"/>
        </w:rPr>
      </w:pPr>
    </w:p>
    <w:p>
      <w:pPr>
        <w:ind w:left="385" w:right="40"/>
        <w:spacing w:after="0" w:line="290" w:lineRule="auto"/>
        <w:rPr>
          <w:rFonts w:ascii="Arial" w:cs="Arial" w:eastAsia="Arial" w:hAnsi="Arial"/>
          <w:sz w:val="18"/>
          <w:szCs w:val="18"/>
          <w:b w:val="1"/>
          <w:bCs w:val="1"/>
          <w:color w:val="auto"/>
        </w:rPr>
      </w:pPr>
      <w:r>
        <w:rPr>
          <w:rFonts w:ascii="Arial" w:cs="Arial" w:eastAsia="Arial" w:hAnsi="Arial"/>
          <w:sz w:val="16"/>
          <w:szCs w:val="16"/>
          <w:color w:val="auto"/>
        </w:rPr>
        <w:t>The QiG segment focuses on the design and development of medical device systems and components. QiG is in the process of developing applications for its neurostimulation technology platform for emerging indications such as spinal cord stimulation (“SCS”), sacral nerve stimulation (“SNS”), and deep brain stimulation (“DBS”), among others. QiG’s Algostim, LLC (“Algostim”) subsidiary is focused on the development and commercialization of its Algovita SCS system (“Algovita”), the first application of its neurostimulation technology platform and received PMA approval in the fourth quarter of 2015. QiG’s PelviStim LLC (“PelviStim”) subsidiary is focused on the commercialization of QiG’s neurostimulation technology platform for SNS. The QiG segment also includes NeuroNexus Technologies, Inc. (“NeuroNexus”), and Centro de Construcción de Cardioestimuladores del Uruguay (“CCC”). The Spin-off is expected to consist of QiG Group LLC and its subsidiaries Algostim, PelviStim and NeuroNexus. The operations of CCC and certain other existing QiG research and development capabilities will be retained and not included as part of the Spin-off.</w:t>
      </w:r>
    </w:p>
    <w:p>
      <w:pPr>
        <w:spacing w:after="0" w:line="166" w:lineRule="exact"/>
        <w:rPr>
          <w:rFonts w:ascii="Arial" w:cs="Arial" w:eastAsia="Arial" w:hAnsi="Arial"/>
          <w:sz w:val="18"/>
          <w:szCs w:val="18"/>
          <w:b w:val="1"/>
          <w:bCs w:val="1"/>
          <w:color w:val="auto"/>
        </w:rPr>
      </w:pPr>
    </w:p>
    <w:p>
      <w:pPr>
        <w:ind w:left="385" w:right="40"/>
        <w:spacing w:after="0" w:line="302" w:lineRule="auto"/>
        <w:rPr>
          <w:rFonts w:ascii="Arial" w:cs="Arial" w:eastAsia="Arial" w:hAnsi="Arial"/>
          <w:sz w:val="18"/>
          <w:szCs w:val="18"/>
          <w:b w:val="1"/>
          <w:bCs w:val="1"/>
          <w:color w:val="auto"/>
        </w:rPr>
      </w:pPr>
      <w:r>
        <w:rPr>
          <w:rFonts w:ascii="Arial" w:cs="Arial" w:eastAsia="Arial" w:hAnsi="Arial"/>
          <w:sz w:val="16"/>
          <w:szCs w:val="16"/>
          <w:color w:val="auto"/>
        </w:rPr>
        <w:t>Lake Region Medical has operated as a new segment for Greatbatch since it was acquired during the fourth quarter of 2015. This segment specializes in the design, development, and manufacturing of products across the medical component and device spectrum, primarily serving the cardio, vascular and advanced surgical markets. Lake Region Medical offers fully integrated outsourced manufacturing, regulatory and engineering services, contract manufacturing, finished device assembly services, original device development, and supply chain management to its customers.</w:t>
      </w:r>
    </w:p>
    <w:p>
      <w:pPr>
        <w:spacing w:after="0" w:line="154" w:lineRule="exact"/>
        <w:rPr>
          <w:rFonts w:ascii="Arial" w:cs="Arial" w:eastAsia="Arial" w:hAnsi="Arial"/>
          <w:sz w:val="18"/>
          <w:szCs w:val="18"/>
          <w:b w:val="1"/>
          <w:bCs w:val="1"/>
          <w:color w:val="auto"/>
        </w:rPr>
      </w:pPr>
    </w:p>
    <w:p>
      <w:pPr>
        <w:ind w:left="385"/>
        <w:spacing w:after="0"/>
        <w:rPr>
          <w:rFonts w:ascii="Arial" w:cs="Arial" w:eastAsia="Arial" w:hAnsi="Arial"/>
          <w:sz w:val="18"/>
          <w:szCs w:val="18"/>
          <w:b w:val="1"/>
          <w:bCs w:val="1"/>
          <w:color w:val="auto"/>
        </w:rPr>
      </w:pPr>
      <w:r>
        <w:rPr>
          <w:rFonts w:ascii="Arial" w:cs="Arial" w:eastAsia="Arial" w:hAnsi="Arial"/>
          <w:sz w:val="18"/>
          <w:szCs w:val="18"/>
          <w:color w:val="auto"/>
        </w:rPr>
        <w:t>The Company’s customers include large multi-national original equipment manufacturers (“OEMs”) and their affiliated subsidiaries.</w:t>
      </w:r>
    </w:p>
    <w:p>
      <w:pPr>
        <w:spacing w:after="0" w:line="225" w:lineRule="exact"/>
        <w:rPr>
          <w:rFonts w:ascii="Arial" w:cs="Arial" w:eastAsia="Arial" w:hAnsi="Arial"/>
          <w:sz w:val="18"/>
          <w:szCs w:val="18"/>
          <w:b w:val="1"/>
          <w:bCs w:val="1"/>
          <w:color w:val="auto"/>
        </w:rPr>
      </w:pPr>
    </w:p>
    <w:p>
      <w:pPr>
        <w:ind w:left="385" w:right="60"/>
        <w:spacing w:after="0" w:line="264" w:lineRule="auto"/>
        <w:rPr>
          <w:rFonts w:ascii="Arial" w:cs="Arial" w:eastAsia="Arial" w:hAnsi="Arial"/>
          <w:sz w:val="18"/>
          <w:szCs w:val="18"/>
          <w:b w:val="1"/>
          <w:bCs w:val="1"/>
          <w:color w:val="auto"/>
        </w:rPr>
      </w:pPr>
      <w:r>
        <w:rPr>
          <w:rFonts w:ascii="Arial" w:cs="Arial" w:eastAsia="Arial" w:hAnsi="Arial"/>
          <w:sz w:val="18"/>
          <w:szCs w:val="18"/>
          <w:b w:val="1"/>
          <w:bCs w:val="1"/>
          <w:i w:val="1"/>
          <w:iCs w:val="1"/>
          <w:color w:val="auto"/>
        </w:rPr>
        <w:t xml:space="preserve">Fiscal Year End </w:t>
      </w:r>
      <w:r>
        <w:rPr>
          <w:rFonts w:ascii="Arial" w:cs="Arial" w:eastAsia="Arial" w:hAnsi="Arial"/>
          <w:sz w:val="18"/>
          <w:szCs w:val="18"/>
          <w:color w:val="auto"/>
        </w:rPr>
        <w:t>– The Company utilizes a fifty-two, fifty-three week fiscal year ending on the Friday nearest December 31. Fiscal years 2015, 2014</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and 2013 ended on January 1, 2016, January 2, 2015 and January 3, 2014. Fiscal years 2015 and 2014 each contained fifty-two weeks, while fiscal year 2013 contained fifty-three weeks.</w:t>
      </w:r>
    </w:p>
    <w:p>
      <w:pPr>
        <w:spacing w:after="0" w:line="181" w:lineRule="exact"/>
        <w:rPr>
          <w:rFonts w:ascii="Arial" w:cs="Arial" w:eastAsia="Arial" w:hAnsi="Arial"/>
          <w:sz w:val="18"/>
          <w:szCs w:val="18"/>
          <w:b w:val="1"/>
          <w:bCs w:val="1"/>
          <w:color w:val="auto"/>
        </w:rPr>
      </w:pPr>
    </w:p>
    <w:p>
      <w:pPr>
        <w:ind w:left="385"/>
        <w:spacing w:after="0" w:line="259" w:lineRule="auto"/>
        <w:rPr>
          <w:rFonts w:ascii="Arial" w:cs="Arial" w:eastAsia="Arial" w:hAnsi="Arial"/>
          <w:sz w:val="18"/>
          <w:szCs w:val="18"/>
          <w:b w:val="1"/>
          <w:bCs w:val="1"/>
          <w:color w:val="auto"/>
        </w:rPr>
      </w:pPr>
      <w:r>
        <w:rPr>
          <w:rFonts w:ascii="Arial" w:cs="Arial" w:eastAsia="Arial" w:hAnsi="Arial"/>
          <w:sz w:val="18"/>
          <w:szCs w:val="18"/>
          <w:b w:val="1"/>
          <w:bCs w:val="1"/>
          <w:i w:val="1"/>
          <w:iCs w:val="1"/>
          <w:color w:val="auto"/>
        </w:rPr>
        <w:t xml:space="preserve">Fair Value Measurements </w:t>
      </w:r>
      <w:r>
        <w:rPr>
          <w:rFonts w:ascii="Arial" w:cs="Arial" w:eastAsia="Arial" w:hAnsi="Arial"/>
          <w:sz w:val="18"/>
          <w:szCs w:val="18"/>
          <w:color w:val="auto"/>
        </w:rPr>
        <w:t>– Fair value is defined as the price that would be received to sell an asset or paid to transfer a liability (i.e</w:t>
      </w:r>
      <w:r>
        <w:rPr>
          <w:rFonts w:ascii="Arial" w:cs="Arial" w:eastAsia="Arial" w:hAnsi="Arial"/>
          <w:sz w:val="18"/>
          <w:szCs w:val="18"/>
          <w:i w:val="1"/>
          <w:iCs w:val="1"/>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the “exit price”) in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 xml:space="preserve">an orderly transaction between market participants at the measurement date. Accounting Standards Codification (“ASC”) 820, </w:t>
      </w:r>
      <w:r>
        <w:rPr>
          <w:rFonts w:ascii="Arial" w:cs="Arial" w:eastAsia="Arial" w:hAnsi="Arial"/>
          <w:sz w:val="18"/>
          <w:szCs w:val="18"/>
          <w:i w:val="1"/>
          <w:iCs w:val="1"/>
          <w:color w:val="auto"/>
        </w:rPr>
        <w:t>Fair Value</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Measurements, </w:t>
      </w:r>
      <w:r>
        <w:rPr>
          <w:rFonts w:ascii="Arial" w:cs="Arial" w:eastAsia="Arial" w:hAnsi="Arial"/>
          <w:sz w:val="18"/>
          <w:szCs w:val="18"/>
          <w:color w:val="auto"/>
        </w:rPr>
        <w:t>establishes a hierarchy for inputs used in measuring fair value that maximizes the use of observable inputs and minimizes the use of</w:t>
      </w:r>
      <w:r>
        <w:rPr>
          <w:rFonts w:ascii="Arial" w:cs="Arial" w:eastAsia="Arial" w:hAnsi="Arial"/>
          <w:sz w:val="18"/>
          <w:szCs w:val="18"/>
          <w:i w:val="1"/>
          <w:iCs w:val="1"/>
          <w:color w:val="auto"/>
        </w:rPr>
        <w:t xml:space="preserve"> </w:t>
      </w:r>
      <w:r>
        <w:rPr>
          <w:rFonts w:ascii="Arial" w:cs="Arial" w:eastAsia="Arial" w:hAnsi="Arial"/>
          <w:sz w:val="18"/>
          <w:szCs w:val="18"/>
          <w:color w:val="auto"/>
        </w:rPr>
        <w:t>unobservable inputs by requiring that the most</w:t>
      </w:r>
    </w:p>
    <w:p>
      <w:pPr>
        <w:spacing w:after="0" w:line="321" w:lineRule="exact"/>
        <w:rPr>
          <w:rFonts w:ascii="Arial" w:cs="Arial" w:eastAsia="Arial" w:hAnsi="Arial"/>
          <w:sz w:val="18"/>
          <w:szCs w:val="18"/>
          <w:b w:val="1"/>
          <w:bCs w:val="1"/>
          <w:color w:val="auto"/>
        </w:rPr>
      </w:pPr>
    </w:p>
    <w:p>
      <w:pPr>
        <w:ind w:left="5585" w:hanging="101"/>
        <w:spacing w:after="0"/>
        <w:tabs>
          <w:tab w:leader="none" w:pos="5585" w:val="left"/>
        </w:tabs>
        <w:numPr>
          <w:ilvl w:val="1"/>
          <w:numId w:val="34"/>
        </w:numPr>
        <w:rPr>
          <w:rFonts w:ascii="Arial" w:cs="Arial" w:eastAsia="Arial" w:hAnsi="Arial"/>
          <w:sz w:val="18"/>
          <w:szCs w:val="18"/>
          <w:color w:val="auto"/>
        </w:rPr>
      </w:pPr>
      <w:r>
        <w:rPr>
          <w:rFonts w:ascii="Arial" w:cs="Arial" w:eastAsia="Arial" w:hAnsi="Arial"/>
          <w:sz w:val="18"/>
          <w:szCs w:val="18"/>
          <w:color w:val="auto"/>
        </w:rPr>
        <w:t>70 -</w:t>
      </w:r>
    </w:p>
    <w:p>
      <w:pPr>
        <w:sectPr>
          <w:pgSz w:w="11900" w:h="16838" w:orient="portrait"/>
          <w:cols w:equalWidth="0" w:num="1">
            <w:col w:w="11365"/>
          </w:cols>
          <w:pgMar w:left="275" w:top="796" w:right="259" w:bottom="1440" w:gutter="0" w:footer="0" w:header="0"/>
        </w:sectPr>
      </w:pPr>
    </w:p>
    <w:bookmarkStart w:id="71" w:name="page72"/>
    <w:bookmarkEnd w:id="71"/>
    <w:p>
      <w:pPr>
        <w:jc w:val="center"/>
        <w:ind w:right="400"/>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ind w:right="40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right="60"/>
        <w:spacing w:after="0" w:line="279" w:lineRule="auto"/>
        <w:rPr>
          <w:sz w:val="20"/>
          <w:szCs w:val="20"/>
          <w:color w:val="auto"/>
        </w:rPr>
      </w:pPr>
      <w:r>
        <w:rPr>
          <w:rFonts w:ascii="Arial" w:cs="Arial" w:eastAsia="Arial" w:hAnsi="Arial"/>
          <w:sz w:val="17"/>
          <w:szCs w:val="17"/>
          <w:color w:val="auto"/>
        </w:rPr>
        <w:t>observable inputs be used when available. Observable inputs are inputs that market participants would use in pricing the asset or liability developed based on market data obtained from sources independent of the Company. Unobservable inputs are inputs that reflect the Company’s assumptions about the assumptions market participants would use in pricing the asset or liability developed based on the best information available in the circumstances. The hierarchy is broken down into three levels based on the reliability of inputs as follows:</w:t>
      </w:r>
    </w:p>
    <w:p>
      <w:pPr>
        <w:spacing w:after="0" w:line="171" w:lineRule="exact"/>
        <w:rPr>
          <w:sz w:val="20"/>
          <w:szCs w:val="20"/>
          <w:color w:val="auto"/>
        </w:rPr>
      </w:pPr>
    </w:p>
    <w:p>
      <w:pPr>
        <w:ind w:right="460"/>
        <w:spacing w:after="0" w:line="277" w:lineRule="auto"/>
        <w:rPr>
          <w:sz w:val="20"/>
          <w:szCs w:val="20"/>
          <w:color w:val="auto"/>
        </w:rPr>
      </w:pPr>
      <w:r>
        <w:rPr>
          <w:rFonts w:ascii="Arial" w:cs="Arial" w:eastAsia="Arial" w:hAnsi="Arial"/>
          <w:sz w:val="18"/>
          <w:szCs w:val="18"/>
          <w:u w:val="single" w:color="auto"/>
          <w:color w:val="auto"/>
        </w:rPr>
        <w:t>Level 1</w:t>
      </w:r>
      <w:r>
        <w:rPr>
          <w:rFonts w:ascii="Arial" w:cs="Arial" w:eastAsia="Arial" w:hAnsi="Arial"/>
          <w:sz w:val="18"/>
          <w:szCs w:val="18"/>
          <w:color w:val="auto"/>
        </w:rPr>
        <w:t xml:space="preserve"> – Valuation is based on quoted prices in active markets for identical assets or liabilities that the Company has the ability to access. Level 1 valuations do not entail a significant degree of judgment.</w:t>
      </w:r>
    </w:p>
    <w:p>
      <w:pPr>
        <w:spacing w:after="0" w:line="170"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u w:val="single" w:color="auto"/>
          <w:color w:val="auto"/>
        </w:rPr>
        <w:t>Level 2</w:t>
      </w:r>
      <w:r>
        <w:rPr>
          <w:rFonts w:ascii="Arial" w:cs="Arial" w:eastAsia="Arial" w:hAnsi="Arial"/>
          <w:sz w:val="18"/>
          <w:szCs w:val="18"/>
          <w:color w:val="auto"/>
        </w:rPr>
        <w:t xml:space="preserve"> – Valuation is determined from quoted prices for similar assets or liabilities in active markets, quoted prices for identical instruments in markets that are not active or by model-based techniques in which all significant inputs are observable in the market.</w:t>
      </w:r>
    </w:p>
    <w:p>
      <w:pPr>
        <w:spacing w:after="0" w:line="170"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u w:val="single" w:color="auto"/>
          <w:color w:val="auto"/>
        </w:rPr>
        <w:t>Level 3</w:t>
      </w:r>
      <w:r>
        <w:rPr>
          <w:rFonts w:ascii="Arial" w:cs="Arial" w:eastAsia="Arial" w:hAnsi="Arial"/>
          <w:sz w:val="18"/>
          <w:szCs w:val="18"/>
          <w:color w:val="auto"/>
        </w:rPr>
        <w:t xml:space="preserve"> – Valuation is based on unobservable inputs that are significant to the overall fair value measurement. The degree of judgment in determining fair value is greatest for Level 3 valuations.</w:t>
      </w:r>
    </w:p>
    <w:p>
      <w:pPr>
        <w:spacing w:after="0" w:line="170" w:lineRule="exact"/>
        <w:rPr>
          <w:sz w:val="20"/>
          <w:szCs w:val="20"/>
          <w:color w:val="auto"/>
        </w:rPr>
      </w:pPr>
    </w:p>
    <w:p>
      <w:pPr>
        <w:spacing w:after="0" w:line="297" w:lineRule="auto"/>
        <w:rPr>
          <w:sz w:val="20"/>
          <w:szCs w:val="20"/>
          <w:color w:val="auto"/>
        </w:rPr>
      </w:pPr>
      <w:r>
        <w:rPr>
          <w:rFonts w:ascii="Arial" w:cs="Arial" w:eastAsia="Arial" w:hAnsi="Arial"/>
          <w:sz w:val="16"/>
          <w:szCs w:val="16"/>
          <w:color w:val="auto"/>
        </w:rPr>
        <w:t>The availability of observable inputs can vary and is affected by a wide variety of factors, including, the type of asset/liability, whether the asset/liability is established in the marketplace, and other characteristics particular to the valuation. To the extent that a valuation is based on models or inputs that are less observable or unobservable in the market, the determination of fair value requires more judgment. In certain cases, the inputs used to measure fair value may fall into different levels of the fair value hierarchy. In such cases, for disclosure purposes the level in the fair value hierarchy within which the fair value measurement in its entirety falls is determined based on the lowest level input that is significant to the fair value measurement in its entirety.</w:t>
      </w:r>
    </w:p>
    <w:p>
      <w:pPr>
        <w:spacing w:after="0" w:line="158" w:lineRule="exact"/>
        <w:rPr>
          <w:sz w:val="20"/>
          <w:szCs w:val="20"/>
          <w:color w:val="auto"/>
        </w:rPr>
      </w:pPr>
    </w:p>
    <w:p>
      <w:pPr>
        <w:jc w:val="both"/>
        <w:ind w:right="180"/>
        <w:spacing w:after="0" w:line="259" w:lineRule="auto"/>
        <w:rPr>
          <w:sz w:val="20"/>
          <w:szCs w:val="20"/>
          <w:color w:val="auto"/>
        </w:rPr>
      </w:pPr>
      <w:r>
        <w:rPr>
          <w:rFonts w:ascii="Arial" w:cs="Arial" w:eastAsia="Arial" w:hAnsi="Arial"/>
          <w:sz w:val="18"/>
          <w:szCs w:val="18"/>
          <w:color w:val="auto"/>
        </w:rPr>
        <w:t>Fair value is a market-based measure considered from the perspective of a market participant rather than an entity-specific measure. Therefore, even when market assumptions are not readily available, assumptions are required to reflect those that market participants would use in pricing the asset or liability at the measurement date. Note 18 “Fair Value Measurements” contains additional information on assets and liabilities recorded at fair value in the consolidated financial statements.</w:t>
      </w:r>
    </w:p>
    <w:p>
      <w:pPr>
        <w:spacing w:after="0" w:line="187" w:lineRule="exact"/>
        <w:rPr>
          <w:sz w:val="20"/>
          <w:szCs w:val="20"/>
          <w:color w:val="auto"/>
        </w:rPr>
      </w:pPr>
    </w:p>
    <w:p>
      <w:pPr>
        <w:ind w:right="180"/>
        <w:spacing w:after="0" w:line="264" w:lineRule="auto"/>
        <w:rPr>
          <w:sz w:val="20"/>
          <w:szCs w:val="20"/>
          <w:color w:val="auto"/>
        </w:rPr>
      </w:pPr>
      <w:r>
        <w:rPr>
          <w:rFonts w:ascii="Arial" w:cs="Arial" w:eastAsia="Arial" w:hAnsi="Arial"/>
          <w:sz w:val="18"/>
          <w:szCs w:val="18"/>
          <w:b w:val="1"/>
          <w:bCs w:val="1"/>
          <w:i w:val="1"/>
          <w:iCs w:val="1"/>
          <w:color w:val="auto"/>
        </w:rPr>
        <w:t xml:space="preserve">Cash and Cash Equivalents </w:t>
      </w:r>
      <w:r>
        <w:rPr>
          <w:rFonts w:ascii="Arial" w:cs="Arial" w:eastAsia="Arial" w:hAnsi="Arial"/>
          <w:sz w:val="18"/>
          <w:szCs w:val="18"/>
          <w:color w:val="auto"/>
        </w:rPr>
        <w:t>– Cash and cash equivalents consist of cash and highly liquid, short-term investments with maturities at the time of</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purchase of three months or less. The carrying amount of cash and cash equivalents approximated their fair value as of January 1, 2016 and January 2, 2015 based upon the short-term nature of these instruments.</w:t>
      </w:r>
    </w:p>
    <w:p>
      <w:pPr>
        <w:spacing w:after="0" w:line="181" w:lineRule="exact"/>
        <w:rPr>
          <w:sz w:val="20"/>
          <w:szCs w:val="20"/>
          <w:color w:val="auto"/>
        </w:rPr>
      </w:pPr>
    </w:p>
    <w:p>
      <w:pPr>
        <w:spacing w:after="0" w:line="255" w:lineRule="auto"/>
        <w:rPr>
          <w:sz w:val="20"/>
          <w:szCs w:val="20"/>
          <w:color w:val="auto"/>
        </w:rPr>
      </w:pPr>
      <w:r>
        <w:rPr>
          <w:rFonts w:ascii="Arial" w:cs="Arial" w:eastAsia="Arial" w:hAnsi="Arial"/>
          <w:sz w:val="18"/>
          <w:szCs w:val="18"/>
          <w:b w:val="1"/>
          <w:bCs w:val="1"/>
          <w:i w:val="1"/>
          <w:iCs w:val="1"/>
          <w:color w:val="auto"/>
        </w:rPr>
        <w:t xml:space="preserve">Concentration of Credit Risk </w:t>
      </w:r>
      <w:r>
        <w:rPr>
          <w:rFonts w:ascii="Arial" w:cs="Arial" w:eastAsia="Arial" w:hAnsi="Arial"/>
          <w:sz w:val="18"/>
          <w:szCs w:val="18"/>
          <w:color w:val="auto"/>
        </w:rPr>
        <w:t>– Financial instruments that potentially subject the Company to concentration of credit risk consist principally of accounts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receivable. A significant portion of the Company’s sales and/or accounts receivable are to four customers, all in the medical device industry, and, as such, the Company is directly affected by the condition of those customers and that industry. However, the credit risk associated with trade receivables is partially mitigated due to the stability of those customers. The Company performs on-going credit evaluations of its customers. Note 19 “Business Segment, Geographic and Concentration Risk Information” contains information on sales and accounts receivable for these customers. The Company maintains cash deposits with major banks, which from time to time may exceed insured limits. The Company performs on-going credit evaluations of its banks.</w:t>
      </w:r>
    </w:p>
    <w:p>
      <w:pPr>
        <w:spacing w:after="0" w:line="189" w:lineRule="exact"/>
        <w:rPr>
          <w:sz w:val="20"/>
          <w:szCs w:val="20"/>
          <w:color w:val="auto"/>
        </w:rPr>
      </w:pPr>
    </w:p>
    <w:p>
      <w:pPr>
        <w:ind w:right="40"/>
        <w:spacing w:after="0" w:line="255" w:lineRule="auto"/>
        <w:rPr>
          <w:sz w:val="20"/>
          <w:szCs w:val="20"/>
          <w:color w:val="auto"/>
        </w:rPr>
      </w:pPr>
      <w:r>
        <w:rPr>
          <w:rFonts w:ascii="Arial" w:cs="Arial" w:eastAsia="Arial" w:hAnsi="Arial"/>
          <w:sz w:val="18"/>
          <w:szCs w:val="18"/>
          <w:b w:val="1"/>
          <w:bCs w:val="1"/>
          <w:i w:val="1"/>
          <w:iCs w:val="1"/>
          <w:color w:val="auto"/>
        </w:rPr>
        <w:t xml:space="preserve">Allowance for Doubtful Accounts </w:t>
      </w:r>
      <w:r>
        <w:rPr>
          <w:rFonts w:ascii="Arial" w:cs="Arial" w:eastAsia="Arial" w:hAnsi="Arial"/>
          <w:sz w:val="18"/>
          <w:szCs w:val="18"/>
          <w:color w:val="auto"/>
        </w:rPr>
        <w:t>– The Company provides credit, in the normal course of business, to its customers in the form of trade receivables.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Credit is extended based on evaluation of a customer’s financial condition and collateral is not required. The Company maintains an allowance for those customer receivables that it does not expect to collect. The Company accrues its estimated losses from uncollectable accounts receivable to the allowance based upon recent historical experience, the length of time the receivable has been outstanding and other specific information as it becomes available. Provisions to the allowance for doubtful accounts are charged to current operating expenses. Actual losses are charged against this allowance when incurred. The carrying amount of trade receivables approximated their fair value as of January 1, 2016 and January 2, 2015 based upon the short-term nature of these assets.</w:t>
      </w:r>
    </w:p>
    <w:p>
      <w:pPr>
        <w:spacing w:after="0" w:line="189" w:lineRule="exact"/>
        <w:rPr>
          <w:sz w:val="20"/>
          <w:szCs w:val="20"/>
          <w:color w:val="auto"/>
        </w:rPr>
      </w:pPr>
    </w:p>
    <w:p>
      <w:pPr>
        <w:ind w:right="100"/>
        <w:spacing w:after="0" w:line="259" w:lineRule="auto"/>
        <w:rPr>
          <w:sz w:val="20"/>
          <w:szCs w:val="20"/>
          <w:color w:val="auto"/>
        </w:rPr>
      </w:pPr>
      <w:r>
        <w:rPr>
          <w:rFonts w:ascii="Arial" w:cs="Arial" w:eastAsia="Arial" w:hAnsi="Arial"/>
          <w:sz w:val="18"/>
          <w:szCs w:val="18"/>
          <w:b w:val="1"/>
          <w:bCs w:val="1"/>
          <w:i w:val="1"/>
          <w:iCs w:val="1"/>
          <w:color w:val="auto"/>
        </w:rPr>
        <w:t xml:space="preserve">Inventories </w:t>
      </w:r>
      <w:r>
        <w:rPr>
          <w:rFonts w:ascii="Arial" w:cs="Arial" w:eastAsia="Arial" w:hAnsi="Arial"/>
          <w:sz w:val="18"/>
          <w:szCs w:val="18"/>
          <w:color w:val="auto"/>
        </w:rPr>
        <w:t>– Inventories are stated at the lower of cost, determined using the first-in first-out method, or market. Write-downs for excess, obsolete or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expired inventory are based primarily on how long the inventory has been held as well as estimates of forecasted net sales of that product. A significant change in the timing or level of demand for products may result in recording additional write-downs for excess, obsolete or expired inventory in the future. Note 4 “Inventories” contains additional information on the Company’s inventory.</w:t>
      </w:r>
    </w:p>
    <w:p>
      <w:pPr>
        <w:spacing w:after="0" w:line="187" w:lineRule="exact"/>
        <w:rPr>
          <w:sz w:val="20"/>
          <w:szCs w:val="20"/>
          <w:color w:val="auto"/>
        </w:rPr>
      </w:pPr>
    </w:p>
    <w:p>
      <w:pPr>
        <w:ind w:right="20"/>
        <w:spacing w:after="0" w:line="302" w:lineRule="auto"/>
        <w:rPr>
          <w:sz w:val="20"/>
          <w:szCs w:val="20"/>
          <w:color w:val="auto"/>
        </w:rPr>
      </w:pPr>
      <w:r>
        <w:rPr>
          <w:rFonts w:ascii="Arial" w:cs="Arial" w:eastAsia="Arial" w:hAnsi="Arial"/>
          <w:sz w:val="16"/>
          <w:szCs w:val="16"/>
          <w:b w:val="1"/>
          <w:bCs w:val="1"/>
          <w:i w:val="1"/>
          <w:iCs w:val="1"/>
          <w:color w:val="auto"/>
        </w:rPr>
        <w:t xml:space="preserve">Property, Plant and Equipment (“PP&amp;E”) </w:t>
      </w:r>
      <w:r>
        <w:rPr>
          <w:rFonts w:ascii="Arial" w:cs="Arial" w:eastAsia="Arial" w:hAnsi="Arial"/>
          <w:sz w:val="16"/>
          <w:szCs w:val="16"/>
          <w:color w:val="auto"/>
        </w:rPr>
        <w:t>– PP&amp;E is carried at cost less accumulated depreciation. Depreciation is computed by the straight-line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method over the estimated useful lives of the assets, as follows: buildings and building improvements 7-40 years; machinery and equipment 3-10 years; office equipment 3-10 years; and leasehold improvements over the remaining lives of the improvements or the lease term, if less. The cost of repairs and maintenance are expensed as incurred; renewals and betterments are capitalized. Upon retirement or sale of an asset, its cost and related</w:t>
      </w:r>
    </w:p>
    <w:p>
      <w:pPr>
        <w:sectPr>
          <w:pgSz w:w="11900" w:h="16838" w:orient="portrait"/>
          <w:cols w:equalWidth="0" w:num="1">
            <w:col w:w="11000"/>
          </w:cols>
          <w:pgMar w:left="660" w:top="337" w:right="239" w:bottom="1440" w:gutter="0" w:footer="0" w:header="0"/>
        </w:sectPr>
      </w:pPr>
    </w:p>
    <w:p>
      <w:pPr>
        <w:spacing w:after="0" w:line="289" w:lineRule="exact"/>
        <w:rPr>
          <w:sz w:val="20"/>
          <w:szCs w:val="20"/>
          <w:color w:val="auto"/>
        </w:rPr>
      </w:pPr>
    </w:p>
    <w:p>
      <w:pPr>
        <w:jc w:val="center"/>
        <w:ind w:right="420"/>
        <w:spacing w:after="0"/>
        <w:rPr>
          <w:sz w:val="20"/>
          <w:szCs w:val="20"/>
          <w:color w:val="auto"/>
        </w:rPr>
      </w:pPr>
      <w:r>
        <w:rPr>
          <w:rFonts w:ascii="Arial" w:cs="Arial" w:eastAsia="Arial" w:hAnsi="Arial"/>
          <w:sz w:val="16"/>
          <w:szCs w:val="16"/>
          <w:color w:val="auto"/>
        </w:rPr>
        <w:t>- 71 -</w:t>
      </w:r>
    </w:p>
    <w:p>
      <w:pPr>
        <w:sectPr>
          <w:pgSz w:w="11900" w:h="16838" w:orient="portrait"/>
          <w:cols w:equalWidth="0" w:num="1">
            <w:col w:w="11000"/>
          </w:cols>
          <w:pgMar w:left="660" w:top="337" w:right="239" w:bottom="1440" w:gutter="0" w:footer="0" w:header="0"/>
          <w:type w:val="continuous"/>
        </w:sectPr>
      </w:pPr>
    </w:p>
    <w:bookmarkStart w:id="72" w:name="page73"/>
    <w:bookmarkEnd w:id="72"/>
    <w:p>
      <w:pPr>
        <w:jc w:val="center"/>
        <w:ind w:right="400"/>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ind w:right="40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right="640"/>
        <w:spacing w:after="0" w:line="277" w:lineRule="auto"/>
        <w:rPr>
          <w:sz w:val="20"/>
          <w:szCs w:val="20"/>
          <w:color w:val="auto"/>
        </w:rPr>
      </w:pPr>
      <w:r>
        <w:rPr>
          <w:rFonts w:ascii="Arial" w:cs="Arial" w:eastAsia="Arial" w:hAnsi="Arial"/>
          <w:sz w:val="18"/>
          <w:szCs w:val="18"/>
          <w:color w:val="auto"/>
        </w:rPr>
        <w:t>accumulated depreciation or amortization is removed from the accounts and any gain or loss is recorded in operating income or expense. Note 6 “Property, Plant and Equipment, Net” contains additional information on the Company’s PP&amp;E.</w:t>
      </w:r>
    </w:p>
    <w:p>
      <w:pPr>
        <w:spacing w:after="0" w:line="170" w:lineRule="exact"/>
        <w:rPr>
          <w:sz w:val="20"/>
          <w:szCs w:val="20"/>
          <w:color w:val="auto"/>
        </w:rPr>
      </w:pPr>
    </w:p>
    <w:p>
      <w:pPr>
        <w:spacing w:after="0" w:line="276" w:lineRule="auto"/>
        <w:rPr>
          <w:sz w:val="20"/>
          <w:szCs w:val="20"/>
          <w:color w:val="auto"/>
        </w:rPr>
      </w:pPr>
      <w:r>
        <w:rPr>
          <w:rFonts w:ascii="Arial" w:cs="Arial" w:eastAsia="Arial" w:hAnsi="Arial"/>
          <w:sz w:val="17"/>
          <w:szCs w:val="17"/>
          <w:b w:val="1"/>
          <w:bCs w:val="1"/>
          <w:i w:val="1"/>
          <w:iCs w:val="1"/>
          <w:color w:val="auto"/>
        </w:rPr>
        <w:t xml:space="preserve">Business Combinations </w:t>
      </w:r>
      <w:r>
        <w:rPr>
          <w:rFonts w:ascii="Arial" w:cs="Arial" w:eastAsia="Arial" w:hAnsi="Arial"/>
          <w:sz w:val="17"/>
          <w:szCs w:val="17"/>
          <w:color w:val="auto"/>
        </w:rPr>
        <w:t>– The Company records its business combinations under the acquisition method of accounting. Under the acquisition method of</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accounting, the Company allocates the purchase price of each acquisition to the tangible and identifiable intangible assets acquired and liabilities assumed based on their respective fair values at the date of acquisition. The fair value of identifiable intangible assets is based upon detailed valuations that use various assumptions made by management. Any excess of the purchase price over the fair value of net tangible and identifiable intangible assets acquired is allocated to goodwill. All direct acquisition-related costs are expensed as incurred.</w:t>
      </w:r>
    </w:p>
    <w:p>
      <w:pPr>
        <w:spacing w:after="0" w:line="173" w:lineRule="exact"/>
        <w:rPr>
          <w:sz w:val="20"/>
          <w:szCs w:val="20"/>
          <w:color w:val="auto"/>
        </w:rPr>
      </w:pPr>
    </w:p>
    <w:p>
      <w:pPr>
        <w:ind w:right="40"/>
        <w:spacing w:after="0" w:line="257" w:lineRule="auto"/>
        <w:rPr>
          <w:sz w:val="20"/>
          <w:szCs w:val="20"/>
          <w:color w:val="auto"/>
        </w:rPr>
      </w:pPr>
      <w:r>
        <w:rPr>
          <w:rFonts w:ascii="Arial" w:cs="Arial" w:eastAsia="Arial" w:hAnsi="Arial"/>
          <w:sz w:val="18"/>
          <w:szCs w:val="18"/>
          <w:color w:val="auto"/>
        </w:rPr>
        <w:t>In circumstances where an acquisition involves a contingent consideration arrangement, the Company recognizes a liability equal to the fair value of the contingent payments it expects to make as of the acquisition date. The Company re-measures this liability each reporting period and records changes in the fair value through Other Operating Expenses, Net. Increases or decreases in the fair value of the contingent consideration liability can result from changes in discount periods and rates, as well as changes in the timing, amount of, or the likelihood of achieving the applicable contingent consideration.</w:t>
      </w:r>
    </w:p>
    <w:p>
      <w:pPr>
        <w:spacing w:after="0" w:line="188" w:lineRule="exact"/>
        <w:rPr>
          <w:sz w:val="20"/>
          <w:szCs w:val="20"/>
          <w:color w:val="auto"/>
        </w:rPr>
      </w:pPr>
    </w:p>
    <w:p>
      <w:pPr>
        <w:ind w:right="40"/>
        <w:spacing w:after="0" w:line="255" w:lineRule="auto"/>
        <w:rPr>
          <w:sz w:val="20"/>
          <w:szCs w:val="20"/>
          <w:color w:val="auto"/>
        </w:rPr>
      </w:pPr>
      <w:r>
        <w:rPr>
          <w:rFonts w:ascii="Arial" w:cs="Arial" w:eastAsia="Arial" w:hAnsi="Arial"/>
          <w:sz w:val="18"/>
          <w:szCs w:val="18"/>
          <w:b w:val="1"/>
          <w:bCs w:val="1"/>
          <w:i w:val="1"/>
          <w:iCs w:val="1"/>
          <w:color w:val="auto"/>
        </w:rPr>
        <w:t xml:space="preserve">Amortizing Intangible Assets </w:t>
      </w:r>
      <w:r>
        <w:rPr>
          <w:rFonts w:ascii="Arial" w:cs="Arial" w:eastAsia="Arial" w:hAnsi="Arial"/>
          <w:sz w:val="18"/>
          <w:szCs w:val="18"/>
          <w:color w:val="auto"/>
        </w:rPr>
        <w:t>– Amortizing intangible assets consists primarily of purchased technology and patents, and customer lists. The Company</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amortizes its definite-lived intangible assets over their estimated useful lives utilizing an accelerated or straight-line method of amortization, which approximates the projected cash flows used to fair value those intangible assets at the time of acquisition. When the straight-line method of amortization is utilized, the estimated useful life of the intangible asset is shortened to assure that recognition of amortization expense corresponds with the expected cash flows. The amortization period for the Company’s amortizing intangible assets are as follows: purchased technology and patents 5-15 years; customer lists 7-20 years and other intangible assets 1-10 years. Refer to Note 7 “Intangible Assets” for additional information on the Company’s amortizing intangible assets.</w:t>
      </w:r>
    </w:p>
    <w:p>
      <w:pPr>
        <w:spacing w:after="0" w:line="189" w:lineRule="exact"/>
        <w:rPr>
          <w:sz w:val="20"/>
          <w:szCs w:val="20"/>
          <w:color w:val="auto"/>
        </w:rPr>
      </w:pPr>
    </w:p>
    <w:p>
      <w:pPr>
        <w:ind w:right="20"/>
        <w:spacing w:after="0" w:line="289" w:lineRule="auto"/>
        <w:rPr>
          <w:sz w:val="20"/>
          <w:szCs w:val="20"/>
          <w:color w:val="auto"/>
        </w:rPr>
      </w:pPr>
      <w:r>
        <w:rPr>
          <w:rFonts w:ascii="Arial" w:cs="Arial" w:eastAsia="Arial" w:hAnsi="Arial"/>
          <w:sz w:val="16"/>
          <w:szCs w:val="16"/>
          <w:b w:val="1"/>
          <w:bCs w:val="1"/>
          <w:i w:val="1"/>
          <w:iCs w:val="1"/>
          <w:color w:val="auto"/>
        </w:rPr>
        <w:t xml:space="preserve">Impairment of Long-Lived Assets </w:t>
      </w:r>
      <w:r>
        <w:rPr>
          <w:rFonts w:ascii="Arial" w:cs="Arial" w:eastAsia="Arial" w:hAnsi="Arial"/>
          <w:sz w:val="16"/>
          <w:szCs w:val="16"/>
          <w:color w:val="auto"/>
        </w:rPr>
        <w:t>– The Company assesses the impairment of definite-lived long-lived assets or asset groups when events or changes in</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circumstances indicate that the carrying value may not be recoverable. Factors that are considered in deciding when to perform an impairment review include: a significant decrease in the market price of the asset or asset group; a significant change in the extent or manner in which a long-lived asset or asset group is being used or in its physical condition; a significant change in legal factors or in the business climate that could affect the value of a long-lived asset or asset group, including an action or assessment by a regulator; an accumulation of costs significantly in excess of the amount originally expected for the acquisition or construction; a current-period operating or cash flow loss combined with a history of operating or cash flow losses or a projection or forecast that demonstrates continuing losses associated with the use of a long-lived asset or asset group; or a current expectation that, more likely than not, a long-lived asset or asset group will be sold or otherwise disposed of significantly before the end of its previously estimated useful life. The term more likely than not refers to a level of likelihood that is more than 50 percent.</w:t>
      </w:r>
    </w:p>
    <w:p>
      <w:pPr>
        <w:spacing w:after="0" w:line="167" w:lineRule="exact"/>
        <w:rPr>
          <w:sz w:val="20"/>
          <w:szCs w:val="20"/>
          <w:color w:val="auto"/>
        </w:rPr>
      </w:pPr>
    </w:p>
    <w:p>
      <w:pPr>
        <w:ind w:right="180"/>
        <w:spacing w:after="0" w:line="279" w:lineRule="auto"/>
        <w:rPr>
          <w:sz w:val="20"/>
          <w:szCs w:val="20"/>
          <w:color w:val="auto"/>
        </w:rPr>
      </w:pPr>
      <w:r>
        <w:rPr>
          <w:rFonts w:ascii="Arial" w:cs="Arial" w:eastAsia="Arial" w:hAnsi="Arial"/>
          <w:sz w:val="17"/>
          <w:szCs w:val="17"/>
          <w:color w:val="auto"/>
        </w:rPr>
        <w:t>Potential recoverability is measured by comparing the carrying amount of the asset or asset group to its related total future undiscounted cash flows. If the carrying value is not recoverable, the asset or asset group is considered to be impaired. Impairment is measured by comparing the asset or asset group’s carrying amount to its fair value. When it is determined that useful lives of assets are shorter than originally estimated, and no impairment is present, the rate of depreciation is accelerated in order to fully depreciate the assets over their new shorter useful lives.</w:t>
      </w:r>
    </w:p>
    <w:p>
      <w:pPr>
        <w:spacing w:after="0" w:line="171" w:lineRule="exact"/>
        <w:rPr>
          <w:sz w:val="20"/>
          <w:szCs w:val="20"/>
          <w:color w:val="auto"/>
        </w:rPr>
      </w:pPr>
    </w:p>
    <w:p>
      <w:pPr>
        <w:ind w:right="100"/>
        <w:spacing w:after="0" w:line="269" w:lineRule="auto"/>
        <w:rPr>
          <w:sz w:val="20"/>
          <w:szCs w:val="20"/>
          <w:color w:val="auto"/>
        </w:rPr>
      </w:pPr>
      <w:r>
        <w:rPr>
          <w:rFonts w:ascii="Arial" w:cs="Arial" w:eastAsia="Arial" w:hAnsi="Arial"/>
          <w:sz w:val="17"/>
          <w:szCs w:val="17"/>
          <w:color w:val="auto"/>
        </w:rPr>
        <w:t>Goodwill and other indefinite lived intangible assets recorded are not amortized but are periodically tested for impairment. The Company assesses goodwill for impairment on the last day of each fiscal year, or more frequently if certain events occur as described above. Goodwill is evaluated for impairment through the comparison of the fair value of the reporting units to their carrying values. When evaluating goodwill for impairment, the Company may first perform an assessment of qualitative factors to determine if the fair value of the reporting unit is more-likely-than-not greater than its carrying amount. This qualitative assessment is referred to as a “step zero</w:t>
      </w:r>
      <w:r>
        <w:rPr>
          <w:rFonts w:ascii="Arial" w:cs="Arial" w:eastAsia="Arial" w:hAnsi="Arial"/>
          <w:sz w:val="17"/>
          <w:szCs w:val="17"/>
          <w:i w:val="1"/>
          <w:iCs w:val="1"/>
          <w:color w:val="auto"/>
        </w:rPr>
        <w:t>”</w:t>
      </w:r>
      <w:r>
        <w:rPr>
          <w:rFonts w:ascii="Arial" w:cs="Arial" w:eastAsia="Arial" w:hAnsi="Arial"/>
          <w:sz w:val="17"/>
          <w:szCs w:val="17"/>
          <w:color w:val="auto"/>
        </w:rPr>
        <w:t xml:space="preserve"> approach. If, based on the review of the qualitative factors, the Company determines it is more-likely-than-not that the fair value of the reporting unit is greater than its carrying value, the required two-step impairment test can be bypassed. If the Company does not perform a step zero assessment or if the fair value of the reporting unit is more-likely-than-not less than its carrying value, the Company must perform a two-step impairment test, and calculate the estimated fair value of the reporting unit. If, based upon the two-step impairment test, it is determined that the fair value of a reporting unit is less than its carrying value, an impairment loss is recorded to the extent that the implied fair value of the goodwill within the reporting unit is less than its carrying value. Under the two-step approach, fair values for reporting units are determined based on discounted cash flows and market multiples.</w:t>
      </w:r>
    </w:p>
    <w:p>
      <w:pPr>
        <w:spacing w:after="0" w:line="318" w:lineRule="exact"/>
        <w:rPr>
          <w:sz w:val="20"/>
          <w:szCs w:val="20"/>
          <w:color w:val="auto"/>
        </w:rPr>
      </w:pPr>
    </w:p>
    <w:p>
      <w:pPr>
        <w:jc w:val="center"/>
        <w:ind w:right="400"/>
        <w:spacing w:after="0"/>
        <w:rPr>
          <w:sz w:val="20"/>
          <w:szCs w:val="20"/>
          <w:color w:val="auto"/>
        </w:rPr>
      </w:pPr>
      <w:r>
        <w:rPr>
          <w:rFonts w:ascii="Arial" w:cs="Arial" w:eastAsia="Arial" w:hAnsi="Arial"/>
          <w:sz w:val="18"/>
          <w:szCs w:val="18"/>
          <w:color w:val="auto"/>
        </w:rPr>
        <w:t>- 72 -</w:t>
      </w:r>
    </w:p>
    <w:p>
      <w:pPr>
        <w:sectPr>
          <w:pgSz w:w="11900" w:h="16838" w:orient="portrait"/>
          <w:cols w:equalWidth="0" w:num="1">
            <w:col w:w="11000"/>
          </w:cols>
          <w:pgMar w:left="660" w:top="337" w:right="239" w:bottom="1440" w:gutter="0" w:footer="0" w:header="0"/>
        </w:sectPr>
      </w:pPr>
    </w:p>
    <w:bookmarkStart w:id="73" w:name="page74"/>
    <w:bookmarkEnd w:id="73"/>
    <w:p>
      <w:pPr>
        <w:jc w:val="center"/>
        <w:ind w:right="400"/>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ind w:right="40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The Company completed its annual goodwill impairment assessment for 2015 by performing a step zero qualitative analysis. As part of this analysis, the Company evaluated factors including, but not limited to, macro-economic conditions, market and industry conditions, cost factors, competitive environment, share price fluctuations, results of the last impairment test, and the operational stability and the overall financial performance of the reporting units. After completing the analysis, the Company determined that it was more likely than not that its reporting units fair values are greater than the reporting units carrying values and the two-step impairment test is not necessary.</w:t>
      </w:r>
    </w:p>
    <w:p>
      <w:pPr>
        <w:spacing w:after="0" w:line="188" w:lineRule="exact"/>
        <w:rPr>
          <w:sz w:val="20"/>
          <w:szCs w:val="20"/>
          <w:color w:val="auto"/>
        </w:rPr>
      </w:pPr>
    </w:p>
    <w:p>
      <w:pPr>
        <w:ind w:right="300"/>
        <w:spacing w:after="0" w:line="286" w:lineRule="auto"/>
        <w:rPr>
          <w:sz w:val="20"/>
          <w:szCs w:val="20"/>
          <w:color w:val="auto"/>
        </w:rPr>
      </w:pPr>
      <w:r>
        <w:rPr>
          <w:rFonts w:ascii="Arial" w:cs="Arial" w:eastAsia="Arial" w:hAnsi="Arial"/>
          <w:sz w:val="17"/>
          <w:szCs w:val="17"/>
          <w:color w:val="auto"/>
        </w:rPr>
        <w:t>Other indefinite lived intangible assets are assessed for impairment on the last day of each fiscal year, or more frequently if certain events occur as described above, by comparing the fair value of the intangible asset to its carrying value. The fair value is determined by using the income approach. Note 7 “Intangible Assets” contains additional information on the Company’s long-lived intangible assets.</w:t>
      </w:r>
    </w:p>
    <w:p>
      <w:pPr>
        <w:spacing w:after="0" w:line="166" w:lineRule="exact"/>
        <w:rPr>
          <w:sz w:val="20"/>
          <w:szCs w:val="20"/>
          <w:color w:val="auto"/>
        </w:rPr>
      </w:pPr>
    </w:p>
    <w:p>
      <w:pPr>
        <w:ind w:right="20"/>
        <w:spacing w:after="0" w:line="271" w:lineRule="auto"/>
        <w:rPr>
          <w:sz w:val="20"/>
          <w:szCs w:val="20"/>
          <w:color w:val="auto"/>
        </w:rPr>
      </w:pPr>
      <w:r>
        <w:rPr>
          <w:rFonts w:ascii="Arial" w:cs="Arial" w:eastAsia="Arial" w:hAnsi="Arial"/>
          <w:sz w:val="17"/>
          <w:szCs w:val="17"/>
          <w:b w:val="1"/>
          <w:bCs w:val="1"/>
          <w:i w:val="1"/>
          <w:iCs w:val="1"/>
          <w:color w:val="auto"/>
        </w:rPr>
        <w:t xml:space="preserve">Debt Issuance Costs and Discounts </w:t>
      </w:r>
      <w:r>
        <w:rPr>
          <w:rFonts w:ascii="Arial" w:cs="Arial" w:eastAsia="Arial" w:hAnsi="Arial"/>
          <w:sz w:val="17"/>
          <w:szCs w:val="17"/>
          <w:color w:val="auto"/>
        </w:rPr>
        <w:t>– In April 2015, the Financial Accounting Standards Board (“FASB”) issued Accounting Standards Update</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(“ASU”) 2015-03, “Interest - Imputation of Interest (Subtopic 835-30): Simplifying the Presentation of Debt Issuance Costs.” This ASU requires that debt issuance costs be presented as a direct reduction to the carrying amount of the related debt in the balance sheet rather than as a deferred charge, consistent with the presentation of discounts on debt. ASU 2015-15, “Interest - Imputation of Interest (Subtopic 835-30): Presentation and Subsequent Measurement of Debt Issuance Costs Associated with Line-of-Credit Arrangements,” was issued in August 2015 to clarify that the U.S. Securities and Exchange Commission (“SEC”) staff would not object to an entity deferring and presenting debt issuance costs related to a line-of-credit arrangement as an asset and subsequently amortizing the deferred debt issuance costs ratably over the term of the line-of-credit arrangement, regardless of whether there are any outstanding borrowings on the line-of-credit arrangement.</w:t>
      </w:r>
    </w:p>
    <w:p>
      <w:pPr>
        <w:spacing w:after="0" w:line="179"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As permitted, during the fourth quarter of 2015, the Company elected to early adopt these ASUs and has elected to retrospectively apply this guidance. As a result, the Company has classified $35.9 million and $0.9 million as of January 1, 2016 and January 2, 2015, respectively, of deferred debt issuance costs associated with its term-debt from Other Assets to Long-Term Debt in the Consolidated Balance Sheets. Deferred debt issuance costs associated with the Company’s revolving credit facility of $4.8 million and $2.2 million as of January 1, 2016 and January 2, 2015, respectively, are classified within Other Assets.</w:t>
      </w:r>
    </w:p>
    <w:p>
      <w:pPr>
        <w:spacing w:after="0" w:line="188" w:lineRule="exact"/>
        <w:rPr>
          <w:sz w:val="20"/>
          <w:szCs w:val="20"/>
          <w:color w:val="auto"/>
        </w:rPr>
      </w:pPr>
    </w:p>
    <w:p>
      <w:pPr>
        <w:ind w:right="20"/>
        <w:spacing w:after="0" w:line="293" w:lineRule="auto"/>
        <w:rPr>
          <w:sz w:val="20"/>
          <w:szCs w:val="20"/>
          <w:color w:val="auto"/>
        </w:rPr>
      </w:pPr>
      <w:r>
        <w:rPr>
          <w:rFonts w:ascii="Arial" w:cs="Arial" w:eastAsia="Arial" w:hAnsi="Arial"/>
          <w:sz w:val="16"/>
          <w:szCs w:val="16"/>
          <w:color w:val="auto"/>
        </w:rPr>
        <w:t>Debt issuance costs incurred in connection with the Company’s issuance of its revolving credit facility are amortized to Interest Expense on a straight-line basis over the contractual term of the credit facility. Unamortized debt issuance costs and unamortized debt discounts related to the Company’s term-debt are recorded as a reduction of the carrying value of the related debt. These debt issuance costs and discounts are amortized to Interest Expense using the effective interest method over the period from the date of issuance to the put option date (if applicable) or the maturity date, whichever is earlier. The amortization of debt issuance costs and discounts are included in Debt Related Amortization Included in Interest Expense in the Consolidated Statements of Cash Flows. Note 9 “Debt” contains additional information on the Company’s debt issuance costs and discounts.</w:t>
      </w:r>
    </w:p>
    <w:p>
      <w:pPr>
        <w:spacing w:after="0" w:line="178" w:lineRule="exact"/>
        <w:rPr>
          <w:sz w:val="20"/>
          <w:szCs w:val="20"/>
          <w:color w:val="auto"/>
        </w:rPr>
      </w:pPr>
    </w:p>
    <w:p>
      <w:pPr>
        <w:ind w:right="20"/>
        <w:spacing w:after="0" w:line="285" w:lineRule="auto"/>
        <w:rPr>
          <w:sz w:val="20"/>
          <w:szCs w:val="20"/>
          <w:color w:val="auto"/>
        </w:rPr>
      </w:pPr>
      <w:r>
        <w:rPr>
          <w:rFonts w:ascii="Arial" w:cs="Arial" w:eastAsia="Arial" w:hAnsi="Arial"/>
          <w:sz w:val="16"/>
          <w:szCs w:val="16"/>
          <w:b w:val="1"/>
          <w:bCs w:val="1"/>
          <w:i w:val="1"/>
          <w:iCs w:val="1"/>
          <w:color w:val="auto"/>
        </w:rPr>
        <w:t xml:space="preserve">Other Long-Term Assets </w:t>
      </w:r>
      <w:r>
        <w:rPr>
          <w:rFonts w:ascii="Arial" w:cs="Arial" w:eastAsia="Arial" w:hAnsi="Arial"/>
          <w:sz w:val="16"/>
          <w:szCs w:val="16"/>
          <w:color w:val="auto"/>
        </w:rPr>
        <w:t>– Other long-term assets also include investments in equity securities of entities that are not publicly traded and which do not</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have readily determinable fair values. The Company accounts for investments in these entities under the cost or equity method depending on the type of ownership interest, as well as the Company’s ability to exercise influence over these entities. Equity method investments are initially recorded at cost, and are subsequently adjusted to reflect the Company’s share of earnings or losses of the investee. Cost method investments are recorded at historical cost. Each reporting period, management evaluates these cost and equity method investments to determine if there are any events or circumstances that are likely to have a significant effect on the fair value of the investment. Examples of such impairment indicators include, but are not limited to: a recent sale or offering of similar shares of the investment at a price below the Company’s cost basis; a significant deterioration in earnings performance; a significant change in the regulatory, economic or technological environment of the investee; or a significant doubt about an investee’s ability to continue as a going concern. If an impairment indicator is identified, management will estimate the fair value of the investment and compare it to its carrying value. The estimation of fair value considers all available financial information related to the investee, including, but not limited to, valuations based on recent third-party equity investments in the investee. If the fair value of the investment is less than its carrying value, the investment is impaired and a determination as to whether the impairment is other-than-temporary is made. Impairment is deemed to be other-than-temporary unless the Company has the ability and intent to hold the investment for a period sufficient for a market recovery up to the carrying value of the investment. Further, evidence must indicate that the carrying value of the investment is recoverable within a reasonable period. For other-than-temporary impairments, an impairment loss is recognized equal to the difference between the investment’s carrying value and its fair value. The Company has determined that these investments are not considered variable interest entities. The Company’s exposure related to these</w:t>
      </w:r>
    </w:p>
    <w:p>
      <w:pPr>
        <w:spacing w:after="0" w:line="313" w:lineRule="exact"/>
        <w:rPr>
          <w:sz w:val="20"/>
          <w:szCs w:val="20"/>
          <w:color w:val="auto"/>
        </w:rPr>
      </w:pPr>
    </w:p>
    <w:p>
      <w:pPr>
        <w:jc w:val="center"/>
        <w:ind w:right="400"/>
        <w:spacing w:after="0"/>
        <w:rPr>
          <w:sz w:val="20"/>
          <w:szCs w:val="20"/>
          <w:color w:val="auto"/>
        </w:rPr>
      </w:pPr>
      <w:r>
        <w:rPr>
          <w:rFonts w:ascii="Arial" w:cs="Arial" w:eastAsia="Arial" w:hAnsi="Arial"/>
          <w:sz w:val="18"/>
          <w:szCs w:val="18"/>
          <w:color w:val="auto"/>
        </w:rPr>
        <w:t>- 73 -</w:t>
      </w:r>
    </w:p>
    <w:p>
      <w:pPr>
        <w:sectPr>
          <w:pgSz w:w="11900" w:h="16838" w:orient="portrait"/>
          <w:cols w:equalWidth="0" w:num="1">
            <w:col w:w="11000"/>
          </w:cols>
          <w:pgMar w:left="660" w:top="337" w:right="239" w:bottom="1440" w:gutter="0" w:footer="0" w:header="0"/>
        </w:sectPr>
      </w:pPr>
    </w:p>
    <w:bookmarkStart w:id="74" w:name="page75"/>
    <w:bookmarkEnd w:id="74"/>
    <w:p>
      <w:pPr>
        <w:jc w:val="center"/>
        <w:ind w:right="400"/>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ind w:right="40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right="740"/>
        <w:spacing w:after="0" w:line="277" w:lineRule="auto"/>
        <w:rPr>
          <w:sz w:val="20"/>
          <w:szCs w:val="20"/>
          <w:color w:val="auto"/>
        </w:rPr>
      </w:pPr>
      <w:r>
        <w:rPr>
          <w:rFonts w:ascii="Arial" w:cs="Arial" w:eastAsia="Arial" w:hAnsi="Arial"/>
          <w:sz w:val="18"/>
          <w:szCs w:val="18"/>
          <w:color w:val="auto"/>
        </w:rPr>
        <w:t>entities is limited to its recorded investment. These investments are in start-up research and development companies whose fair value is highly subjective in nature and subject to future fluctuations, which could be significant.</w:t>
      </w:r>
    </w:p>
    <w:p>
      <w:pPr>
        <w:spacing w:after="0" w:line="170" w:lineRule="exact"/>
        <w:rPr>
          <w:sz w:val="20"/>
          <w:szCs w:val="20"/>
          <w:color w:val="auto"/>
        </w:rPr>
      </w:pPr>
    </w:p>
    <w:p>
      <w:pPr>
        <w:ind w:right="80"/>
        <w:spacing w:after="0" w:line="302" w:lineRule="auto"/>
        <w:rPr>
          <w:sz w:val="20"/>
          <w:szCs w:val="20"/>
          <w:color w:val="auto"/>
        </w:rPr>
      </w:pPr>
      <w:r>
        <w:rPr>
          <w:rFonts w:ascii="Arial" w:cs="Arial" w:eastAsia="Arial" w:hAnsi="Arial"/>
          <w:sz w:val="16"/>
          <w:szCs w:val="16"/>
          <w:b w:val="1"/>
          <w:bCs w:val="1"/>
          <w:i w:val="1"/>
          <w:iCs w:val="1"/>
          <w:color w:val="auto"/>
        </w:rPr>
        <w:t xml:space="preserve">Income Taxes </w:t>
      </w:r>
      <w:r>
        <w:rPr>
          <w:rFonts w:ascii="Arial" w:cs="Arial" w:eastAsia="Arial" w:hAnsi="Arial"/>
          <w:sz w:val="16"/>
          <w:szCs w:val="16"/>
          <w:color w:val="auto"/>
        </w:rPr>
        <w:t>– The consolidated financial statements of the Company have been prepared using the asset and liability approach in accounting for</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income taxes, which requires the recognition of deferred income taxes for the expected future tax consequences of net operating losses, credits, and temporary differences between the financial statement carrying amounts and the tax bases of assets and liabilities. A valuation allowance is provided on deferred tax assets if it is determined, within each taxing jurisdiction, that it is more likely than not that the asset will not be realized.</w:t>
      </w:r>
    </w:p>
    <w:p>
      <w:pPr>
        <w:spacing w:after="0" w:line="154" w:lineRule="exact"/>
        <w:rPr>
          <w:sz w:val="20"/>
          <w:szCs w:val="20"/>
          <w:color w:val="auto"/>
        </w:rPr>
      </w:pPr>
    </w:p>
    <w:p>
      <w:pPr>
        <w:spacing w:after="0" w:line="276" w:lineRule="auto"/>
        <w:rPr>
          <w:sz w:val="20"/>
          <w:szCs w:val="20"/>
          <w:color w:val="auto"/>
        </w:rPr>
      </w:pPr>
      <w:r>
        <w:rPr>
          <w:rFonts w:ascii="Arial" w:cs="Arial" w:eastAsia="Arial" w:hAnsi="Arial"/>
          <w:sz w:val="17"/>
          <w:szCs w:val="17"/>
          <w:color w:val="auto"/>
        </w:rPr>
        <w:t>The Company accounts for uncertain tax positions using a more likely than not recognition threshold. The evaluation of uncertain tax positions is based on factors including, but not limited to, changes in tax law, the measurement of tax positions taken or expected to be taken in tax returns, the effective settlement of matters subject to audit, new audit activity and changes in facts or circumstances related to a tax position. These tax positions are evaluated on a quarterly basis. The Company recognizes interest expense related to uncertain tax positions as Provision for Income Taxes. Penalties, if incurred, are recognized as a component of Selling, General and Administrative Expenses (“SG&amp;A”).</w:t>
      </w:r>
    </w:p>
    <w:p>
      <w:pPr>
        <w:spacing w:after="0" w:line="173" w:lineRule="exact"/>
        <w:rPr>
          <w:sz w:val="20"/>
          <w:szCs w:val="20"/>
          <w:color w:val="auto"/>
        </w:rPr>
      </w:pPr>
    </w:p>
    <w:p>
      <w:pPr>
        <w:ind w:right="160"/>
        <w:spacing w:after="0" w:line="264" w:lineRule="auto"/>
        <w:rPr>
          <w:sz w:val="20"/>
          <w:szCs w:val="20"/>
          <w:color w:val="auto"/>
        </w:rPr>
      </w:pPr>
      <w:r>
        <w:rPr>
          <w:rFonts w:ascii="Arial" w:cs="Arial" w:eastAsia="Arial" w:hAnsi="Arial"/>
          <w:sz w:val="18"/>
          <w:szCs w:val="18"/>
          <w:color w:val="auto"/>
        </w:rPr>
        <w:t>The Company and its subsidiaries file a consolidated U.S. federal income tax return. State tax returns are filed on a combined or separate basis depending on the applicable laws in the jurisdictions where the tax returns are filed. The Company also files foreign tax returns on a separate company basis in the countries in which it operates.</w:t>
      </w:r>
    </w:p>
    <w:p>
      <w:pPr>
        <w:spacing w:after="0" w:line="181" w:lineRule="exact"/>
        <w:rPr>
          <w:sz w:val="20"/>
          <w:szCs w:val="20"/>
          <w:color w:val="auto"/>
        </w:rPr>
      </w:pPr>
    </w:p>
    <w:p>
      <w:pPr>
        <w:ind w:left="20" w:right="180"/>
        <w:spacing w:after="0" w:line="273" w:lineRule="auto"/>
        <w:rPr>
          <w:sz w:val="20"/>
          <w:szCs w:val="20"/>
          <w:color w:val="auto"/>
        </w:rPr>
      </w:pPr>
      <w:r>
        <w:rPr>
          <w:rFonts w:ascii="Arial" w:cs="Arial" w:eastAsia="Arial" w:hAnsi="Arial"/>
          <w:sz w:val="17"/>
          <w:szCs w:val="17"/>
          <w:color w:val="auto"/>
        </w:rPr>
        <w:t>In November 2015, the FASB issued ASU 2015-17, “Balance Sheet Classification of Deferred Taxes.” This ASU requires entities that present a classified balance sheet to classify all deferred income taxes as noncurrent assets or noncurrent liabilities. Previous accounting principles required an entity to separate deferred income tax liabilities and assets into current and noncurrent amounts in a classified balance sheet. As permitted, during the fourth quarter of 2015, the Company elected to early adopt this ASU and has elected to prospectively apply its guidance. As a result, all deferred tax assets or liabilities shown in the Consolidated Balance Sheet as of January 1, 2016, are classified as noncurrent. Prior periods were not retrospectively adjusted for the adoption of this ASU. See Note 14 “Income Taxes” for additional information.</w:t>
      </w:r>
    </w:p>
    <w:p>
      <w:pPr>
        <w:spacing w:after="0" w:line="70" w:lineRule="exact"/>
        <w:rPr>
          <w:sz w:val="20"/>
          <w:szCs w:val="20"/>
          <w:color w:val="auto"/>
        </w:rPr>
      </w:pPr>
    </w:p>
    <w:p>
      <w:pPr>
        <w:ind w:right="140"/>
        <w:spacing w:after="0" w:line="264" w:lineRule="auto"/>
        <w:rPr>
          <w:sz w:val="20"/>
          <w:szCs w:val="20"/>
          <w:color w:val="auto"/>
        </w:rPr>
      </w:pPr>
      <w:r>
        <w:rPr>
          <w:rFonts w:ascii="Arial" w:cs="Arial" w:eastAsia="Arial" w:hAnsi="Arial"/>
          <w:sz w:val="18"/>
          <w:szCs w:val="18"/>
          <w:b w:val="1"/>
          <w:bCs w:val="1"/>
          <w:i w:val="1"/>
          <w:iCs w:val="1"/>
          <w:color w:val="auto"/>
        </w:rPr>
        <w:t xml:space="preserve">Convertible Subordinated Notes (“CSN”) </w:t>
      </w:r>
      <w:r>
        <w:rPr>
          <w:rFonts w:ascii="Arial" w:cs="Arial" w:eastAsia="Arial" w:hAnsi="Arial"/>
          <w:sz w:val="18"/>
          <w:szCs w:val="18"/>
          <w:color w:val="auto"/>
        </w:rPr>
        <w:t>– For convertible debt instruments that may be settled in cash upon conversion, the Company accounts for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the liability and equity components of those instruments in a manner that will reflect the entity’s nonconvertible debt borrowing rate when interest cost is recognized in subsequent periods.</w:t>
      </w:r>
    </w:p>
    <w:p>
      <w:pPr>
        <w:spacing w:after="0" w:line="195" w:lineRule="exact"/>
        <w:rPr>
          <w:sz w:val="20"/>
          <w:szCs w:val="20"/>
          <w:color w:val="auto"/>
        </w:rPr>
      </w:pPr>
    </w:p>
    <w:p>
      <w:pPr>
        <w:ind w:right="240"/>
        <w:spacing w:after="0" w:line="293" w:lineRule="auto"/>
        <w:rPr>
          <w:sz w:val="20"/>
          <w:szCs w:val="20"/>
          <w:color w:val="auto"/>
        </w:rPr>
      </w:pPr>
      <w:r>
        <w:rPr>
          <w:rFonts w:ascii="Arial" w:cs="Arial" w:eastAsia="Arial" w:hAnsi="Arial"/>
          <w:sz w:val="16"/>
          <w:szCs w:val="16"/>
          <w:color w:val="auto"/>
        </w:rPr>
        <w:t>Upon issuance, the Company determined the carrying amount of the liability component of CSN by measuring the fair value of a similar liability that does not have the associated conversion option. The carrying amount of the conversion option was then determined by deducting the fair value of the liability component from the initial proceeds received from the issuance of CSN. The carrying amount of the conversion option was recorded in Additional Paid-In Capital with an offset to Long-Term Debt and was amortized using the effective interest method over the period from the date of issuance to the maturity date. The amortization of discount related to the Company’s convertible debt instruments is included in Debt Related Amortization Included in Interest Expense in the Consolidated Statements of Cash Flows. See Note 9 “Debt” for additional information.</w:t>
      </w:r>
    </w:p>
    <w:p>
      <w:pPr>
        <w:spacing w:after="0" w:line="165" w:lineRule="exact"/>
        <w:rPr>
          <w:sz w:val="20"/>
          <w:szCs w:val="20"/>
          <w:color w:val="auto"/>
        </w:rPr>
      </w:pPr>
    </w:p>
    <w:p>
      <w:pPr>
        <w:ind w:right="180"/>
        <w:spacing w:after="0" w:line="270" w:lineRule="auto"/>
        <w:rPr>
          <w:sz w:val="20"/>
          <w:szCs w:val="20"/>
          <w:color w:val="auto"/>
        </w:rPr>
      </w:pPr>
      <w:r>
        <w:rPr>
          <w:rFonts w:ascii="Arial" w:cs="Arial" w:eastAsia="Arial" w:hAnsi="Arial"/>
          <w:sz w:val="17"/>
          <w:szCs w:val="17"/>
          <w:b w:val="1"/>
          <w:bCs w:val="1"/>
          <w:i w:val="1"/>
          <w:iCs w:val="1"/>
          <w:color w:val="auto"/>
        </w:rPr>
        <w:t xml:space="preserve">Derivative Financial Instruments </w:t>
      </w:r>
      <w:r>
        <w:rPr>
          <w:rFonts w:ascii="Arial" w:cs="Arial" w:eastAsia="Arial" w:hAnsi="Arial"/>
          <w:sz w:val="17"/>
          <w:szCs w:val="17"/>
          <w:color w:val="auto"/>
        </w:rPr>
        <w:t>– The Company recognizes all derivative financial instruments in its consolidated financial statements at fair value</w:t>
      </w:r>
      <w:r>
        <w:rPr>
          <w:rFonts w:ascii="Arial" w:cs="Arial" w:eastAsia="Arial" w:hAnsi="Arial"/>
          <w:sz w:val="17"/>
          <w:szCs w:val="17"/>
          <w:i w:val="1"/>
          <w:iCs w:val="1"/>
          <w:color w:val="auto"/>
        </w:rPr>
        <w:t>.</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Changes in the fair value of derivative instruments are recorded in earnings unless hedge accounting criteria are met. The Company designated its interest rate swaps (See Note 9 “Debt”) and foreign currency contracts (See Note 15 “Commitments and Contingencies”) entered into as cash flow hedges. The effective portion of the changes in fair value of these cash flow hedges is recorded each period, net of tax, in Accumulated Other Comprehensive Income until the related hedged transaction occurs. Any ineffective portion of the changes in fair value of these cash flow hedges is recorded in earnings. In the event the hedged cash flow for forecasted transactions does not occur, or it becomes probable that they will not occur, the Company reclassifies the amount of any gain or loss on the related cash flow hedge to income (expense) at that time. Cash flows related to these derivative financial instruments are included in cash flows from operating activities. The cash flows from the termination of interest rate swap agreements are reported as operating activities in the consolidated statements of cash flows.</w:t>
      </w:r>
    </w:p>
    <w:p>
      <w:pPr>
        <w:spacing w:after="0" w:line="182"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b w:val="1"/>
          <w:bCs w:val="1"/>
          <w:i w:val="1"/>
          <w:iCs w:val="1"/>
          <w:color w:val="auto"/>
        </w:rPr>
        <w:t xml:space="preserve">Revenue Recognition </w:t>
      </w:r>
      <w:r>
        <w:rPr>
          <w:rFonts w:ascii="Arial" w:cs="Arial" w:eastAsia="Arial" w:hAnsi="Arial"/>
          <w:sz w:val="17"/>
          <w:szCs w:val="17"/>
          <w:color w:val="auto"/>
        </w:rPr>
        <w:t>– The Company recognizes revenue when it is realized or realizable and earned. This occurs when persuasive evidence of an</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arrangement exists, delivery has occurred, the price is fixed or determinable (including any price concessions under long-term agreements), the buyer is obligated to pay us (i.e., not contingent on a future event), the risk of loss is transferred, there is no obligation of future performance, collectability is reasonably assured and the amount of future returns can reasonably be estimated. With regards to the Company’s customers (including distributors), those criteria are met when title passes, generally at the point of shipment. Currently, the revenue recognition policy is the same for Greatbatch Medical, Lake Region Medical and QiG. In general, for customers with long-term contracts, we have negotiated fixed pricing arrangements. During new contract negotiations, price level decreases (concessions) for future</w:t>
      </w:r>
    </w:p>
    <w:p>
      <w:pPr>
        <w:spacing w:after="0" w:line="313" w:lineRule="exact"/>
        <w:rPr>
          <w:sz w:val="20"/>
          <w:szCs w:val="20"/>
          <w:color w:val="auto"/>
        </w:rPr>
      </w:pPr>
    </w:p>
    <w:p>
      <w:pPr>
        <w:jc w:val="center"/>
        <w:ind w:right="400"/>
        <w:spacing w:after="0"/>
        <w:rPr>
          <w:sz w:val="20"/>
          <w:szCs w:val="20"/>
          <w:color w:val="auto"/>
        </w:rPr>
      </w:pPr>
      <w:r>
        <w:rPr>
          <w:rFonts w:ascii="Arial" w:cs="Arial" w:eastAsia="Arial" w:hAnsi="Arial"/>
          <w:sz w:val="18"/>
          <w:szCs w:val="18"/>
          <w:color w:val="auto"/>
        </w:rPr>
        <w:t>- 74 -</w:t>
      </w:r>
    </w:p>
    <w:p>
      <w:pPr>
        <w:sectPr>
          <w:pgSz w:w="11900" w:h="16838" w:orient="portrait"/>
          <w:cols w:equalWidth="0" w:num="1">
            <w:col w:w="11000"/>
          </w:cols>
          <w:pgMar w:left="660" w:top="337" w:right="239" w:bottom="1440" w:gutter="0" w:footer="0" w:header="0"/>
        </w:sectPr>
      </w:pPr>
    </w:p>
    <w:bookmarkStart w:id="75" w:name="page76"/>
    <w:bookmarkEnd w:id="75"/>
    <w:p>
      <w:pPr>
        <w:jc w:val="center"/>
        <w:ind w:right="380"/>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ind w:right="38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sales may be offered to customers in exchange for volume and/or long-term commitments. Once the new contracts are signed, these prices are fixed and determinable for all future sales. The Company includes shipping and handling fees billed to customers in Sales. Shipping and handling costs associated with inbound and outbound freight are recorded in Cost of Sales. Taxes collected from customers relating to product sales and remitted to governmental authorities are accounted for on a net basis. Accordingly, such taxes are excluded from Sales and Cost of Sales. In certain instances the Company obtains component parts from its customers that are included in the final product sold back to the same customer. These amounts are excluded from Sales and Cost of Sales recognized by the Company. The cost of these customer supplied component parts amounted to $44.3 million, $48.1 million and $45.3 million in fiscal years 2015, 2014 and 2013, respectively.</w:t>
      </w:r>
    </w:p>
    <w:p>
      <w:pPr>
        <w:spacing w:after="0" w:line="178" w:lineRule="exact"/>
        <w:rPr>
          <w:sz w:val="20"/>
          <w:szCs w:val="20"/>
          <w:color w:val="auto"/>
        </w:rPr>
      </w:pPr>
    </w:p>
    <w:p>
      <w:pPr>
        <w:ind w:right="20"/>
        <w:spacing w:after="0" w:line="276" w:lineRule="auto"/>
        <w:rPr>
          <w:sz w:val="20"/>
          <w:szCs w:val="20"/>
          <w:color w:val="auto"/>
        </w:rPr>
      </w:pPr>
      <w:r>
        <w:rPr>
          <w:rFonts w:ascii="Arial" w:cs="Arial" w:eastAsia="Arial" w:hAnsi="Arial"/>
          <w:sz w:val="17"/>
          <w:szCs w:val="17"/>
          <w:b w:val="1"/>
          <w:bCs w:val="1"/>
          <w:i w:val="1"/>
          <w:iCs w:val="1"/>
          <w:color w:val="auto"/>
        </w:rPr>
        <w:t xml:space="preserve">Environmental Costs </w:t>
      </w:r>
      <w:r>
        <w:rPr>
          <w:rFonts w:ascii="Arial" w:cs="Arial" w:eastAsia="Arial" w:hAnsi="Arial"/>
          <w:sz w:val="17"/>
          <w:szCs w:val="17"/>
          <w:color w:val="auto"/>
        </w:rPr>
        <w:t>– Environmental expenditures that relate to an existing condition caused by past operations and that do not provide future benefits</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are expensed as incurred. Liabilities are recorded when environmental assessments are made, the requirement for remedial efforts is probable and the amount of the liability can be reasonably estimated. Liabilities are recorded generally no later than the completion of feasibility studies. The Company has an ongoing monitoring and identification process to assess how the activities, with respect to known exposures, are progressing against the recorded liabilities, as well as to identify other potential remediation sites that are presently unknown.</w:t>
      </w:r>
    </w:p>
    <w:p>
      <w:pPr>
        <w:spacing w:after="0" w:line="173" w:lineRule="exact"/>
        <w:rPr>
          <w:sz w:val="20"/>
          <w:szCs w:val="20"/>
          <w:color w:val="auto"/>
        </w:rPr>
      </w:pPr>
    </w:p>
    <w:p>
      <w:pPr>
        <w:ind w:right="20"/>
        <w:spacing w:after="0" w:line="291" w:lineRule="auto"/>
        <w:rPr>
          <w:sz w:val="20"/>
          <w:szCs w:val="20"/>
          <w:color w:val="auto"/>
        </w:rPr>
      </w:pPr>
      <w:r>
        <w:rPr>
          <w:rFonts w:ascii="Arial" w:cs="Arial" w:eastAsia="Arial" w:hAnsi="Arial"/>
          <w:sz w:val="16"/>
          <w:szCs w:val="16"/>
          <w:b w:val="1"/>
          <w:bCs w:val="1"/>
          <w:i w:val="1"/>
          <w:iCs w:val="1"/>
          <w:color w:val="auto"/>
        </w:rPr>
        <w:t xml:space="preserve">Restructuring </w:t>
      </w:r>
      <w:r>
        <w:rPr>
          <w:rFonts w:ascii="Arial" w:cs="Arial" w:eastAsia="Arial" w:hAnsi="Arial"/>
          <w:sz w:val="16"/>
          <w:szCs w:val="16"/>
          <w:color w:val="auto"/>
        </w:rPr>
        <w:t>– The Company continually evaluates alternatives to align the business with the changing needs of its customers and to lower operating</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costs. This includes the realignment of its existing manufacturing capacity, facility closures, or similar actions, either in the normal course of business or pursuant to significant restructuring programs. These actions may result in employees receiving voluntary or involuntary employee termination benefits, which may be pursuant to contractual agreements. Voluntary termination benefits are accrued when an employee accepts the related offer. Involuntary termination benefits are accrued upon the commitment to a termination plan and the benefit arrangement is communicated to affected employees, or when liabilities are determined to be probable and estimable, depending on the existence of a substantive plan for severance or termination. All other exit costs are expensed as incurred. Refer to Note 13 “Other Operating Expenses, Net” for additional information.</w:t>
      </w:r>
    </w:p>
    <w:p>
      <w:pPr>
        <w:spacing w:after="0" w:line="167" w:lineRule="exact"/>
        <w:rPr>
          <w:sz w:val="20"/>
          <w:szCs w:val="20"/>
          <w:color w:val="auto"/>
        </w:rPr>
      </w:pPr>
    </w:p>
    <w:p>
      <w:pPr>
        <w:ind w:right="360"/>
        <w:spacing w:after="0" w:line="302" w:lineRule="auto"/>
        <w:rPr>
          <w:sz w:val="20"/>
          <w:szCs w:val="20"/>
          <w:color w:val="auto"/>
        </w:rPr>
      </w:pPr>
      <w:r>
        <w:rPr>
          <w:rFonts w:ascii="Arial" w:cs="Arial" w:eastAsia="Arial" w:hAnsi="Arial"/>
          <w:sz w:val="16"/>
          <w:szCs w:val="16"/>
          <w:b w:val="1"/>
          <w:bCs w:val="1"/>
          <w:i w:val="1"/>
          <w:iCs w:val="1"/>
          <w:color w:val="auto"/>
        </w:rPr>
        <w:t xml:space="preserve">Product Warranties </w:t>
      </w:r>
      <w:r>
        <w:rPr>
          <w:rFonts w:ascii="Arial" w:cs="Arial" w:eastAsia="Arial" w:hAnsi="Arial"/>
          <w:sz w:val="16"/>
          <w:szCs w:val="16"/>
          <w:color w:val="auto"/>
        </w:rPr>
        <w:t>– The Company allows customers to return defective or damaged products for credit, replacement, or exchange. The Company</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warrants that its products will meet customer specifications and will be free from defects in materials and workmanship</w:t>
      </w:r>
      <w:r>
        <w:rPr>
          <w:rFonts w:ascii="Arial" w:cs="Arial" w:eastAsia="Arial" w:hAnsi="Arial"/>
          <w:sz w:val="16"/>
          <w:szCs w:val="16"/>
          <w:b w:val="1"/>
          <w:bCs w:val="1"/>
          <w:i w:val="1"/>
          <w:iCs w:val="1"/>
          <w:color w:val="auto"/>
        </w:rPr>
        <w:t>.</w:t>
      </w:r>
      <w:r>
        <w:rPr>
          <w:rFonts w:ascii="Arial" w:cs="Arial" w:eastAsia="Arial" w:hAnsi="Arial"/>
          <w:sz w:val="16"/>
          <w:szCs w:val="16"/>
          <w:color w:val="auto"/>
        </w:rPr>
        <w:t xml:space="preserve"> The Company accrues its estimated exposure to warranty claims, through Cost of Sales, based upon recent historical experience and other specific information as it becomes available. Note 15 “Commitments and Contingencies” contains additional information on the Company’s product warranties.</w:t>
      </w:r>
    </w:p>
    <w:p>
      <w:pPr>
        <w:spacing w:after="0" w:line="154" w:lineRule="exact"/>
        <w:rPr>
          <w:sz w:val="20"/>
          <w:szCs w:val="20"/>
          <w:color w:val="auto"/>
        </w:rPr>
      </w:pPr>
    </w:p>
    <w:p>
      <w:pPr>
        <w:ind w:right="80"/>
        <w:spacing w:after="0" w:line="297" w:lineRule="auto"/>
        <w:rPr>
          <w:sz w:val="20"/>
          <w:szCs w:val="20"/>
          <w:color w:val="auto"/>
        </w:rPr>
      </w:pPr>
      <w:r>
        <w:rPr>
          <w:rFonts w:ascii="Arial" w:cs="Arial" w:eastAsia="Arial" w:hAnsi="Arial"/>
          <w:sz w:val="16"/>
          <w:szCs w:val="16"/>
          <w:b w:val="1"/>
          <w:bCs w:val="1"/>
          <w:i w:val="1"/>
          <w:iCs w:val="1"/>
          <w:color w:val="auto"/>
        </w:rPr>
        <w:t xml:space="preserve">Research, Development and Engineering Costs, Net (“RD&amp;E”) </w:t>
      </w:r>
      <w:r>
        <w:rPr>
          <w:rFonts w:ascii="Arial" w:cs="Arial" w:eastAsia="Arial" w:hAnsi="Arial"/>
          <w:sz w:val="16"/>
          <w:szCs w:val="16"/>
          <w:color w:val="auto"/>
        </w:rPr>
        <w:t>– RD&amp;E costs are expensed as incurred. The primary costs are salary and benefits for</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personnel, material costs used in development projects and subcontracting costs. Cost reimbursements for certain engineering services from customers for whom the Company designs products are recorded as an offset to engineering costs upon achieving development milestones specified in the contracts. These reimbursements do not cover the complete cost of the development projects. Additionally, the technology developed under these cost reimbursement projects is owned by the Company and is utilized for future products developed for other customers.</w:t>
      </w:r>
    </w:p>
    <w:p>
      <w:pPr>
        <w:spacing w:after="0" w:line="158" w:lineRule="exact"/>
        <w:rPr>
          <w:sz w:val="20"/>
          <w:szCs w:val="20"/>
          <w:color w:val="auto"/>
        </w:rPr>
      </w:pPr>
    </w:p>
    <w:p>
      <w:pPr>
        <w:ind w:right="80"/>
        <w:spacing w:after="0" w:line="290" w:lineRule="auto"/>
        <w:rPr>
          <w:sz w:val="20"/>
          <w:szCs w:val="20"/>
          <w:color w:val="auto"/>
        </w:rPr>
      </w:pPr>
      <w:r>
        <w:rPr>
          <w:rFonts w:ascii="Arial" w:cs="Arial" w:eastAsia="Arial" w:hAnsi="Arial"/>
          <w:sz w:val="16"/>
          <w:szCs w:val="16"/>
          <w:color w:val="auto"/>
        </w:rPr>
        <w:t>In-process research and development (“IPR&amp;D”) represents research projects acquired in a business combination which are expected to generate cash flows but have not yet reached technological feasibility. The primary basis for determining the technological feasibility of these projects is whether or not regulatory approval has been obtained. The Company classifies IPR&amp;D acquired in a business combination as an indefinite-lived intangible asset until the completion or abandonment of the associated projects. Upon completion, the Company determines the useful life of the IPR&amp;D and begins amortizing the assets to reflect their use over their remaining lives. Upon permanent abandonment, the remaining carrying amount of the associated IPR&amp;D is written-off. The Company tests the IPR&amp;D acquired for impairment at least annually, and more frequently if events or changes in circumstances indicate that the assets may be impaired. The impairment test consists of a comparison of the fair value of the intangible assets with their carrying amount. If the carrying amount exceeds its fair value, the Company would record an impairment loss in an amount equal to the excess.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color w:val="auto"/>
        </w:rPr>
        <w:t>Note 12 “Research, Development and Engineering Costs, Net” contains additional information on the Company’s RD&amp;E activities.</w:t>
      </w:r>
    </w:p>
    <w:p>
      <w:pPr>
        <w:spacing w:after="0" w:line="225" w:lineRule="exact"/>
        <w:rPr>
          <w:sz w:val="20"/>
          <w:szCs w:val="20"/>
          <w:color w:val="auto"/>
        </w:rPr>
      </w:pPr>
    </w:p>
    <w:p>
      <w:pPr>
        <w:spacing w:after="0" w:line="257" w:lineRule="auto"/>
        <w:rPr>
          <w:sz w:val="20"/>
          <w:szCs w:val="20"/>
          <w:color w:val="auto"/>
        </w:rPr>
      </w:pPr>
      <w:r>
        <w:rPr>
          <w:rFonts w:ascii="Arial" w:cs="Arial" w:eastAsia="Arial" w:hAnsi="Arial"/>
          <w:sz w:val="18"/>
          <w:szCs w:val="18"/>
          <w:b w:val="1"/>
          <w:bCs w:val="1"/>
          <w:i w:val="1"/>
          <w:iCs w:val="1"/>
          <w:color w:val="auto"/>
        </w:rPr>
        <w:t xml:space="preserve">Stock-Based Compensation </w:t>
      </w:r>
      <w:r>
        <w:rPr>
          <w:rFonts w:ascii="Arial" w:cs="Arial" w:eastAsia="Arial" w:hAnsi="Arial"/>
          <w:sz w:val="18"/>
          <w:szCs w:val="18"/>
          <w:i w:val="1"/>
          <w:iCs w:val="1"/>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The Company records compensation costs related to stock-based awards granted to employees based upon their estimated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fair value on the grant date. Compensation cost for service-based awards is recognized ratably over the applicable vesting period. Compensation cost for nonmarket-based performance awards is reassessed each period and recognized based upon the probability that the performance targets will be achieved. Compensation cost for market-based performance awards is expensed ratably over the applicable vesting period and is recognized each period whether the performance metrics are achieved or not.</w:t>
      </w:r>
    </w:p>
    <w:p>
      <w:pPr>
        <w:spacing w:after="0" w:line="323" w:lineRule="exact"/>
        <w:rPr>
          <w:sz w:val="20"/>
          <w:szCs w:val="20"/>
          <w:color w:val="auto"/>
        </w:rPr>
      </w:pPr>
    </w:p>
    <w:p>
      <w:pPr>
        <w:jc w:val="center"/>
        <w:ind w:right="380"/>
        <w:spacing w:after="0"/>
        <w:rPr>
          <w:sz w:val="20"/>
          <w:szCs w:val="20"/>
          <w:color w:val="auto"/>
        </w:rPr>
      </w:pPr>
      <w:r>
        <w:rPr>
          <w:rFonts w:ascii="Arial" w:cs="Arial" w:eastAsia="Arial" w:hAnsi="Arial"/>
          <w:sz w:val="18"/>
          <w:szCs w:val="18"/>
          <w:color w:val="auto"/>
        </w:rPr>
        <w:t>- 75 -</w:t>
      </w:r>
    </w:p>
    <w:p>
      <w:pPr>
        <w:sectPr>
          <w:pgSz w:w="11900" w:h="16838" w:orient="portrait"/>
          <w:cols w:equalWidth="0" w:num="1">
            <w:col w:w="10980"/>
          </w:cols>
          <w:pgMar w:left="660" w:top="337" w:right="259" w:bottom="1440" w:gutter="0" w:footer="0" w:header="0"/>
        </w:sectPr>
      </w:pPr>
    </w:p>
    <w:bookmarkStart w:id="76" w:name="page77"/>
    <w:bookmarkEnd w:id="76"/>
    <w:p>
      <w:pPr>
        <w:jc w:val="center"/>
        <w:ind w:right="360"/>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ind w:right="36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The Company utilizes the Black-Scholes option pricing model to estimate the fair value of stock options granted. For service-based and nonmarket-based performance restricted stock and restricted stock unit awards, the fair market value of the award is determined based upon the closing value of the Company’s stock price on the grant date. For market-based performance restricted stock unit awards, the fair market value of the award is determined utilizing a Monte Carlo simulation model, which projects the value of the Company’s stock under numerous scenarios and determines the value of the award based upon the present value of those projected outcomes.</w:t>
      </w:r>
    </w:p>
    <w:p>
      <w:pPr>
        <w:spacing w:after="0" w:line="202" w:lineRule="exact"/>
        <w:rPr>
          <w:sz w:val="20"/>
          <w:szCs w:val="20"/>
          <w:color w:val="auto"/>
        </w:rPr>
      </w:pPr>
    </w:p>
    <w:p>
      <w:pPr>
        <w:ind w:right="140"/>
        <w:spacing w:after="0" w:line="257" w:lineRule="auto"/>
        <w:rPr>
          <w:sz w:val="20"/>
          <w:szCs w:val="20"/>
          <w:color w:val="auto"/>
        </w:rPr>
      </w:pPr>
      <w:r>
        <w:rPr>
          <w:rFonts w:ascii="Arial" w:cs="Arial" w:eastAsia="Arial" w:hAnsi="Arial"/>
          <w:sz w:val="18"/>
          <w:szCs w:val="18"/>
          <w:color w:val="auto"/>
        </w:rPr>
        <w:t>The amount of stock-based compensation expense recognized is based on the portion of the awards that are ultimately expected to vest. The Company estimates pre-vesting forfeitures at the time of grant by analyzing historical data and revises those estimates in subsequent periods if actual forfeitures differ from those estimates. The total expense recognized over the vesting period will only be for those awards that ultimately vest, excluding market and nonmarket performance award considerations. Note 11 “Stock-Based Compensation” contains additional information on the Company’s stock-based compensation.</w:t>
      </w:r>
    </w:p>
    <w:p>
      <w:pPr>
        <w:spacing w:after="0" w:line="188" w:lineRule="exact"/>
        <w:rPr>
          <w:sz w:val="20"/>
          <w:szCs w:val="20"/>
          <w:color w:val="auto"/>
        </w:rPr>
      </w:pPr>
    </w:p>
    <w:p>
      <w:pPr>
        <w:ind w:right="40"/>
        <w:spacing w:after="0" w:line="279" w:lineRule="auto"/>
        <w:rPr>
          <w:sz w:val="20"/>
          <w:szCs w:val="20"/>
          <w:color w:val="auto"/>
        </w:rPr>
      </w:pPr>
      <w:r>
        <w:rPr>
          <w:rFonts w:ascii="Arial" w:cs="Arial" w:eastAsia="Arial" w:hAnsi="Arial"/>
          <w:sz w:val="17"/>
          <w:szCs w:val="17"/>
          <w:b w:val="1"/>
          <w:bCs w:val="1"/>
          <w:i w:val="1"/>
          <w:iCs w:val="1"/>
          <w:color w:val="auto"/>
        </w:rPr>
        <w:t xml:space="preserve">Foreign Currency Translation </w:t>
      </w:r>
      <w:r>
        <w:rPr>
          <w:rFonts w:ascii="Arial" w:cs="Arial" w:eastAsia="Arial" w:hAnsi="Arial"/>
          <w:sz w:val="17"/>
          <w:szCs w:val="17"/>
          <w:color w:val="auto"/>
        </w:rPr>
        <w:t>– The Company translates all assets and liabilities of its foreign subsidiaries, where the U.S. dollar is not the functional</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currency, at the period-end exchange rate and translates income and expenses at the average exchange rates in effect during the period. The net effect of this translation is recorded in the consolidated financial statements as Accumulated Other Comprehensive Income. Translation adjustments are not adjusted for income taxes as they relate to permanent investments in the Company’s foreign subsidiaries.</w:t>
      </w:r>
    </w:p>
    <w:p>
      <w:pPr>
        <w:spacing w:after="0" w:line="171"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color w:val="auto"/>
        </w:rPr>
        <w:t>Net foreign currency transaction gains and losses are included in Other (Income) Expense, Net and amounted to a gain of $1.3 million for 2015, a gain of $1.3 million for 2014 and a loss of $0.1 million for 2013.</w:t>
      </w:r>
    </w:p>
    <w:p>
      <w:pPr>
        <w:spacing w:after="0" w:line="170" w:lineRule="exact"/>
        <w:rPr>
          <w:sz w:val="20"/>
          <w:szCs w:val="20"/>
          <w:color w:val="auto"/>
        </w:rPr>
      </w:pPr>
    </w:p>
    <w:p>
      <w:pPr>
        <w:spacing w:after="0" w:line="272" w:lineRule="auto"/>
        <w:rPr>
          <w:sz w:val="20"/>
          <w:szCs w:val="20"/>
          <w:color w:val="auto"/>
        </w:rPr>
      </w:pPr>
      <w:r>
        <w:rPr>
          <w:rFonts w:ascii="Arial" w:cs="Arial" w:eastAsia="Arial" w:hAnsi="Arial"/>
          <w:sz w:val="17"/>
          <w:szCs w:val="17"/>
          <w:b w:val="1"/>
          <w:bCs w:val="1"/>
          <w:i w:val="1"/>
          <w:iCs w:val="1"/>
          <w:color w:val="auto"/>
        </w:rPr>
        <w:t xml:space="preserve">Defined Benefit Plans </w:t>
      </w:r>
      <w:r>
        <w:rPr>
          <w:rFonts w:ascii="Arial" w:cs="Arial" w:eastAsia="Arial" w:hAnsi="Arial"/>
          <w:sz w:val="17"/>
          <w:szCs w:val="17"/>
          <w:color w:val="auto"/>
        </w:rPr>
        <w:t>– The Company recognizes in its balance sheet as an asset or liability the overfunded or underfunded status of its defined benefit</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plans provided to its employees located in Mexico, Switzerland, France and Germany. This asset or liability is measured as the difference between the fair value of plan assets, if any, and the benefit obligation of those plans. For these plans, the benefit obligation is the projected benefit obligation, which is calculated based on actuarial computations of current and future benefits for employees. Actuarial gains or losses and prior service costs or credits that arise during the period, but are not included as components of net periodic benefit expense, are recognized as a component of Accumulated Other Comprehensive Income. Defined benefit expenses are charged to Cost of Sales, SG&amp;A and RD&amp;E expenses as applicable. Note 10 “Benefit Plans” contains additional information on these costs.</w:t>
      </w:r>
    </w:p>
    <w:p>
      <w:pPr>
        <w:spacing w:after="0" w:line="178" w:lineRule="exact"/>
        <w:rPr>
          <w:sz w:val="20"/>
          <w:szCs w:val="20"/>
          <w:color w:val="auto"/>
        </w:rPr>
      </w:pPr>
    </w:p>
    <w:p>
      <w:pPr>
        <w:ind w:right="100"/>
        <w:spacing w:after="0" w:line="302" w:lineRule="auto"/>
        <w:rPr>
          <w:sz w:val="20"/>
          <w:szCs w:val="20"/>
          <w:color w:val="auto"/>
        </w:rPr>
      </w:pPr>
      <w:r>
        <w:rPr>
          <w:rFonts w:ascii="Arial" w:cs="Arial" w:eastAsia="Arial" w:hAnsi="Arial"/>
          <w:sz w:val="16"/>
          <w:szCs w:val="16"/>
          <w:b w:val="1"/>
          <w:bCs w:val="1"/>
          <w:i w:val="1"/>
          <w:iCs w:val="1"/>
          <w:color w:val="auto"/>
        </w:rPr>
        <w:t xml:space="preserve">Earnings (Loss) Per Share (“EPS”) </w:t>
      </w:r>
      <w:r>
        <w:rPr>
          <w:rFonts w:ascii="Arial" w:cs="Arial" w:eastAsia="Arial" w:hAnsi="Arial"/>
          <w:sz w:val="16"/>
          <w:szCs w:val="16"/>
          <w:color w:val="auto"/>
        </w:rPr>
        <w:t>– Basic EPS is calculated by dividing Net Income (Loss) by the weighted average number of shares outstanding</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during the period. Diluted EPS is calculated by adjusting the weighted average number of shares outstanding for potential common shares if dilutive to the EPS calculation and consist of stock options, unvested restricted stock and restricted stock units and, if applicable, contingently convertible instruments such as convertible debt. Note 16 “Earnings (Loss) Per Share” contains additional information on the computation of the Company’s EPS.</w:t>
      </w:r>
    </w:p>
    <w:p>
      <w:pPr>
        <w:spacing w:after="0" w:line="168" w:lineRule="exact"/>
        <w:rPr>
          <w:sz w:val="20"/>
          <w:szCs w:val="20"/>
          <w:color w:val="auto"/>
        </w:rPr>
      </w:pPr>
    </w:p>
    <w:p>
      <w:pPr>
        <w:ind w:right="280"/>
        <w:spacing w:after="0" w:line="302" w:lineRule="auto"/>
        <w:rPr>
          <w:sz w:val="20"/>
          <w:szCs w:val="20"/>
          <w:color w:val="auto"/>
        </w:rPr>
      </w:pPr>
      <w:r>
        <w:rPr>
          <w:rFonts w:ascii="Arial" w:cs="Arial" w:eastAsia="Arial" w:hAnsi="Arial"/>
          <w:sz w:val="16"/>
          <w:szCs w:val="16"/>
          <w:b w:val="1"/>
          <w:bCs w:val="1"/>
          <w:i w:val="1"/>
          <w:iCs w:val="1"/>
          <w:color w:val="auto"/>
        </w:rPr>
        <w:t xml:space="preserve">Comprehensive Income (Loss) </w:t>
      </w:r>
      <w:r>
        <w:rPr>
          <w:rFonts w:ascii="Arial" w:cs="Arial" w:eastAsia="Arial" w:hAnsi="Arial"/>
          <w:sz w:val="16"/>
          <w:szCs w:val="16"/>
          <w:color w:val="auto"/>
        </w:rPr>
        <w:t>– The Company’s comprehensive income (loss) as reported in the Consolidated Statements of Operations and</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Comprehensive Income (Loss) includes net income (loss), foreign currency translation adjustments, the net change in cash flow hedges, and defined benefit plan liability adjustments. The Consolidated Statements of Operations and Comprehensive Income (Loss) and Note 17 “Accumulated Other Comprehensive Income” contains additional information on the computation of the Company’s comprehensive income (loss).</w:t>
      </w:r>
    </w:p>
    <w:p>
      <w:pPr>
        <w:spacing w:after="0" w:line="154"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b w:val="1"/>
          <w:bCs w:val="1"/>
          <w:i w:val="1"/>
          <w:iCs w:val="1"/>
          <w:color w:val="auto"/>
        </w:rPr>
        <w:t xml:space="preserve">Use of Estimates </w:t>
      </w:r>
      <w:r>
        <w:rPr>
          <w:rFonts w:ascii="Arial" w:cs="Arial" w:eastAsia="Arial" w:hAnsi="Arial"/>
          <w:sz w:val="18"/>
          <w:szCs w:val="18"/>
          <w:color w:val="auto"/>
        </w:rPr>
        <w:t>– The preparation of financial statements in conformity with accounting principles generally accepted in the United States of America</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(“U.S. GAAP”) requires management to make estimates and assumptions that affect the reported amounts of assets and liabilities and disclosure of contingent assets and liabilities at the date of the financial statements and reported amounts of sales and expenses during the reporting periods. Actual results could differ materially from those estimates.</w:t>
      </w:r>
    </w:p>
    <w:p>
      <w:pPr>
        <w:spacing w:after="0" w:line="187" w:lineRule="exact"/>
        <w:rPr>
          <w:sz w:val="20"/>
          <w:szCs w:val="20"/>
          <w:color w:val="auto"/>
        </w:rPr>
      </w:pPr>
    </w:p>
    <w:p>
      <w:pPr>
        <w:ind w:right="100"/>
        <w:spacing w:after="0" w:line="257" w:lineRule="auto"/>
        <w:rPr>
          <w:sz w:val="20"/>
          <w:szCs w:val="20"/>
          <w:color w:val="auto"/>
        </w:rPr>
      </w:pPr>
      <w:r>
        <w:rPr>
          <w:rFonts w:ascii="Arial" w:cs="Arial" w:eastAsia="Arial" w:hAnsi="Arial"/>
          <w:sz w:val="18"/>
          <w:szCs w:val="18"/>
          <w:b w:val="1"/>
          <w:bCs w:val="1"/>
          <w:i w:val="1"/>
          <w:iCs w:val="1"/>
          <w:color w:val="auto"/>
        </w:rPr>
        <w:t xml:space="preserve">Reclassifications </w:t>
      </w:r>
      <w:r>
        <w:rPr>
          <w:rFonts w:ascii="Arial" w:cs="Arial" w:eastAsia="Arial" w:hAnsi="Arial"/>
          <w:sz w:val="18"/>
          <w:szCs w:val="18"/>
          <w:color w:val="auto"/>
        </w:rPr>
        <w:t>– Certain prior period amounts have been reclassified to conform to current year presentation. Refer to Note 19, “Business Segment,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Geographic and Concentration Risk Information,” for a description of the changes made to the Company’s prior period product line sales classification to reflect the current year presentation. Additionally, during the current year the Company disclosed the Proceeds from Sale of Property, Plant and Equipment and Inventory Step-up amortization separately in the Consolidated Statements of Cash Flows as these amounts were more material for disclosure in the current year.</w:t>
      </w:r>
    </w:p>
    <w:p>
      <w:pPr>
        <w:spacing w:after="0" w:line="188" w:lineRule="exact"/>
        <w:rPr>
          <w:sz w:val="20"/>
          <w:szCs w:val="20"/>
          <w:color w:val="auto"/>
        </w:rPr>
      </w:pPr>
    </w:p>
    <w:p>
      <w:pPr>
        <w:ind w:right="220"/>
        <w:spacing w:after="0" w:line="259" w:lineRule="auto"/>
        <w:rPr>
          <w:sz w:val="20"/>
          <w:szCs w:val="20"/>
          <w:color w:val="auto"/>
        </w:rPr>
      </w:pPr>
      <w:r>
        <w:rPr>
          <w:rFonts w:ascii="Arial" w:cs="Arial" w:eastAsia="Arial" w:hAnsi="Arial"/>
          <w:sz w:val="18"/>
          <w:szCs w:val="18"/>
          <w:b w:val="1"/>
          <w:bCs w:val="1"/>
          <w:i w:val="1"/>
          <w:iCs w:val="1"/>
          <w:color w:val="auto"/>
        </w:rPr>
        <w:t xml:space="preserve">Recently Issued Accounting Pronouncements Not Yet Adopted </w:t>
      </w:r>
      <w:r>
        <w:rPr>
          <w:rFonts w:ascii="Arial" w:cs="Arial" w:eastAsia="Arial" w:hAnsi="Arial"/>
          <w:sz w:val="18"/>
          <w:szCs w:val="18"/>
          <w:color w:val="auto"/>
        </w:rPr>
        <w:t>– In the normal course of business, management evaluates all new accounting</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pronouncements issued by the FASB, SEC, Emerging Issues Task Force (“EITF”), or other authoritative accounting bodies to determine the potential impact they may have on the Company’s Consolidated Financial Statements. Based upon this review, except as noted below, management does not expect any of the recently</w:t>
      </w:r>
    </w:p>
    <w:p>
      <w:pPr>
        <w:sectPr>
          <w:pgSz w:w="11900" w:h="16838" w:orient="portrait"/>
          <w:cols w:equalWidth="0" w:num="1">
            <w:col w:w="10960"/>
          </w:cols>
          <w:pgMar w:left="660" w:top="337" w:right="279" w:bottom="1440" w:gutter="0" w:footer="0" w:header="0"/>
        </w:sectPr>
      </w:pPr>
    </w:p>
    <w:p>
      <w:pPr>
        <w:spacing w:after="0" w:line="322" w:lineRule="exact"/>
        <w:rPr>
          <w:sz w:val="20"/>
          <w:szCs w:val="20"/>
          <w:color w:val="auto"/>
        </w:rPr>
      </w:pPr>
    </w:p>
    <w:p>
      <w:pPr>
        <w:jc w:val="center"/>
        <w:ind w:right="380"/>
        <w:spacing w:after="0"/>
        <w:rPr>
          <w:sz w:val="20"/>
          <w:szCs w:val="20"/>
          <w:color w:val="auto"/>
        </w:rPr>
      </w:pPr>
      <w:r>
        <w:rPr>
          <w:rFonts w:ascii="Arial" w:cs="Arial" w:eastAsia="Arial" w:hAnsi="Arial"/>
          <w:sz w:val="16"/>
          <w:szCs w:val="16"/>
          <w:color w:val="auto"/>
        </w:rPr>
        <w:t>- 76 -</w:t>
      </w:r>
    </w:p>
    <w:p>
      <w:pPr>
        <w:sectPr>
          <w:pgSz w:w="11900" w:h="16838" w:orient="portrait"/>
          <w:cols w:equalWidth="0" w:num="1">
            <w:col w:w="10960"/>
          </w:cols>
          <w:pgMar w:left="660" w:top="337" w:right="279" w:bottom="1440" w:gutter="0" w:footer="0" w:header="0"/>
          <w:type w:val="continuous"/>
        </w:sectPr>
      </w:pPr>
    </w:p>
    <w:bookmarkStart w:id="77" w:name="page78"/>
    <w:bookmarkEnd w:id="77"/>
    <w:p>
      <w:pPr>
        <w:jc w:val="center"/>
        <w:ind w:right="400"/>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ind w:right="40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left="20" w:right="740"/>
        <w:spacing w:after="0" w:line="277" w:lineRule="auto"/>
        <w:rPr>
          <w:sz w:val="20"/>
          <w:szCs w:val="20"/>
          <w:color w:val="auto"/>
        </w:rPr>
      </w:pPr>
      <w:r>
        <w:rPr>
          <w:rFonts w:ascii="Arial" w:cs="Arial" w:eastAsia="Arial" w:hAnsi="Arial"/>
          <w:sz w:val="18"/>
          <w:szCs w:val="18"/>
          <w:color w:val="auto"/>
        </w:rPr>
        <w:t>issued accounting pronouncements, which have not already been adopted, to have a material impact on the Company’s Consolidated Financial Statements.</w:t>
      </w:r>
    </w:p>
    <w:p>
      <w:pPr>
        <w:spacing w:after="0" w:line="170" w:lineRule="exact"/>
        <w:rPr>
          <w:sz w:val="20"/>
          <w:szCs w:val="20"/>
          <w:color w:val="auto"/>
        </w:rPr>
      </w:pPr>
    </w:p>
    <w:p>
      <w:pPr>
        <w:spacing w:after="0" w:line="271" w:lineRule="auto"/>
        <w:rPr>
          <w:sz w:val="20"/>
          <w:szCs w:val="20"/>
          <w:color w:val="auto"/>
        </w:rPr>
      </w:pPr>
      <w:r>
        <w:rPr>
          <w:rFonts w:ascii="Arial" w:cs="Arial" w:eastAsia="Arial" w:hAnsi="Arial"/>
          <w:sz w:val="17"/>
          <w:szCs w:val="17"/>
          <w:color w:val="auto"/>
        </w:rPr>
        <w:t>In February 2016, the FASB issued ASU No. 2016-02, “Leases (Topic 842),” which requires companies to recognize all leases as assets and liabilities on the consolidated balance sheet. This ASU retains a distinction between finance leases and operating leases, and the classification criteria for distinguishing between finance leases and operating leases are substantially similar to the classification criteria for distinguishing between capital leases and operating leases in the current accounting literature. The result of retaining a distinction between finance leases and operating leases is that under the lessee accounting model in Topic 842, the effect of leases in a consolidated statement of comprehensive income and a consolidated statement of cash flows is largely unchanged from previous GAAP. The amendments in this ASU are effective for fiscal years beginning after December 15, 2018, including interim periods within those fiscal years. Earlier application is permitted. The Company is currently evaluating the impact that the adoption of this ASU will have on its Consolidated Financial Statements.</w:t>
      </w:r>
    </w:p>
    <w:p>
      <w:pPr>
        <w:spacing w:after="0" w:line="179" w:lineRule="exact"/>
        <w:rPr>
          <w:sz w:val="20"/>
          <w:szCs w:val="20"/>
          <w:color w:val="auto"/>
        </w:rPr>
      </w:pPr>
    </w:p>
    <w:p>
      <w:pPr>
        <w:ind w:left="20" w:right="160"/>
        <w:spacing w:after="0" w:line="289" w:lineRule="auto"/>
        <w:rPr>
          <w:sz w:val="20"/>
          <w:szCs w:val="20"/>
          <w:color w:val="auto"/>
        </w:rPr>
      </w:pPr>
      <w:r>
        <w:rPr>
          <w:rFonts w:ascii="Arial" w:cs="Arial" w:eastAsia="Arial" w:hAnsi="Arial"/>
          <w:sz w:val="16"/>
          <w:szCs w:val="16"/>
          <w:color w:val="auto"/>
        </w:rPr>
        <w:t>In January 2016, the FASB issued ASU No. 2016-01, “Financial Instruments - Overall (Subtopic 825-10): Recognition and Measurement of Financial Assets and Financial Liabilities.” This ASU requires equity investments (except those accounted for under the equity method of accounting, or those that result in consolidation of the investee) to be measured at fair value with changes in fair value recognized in net income; requires entities to use the exit price notion when measuring the fair value of financial instruments for disclosure purposes; requires separate presentation of financial assets and financial liabilities by measurement category and form of financial asset and requires entities to present separately in other comprehensive income the portion of the total change in the fair value of a liability resulting from a change in the instrument-specific credit risk (also referred to as “own credit”) when the organization has elected to measure the liability at fair value in accordance with the fair value option. The new ASU is effective for public companies for fiscal years beginning after December 15, 2017. Early adoption of the own credit provision is permitted. The Company is currently evaluating the impact that the adoption of this ASU will have on its Consolidated Financial Statements.</w:t>
      </w:r>
    </w:p>
    <w:p>
      <w:pPr>
        <w:spacing w:after="0" w:line="167" w:lineRule="exact"/>
        <w:rPr>
          <w:sz w:val="20"/>
          <w:szCs w:val="20"/>
          <w:color w:val="auto"/>
        </w:rPr>
      </w:pPr>
    </w:p>
    <w:p>
      <w:pPr>
        <w:ind w:left="20" w:right="140"/>
        <w:spacing w:after="0" w:line="253" w:lineRule="auto"/>
        <w:rPr>
          <w:sz w:val="20"/>
          <w:szCs w:val="20"/>
          <w:color w:val="auto"/>
        </w:rPr>
      </w:pPr>
      <w:r>
        <w:rPr>
          <w:rFonts w:ascii="Arial" w:cs="Arial" w:eastAsia="Arial" w:hAnsi="Arial"/>
          <w:sz w:val="18"/>
          <w:szCs w:val="18"/>
          <w:color w:val="auto"/>
        </w:rPr>
        <w:t>In September 2015, the FASB issued ASU No. 2015-16, “Business Combinations (Topic 805): Simpl</w:t>
      </w:r>
      <w:r>
        <w:rPr>
          <w:rFonts w:ascii="Arial" w:cs="Arial" w:eastAsia="Arial" w:hAnsi="Arial"/>
          <w:sz w:val="18"/>
          <w:szCs w:val="18"/>
          <w:color w:val="252525"/>
        </w:rPr>
        <w:t>ifying the Accounting for Measurement-Period</w:t>
      </w:r>
      <w:r>
        <w:rPr>
          <w:rFonts w:ascii="Arial" w:cs="Arial" w:eastAsia="Arial" w:hAnsi="Arial"/>
          <w:sz w:val="18"/>
          <w:szCs w:val="18"/>
          <w:color w:val="auto"/>
        </w:rPr>
        <w:t xml:space="preserve"> </w:t>
      </w:r>
      <w:r>
        <w:rPr>
          <w:rFonts w:ascii="Arial" w:cs="Arial" w:eastAsia="Arial" w:hAnsi="Arial"/>
          <w:sz w:val="18"/>
          <w:szCs w:val="18"/>
          <w:color w:val="252525"/>
        </w:rPr>
        <w:t xml:space="preserve">Adjustments,” which </w:t>
      </w:r>
      <w:r>
        <w:rPr>
          <w:rFonts w:ascii="Arial" w:cs="Arial" w:eastAsia="Arial" w:hAnsi="Arial"/>
          <w:sz w:val="18"/>
          <w:szCs w:val="18"/>
          <w:color w:val="000000"/>
        </w:rPr>
        <w:t>amends the guidance for measurement-period adjustments related to business combinations. The amended ASU requires that an</w:t>
      </w:r>
      <w:r>
        <w:rPr>
          <w:rFonts w:ascii="Arial" w:cs="Arial" w:eastAsia="Arial" w:hAnsi="Arial"/>
          <w:sz w:val="18"/>
          <w:szCs w:val="18"/>
          <w:color w:val="252525"/>
        </w:rPr>
        <w:t xml:space="preserve"> </w:t>
      </w:r>
      <w:r>
        <w:rPr>
          <w:rFonts w:ascii="Arial" w:cs="Arial" w:eastAsia="Arial" w:hAnsi="Arial"/>
          <w:sz w:val="18"/>
          <w:szCs w:val="18"/>
          <w:color w:val="000000"/>
        </w:rPr>
        <w:t>acquirer recognize adjustments to provisional amounts that are identified during the measurement period in the reporting period in which the adjustments are determined. The acquirer will be required to record, in the same period’s financial statements, the effect on earnings of changes in depreciation, amortization, or other income effects, if any, as a result of the change to the provisional amounts, calculated as if the accounting had been completed at the acquisition date and disclose what the amounts in the previous periods would have been if those changes were made as of the acquisition date. This ASU is effective for adjustments to provisional amounts that occur in annual periods and interim periods within those annual periods beginning after December 15, 2015. The Company is currently assessing the impact of adopting this ASU on its Consolidated Financial Statements.</w:t>
      </w:r>
    </w:p>
    <w:p>
      <w:pPr>
        <w:spacing w:after="0" w:line="197" w:lineRule="exact"/>
        <w:rPr>
          <w:sz w:val="20"/>
          <w:szCs w:val="20"/>
          <w:color w:val="auto"/>
        </w:rPr>
      </w:pPr>
    </w:p>
    <w:p>
      <w:pPr>
        <w:ind w:left="20"/>
        <w:spacing w:after="0" w:line="257" w:lineRule="auto"/>
        <w:rPr>
          <w:sz w:val="20"/>
          <w:szCs w:val="20"/>
          <w:color w:val="auto"/>
        </w:rPr>
      </w:pPr>
      <w:r>
        <w:rPr>
          <w:rFonts w:ascii="Arial" w:cs="Arial" w:eastAsia="Arial" w:hAnsi="Arial"/>
          <w:sz w:val="18"/>
          <w:szCs w:val="18"/>
          <w:color w:val="auto"/>
        </w:rPr>
        <w:t>In July 2015, the FASB issued ASU No. 2015-11, “Simplifying the Measurement of Inventory,” which simplifies the subsequent measurement of inventory by requiring inventory to be measured at the lower of cost and net realizable value. Net realizable value is the estimated selling prices in the ordinary course of business, less reasonably predictable costs of completion, disposal, and transportation. This ASU is effective for public business entities for fiscal years beginning after December 15, 2016, and interim periods within those fiscal years. The Company is currently assessing the impact of adopting this ASU on its Consolidated Financial Statements.</w:t>
      </w:r>
    </w:p>
    <w:p>
      <w:pPr>
        <w:spacing w:after="0" w:line="188" w:lineRule="exact"/>
        <w:rPr>
          <w:sz w:val="20"/>
          <w:szCs w:val="20"/>
          <w:color w:val="auto"/>
        </w:rPr>
      </w:pPr>
    </w:p>
    <w:p>
      <w:pPr>
        <w:ind w:left="20" w:right="20"/>
        <w:spacing w:after="0" w:line="287" w:lineRule="auto"/>
        <w:rPr>
          <w:sz w:val="20"/>
          <w:szCs w:val="20"/>
          <w:color w:val="auto"/>
        </w:rPr>
      </w:pPr>
      <w:r>
        <w:rPr>
          <w:rFonts w:ascii="Arial" w:cs="Arial" w:eastAsia="Arial" w:hAnsi="Arial"/>
          <w:sz w:val="16"/>
          <w:szCs w:val="16"/>
          <w:color w:val="auto"/>
        </w:rPr>
        <w:t>In May 2014, the FASB issued ASU No. 2014-09, “Revenue from Contracts with Customers.” The core principle behind ASU No. 2014-09 is that an entity should recognize revenue in an amount that reflects the consideration to which the entity expects to be entitled in exchange for delivering goods and services. This model involves a five-step process that includes identifying the contract with the customer, identifying the performance obligations in the contract, determining the transaction price, allocating the transaction price to the performance obligations in the contract and recognizing revenue when the entity satisfies the performance obligations. This ASU allows two methods of adoption; a full retrospective approach where historical financial information is presented in accordance with the new standard, and a modified retrospective approach where this ASU is applied to the most current period presented in the financial statements. In August 2015, the FASB issued ASU No 2015-14 “Revenue from Contracts with Customers: Deferral of the Effective Date,” which deferred the effective date of ASU 2014-09 to annual reporting periods beginning after December 15, 2017, with earlier application permitted as of annual reporting periods beginning after December 15, 2016. The Company is currently assessing the financial impact of adopting ASU 2014-09 and the methods of adoption; however, given the scope of the new standard, the Company is currently unable to provide a reasonable estimate regarding the financial impact or which method of adoption will be elected.</w:t>
      </w:r>
    </w:p>
    <w:p>
      <w:pPr>
        <w:spacing w:after="0" w:line="308" w:lineRule="exact"/>
        <w:rPr>
          <w:sz w:val="20"/>
          <w:szCs w:val="20"/>
          <w:color w:val="auto"/>
        </w:rPr>
      </w:pPr>
    </w:p>
    <w:p>
      <w:pPr>
        <w:jc w:val="center"/>
        <w:ind w:right="400"/>
        <w:spacing w:after="0"/>
        <w:rPr>
          <w:sz w:val="20"/>
          <w:szCs w:val="20"/>
          <w:color w:val="auto"/>
        </w:rPr>
      </w:pPr>
      <w:r>
        <w:rPr>
          <w:rFonts w:ascii="Arial" w:cs="Arial" w:eastAsia="Arial" w:hAnsi="Arial"/>
          <w:sz w:val="18"/>
          <w:szCs w:val="18"/>
          <w:color w:val="auto"/>
        </w:rPr>
        <w:t>- 77 -</w:t>
      </w:r>
    </w:p>
    <w:p>
      <w:pPr>
        <w:sectPr>
          <w:pgSz w:w="11900" w:h="16838" w:orient="portrait"/>
          <w:cols w:equalWidth="0" w:num="1">
            <w:col w:w="11020"/>
          </w:cols>
          <w:pgMar w:left="640" w:top="337" w:right="239" w:bottom="1440" w:gutter="0" w:footer="0" w:header="0"/>
        </w:sectPr>
      </w:pPr>
    </w:p>
    <w:bookmarkStart w:id="78" w:name="page79"/>
    <w:bookmarkEnd w:id="78"/>
    <w:p>
      <w:pPr>
        <w:jc w:val="center"/>
        <w:ind w:right="-4"/>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ind w:right="-4"/>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left="385" w:right="120"/>
        <w:spacing w:after="0" w:line="293" w:lineRule="auto"/>
        <w:rPr>
          <w:sz w:val="20"/>
          <w:szCs w:val="20"/>
          <w:color w:val="auto"/>
        </w:rPr>
      </w:pPr>
      <w:r>
        <w:rPr>
          <w:rFonts w:ascii="Arial" w:cs="Arial" w:eastAsia="Arial" w:hAnsi="Arial"/>
          <w:sz w:val="16"/>
          <w:szCs w:val="16"/>
          <w:color w:val="auto"/>
        </w:rPr>
        <w:t>In April 2014, the FASB issued ASU No. 2014-08, “Reporting Discontinued Operations and Disclosures of Disposals of Components of an Entity,” which amends the definition of a discontinued operation and requires entities to provide additional disclosures about disposal transactions that do not meet the discontinued operations criteria. The revised ASU changes how entities identify and disclose information about disposal transactions under U.S. GAAP. This ASU is effective prospectively for all disposals (except disposals classified as held for sale before the adoption date) or components initially classified as held for sale in periods beginning on or after December 15, 2014. This ASU is applicable for disposal transactions, if any, that the Company enters into after January 2, 2015. This ASU did not materially impact the Company’s Consolidated Financial Statements.</w:t>
      </w:r>
    </w:p>
    <w:p>
      <w:pPr>
        <w:spacing w:after="0" w:line="323" w:lineRule="exact"/>
        <w:rPr>
          <w:sz w:val="20"/>
          <w:szCs w:val="20"/>
          <w:color w:val="auto"/>
        </w:rPr>
      </w:pPr>
    </w:p>
    <w:p>
      <w:pPr>
        <w:ind w:left="365" w:hanging="365"/>
        <w:spacing w:after="0"/>
        <w:tabs>
          <w:tab w:leader="none" w:pos="365" w:val="left"/>
        </w:tabs>
        <w:numPr>
          <w:ilvl w:val="0"/>
          <w:numId w:val="35"/>
        </w:numPr>
        <w:rPr>
          <w:rFonts w:ascii="Arial" w:cs="Arial" w:eastAsia="Arial" w:hAnsi="Arial"/>
          <w:sz w:val="18"/>
          <w:szCs w:val="18"/>
          <w:b w:val="1"/>
          <w:bCs w:val="1"/>
          <w:color w:val="auto"/>
        </w:rPr>
      </w:pPr>
      <w:r>
        <w:rPr>
          <w:rFonts w:ascii="Arial" w:cs="Arial" w:eastAsia="Arial" w:hAnsi="Arial"/>
          <w:sz w:val="18"/>
          <w:szCs w:val="18"/>
          <w:b w:val="1"/>
          <w:bCs w:val="1"/>
          <w:color w:val="auto"/>
        </w:rPr>
        <w:t>ACQUISITIONS</w:t>
      </w:r>
    </w:p>
    <w:p>
      <w:pPr>
        <w:spacing w:after="0" w:line="148" w:lineRule="exact"/>
        <w:rPr>
          <w:rFonts w:ascii="Arial" w:cs="Arial" w:eastAsia="Arial" w:hAnsi="Arial"/>
          <w:sz w:val="18"/>
          <w:szCs w:val="18"/>
          <w:b w:val="1"/>
          <w:bCs w:val="1"/>
          <w:color w:val="auto"/>
        </w:rPr>
      </w:pPr>
    </w:p>
    <w:p>
      <w:pPr>
        <w:ind w:left="385"/>
        <w:spacing w:after="0"/>
        <w:rPr>
          <w:rFonts w:ascii="Arial" w:cs="Arial" w:eastAsia="Arial" w:hAnsi="Arial"/>
          <w:sz w:val="18"/>
          <w:szCs w:val="18"/>
          <w:b w:val="1"/>
          <w:bCs w:val="1"/>
          <w:color w:val="auto"/>
        </w:rPr>
      </w:pPr>
      <w:r>
        <w:rPr>
          <w:rFonts w:ascii="Arial" w:cs="Arial" w:eastAsia="Arial" w:hAnsi="Arial"/>
          <w:sz w:val="18"/>
          <w:szCs w:val="18"/>
          <w:b w:val="1"/>
          <w:bCs w:val="1"/>
          <w:i w:val="1"/>
          <w:iCs w:val="1"/>
          <w:color w:val="auto"/>
        </w:rPr>
        <w:t>Lake Region Medical Holdings, Inc.</w:t>
      </w:r>
    </w:p>
    <w:p>
      <w:pPr>
        <w:spacing w:after="0" w:line="225" w:lineRule="exact"/>
        <w:rPr>
          <w:rFonts w:ascii="Arial" w:cs="Arial" w:eastAsia="Arial" w:hAnsi="Arial"/>
          <w:sz w:val="18"/>
          <w:szCs w:val="18"/>
          <w:b w:val="1"/>
          <w:bCs w:val="1"/>
          <w:color w:val="auto"/>
        </w:rPr>
      </w:pPr>
    </w:p>
    <w:p>
      <w:pPr>
        <w:ind w:left="385" w:right="280"/>
        <w:spacing w:after="0" w:line="286" w:lineRule="auto"/>
        <w:rPr>
          <w:rFonts w:ascii="Arial" w:cs="Arial" w:eastAsia="Arial" w:hAnsi="Arial"/>
          <w:sz w:val="18"/>
          <w:szCs w:val="18"/>
          <w:b w:val="1"/>
          <w:bCs w:val="1"/>
          <w:color w:val="auto"/>
        </w:rPr>
      </w:pPr>
      <w:r>
        <w:rPr>
          <w:rFonts w:ascii="Arial" w:cs="Arial" w:eastAsia="Arial" w:hAnsi="Arial"/>
          <w:sz w:val="17"/>
          <w:szCs w:val="17"/>
          <w:color w:val="auto"/>
        </w:rPr>
        <w:t>On October 27, 2015, the Company acquired all of the outstanding common stock of Lake Region Medical Holdings, Inc. for a total purchase price including debt assumed of approximately $1.77 billion. Lake Region Medical specializes in the design, development, and manufacturing of products across the medical component and device spectrum primarily serving the cardio, vascular and advanced surgical markets.</w:t>
      </w:r>
    </w:p>
    <w:p>
      <w:pPr>
        <w:spacing w:after="0" w:line="165" w:lineRule="exact"/>
        <w:rPr>
          <w:rFonts w:ascii="Arial" w:cs="Arial" w:eastAsia="Arial" w:hAnsi="Arial"/>
          <w:sz w:val="18"/>
          <w:szCs w:val="18"/>
          <w:b w:val="1"/>
          <w:bCs w:val="1"/>
          <w:color w:val="auto"/>
        </w:rPr>
      </w:pPr>
    </w:p>
    <w:p>
      <w:pPr>
        <w:ind w:left="385"/>
        <w:spacing w:after="0"/>
        <w:rPr>
          <w:rFonts w:ascii="Arial" w:cs="Arial" w:eastAsia="Arial" w:hAnsi="Arial"/>
          <w:sz w:val="18"/>
          <w:szCs w:val="18"/>
          <w:b w:val="1"/>
          <w:bCs w:val="1"/>
          <w:color w:val="auto"/>
        </w:rPr>
      </w:pPr>
      <w:r>
        <w:rPr>
          <w:rFonts w:ascii="Arial" w:cs="Arial" w:eastAsia="Arial" w:hAnsi="Arial"/>
          <w:sz w:val="18"/>
          <w:szCs w:val="18"/>
          <w:color w:val="auto"/>
        </w:rPr>
        <w:t>The aggregate consideration paid by the Company to the stockholders of Lake Region Medical consisted of the following (in thousands):</w:t>
      </w:r>
    </w:p>
    <w:p>
      <w:pPr>
        <w:spacing w:after="0" w:line="375" w:lineRule="exact"/>
        <w:rPr>
          <w:sz w:val="20"/>
          <w:szCs w:val="20"/>
          <w:color w:val="auto"/>
        </w:rPr>
      </w:pPr>
    </w:p>
    <w:tbl>
      <w:tblPr>
        <w:tblLayout w:type="fixed"/>
        <w:tblInd w:w="385" w:type="dxa"/>
        <w:tblCellMar>
          <w:top w:w="0" w:type="dxa"/>
          <w:left w:w="0" w:type="dxa"/>
          <w:bottom w:w="0" w:type="dxa"/>
          <w:right w:w="0" w:type="dxa"/>
        </w:tblCellMar>
      </w:tblPr>
      <w:tr>
        <w:trPr>
          <w:trHeight w:val="270"/>
        </w:trPr>
        <w:tc>
          <w:tcPr>
            <w:tcW w:w="6660" w:type="dxa"/>
            <w:vAlign w:val="bottom"/>
            <w:shd w:val="clear" w:color="auto" w:fill="CCEEFF"/>
          </w:tcPr>
          <w:p>
            <w:pPr>
              <w:ind w:left="20"/>
              <w:spacing w:after="0"/>
              <w:rPr>
                <w:sz w:val="20"/>
                <w:szCs w:val="20"/>
                <w:color w:val="auto"/>
              </w:rPr>
            </w:pPr>
            <w:r>
              <w:rPr>
                <w:rFonts w:ascii="Arial" w:cs="Arial" w:eastAsia="Arial" w:hAnsi="Arial"/>
                <w:sz w:val="18"/>
                <w:szCs w:val="18"/>
                <w:color w:val="auto"/>
                <w:w w:val="94"/>
              </w:rPr>
              <w:t>Cash consideration paid to Lake Region Medical stockholders and equity award holders</w:t>
            </w:r>
          </w:p>
        </w:tc>
        <w:tc>
          <w:tcPr>
            <w:tcW w:w="44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478,490</w:t>
            </w:r>
          </w:p>
        </w:tc>
      </w:tr>
      <w:tr>
        <w:trPr>
          <w:trHeight w:val="229"/>
        </w:trPr>
        <w:tc>
          <w:tcPr>
            <w:tcW w:w="6660" w:type="dxa"/>
            <w:vAlign w:val="bottom"/>
          </w:tcPr>
          <w:p>
            <w:pPr>
              <w:ind w:left="20"/>
              <w:spacing w:after="0"/>
              <w:rPr>
                <w:sz w:val="20"/>
                <w:szCs w:val="20"/>
                <w:color w:val="auto"/>
              </w:rPr>
            </w:pPr>
            <w:r>
              <w:rPr>
                <w:rFonts w:ascii="Arial" w:cs="Arial" w:eastAsia="Arial" w:hAnsi="Arial"/>
                <w:sz w:val="18"/>
                <w:szCs w:val="18"/>
                <w:color w:val="auto"/>
              </w:rPr>
              <w:t>Fair value of shares of Greatbatch common stock issued to Lake Region Medical</w:t>
            </w:r>
          </w:p>
        </w:tc>
        <w:tc>
          <w:tcPr>
            <w:tcW w:w="440" w:type="dxa"/>
            <w:vAlign w:val="bottom"/>
          </w:tcPr>
          <w:p>
            <w:pPr>
              <w:spacing w:after="0"/>
              <w:rPr>
                <w:sz w:val="19"/>
                <w:szCs w:val="19"/>
                <w:color w:val="auto"/>
              </w:rPr>
            </w:pPr>
          </w:p>
        </w:tc>
        <w:tc>
          <w:tcPr>
            <w:tcW w:w="960" w:type="dxa"/>
            <w:vAlign w:val="bottom"/>
          </w:tcPr>
          <w:p>
            <w:pPr>
              <w:spacing w:after="0"/>
              <w:rPr>
                <w:sz w:val="19"/>
                <w:szCs w:val="19"/>
                <w:color w:val="auto"/>
              </w:rPr>
            </w:pPr>
          </w:p>
        </w:tc>
      </w:tr>
      <w:tr>
        <w:trPr>
          <w:trHeight w:val="230"/>
        </w:trPr>
        <w:tc>
          <w:tcPr>
            <w:tcW w:w="6660" w:type="dxa"/>
            <w:vAlign w:val="bottom"/>
          </w:tcPr>
          <w:p>
            <w:pPr>
              <w:ind w:left="20"/>
              <w:spacing w:after="0"/>
              <w:rPr>
                <w:sz w:val="20"/>
                <w:szCs w:val="20"/>
                <w:color w:val="auto"/>
              </w:rPr>
            </w:pPr>
            <w:r>
              <w:rPr>
                <w:rFonts w:ascii="Arial" w:cs="Arial" w:eastAsia="Arial" w:hAnsi="Arial"/>
                <w:sz w:val="18"/>
                <w:szCs w:val="18"/>
                <w:color w:val="auto"/>
              </w:rPr>
              <w:t>stockholders</w:t>
            </w:r>
          </w:p>
        </w:tc>
        <w:tc>
          <w:tcPr>
            <w:tcW w:w="44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245,368</w:t>
            </w:r>
          </w:p>
        </w:tc>
      </w:tr>
      <w:tr>
        <w:trPr>
          <w:trHeight w:val="27"/>
        </w:trPr>
        <w:tc>
          <w:tcPr>
            <w:tcW w:w="6660" w:type="dxa"/>
            <w:vAlign w:val="bottom"/>
          </w:tcPr>
          <w:p>
            <w:pPr>
              <w:spacing w:after="0"/>
              <w:rPr>
                <w:sz w:val="2"/>
                <w:szCs w:val="2"/>
                <w:color w:val="auto"/>
              </w:rPr>
            </w:pPr>
          </w:p>
        </w:tc>
        <w:tc>
          <w:tcPr>
            <w:tcW w:w="44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70"/>
        </w:trPr>
        <w:tc>
          <w:tcPr>
            <w:tcW w:w="66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Fair value of replacement stock options attributable to pre-acquisition service</w:t>
            </w:r>
          </w:p>
        </w:tc>
        <w:tc>
          <w:tcPr>
            <w:tcW w:w="44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4,508</w:t>
            </w:r>
          </w:p>
        </w:tc>
      </w:tr>
      <w:tr>
        <w:trPr>
          <w:trHeight w:val="257"/>
        </w:trPr>
        <w:tc>
          <w:tcPr>
            <w:tcW w:w="6660" w:type="dxa"/>
            <w:vAlign w:val="bottom"/>
          </w:tcPr>
          <w:p>
            <w:pPr>
              <w:ind w:left="160"/>
              <w:spacing w:after="0"/>
              <w:rPr>
                <w:sz w:val="20"/>
                <w:szCs w:val="20"/>
                <w:color w:val="auto"/>
              </w:rPr>
            </w:pPr>
            <w:r>
              <w:rPr>
                <w:rFonts w:ascii="Arial" w:cs="Arial" w:eastAsia="Arial" w:hAnsi="Arial"/>
                <w:sz w:val="18"/>
                <w:szCs w:val="18"/>
                <w:color w:val="auto"/>
              </w:rPr>
              <w:t>Total purchase consideration</w:t>
            </w:r>
          </w:p>
        </w:tc>
        <w:tc>
          <w:tcPr>
            <w:tcW w:w="440" w:type="dxa"/>
            <w:vAlign w:val="bottom"/>
            <w:tcBorders>
              <w:top w:val="single" w:sz="8" w:color="auto"/>
              <w:bottom w:val="single" w:sz="8" w:color="auto"/>
            </w:tcBorders>
          </w:tcPr>
          <w:p>
            <w:pPr>
              <w:jc w:val="right"/>
              <w:ind w:right="230"/>
              <w:spacing w:after="0"/>
              <w:rPr>
                <w:sz w:val="20"/>
                <w:szCs w:val="20"/>
                <w:color w:val="auto"/>
              </w:rPr>
            </w:pPr>
            <w:r>
              <w:rPr>
                <w:rFonts w:ascii="Arial" w:cs="Arial" w:eastAsia="Arial" w:hAnsi="Arial"/>
                <w:sz w:val="18"/>
                <w:szCs w:val="18"/>
                <w:color w:val="auto"/>
                <w:w w:val="99"/>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728,366</w:t>
            </w:r>
          </w:p>
        </w:tc>
      </w:tr>
      <w:tr>
        <w:trPr>
          <w:trHeight w:val="20"/>
        </w:trPr>
        <w:tc>
          <w:tcPr>
            <w:tcW w:w="666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385" w:right="40"/>
        <w:spacing w:after="0" w:line="269" w:lineRule="auto"/>
        <w:rPr>
          <w:sz w:val="20"/>
          <w:szCs w:val="20"/>
          <w:color w:val="auto"/>
        </w:rPr>
      </w:pPr>
      <w:r>
        <w:rPr>
          <w:rFonts w:ascii="Arial" w:cs="Arial" w:eastAsia="Arial" w:hAnsi="Arial"/>
          <w:sz w:val="17"/>
          <w:szCs w:val="17"/>
          <w:color w:val="auto"/>
        </w:rPr>
        <w:t>The fair value of the Greatbatch common stock issued as part of the consideration was determined based upon the closing stock price of Greatbatch’s shares as of the acquisition date. The fair value of the Greatbatch stock options issued as part of the consideration was determined utilizing a Black-Scholes option pricing model as of the acquisition date. Concurrently with the closing of the acquisition, the Company repaid all of the outstanding debt of Lake Region Medical of approximately $1.0 billion. The cash portion of the purchase price and the repayment of Lake Region Medical’s debt was primarily funded through a new senior secured credit facility and the issuance of senior notes. See Note 9 “Debt” for additional information regarding the Company’s debt. The Company believes that the combination of Greatbatch and Lake Region Medical brings together two highly complementary organizations that can provide a new level of industry leading capabilities and services to original equipment manufacturer customers while building value for shareholders. Through this acquisition, the Company believes that it will be at the forefront of innovating technologies and products that help change the face of healthcare, providing its customers with a distinct advantage as they bring complete systems and solutions to market. In turn, Greatbatch’s customers will be able to accelerate patient access to life enhancing therapies. The transaction is consistent with Greatbatch's strategy of achieving profitable growth and continuous improvement to drive margin expansion.</w:t>
      </w:r>
    </w:p>
    <w:p>
      <w:pPr>
        <w:spacing w:after="0" w:line="183" w:lineRule="exact"/>
        <w:rPr>
          <w:sz w:val="20"/>
          <w:szCs w:val="20"/>
          <w:color w:val="auto"/>
        </w:rPr>
      </w:pPr>
    </w:p>
    <w:p>
      <w:pPr>
        <w:jc w:val="both"/>
        <w:ind w:left="385" w:right="300"/>
        <w:spacing w:after="0" w:line="342" w:lineRule="auto"/>
        <w:rPr>
          <w:sz w:val="20"/>
          <w:szCs w:val="20"/>
          <w:color w:val="auto"/>
        </w:rPr>
      </w:pPr>
      <w:r>
        <w:rPr>
          <w:rFonts w:ascii="Arial" w:cs="Arial" w:eastAsia="Arial" w:hAnsi="Arial"/>
          <w:sz w:val="16"/>
          <w:szCs w:val="16"/>
          <w:color w:val="auto"/>
        </w:rPr>
        <w:t>The operating results of Lake Region Medical have been included in the Company’s Lake Region Medical segment from the date of acquisition. For 2015, Lake Region Medical added $138.6 million to the Company’s revenue and increased the Company’s net loss by approximately $17.4 million.</w:t>
      </w:r>
    </w:p>
    <w:p>
      <w:pPr>
        <w:spacing w:after="0" w:line="124" w:lineRule="exact"/>
        <w:rPr>
          <w:sz w:val="20"/>
          <w:szCs w:val="20"/>
          <w:color w:val="auto"/>
        </w:rPr>
      </w:pPr>
    </w:p>
    <w:p>
      <w:pPr>
        <w:ind w:left="385"/>
        <w:spacing w:after="0" w:line="255" w:lineRule="auto"/>
        <w:rPr>
          <w:sz w:val="20"/>
          <w:szCs w:val="20"/>
          <w:color w:val="auto"/>
        </w:rPr>
      </w:pPr>
      <w:r>
        <w:rPr>
          <w:rFonts w:ascii="Arial" w:cs="Arial" w:eastAsia="Arial" w:hAnsi="Arial"/>
          <w:sz w:val="18"/>
          <w:szCs w:val="18"/>
          <w:color w:val="auto"/>
        </w:rPr>
        <w:t>This transaction was accounted for under the acquisition method of accounting. Accordingly, the cost of the acquisition was allocated to the Lake Region Medical assets acquired and liabilities assumed based on their fair values as of the closing date of the acquisition, with the amount exceeding the fair value of the net assets acquired recorded as goodwill. The value assigned to certain assets and liabilities are preliminary and are subject to revision as more detailed analyses are completed and additional information about the fair value of assets acquired and liabilities assumed become available. The final allocation may include changes to the acquisition date fair value of intangible assets, goodwill, deferred taxes, as well as operating assets and liabilities, some of which may result in material adjustments.</w:t>
      </w:r>
    </w:p>
    <w:p>
      <w:pPr>
        <w:spacing w:after="0" w:line="328" w:lineRule="exact"/>
        <w:rPr>
          <w:sz w:val="20"/>
          <w:szCs w:val="20"/>
          <w:color w:val="auto"/>
        </w:rPr>
      </w:pPr>
    </w:p>
    <w:p>
      <w:pPr>
        <w:jc w:val="center"/>
        <w:ind w:right="-4"/>
        <w:spacing w:after="0"/>
        <w:rPr>
          <w:sz w:val="20"/>
          <w:szCs w:val="20"/>
          <w:color w:val="auto"/>
        </w:rPr>
      </w:pPr>
      <w:r>
        <w:rPr>
          <w:rFonts w:ascii="Arial" w:cs="Arial" w:eastAsia="Arial" w:hAnsi="Arial"/>
          <w:sz w:val="18"/>
          <w:szCs w:val="18"/>
          <w:color w:val="auto"/>
        </w:rPr>
        <w:t>- 78 -</w:t>
      </w:r>
    </w:p>
    <w:p>
      <w:pPr>
        <w:sectPr>
          <w:pgSz w:w="11900" w:h="16838" w:orient="portrait"/>
          <w:cols w:equalWidth="0" w:num="1">
            <w:col w:w="11365"/>
          </w:cols>
          <w:pgMar w:left="275" w:top="337" w:right="259" w:bottom="1440" w:gutter="0" w:footer="0" w:header="0"/>
        </w:sectPr>
      </w:pPr>
    </w:p>
    <w:bookmarkStart w:id="79" w:name="page80"/>
    <w:bookmarkEnd w:id="79"/>
    <w:p>
      <w:pPr>
        <w:jc w:val="center"/>
        <w:ind w:right="380"/>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ind w:right="38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right="360"/>
        <w:spacing w:after="0" w:line="277" w:lineRule="auto"/>
        <w:rPr>
          <w:sz w:val="20"/>
          <w:szCs w:val="20"/>
          <w:color w:val="auto"/>
        </w:rPr>
      </w:pPr>
      <w:r>
        <w:rPr>
          <w:rFonts w:ascii="Arial" w:cs="Arial" w:eastAsia="Arial" w:hAnsi="Arial"/>
          <w:sz w:val="18"/>
          <w:szCs w:val="18"/>
          <w:color w:val="auto"/>
        </w:rPr>
        <w:t>The following table summarizes the preliminary allocation of Lake Region Medical purchase price to the assets acquired and liabilities assumed (in thousands):</w:t>
      </w:r>
    </w:p>
    <w:p>
      <w:pPr>
        <w:spacing w:after="0" w:line="220" w:lineRule="exact"/>
        <w:rPr>
          <w:sz w:val="20"/>
          <w:szCs w:val="20"/>
          <w:color w:val="auto"/>
        </w:rPr>
      </w:pPr>
    </w:p>
    <w:tbl>
      <w:tblPr>
        <w:tblLayout w:type="fixed"/>
        <w:tblInd w:w="240" w:type="dxa"/>
        <w:tblCellMar>
          <w:top w:w="0" w:type="dxa"/>
          <w:left w:w="0" w:type="dxa"/>
          <w:bottom w:w="0" w:type="dxa"/>
          <w:right w:w="0" w:type="dxa"/>
        </w:tblCellMar>
      </w:tblPr>
      <w:tr>
        <w:trPr>
          <w:trHeight w:val="234"/>
        </w:trPr>
        <w:tc>
          <w:tcPr>
            <w:tcW w:w="4700" w:type="dxa"/>
            <w:vAlign w:val="bottom"/>
          </w:tcPr>
          <w:p>
            <w:pPr>
              <w:ind w:left="20"/>
              <w:spacing w:after="0"/>
              <w:rPr>
                <w:sz w:val="20"/>
                <w:szCs w:val="20"/>
                <w:color w:val="auto"/>
              </w:rPr>
            </w:pPr>
            <w:r>
              <w:rPr>
                <w:rFonts w:ascii="Arial" w:cs="Arial" w:eastAsia="Arial" w:hAnsi="Arial"/>
                <w:sz w:val="18"/>
                <w:szCs w:val="18"/>
                <w:b w:val="1"/>
                <w:bCs w:val="1"/>
                <w:color w:val="auto"/>
              </w:rPr>
              <w:t>Assets acquired</w:t>
            </w:r>
          </w:p>
        </w:tc>
        <w:tc>
          <w:tcPr>
            <w:tcW w:w="380" w:type="dxa"/>
            <w:vAlign w:val="bottom"/>
          </w:tcPr>
          <w:p>
            <w:pPr>
              <w:spacing w:after="0"/>
              <w:rPr>
                <w:sz w:val="20"/>
                <w:szCs w:val="20"/>
                <w:color w:val="auto"/>
              </w:rPr>
            </w:pPr>
          </w:p>
        </w:tc>
        <w:tc>
          <w:tcPr>
            <w:tcW w:w="1020" w:type="dxa"/>
            <w:vAlign w:val="bottom"/>
          </w:tcPr>
          <w:p>
            <w:pPr>
              <w:spacing w:after="0"/>
              <w:rPr>
                <w:sz w:val="20"/>
                <w:szCs w:val="20"/>
                <w:color w:val="auto"/>
              </w:rPr>
            </w:pPr>
          </w:p>
        </w:tc>
      </w:tr>
      <w:tr>
        <w:trPr>
          <w:trHeight w:val="27"/>
        </w:trPr>
        <w:tc>
          <w:tcPr>
            <w:tcW w:w="47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0"/>
        </w:trPr>
        <w:tc>
          <w:tcPr>
            <w:tcW w:w="470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Current assets</w:t>
            </w: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269,815</w:t>
            </w:r>
          </w:p>
        </w:tc>
      </w:tr>
      <w:tr>
        <w:trPr>
          <w:trHeight w:val="243"/>
        </w:trPr>
        <w:tc>
          <w:tcPr>
            <w:tcW w:w="4700" w:type="dxa"/>
            <w:vAlign w:val="bottom"/>
          </w:tcPr>
          <w:p>
            <w:pPr>
              <w:ind w:left="160"/>
              <w:spacing w:after="0"/>
              <w:rPr>
                <w:sz w:val="20"/>
                <w:szCs w:val="20"/>
                <w:color w:val="auto"/>
              </w:rPr>
            </w:pPr>
            <w:r>
              <w:rPr>
                <w:rFonts w:ascii="Arial" w:cs="Arial" w:eastAsia="Arial" w:hAnsi="Arial"/>
                <w:sz w:val="18"/>
                <w:szCs w:val="18"/>
                <w:color w:val="auto"/>
              </w:rPr>
              <w:t>Property, plant and equipment</w:t>
            </w:r>
          </w:p>
        </w:tc>
        <w:tc>
          <w:tcPr>
            <w:tcW w:w="38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216,473</w:t>
            </w:r>
          </w:p>
        </w:tc>
      </w:tr>
      <w:tr>
        <w:trPr>
          <w:trHeight w:val="27"/>
        </w:trPr>
        <w:tc>
          <w:tcPr>
            <w:tcW w:w="47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0"/>
        </w:trPr>
        <w:tc>
          <w:tcPr>
            <w:tcW w:w="470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Amortizing intangible assets</w:t>
            </w:r>
          </w:p>
        </w:tc>
        <w:tc>
          <w:tcPr>
            <w:tcW w:w="38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849,000</w:t>
            </w:r>
          </w:p>
        </w:tc>
      </w:tr>
      <w:tr>
        <w:trPr>
          <w:trHeight w:val="243"/>
        </w:trPr>
        <w:tc>
          <w:tcPr>
            <w:tcW w:w="4700" w:type="dxa"/>
            <w:vAlign w:val="bottom"/>
          </w:tcPr>
          <w:p>
            <w:pPr>
              <w:ind w:left="160"/>
              <w:spacing w:after="0"/>
              <w:rPr>
                <w:sz w:val="20"/>
                <w:szCs w:val="20"/>
                <w:color w:val="auto"/>
              </w:rPr>
            </w:pPr>
            <w:r>
              <w:rPr>
                <w:rFonts w:ascii="Arial" w:cs="Arial" w:eastAsia="Arial" w:hAnsi="Arial"/>
                <w:sz w:val="18"/>
                <w:szCs w:val="18"/>
                <w:color w:val="auto"/>
              </w:rPr>
              <w:t>Indefinite-lived intangible assets</w:t>
            </w:r>
          </w:p>
        </w:tc>
        <w:tc>
          <w:tcPr>
            <w:tcW w:w="38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70,000</w:t>
            </w:r>
          </w:p>
        </w:tc>
      </w:tr>
      <w:tr>
        <w:trPr>
          <w:trHeight w:val="27"/>
        </w:trPr>
        <w:tc>
          <w:tcPr>
            <w:tcW w:w="47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0"/>
        </w:trPr>
        <w:tc>
          <w:tcPr>
            <w:tcW w:w="470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Goodwill</w:t>
            </w:r>
          </w:p>
        </w:tc>
        <w:tc>
          <w:tcPr>
            <w:tcW w:w="38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661,788</w:t>
            </w:r>
          </w:p>
        </w:tc>
      </w:tr>
      <w:tr>
        <w:trPr>
          <w:trHeight w:val="243"/>
        </w:trPr>
        <w:tc>
          <w:tcPr>
            <w:tcW w:w="4700" w:type="dxa"/>
            <w:vAlign w:val="bottom"/>
          </w:tcPr>
          <w:p>
            <w:pPr>
              <w:ind w:left="160"/>
              <w:spacing w:after="0"/>
              <w:rPr>
                <w:sz w:val="20"/>
                <w:szCs w:val="20"/>
                <w:color w:val="auto"/>
              </w:rPr>
            </w:pPr>
            <w:r>
              <w:rPr>
                <w:rFonts w:ascii="Arial" w:cs="Arial" w:eastAsia="Arial" w:hAnsi="Arial"/>
                <w:sz w:val="18"/>
                <w:szCs w:val="18"/>
                <w:color w:val="auto"/>
              </w:rPr>
              <w:t>Other non-current assets</w:t>
            </w:r>
          </w:p>
        </w:tc>
        <w:tc>
          <w:tcPr>
            <w:tcW w:w="38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1,629</w:t>
            </w:r>
          </w:p>
        </w:tc>
      </w:tr>
      <w:tr>
        <w:trPr>
          <w:trHeight w:val="27"/>
        </w:trPr>
        <w:tc>
          <w:tcPr>
            <w:tcW w:w="47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44"/>
        </w:trPr>
        <w:tc>
          <w:tcPr>
            <w:tcW w:w="470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8"/>
                <w:szCs w:val="18"/>
                <w:color w:val="auto"/>
              </w:rPr>
              <w:t>Total assets acquired</w:t>
            </w:r>
          </w:p>
        </w:tc>
        <w:tc>
          <w:tcPr>
            <w:tcW w:w="38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2,068,705</w:t>
            </w:r>
          </w:p>
        </w:tc>
      </w:tr>
      <w:tr>
        <w:trPr>
          <w:trHeight w:val="243"/>
        </w:trPr>
        <w:tc>
          <w:tcPr>
            <w:tcW w:w="4700" w:type="dxa"/>
            <w:vAlign w:val="bottom"/>
          </w:tcPr>
          <w:p>
            <w:pPr>
              <w:ind w:left="20"/>
              <w:spacing w:after="0"/>
              <w:rPr>
                <w:sz w:val="20"/>
                <w:szCs w:val="20"/>
                <w:color w:val="auto"/>
              </w:rPr>
            </w:pPr>
            <w:r>
              <w:rPr>
                <w:rFonts w:ascii="Arial" w:cs="Arial" w:eastAsia="Arial" w:hAnsi="Arial"/>
                <w:sz w:val="18"/>
                <w:szCs w:val="18"/>
                <w:b w:val="1"/>
                <w:bCs w:val="1"/>
                <w:color w:val="auto"/>
              </w:rPr>
              <w:t>Liabilities assumed</w:t>
            </w:r>
          </w:p>
        </w:tc>
        <w:tc>
          <w:tcPr>
            <w:tcW w:w="380" w:type="dxa"/>
            <w:vAlign w:val="bottom"/>
          </w:tcPr>
          <w:p>
            <w:pPr>
              <w:spacing w:after="0"/>
              <w:rPr>
                <w:sz w:val="21"/>
                <w:szCs w:val="21"/>
                <w:color w:val="auto"/>
              </w:rPr>
            </w:pPr>
          </w:p>
        </w:tc>
        <w:tc>
          <w:tcPr>
            <w:tcW w:w="1020" w:type="dxa"/>
            <w:vAlign w:val="bottom"/>
          </w:tcPr>
          <w:p>
            <w:pPr>
              <w:spacing w:after="0"/>
              <w:rPr>
                <w:sz w:val="21"/>
                <w:szCs w:val="21"/>
                <w:color w:val="auto"/>
              </w:rPr>
            </w:pPr>
          </w:p>
        </w:tc>
      </w:tr>
      <w:tr>
        <w:trPr>
          <w:trHeight w:val="27"/>
        </w:trPr>
        <w:tc>
          <w:tcPr>
            <w:tcW w:w="47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0"/>
        </w:trPr>
        <w:tc>
          <w:tcPr>
            <w:tcW w:w="470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Current liabilities</w:t>
            </w:r>
          </w:p>
        </w:tc>
        <w:tc>
          <w:tcPr>
            <w:tcW w:w="38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102,485</w:t>
            </w:r>
          </w:p>
        </w:tc>
      </w:tr>
      <w:tr>
        <w:trPr>
          <w:trHeight w:val="243"/>
        </w:trPr>
        <w:tc>
          <w:tcPr>
            <w:tcW w:w="4700" w:type="dxa"/>
            <w:vAlign w:val="bottom"/>
          </w:tcPr>
          <w:p>
            <w:pPr>
              <w:ind w:left="160"/>
              <w:spacing w:after="0"/>
              <w:rPr>
                <w:sz w:val="20"/>
                <w:szCs w:val="20"/>
                <w:color w:val="auto"/>
              </w:rPr>
            </w:pPr>
            <w:r>
              <w:rPr>
                <w:rFonts w:ascii="Arial" w:cs="Arial" w:eastAsia="Arial" w:hAnsi="Arial"/>
                <w:sz w:val="18"/>
                <w:szCs w:val="18"/>
                <w:color w:val="auto"/>
              </w:rPr>
              <w:t>Debt assumed</w:t>
            </w:r>
          </w:p>
        </w:tc>
        <w:tc>
          <w:tcPr>
            <w:tcW w:w="38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1,044,675</w:t>
            </w:r>
          </w:p>
        </w:tc>
      </w:tr>
      <w:tr>
        <w:trPr>
          <w:trHeight w:val="27"/>
        </w:trPr>
        <w:tc>
          <w:tcPr>
            <w:tcW w:w="47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70"/>
        </w:trPr>
        <w:tc>
          <w:tcPr>
            <w:tcW w:w="470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Other long-term liabilities</w:t>
            </w:r>
          </w:p>
        </w:tc>
        <w:tc>
          <w:tcPr>
            <w:tcW w:w="38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193,179</w:t>
            </w:r>
          </w:p>
        </w:tc>
      </w:tr>
      <w:tr>
        <w:trPr>
          <w:trHeight w:val="237"/>
        </w:trPr>
        <w:tc>
          <w:tcPr>
            <w:tcW w:w="4700" w:type="dxa"/>
            <w:vAlign w:val="bottom"/>
          </w:tcPr>
          <w:p>
            <w:pPr>
              <w:ind w:left="480"/>
              <w:spacing w:after="0"/>
              <w:rPr>
                <w:sz w:val="20"/>
                <w:szCs w:val="20"/>
                <w:color w:val="auto"/>
              </w:rPr>
            </w:pPr>
            <w:r>
              <w:rPr>
                <w:rFonts w:ascii="Arial" w:cs="Arial" w:eastAsia="Arial" w:hAnsi="Arial"/>
                <w:sz w:val="18"/>
                <w:szCs w:val="18"/>
                <w:color w:val="auto"/>
              </w:rPr>
              <w:t>Total liabilities assumed</w:t>
            </w:r>
          </w:p>
        </w:tc>
        <w:tc>
          <w:tcPr>
            <w:tcW w:w="38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1,340,339</w:t>
            </w:r>
          </w:p>
        </w:tc>
      </w:tr>
      <w:tr>
        <w:trPr>
          <w:trHeight w:val="27"/>
        </w:trPr>
        <w:tc>
          <w:tcPr>
            <w:tcW w:w="47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57"/>
        </w:trPr>
        <w:tc>
          <w:tcPr>
            <w:tcW w:w="4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assets acquired</w:t>
            </w:r>
          </w:p>
        </w:tc>
        <w:tc>
          <w:tcPr>
            <w:tcW w:w="380" w:type="dxa"/>
            <w:vAlign w:val="bottom"/>
            <w:tcBorders>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728,366</w:t>
            </w:r>
          </w:p>
        </w:tc>
      </w:tr>
      <w:tr>
        <w:trPr>
          <w:trHeight w:val="20"/>
        </w:trPr>
        <w:tc>
          <w:tcPr>
            <w:tcW w:w="47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160"/>
        <w:spacing w:after="0" w:line="342" w:lineRule="auto"/>
        <w:rPr>
          <w:sz w:val="20"/>
          <w:szCs w:val="20"/>
          <w:color w:val="auto"/>
        </w:rPr>
      </w:pPr>
      <w:r>
        <w:rPr>
          <w:rFonts w:ascii="Arial" w:cs="Arial" w:eastAsia="Arial" w:hAnsi="Arial"/>
          <w:sz w:val="16"/>
          <w:szCs w:val="16"/>
          <w:color w:val="auto"/>
        </w:rPr>
        <w:t>The preliminary fair values of the assets acquired were determined using one of three valuation approaches: market, income or cost. The selection of a particular method for a given asset depended on the reliability of available data and the nature of the asset, among other considerations.</w:t>
      </w:r>
    </w:p>
    <w:p>
      <w:pPr>
        <w:spacing w:after="0" w:line="124" w:lineRule="exact"/>
        <w:rPr>
          <w:sz w:val="20"/>
          <w:szCs w:val="20"/>
          <w:color w:val="auto"/>
        </w:rPr>
      </w:pPr>
    </w:p>
    <w:p>
      <w:pPr>
        <w:spacing w:after="0" w:line="290" w:lineRule="auto"/>
        <w:rPr>
          <w:sz w:val="20"/>
          <w:szCs w:val="20"/>
          <w:color w:val="auto"/>
        </w:rPr>
      </w:pPr>
      <w:r>
        <w:rPr>
          <w:rFonts w:ascii="Arial" w:cs="Arial" w:eastAsia="Arial" w:hAnsi="Arial"/>
          <w:sz w:val="16"/>
          <w:szCs w:val="16"/>
          <w:color w:val="auto"/>
        </w:rPr>
        <w:t>The market approach estimates the value for a subject asset based on available market pricing for comparable assets. The income approach estimates the value for a subject asset based on the present value of cash flows projected to be generated by the asset. The projected cash flows were discounted at a required rate of return that reflects the relative risk of the asset and the time value of money. The projected cash flows for each asset considered multiple factors from the perspective of a marketplace participant including revenue projections from existing customers, attrition trends, technology life-cycle assumptions, marginal tax rates and expected profit margins giving consideration to historical and expected margins. The cost approach estimates the value for a subject asset based on the cost to replace the asset and reflects the estimated reproduction or replacement cost for the asset, less an allowance for loss in value due to depreciation or obsolescence, with specific consideration given to economic obsolescence if indicated. These fair value measurement approaches are based on significant unobservable inputs, including management estimates and assumptions.</w:t>
      </w:r>
    </w:p>
    <w:p>
      <w:pPr>
        <w:spacing w:after="0" w:line="166"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b w:val="1"/>
          <w:bCs w:val="1"/>
          <w:i w:val="1"/>
          <w:iCs w:val="1"/>
          <w:color w:val="auto"/>
        </w:rPr>
        <w:t xml:space="preserve">Current Assets and Liabilities </w:t>
      </w:r>
      <w:r>
        <w:rPr>
          <w:rFonts w:ascii="Arial" w:cs="Arial" w:eastAsia="Arial" w:hAnsi="Arial"/>
          <w:sz w:val="18"/>
          <w:szCs w:val="18"/>
          <w:color w:val="auto"/>
        </w:rPr>
        <w:t>– The fair value of current assets and liabilities, excluding inventory, was assumed to approximate their carrying value as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of the acquisition date due to the short-term nature of these assets and liabilities.</w:t>
      </w:r>
    </w:p>
    <w:p>
      <w:pPr>
        <w:spacing w:after="0" w:line="170" w:lineRule="exact"/>
        <w:rPr>
          <w:sz w:val="20"/>
          <w:szCs w:val="20"/>
          <w:color w:val="auto"/>
        </w:rPr>
      </w:pPr>
    </w:p>
    <w:p>
      <w:pPr>
        <w:ind w:right="200"/>
        <w:spacing w:after="0" w:line="279" w:lineRule="auto"/>
        <w:rPr>
          <w:sz w:val="20"/>
          <w:szCs w:val="20"/>
          <w:color w:val="auto"/>
        </w:rPr>
      </w:pPr>
      <w:r>
        <w:rPr>
          <w:rFonts w:ascii="Arial" w:cs="Arial" w:eastAsia="Arial" w:hAnsi="Arial"/>
          <w:sz w:val="17"/>
          <w:szCs w:val="17"/>
          <w:color w:val="auto"/>
        </w:rPr>
        <w:t>The fair value of in-process and finished goods inventory acquired was estimated by applying a version of the market approach called the comparable sales method. This approach estimates the fair value of the assets by calculating the potential revenue generated from selling the inventory and subtracting from it the costs related to the completion and sale of that inventory and a reasonable profit allowance. Based upon this methodology, the Company recorded the inventory acquired at fair value resulting in an increase in inventory of $23.0 million.</w:t>
      </w:r>
    </w:p>
    <w:p>
      <w:pPr>
        <w:spacing w:after="0" w:line="171" w:lineRule="exact"/>
        <w:rPr>
          <w:sz w:val="20"/>
          <w:szCs w:val="20"/>
          <w:color w:val="auto"/>
        </w:rPr>
      </w:pPr>
    </w:p>
    <w:p>
      <w:pPr>
        <w:ind w:right="240"/>
        <w:spacing w:after="0" w:line="286" w:lineRule="auto"/>
        <w:rPr>
          <w:sz w:val="20"/>
          <w:szCs w:val="20"/>
          <w:color w:val="auto"/>
        </w:rPr>
      </w:pPr>
      <w:r>
        <w:rPr>
          <w:rFonts w:ascii="Arial" w:cs="Arial" w:eastAsia="Arial" w:hAnsi="Arial"/>
          <w:sz w:val="17"/>
          <w:szCs w:val="17"/>
          <w:b w:val="1"/>
          <w:bCs w:val="1"/>
          <w:i w:val="1"/>
          <w:iCs w:val="1"/>
          <w:color w:val="auto"/>
        </w:rPr>
        <w:t xml:space="preserve">Property, Plant and Equipment </w:t>
      </w:r>
      <w:r>
        <w:rPr>
          <w:rFonts w:ascii="Arial" w:cs="Arial" w:eastAsia="Arial" w:hAnsi="Arial"/>
          <w:sz w:val="17"/>
          <w:szCs w:val="17"/>
          <w:color w:val="auto"/>
        </w:rPr>
        <w:t>– The fair value of PP&amp;E acquired was estimated by applying the cost approach for personal property, buildings and</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building improvements and the market approach for land. The cost approach was applied by developing a replacement cost and adjusting for depreciation and obsolescence. The value of the land acquired was derived from market prices for comparable properties.</w:t>
      </w:r>
    </w:p>
    <w:p>
      <w:pPr>
        <w:spacing w:after="0" w:line="301" w:lineRule="exact"/>
        <w:rPr>
          <w:sz w:val="20"/>
          <w:szCs w:val="20"/>
          <w:color w:val="auto"/>
        </w:rPr>
      </w:pPr>
    </w:p>
    <w:p>
      <w:pPr>
        <w:jc w:val="center"/>
        <w:ind w:right="380"/>
        <w:spacing w:after="0"/>
        <w:rPr>
          <w:sz w:val="20"/>
          <w:szCs w:val="20"/>
          <w:color w:val="auto"/>
        </w:rPr>
      </w:pPr>
      <w:r>
        <w:rPr>
          <w:rFonts w:ascii="Arial" w:cs="Arial" w:eastAsia="Arial" w:hAnsi="Arial"/>
          <w:sz w:val="18"/>
          <w:szCs w:val="18"/>
          <w:color w:val="auto"/>
        </w:rPr>
        <w:t>- 79 -</w:t>
      </w:r>
    </w:p>
    <w:p>
      <w:pPr>
        <w:sectPr>
          <w:pgSz w:w="11900" w:h="16838" w:orient="portrait"/>
          <w:cols w:equalWidth="0" w:num="1">
            <w:col w:w="10980"/>
          </w:cols>
          <w:pgMar w:left="660" w:top="337" w:right="259" w:bottom="1440" w:gutter="0" w:footer="0" w:header="0"/>
        </w:sectPr>
      </w:pPr>
    </w:p>
    <w:bookmarkStart w:id="80" w:name="page81"/>
    <w:bookmarkEnd w:id="80"/>
    <w:p>
      <w:pPr>
        <w:jc w:val="center"/>
        <w:ind w:right="400"/>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ind w:right="40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 xml:space="preserve">Intangible Assets </w:t>
      </w:r>
      <w:r>
        <w:rPr>
          <w:rFonts w:ascii="Arial" w:cs="Arial" w:eastAsia="Arial" w:hAnsi="Arial"/>
          <w:sz w:val="18"/>
          <w:szCs w:val="18"/>
          <w:color w:val="auto"/>
        </w:rPr>
        <w:t>– The purchase price was allocated to intangible assets as follows (dollars in thousands):</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5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2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1"/>
              </w:rPr>
              <w:t>Weighted</w:t>
            </w:r>
          </w:p>
        </w:tc>
        <w:tc>
          <w:tcPr>
            <w:tcW w:w="1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5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2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7"/>
              </w:rPr>
              <w:t>Average</w:t>
            </w:r>
          </w:p>
        </w:tc>
        <w:tc>
          <w:tcPr>
            <w:tcW w:w="1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20" w:type="dxa"/>
            <w:vAlign w:val="bottom"/>
          </w:tcPr>
          <w:p>
            <w:pPr>
              <w:jc w:val="center"/>
              <w:spacing w:after="0"/>
              <w:rPr>
                <w:sz w:val="20"/>
                <w:szCs w:val="20"/>
                <w:color w:val="auto"/>
              </w:rPr>
            </w:pPr>
            <w:r>
              <w:rPr>
                <w:rFonts w:ascii="Arial" w:cs="Arial" w:eastAsia="Arial" w:hAnsi="Arial"/>
                <w:sz w:val="18"/>
                <w:szCs w:val="18"/>
                <w:b w:val="1"/>
                <w:bCs w:val="1"/>
                <w:color w:val="auto"/>
                <w:w w:val="88"/>
              </w:rPr>
              <w:t>Weighted</w:t>
            </w:r>
          </w:p>
        </w:tc>
        <w:tc>
          <w:tcPr>
            <w:tcW w:w="0" w:type="dxa"/>
            <w:vAlign w:val="bottom"/>
          </w:tcPr>
          <w:p>
            <w:pPr>
              <w:spacing w:after="0"/>
              <w:rPr>
                <w:sz w:val="1"/>
                <w:szCs w:val="1"/>
                <w:color w:val="auto"/>
              </w:rPr>
            </w:pPr>
          </w:p>
        </w:tc>
      </w:tr>
      <w:tr>
        <w:trPr>
          <w:trHeight w:val="216"/>
        </w:trPr>
        <w:tc>
          <w:tcPr>
            <w:tcW w:w="35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20" w:type="dxa"/>
            <w:vAlign w:val="bottom"/>
          </w:tcPr>
          <w:p>
            <w:pPr>
              <w:jc w:val="right"/>
              <w:ind w:right="210"/>
              <w:spacing w:after="0"/>
              <w:rPr>
                <w:sz w:val="20"/>
                <w:szCs w:val="20"/>
                <w:color w:val="auto"/>
              </w:rPr>
            </w:pPr>
            <w:r>
              <w:rPr>
                <w:rFonts w:ascii="Arial" w:cs="Arial" w:eastAsia="Arial" w:hAnsi="Arial"/>
                <w:sz w:val="18"/>
                <w:szCs w:val="18"/>
                <w:b w:val="1"/>
                <w:bCs w:val="1"/>
                <w:color w:val="auto"/>
              </w:rPr>
              <w:t>Fair Value</w:t>
            </w:r>
          </w:p>
        </w:tc>
        <w:tc>
          <w:tcPr>
            <w:tcW w:w="120" w:type="dxa"/>
            <w:vAlign w:val="bottom"/>
          </w:tcPr>
          <w:p>
            <w:pPr>
              <w:spacing w:after="0"/>
              <w:rPr>
                <w:sz w:val="18"/>
                <w:szCs w:val="18"/>
                <w:color w:val="auto"/>
              </w:rPr>
            </w:pPr>
          </w:p>
        </w:tc>
        <w:tc>
          <w:tcPr>
            <w:tcW w:w="152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2"/>
              </w:rPr>
              <w:t>Amortization</w:t>
            </w:r>
          </w:p>
        </w:tc>
        <w:tc>
          <w:tcPr>
            <w:tcW w:w="1520" w:type="dxa"/>
            <w:vAlign w:val="bottom"/>
            <w:gridSpan w:val="2"/>
          </w:tcPr>
          <w:p>
            <w:pPr>
              <w:jc w:val="center"/>
              <w:ind w:right="80"/>
              <w:spacing w:after="0"/>
              <w:rPr>
                <w:sz w:val="20"/>
                <w:szCs w:val="20"/>
                <w:color w:val="auto"/>
              </w:rPr>
            </w:pPr>
            <w:r>
              <w:rPr>
                <w:rFonts w:ascii="Arial" w:cs="Arial" w:eastAsia="Arial" w:hAnsi="Arial"/>
                <w:sz w:val="18"/>
                <w:szCs w:val="18"/>
                <w:b w:val="1"/>
                <w:bCs w:val="1"/>
                <w:color w:val="auto"/>
                <w:w w:val="90"/>
              </w:rPr>
              <w:t>Estimated Useful</w:t>
            </w:r>
          </w:p>
        </w:tc>
        <w:tc>
          <w:tcPr>
            <w:tcW w:w="1420" w:type="dxa"/>
            <w:vAlign w:val="bottom"/>
          </w:tcPr>
          <w:p>
            <w:pPr>
              <w:jc w:val="center"/>
              <w:spacing w:after="0"/>
              <w:rPr>
                <w:sz w:val="20"/>
                <w:szCs w:val="20"/>
                <w:color w:val="auto"/>
              </w:rPr>
            </w:pPr>
            <w:r>
              <w:rPr>
                <w:rFonts w:ascii="Arial" w:cs="Arial" w:eastAsia="Arial" w:hAnsi="Arial"/>
                <w:sz w:val="18"/>
                <w:szCs w:val="18"/>
                <w:b w:val="1"/>
                <w:bCs w:val="1"/>
                <w:color w:val="auto"/>
                <w:w w:val="88"/>
              </w:rPr>
              <w:t>Average Discount</w:t>
            </w:r>
          </w:p>
        </w:tc>
        <w:tc>
          <w:tcPr>
            <w:tcW w:w="0" w:type="dxa"/>
            <w:vAlign w:val="bottom"/>
          </w:tcPr>
          <w:p>
            <w:pPr>
              <w:spacing w:after="0"/>
              <w:rPr>
                <w:sz w:val="1"/>
                <w:szCs w:val="1"/>
                <w:color w:val="auto"/>
              </w:rPr>
            </w:pPr>
          </w:p>
        </w:tc>
      </w:tr>
      <w:tr>
        <w:trPr>
          <w:trHeight w:val="234"/>
        </w:trPr>
        <w:tc>
          <w:tcPr>
            <w:tcW w:w="3500" w:type="dxa"/>
            <w:vAlign w:val="bottom"/>
          </w:tcPr>
          <w:p>
            <w:pPr>
              <w:ind w:left="20"/>
              <w:spacing w:after="0"/>
              <w:rPr>
                <w:sz w:val="20"/>
                <w:szCs w:val="20"/>
                <w:color w:val="auto"/>
              </w:rPr>
            </w:pPr>
            <w:r>
              <w:rPr>
                <w:rFonts w:ascii="Arial" w:cs="Arial" w:eastAsia="Arial" w:hAnsi="Arial"/>
                <w:sz w:val="18"/>
                <w:szCs w:val="18"/>
                <w:b w:val="1"/>
                <w:bCs w:val="1"/>
                <w:color w:val="auto"/>
              </w:rPr>
              <w:t>Amortizing Intangible Assets</w:t>
            </w:r>
          </w:p>
        </w:tc>
        <w:tc>
          <w:tcPr>
            <w:tcW w:w="220" w:type="dxa"/>
            <w:vAlign w:val="bottom"/>
          </w:tcPr>
          <w:p>
            <w:pPr>
              <w:spacing w:after="0"/>
              <w:rPr>
                <w:sz w:val="20"/>
                <w:szCs w:val="20"/>
                <w:color w:val="auto"/>
              </w:rPr>
            </w:pPr>
          </w:p>
        </w:tc>
        <w:tc>
          <w:tcPr>
            <w:tcW w:w="1220" w:type="dxa"/>
            <w:vAlign w:val="bottom"/>
          </w:tcPr>
          <w:p>
            <w:pPr>
              <w:jc w:val="right"/>
              <w:ind w:right="270"/>
              <w:spacing w:after="0"/>
              <w:rPr>
                <w:sz w:val="20"/>
                <w:szCs w:val="20"/>
                <w:color w:val="auto"/>
              </w:rPr>
            </w:pPr>
            <w:r>
              <w:rPr>
                <w:rFonts w:ascii="Arial" w:cs="Arial" w:eastAsia="Arial" w:hAnsi="Arial"/>
                <w:sz w:val="18"/>
                <w:szCs w:val="18"/>
                <w:b w:val="1"/>
                <w:bCs w:val="1"/>
                <w:color w:val="auto"/>
              </w:rPr>
              <w:t>Assigned</w:t>
            </w:r>
          </w:p>
        </w:tc>
        <w:tc>
          <w:tcPr>
            <w:tcW w:w="120" w:type="dxa"/>
            <w:vAlign w:val="bottom"/>
          </w:tcPr>
          <w:p>
            <w:pPr>
              <w:spacing w:after="0"/>
              <w:rPr>
                <w:sz w:val="20"/>
                <w:szCs w:val="20"/>
                <w:color w:val="auto"/>
              </w:rPr>
            </w:pPr>
          </w:p>
        </w:tc>
        <w:tc>
          <w:tcPr>
            <w:tcW w:w="152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0"/>
              </w:rPr>
              <w:t>Period (Years)</w:t>
            </w:r>
          </w:p>
        </w:tc>
        <w:tc>
          <w:tcPr>
            <w:tcW w:w="152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1"/>
              </w:rPr>
              <w:t>Life (Years)</w:t>
            </w:r>
          </w:p>
        </w:tc>
        <w:tc>
          <w:tcPr>
            <w:tcW w:w="1420" w:type="dxa"/>
            <w:vAlign w:val="bottom"/>
          </w:tcPr>
          <w:p>
            <w:pPr>
              <w:jc w:val="center"/>
              <w:spacing w:after="0"/>
              <w:rPr>
                <w:sz w:val="20"/>
                <w:szCs w:val="20"/>
                <w:color w:val="auto"/>
              </w:rPr>
            </w:pPr>
            <w:r>
              <w:rPr>
                <w:rFonts w:ascii="Arial" w:cs="Arial" w:eastAsia="Arial" w:hAnsi="Arial"/>
                <w:sz w:val="18"/>
                <w:szCs w:val="18"/>
                <w:b w:val="1"/>
                <w:bCs w:val="1"/>
                <w:color w:val="auto"/>
                <w:w w:val="92"/>
              </w:rPr>
              <w:t>Rate</w:t>
            </w:r>
          </w:p>
        </w:tc>
        <w:tc>
          <w:tcPr>
            <w:tcW w:w="0" w:type="dxa"/>
            <w:vAlign w:val="bottom"/>
          </w:tcPr>
          <w:p>
            <w:pPr>
              <w:spacing w:after="0"/>
              <w:rPr>
                <w:sz w:val="1"/>
                <w:szCs w:val="1"/>
                <w:color w:val="auto"/>
              </w:rPr>
            </w:pPr>
          </w:p>
        </w:tc>
      </w:tr>
      <w:tr>
        <w:trPr>
          <w:trHeight w:val="27"/>
        </w:trPr>
        <w:tc>
          <w:tcPr>
            <w:tcW w:w="35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35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Technology</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160,000</w:t>
            </w:r>
          </w:p>
        </w:tc>
        <w:tc>
          <w:tcPr>
            <w:tcW w:w="1540" w:type="dxa"/>
            <w:vAlign w:val="bottom"/>
            <w:tcBorders>
              <w:bottom w:val="single" w:sz="8" w:color="CCEEFF"/>
            </w:tcBorders>
            <w:gridSpan w:val="2"/>
            <w:shd w:val="clear" w:color="auto" w:fill="CCEEFF"/>
          </w:tcPr>
          <w:p>
            <w:pPr>
              <w:jc w:val="center"/>
              <w:ind w:left="30"/>
              <w:spacing w:after="0"/>
              <w:rPr>
                <w:sz w:val="20"/>
                <w:szCs w:val="20"/>
                <w:color w:val="auto"/>
              </w:rPr>
            </w:pPr>
            <w:r>
              <w:rPr>
                <w:rFonts w:ascii="Arial" w:cs="Arial" w:eastAsia="Arial" w:hAnsi="Arial"/>
                <w:sz w:val="18"/>
                <w:szCs w:val="18"/>
                <w:color w:val="auto"/>
                <w:w w:val="99"/>
              </w:rPr>
              <w:t>7</w:t>
            </w:r>
          </w:p>
        </w:tc>
        <w:tc>
          <w:tcPr>
            <w:tcW w:w="10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19</w:t>
            </w:r>
          </w:p>
        </w:tc>
        <w:tc>
          <w:tcPr>
            <w:tcW w:w="10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0"/>
              </w:rPr>
              <w:t>11.5%</w:t>
            </w:r>
          </w:p>
        </w:tc>
        <w:tc>
          <w:tcPr>
            <w:tcW w:w="0" w:type="dxa"/>
            <w:vAlign w:val="bottom"/>
          </w:tcPr>
          <w:p>
            <w:pPr>
              <w:spacing w:after="0"/>
              <w:rPr>
                <w:sz w:val="1"/>
                <w:szCs w:val="1"/>
                <w:color w:val="auto"/>
              </w:rPr>
            </w:pPr>
          </w:p>
        </w:tc>
      </w:tr>
      <w:tr>
        <w:trPr>
          <w:trHeight w:val="243"/>
        </w:trPr>
        <w:tc>
          <w:tcPr>
            <w:tcW w:w="3500" w:type="dxa"/>
            <w:vAlign w:val="bottom"/>
          </w:tcPr>
          <w:p>
            <w:pPr>
              <w:ind w:left="20"/>
              <w:spacing w:after="0"/>
              <w:rPr>
                <w:sz w:val="20"/>
                <w:szCs w:val="20"/>
                <w:color w:val="auto"/>
              </w:rPr>
            </w:pPr>
            <w:r>
              <w:rPr>
                <w:rFonts w:ascii="Arial" w:cs="Arial" w:eastAsia="Arial" w:hAnsi="Arial"/>
                <w:sz w:val="18"/>
                <w:szCs w:val="18"/>
                <w:color w:val="auto"/>
              </w:rPr>
              <w:t>Customer lists</w:t>
            </w:r>
          </w:p>
        </w:tc>
        <w:tc>
          <w:tcPr>
            <w:tcW w:w="22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689,000</w:t>
            </w:r>
          </w:p>
        </w:tc>
        <w:tc>
          <w:tcPr>
            <w:tcW w:w="1540" w:type="dxa"/>
            <w:vAlign w:val="bottom"/>
            <w:gridSpan w:val="2"/>
          </w:tcPr>
          <w:p>
            <w:pPr>
              <w:jc w:val="center"/>
              <w:ind w:left="30"/>
              <w:spacing w:after="0"/>
              <w:rPr>
                <w:sz w:val="20"/>
                <w:szCs w:val="20"/>
                <w:color w:val="auto"/>
              </w:rPr>
            </w:pPr>
            <w:r>
              <w:rPr>
                <w:rFonts w:ascii="Arial" w:cs="Arial" w:eastAsia="Arial" w:hAnsi="Arial"/>
                <w:sz w:val="18"/>
                <w:szCs w:val="18"/>
                <w:color w:val="auto"/>
                <w:w w:val="89"/>
              </w:rPr>
              <w:t>14</w:t>
            </w:r>
          </w:p>
        </w:tc>
        <w:tc>
          <w:tcPr>
            <w:tcW w:w="100" w:type="dxa"/>
            <w:vAlign w:val="bottom"/>
          </w:tcPr>
          <w:p>
            <w:pPr>
              <w:spacing w:after="0"/>
              <w:rPr>
                <w:sz w:val="21"/>
                <w:szCs w:val="21"/>
                <w:color w:val="auto"/>
              </w:rPr>
            </w:pPr>
          </w:p>
        </w:tc>
        <w:tc>
          <w:tcPr>
            <w:tcW w:w="1420" w:type="dxa"/>
            <w:vAlign w:val="bottom"/>
          </w:tcPr>
          <w:p>
            <w:pPr>
              <w:jc w:val="center"/>
              <w:spacing w:after="0"/>
              <w:rPr>
                <w:sz w:val="20"/>
                <w:szCs w:val="20"/>
                <w:color w:val="auto"/>
              </w:rPr>
            </w:pPr>
            <w:r>
              <w:rPr>
                <w:rFonts w:ascii="Arial" w:cs="Arial" w:eastAsia="Arial" w:hAnsi="Arial"/>
                <w:sz w:val="18"/>
                <w:szCs w:val="18"/>
                <w:color w:val="auto"/>
                <w:w w:val="89"/>
              </w:rPr>
              <w:t>29</w:t>
            </w:r>
          </w:p>
        </w:tc>
        <w:tc>
          <w:tcPr>
            <w:tcW w:w="100" w:type="dxa"/>
            <w:vAlign w:val="bottom"/>
          </w:tcPr>
          <w:p>
            <w:pPr>
              <w:spacing w:after="0"/>
              <w:rPr>
                <w:sz w:val="21"/>
                <w:szCs w:val="21"/>
                <w:color w:val="auto"/>
              </w:rPr>
            </w:pPr>
          </w:p>
        </w:tc>
        <w:tc>
          <w:tcPr>
            <w:tcW w:w="1420" w:type="dxa"/>
            <w:vAlign w:val="bottom"/>
          </w:tcPr>
          <w:p>
            <w:pPr>
              <w:jc w:val="center"/>
              <w:spacing w:after="0"/>
              <w:rPr>
                <w:sz w:val="20"/>
                <w:szCs w:val="20"/>
                <w:color w:val="auto"/>
              </w:rPr>
            </w:pPr>
            <w:r>
              <w:rPr>
                <w:rFonts w:ascii="Arial" w:cs="Arial" w:eastAsia="Arial" w:hAnsi="Arial"/>
                <w:sz w:val="18"/>
                <w:szCs w:val="18"/>
                <w:color w:val="auto"/>
                <w:w w:val="90"/>
              </w:rPr>
              <w:t>11.5%</w:t>
            </w:r>
          </w:p>
        </w:tc>
        <w:tc>
          <w:tcPr>
            <w:tcW w:w="0" w:type="dxa"/>
            <w:vAlign w:val="bottom"/>
          </w:tcPr>
          <w:p>
            <w:pPr>
              <w:spacing w:after="0"/>
              <w:rPr>
                <w:sz w:val="1"/>
                <w:szCs w:val="1"/>
                <w:color w:val="auto"/>
              </w:rPr>
            </w:pPr>
          </w:p>
        </w:tc>
      </w:tr>
      <w:tr>
        <w:trPr>
          <w:trHeight w:val="27"/>
        </w:trPr>
        <w:tc>
          <w:tcPr>
            <w:tcW w:w="35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2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2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2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35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849,000</w:t>
            </w:r>
          </w:p>
        </w:tc>
        <w:tc>
          <w:tcPr>
            <w:tcW w:w="1540" w:type="dxa"/>
            <w:vAlign w:val="bottom"/>
            <w:tcBorders>
              <w:bottom w:val="single" w:sz="8" w:color="CCEEFF"/>
            </w:tcBorders>
            <w:gridSpan w:val="2"/>
            <w:shd w:val="clear" w:color="auto" w:fill="CCEEFF"/>
          </w:tcPr>
          <w:p>
            <w:pPr>
              <w:jc w:val="center"/>
              <w:ind w:left="30"/>
              <w:spacing w:after="0"/>
              <w:rPr>
                <w:sz w:val="20"/>
                <w:szCs w:val="20"/>
                <w:color w:val="auto"/>
              </w:rPr>
            </w:pPr>
            <w:r>
              <w:rPr>
                <w:rFonts w:ascii="Arial" w:cs="Arial" w:eastAsia="Arial" w:hAnsi="Arial"/>
                <w:sz w:val="18"/>
                <w:szCs w:val="18"/>
                <w:color w:val="auto"/>
                <w:w w:val="89"/>
              </w:rPr>
              <w:t>13</w:t>
            </w:r>
          </w:p>
        </w:tc>
        <w:tc>
          <w:tcPr>
            <w:tcW w:w="100" w:type="dxa"/>
            <w:vAlign w:val="bottom"/>
            <w:tcBorders>
              <w:bottom w:val="single" w:sz="8" w:color="CCEEFF"/>
            </w:tcBorders>
            <w:shd w:val="clear" w:color="auto" w:fill="CCEEFF"/>
          </w:tcPr>
          <w:p>
            <w:pPr>
              <w:spacing w:after="0"/>
              <w:rPr>
                <w:sz w:val="22"/>
                <w:szCs w:val="22"/>
                <w:color w:val="auto"/>
              </w:rPr>
            </w:pPr>
          </w:p>
        </w:tc>
        <w:tc>
          <w:tcPr>
            <w:tcW w:w="14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27</w:t>
            </w:r>
          </w:p>
        </w:tc>
        <w:tc>
          <w:tcPr>
            <w:tcW w:w="100" w:type="dxa"/>
            <w:vAlign w:val="bottom"/>
            <w:tcBorders>
              <w:bottom w:val="single" w:sz="8" w:color="CCEEFF"/>
            </w:tcBorders>
            <w:shd w:val="clear" w:color="auto" w:fill="CCEEFF"/>
          </w:tcPr>
          <w:p>
            <w:pPr>
              <w:spacing w:after="0"/>
              <w:rPr>
                <w:sz w:val="22"/>
                <w:szCs w:val="22"/>
                <w:color w:val="auto"/>
              </w:rPr>
            </w:pPr>
          </w:p>
        </w:tc>
        <w:tc>
          <w:tcPr>
            <w:tcW w:w="14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0"/>
              </w:rPr>
              <w:t>11.5%</w:t>
            </w:r>
          </w:p>
        </w:tc>
        <w:tc>
          <w:tcPr>
            <w:tcW w:w="0" w:type="dxa"/>
            <w:vAlign w:val="bottom"/>
          </w:tcPr>
          <w:p>
            <w:pPr>
              <w:spacing w:after="0"/>
              <w:rPr>
                <w:sz w:val="1"/>
                <w:szCs w:val="1"/>
                <w:color w:val="auto"/>
              </w:rPr>
            </w:pPr>
          </w:p>
        </w:tc>
      </w:tr>
      <w:tr>
        <w:trPr>
          <w:trHeight w:val="20"/>
        </w:trPr>
        <w:tc>
          <w:tcPr>
            <w:tcW w:w="3500" w:type="dxa"/>
            <w:vAlign w:val="bottom"/>
            <w:vMerge w:val="restart"/>
          </w:tcPr>
          <w:p>
            <w:pPr>
              <w:ind w:left="20"/>
              <w:spacing w:after="0"/>
              <w:rPr>
                <w:sz w:val="20"/>
                <w:szCs w:val="20"/>
                <w:color w:val="auto"/>
              </w:rPr>
            </w:pPr>
            <w:r>
              <w:rPr>
                <w:rFonts w:ascii="Arial" w:cs="Arial" w:eastAsia="Arial" w:hAnsi="Arial"/>
                <w:sz w:val="18"/>
                <w:szCs w:val="18"/>
                <w:b w:val="1"/>
                <w:bCs w:val="1"/>
                <w:color w:val="auto"/>
              </w:rPr>
              <w:t>Indefinite-lived Intangible Assets</w:t>
            </w:r>
          </w:p>
        </w:tc>
        <w:tc>
          <w:tcPr>
            <w:tcW w:w="22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3500" w:type="dxa"/>
            <w:vAlign w:val="bottom"/>
            <w:vMerge w:val="continue"/>
          </w:tcPr>
          <w:p>
            <w:pPr>
              <w:spacing w:after="0"/>
              <w:rPr>
                <w:sz w:val="20"/>
                <w:szCs w:val="20"/>
                <w:color w:val="auto"/>
              </w:rPr>
            </w:pPr>
          </w:p>
        </w:tc>
        <w:tc>
          <w:tcPr>
            <w:tcW w:w="22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35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3"/>
        </w:trPr>
        <w:tc>
          <w:tcPr>
            <w:tcW w:w="3500" w:type="dxa"/>
            <w:vAlign w:val="bottom"/>
            <w:shd w:val="clear" w:color="auto" w:fill="CCEEFF"/>
          </w:tcPr>
          <w:p>
            <w:pPr>
              <w:ind w:left="20"/>
              <w:spacing w:after="0"/>
              <w:rPr>
                <w:sz w:val="20"/>
                <w:szCs w:val="20"/>
                <w:color w:val="auto"/>
              </w:rPr>
            </w:pPr>
            <w:r>
              <w:rPr>
                <w:rFonts w:ascii="Arial" w:cs="Arial" w:eastAsia="Arial" w:hAnsi="Arial"/>
                <w:sz w:val="18"/>
                <w:szCs w:val="18"/>
                <w:color w:val="auto"/>
              </w:rPr>
              <w:t>Trademarks and tradenames</w:t>
            </w:r>
          </w:p>
        </w:tc>
        <w:tc>
          <w:tcPr>
            <w:tcW w:w="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70,000</w:t>
            </w:r>
          </w:p>
        </w:tc>
        <w:tc>
          <w:tcPr>
            <w:tcW w:w="120" w:type="dxa"/>
            <w:vAlign w:val="bottom"/>
            <w:shd w:val="clear" w:color="auto" w:fill="CCEEFF"/>
          </w:tcPr>
          <w:p>
            <w:pPr>
              <w:spacing w:after="0"/>
              <w:rPr>
                <w:sz w:val="21"/>
                <w:szCs w:val="21"/>
                <w:color w:val="auto"/>
              </w:rPr>
            </w:pPr>
          </w:p>
        </w:tc>
        <w:tc>
          <w:tcPr>
            <w:tcW w:w="1520" w:type="dxa"/>
            <w:vAlign w:val="bottom"/>
            <w:gridSpan w:val="2"/>
            <w:shd w:val="clear" w:color="auto" w:fill="CCEEFF"/>
          </w:tcPr>
          <w:p>
            <w:pPr>
              <w:jc w:val="center"/>
              <w:ind w:right="100"/>
              <w:spacing w:after="0"/>
              <w:rPr>
                <w:sz w:val="20"/>
                <w:szCs w:val="20"/>
                <w:color w:val="auto"/>
              </w:rPr>
            </w:pPr>
            <w:r>
              <w:rPr>
                <w:rFonts w:ascii="Arial" w:cs="Arial" w:eastAsia="Arial" w:hAnsi="Arial"/>
                <w:sz w:val="18"/>
                <w:szCs w:val="18"/>
                <w:color w:val="auto"/>
                <w:w w:val="99"/>
              </w:rPr>
              <w:t>N/A</w:t>
            </w:r>
          </w:p>
        </w:tc>
        <w:tc>
          <w:tcPr>
            <w:tcW w:w="1520" w:type="dxa"/>
            <w:vAlign w:val="bottom"/>
            <w:gridSpan w:val="2"/>
            <w:shd w:val="clear" w:color="auto" w:fill="CCEEFF"/>
          </w:tcPr>
          <w:p>
            <w:pPr>
              <w:jc w:val="center"/>
              <w:ind w:right="100"/>
              <w:spacing w:after="0"/>
              <w:rPr>
                <w:sz w:val="20"/>
                <w:szCs w:val="20"/>
                <w:color w:val="auto"/>
              </w:rPr>
            </w:pPr>
            <w:r>
              <w:rPr>
                <w:rFonts w:ascii="Arial" w:cs="Arial" w:eastAsia="Arial" w:hAnsi="Arial"/>
                <w:sz w:val="18"/>
                <w:szCs w:val="18"/>
                <w:color w:val="auto"/>
                <w:w w:val="99"/>
              </w:rPr>
              <w:t>N/A</w:t>
            </w:r>
          </w:p>
        </w:tc>
        <w:tc>
          <w:tcPr>
            <w:tcW w:w="14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11.5%</w:t>
            </w:r>
          </w:p>
        </w:tc>
        <w:tc>
          <w:tcPr>
            <w:tcW w:w="0" w:type="dxa"/>
            <w:vAlign w:val="bottom"/>
          </w:tcPr>
          <w:p>
            <w:pPr>
              <w:spacing w:after="0"/>
              <w:rPr>
                <w:sz w:val="1"/>
                <w:szCs w:val="1"/>
                <w:color w:val="auto"/>
              </w:rPr>
            </w:pPr>
          </w:p>
        </w:tc>
      </w:tr>
      <w:tr>
        <w:trPr>
          <w:trHeight w:val="27"/>
        </w:trPr>
        <w:tc>
          <w:tcPr>
            <w:tcW w:w="350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2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4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4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42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right="360"/>
        <w:spacing w:after="0" w:line="277" w:lineRule="auto"/>
        <w:rPr>
          <w:sz w:val="20"/>
          <w:szCs w:val="20"/>
          <w:color w:val="auto"/>
        </w:rPr>
      </w:pPr>
      <w:r>
        <w:rPr>
          <w:rFonts w:ascii="Arial" w:cs="Arial" w:eastAsia="Arial" w:hAnsi="Arial"/>
          <w:sz w:val="18"/>
          <w:szCs w:val="18"/>
          <w:color w:val="auto"/>
        </w:rPr>
        <w:t>The weighted average amortization period is less than the estimated useful life, as the Company is using an accelerated amortization method, which approximates the distribution of cash flows used to fair value those intangible assets.</w:t>
      </w:r>
    </w:p>
    <w:p>
      <w:pPr>
        <w:spacing w:after="0" w:line="170" w:lineRule="exact"/>
        <w:rPr>
          <w:sz w:val="20"/>
          <w:szCs w:val="20"/>
          <w:color w:val="auto"/>
        </w:rPr>
      </w:pPr>
    </w:p>
    <w:p>
      <w:pPr>
        <w:ind w:right="120"/>
        <w:spacing w:after="0" w:line="257" w:lineRule="auto"/>
        <w:rPr>
          <w:sz w:val="20"/>
          <w:szCs w:val="20"/>
          <w:color w:val="auto"/>
        </w:rPr>
      </w:pPr>
      <w:r>
        <w:rPr>
          <w:rFonts w:ascii="Arial" w:cs="Arial" w:eastAsia="Arial" w:hAnsi="Arial"/>
          <w:sz w:val="18"/>
          <w:szCs w:val="18"/>
          <w:b w:val="1"/>
          <w:bCs w:val="1"/>
          <w:i w:val="1"/>
          <w:iCs w:val="1"/>
          <w:color w:val="auto"/>
        </w:rPr>
        <w:t xml:space="preserve">Technology </w:t>
      </w:r>
      <w:r>
        <w:rPr>
          <w:rFonts w:ascii="Arial" w:cs="Arial" w:eastAsia="Arial" w:hAnsi="Arial"/>
          <w:sz w:val="18"/>
          <w:szCs w:val="18"/>
          <w:color w:val="auto"/>
        </w:rPr>
        <w:t>– Technology consists of technical processes, patented and unpatented technology, manufacturing know-how, trade secrets and the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understanding with respect to products or processes that have been developed by Lake Region Medical and that will be leveraged in current and future products. The fair value of technology acquired was determined utilizing the relief from royalty method, a form of the income approach, with a royalty rate that ranged from 0.5% to 7%. The estimated useful life of the technology is based upon management’s estimate of the product life cycle associated with the technology before they will be replaced by new technologies.</w:t>
      </w:r>
    </w:p>
    <w:p>
      <w:pPr>
        <w:spacing w:after="0" w:line="188" w:lineRule="exact"/>
        <w:rPr>
          <w:sz w:val="20"/>
          <w:szCs w:val="20"/>
          <w:color w:val="auto"/>
        </w:rPr>
      </w:pPr>
    </w:p>
    <w:p>
      <w:pPr>
        <w:spacing w:after="0" w:line="255" w:lineRule="auto"/>
        <w:rPr>
          <w:sz w:val="20"/>
          <w:szCs w:val="20"/>
          <w:color w:val="auto"/>
        </w:rPr>
      </w:pPr>
      <w:r>
        <w:rPr>
          <w:rFonts w:ascii="Arial" w:cs="Arial" w:eastAsia="Arial" w:hAnsi="Arial"/>
          <w:sz w:val="18"/>
          <w:szCs w:val="18"/>
          <w:b w:val="1"/>
          <w:bCs w:val="1"/>
          <w:i w:val="1"/>
          <w:iCs w:val="1"/>
          <w:color w:val="auto"/>
        </w:rPr>
        <w:t xml:space="preserve">Customer Lists </w:t>
      </w:r>
      <w:r>
        <w:rPr>
          <w:rFonts w:ascii="Arial" w:cs="Arial" w:eastAsia="Arial" w:hAnsi="Arial"/>
          <w:sz w:val="18"/>
          <w:szCs w:val="18"/>
          <w:color w:val="auto"/>
        </w:rPr>
        <w:t>– Customer lists represent the estimated fair value of non-contractual customer relationships Lake Region Medical has as of the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acquisition date. The primary customers of Lake Region Medical include large original equipment manufacturers in various geographic locations around the world. These relationships were valued separately from goodwill at the amount that an independent third party would be willing to pay for these relationships. The fair value of customer lists was determined using the multi-period excess-earnings method, a form of the income approach. The estimated useful life of the existing customer base was based upon the historical customer annual attrition rate of 5%, as well as management’s understanding of the industry and product life cycles.</w:t>
      </w:r>
    </w:p>
    <w:p>
      <w:pPr>
        <w:spacing w:after="0" w:line="193"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b w:val="1"/>
          <w:bCs w:val="1"/>
          <w:i w:val="1"/>
          <w:iCs w:val="1"/>
          <w:color w:val="auto"/>
        </w:rPr>
        <w:t xml:space="preserve">Trademarks and Tradenames </w:t>
      </w:r>
      <w:r>
        <w:rPr>
          <w:rFonts w:ascii="Arial" w:cs="Arial" w:eastAsia="Arial" w:hAnsi="Arial"/>
          <w:sz w:val="17"/>
          <w:szCs w:val="17"/>
          <w:color w:val="auto"/>
        </w:rPr>
        <w:t>– Trademarks and tradenames represent the estimated fair value of Lake Region Medical’s corporate and product names.</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These tradenames were valued separately from goodwill at the amount that an independent third party would be willing to pay for use of these names. The fair value of the trademarks and tradenames was determined by utilizing the relief from royalty method, a form of the income approach, with a royalty rate that ranged from 0.25% to 1%. Trademarks and tradenames were assumed to have an indefinite useful life based upon the significant value the Lake Region Medical name has with OEMs in the medical component and device industries, their long history of being an industry leader and producing quality and innovative components, and given managements current intention of using this tradename indefinitely, which was assumed to be consistent with what a reasonable market participant would also assume.</w:t>
      </w:r>
    </w:p>
    <w:p>
      <w:pPr>
        <w:spacing w:after="0" w:line="178" w:lineRule="exact"/>
        <w:rPr>
          <w:sz w:val="20"/>
          <w:szCs w:val="20"/>
          <w:color w:val="auto"/>
        </w:rPr>
      </w:pPr>
    </w:p>
    <w:p>
      <w:pPr>
        <w:ind w:right="60"/>
        <w:spacing w:after="0" w:line="297" w:lineRule="auto"/>
        <w:rPr>
          <w:sz w:val="20"/>
          <w:szCs w:val="20"/>
          <w:color w:val="auto"/>
        </w:rPr>
      </w:pPr>
      <w:r>
        <w:rPr>
          <w:rFonts w:ascii="Arial" w:cs="Arial" w:eastAsia="Arial" w:hAnsi="Arial"/>
          <w:sz w:val="16"/>
          <w:szCs w:val="16"/>
          <w:b w:val="1"/>
          <w:bCs w:val="1"/>
          <w:i w:val="1"/>
          <w:iCs w:val="1"/>
          <w:color w:val="auto"/>
        </w:rPr>
        <w:t xml:space="preserve">Goodwill </w:t>
      </w:r>
      <w:r>
        <w:rPr>
          <w:rFonts w:ascii="Arial" w:cs="Arial" w:eastAsia="Arial" w:hAnsi="Arial"/>
          <w:sz w:val="16"/>
          <w:szCs w:val="16"/>
          <w:color w:val="auto"/>
        </w:rPr>
        <w:t>– The excess of the purchase price over the fair value of net tangible and intangible assets acquired and liabilities assumed was allocated to</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goodwill. Various factors contributed to the establishment of goodwill, including the value of Lake Region Medical’s highly trained assembled work force and management team, the incremental value resulting from Lake Region Medical’s industry leading capabilities and services to OEMs, enhanced synergies, and the expected revenue growth over time that is attributable to increased market penetration from future products and customers. The goodwill acquired in connection with the acquisition was allocated to the Lake Region Medical segment and is not deductible for tax purposes.</w:t>
      </w:r>
    </w:p>
    <w:p>
      <w:pPr>
        <w:spacing w:after="0" w:line="158"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b w:val="1"/>
          <w:bCs w:val="1"/>
          <w:i w:val="1"/>
          <w:iCs w:val="1"/>
          <w:color w:val="auto"/>
        </w:rPr>
        <w:t xml:space="preserve">Long-term Debt </w:t>
      </w:r>
      <w:r>
        <w:rPr>
          <w:rFonts w:ascii="Arial" w:cs="Arial" w:eastAsia="Arial" w:hAnsi="Arial"/>
          <w:sz w:val="18"/>
          <w:szCs w:val="18"/>
          <w:color w:val="auto"/>
        </w:rPr>
        <w:t>– The fair value of long-term debt was assumed to be equal to what was paid by Greatbatch at the time of closing in order to retire the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debt, including prepayment penalties and fees.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Centro de Construcción de Cardioestimuladores del Uruguay</w:t>
      </w:r>
    </w:p>
    <w:p>
      <w:pPr>
        <w:spacing w:after="0" w:line="225" w:lineRule="exact"/>
        <w:rPr>
          <w:sz w:val="20"/>
          <w:szCs w:val="20"/>
          <w:color w:val="auto"/>
        </w:rPr>
      </w:pPr>
    </w:p>
    <w:p>
      <w:pPr>
        <w:ind w:right="360"/>
        <w:spacing w:after="0" w:line="276" w:lineRule="auto"/>
        <w:rPr>
          <w:sz w:val="20"/>
          <w:szCs w:val="20"/>
          <w:color w:val="auto"/>
        </w:rPr>
      </w:pPr>
      <w:r>
        <w:rPr>
          <w:rFonts w:ascii="Arial" w:cs="Arial" w:eastAsia="Arial" w:hAnsi="Arial"/>
          <w:sz w:val="17"/>
          <w:szCs w:val="17"/>
          <w:color w:val="auto"/>
        </w:rPr>
        <w:t>On August 12, 2014, the Company purchased all of the outstanding common stock of Centro de Construcción de Cardioestimuladores del Uruguay, headquartered in Montevideo, Uruguay. CCC is an active implantable neuromodulation medical device systems developer and manufacturer that produces a range of medical devices including implantable pulse generators, programmer systems, battery chargers, patient wands and leads. This acquisition allows the Company to more broadly partner with medical device companies, complements the Company’s core discrete technology offerings and enhances the Company’s medical device innovation efforts.</w:t>
      </w:r>
    </w:p>
    <w:p>
      <w:pPr>
        <w:sectPr>
          <w:pgSz w:w="11900" w:h="16838" w:orient="portrait"/>
          <w:cols w:equalWidth="0" w:num="1">
            <w:col w:w="11000"/>
          </w:cols>
          <w:pgMar w:left="660" w:top="337" w:right="239" w:bottom="1440" w:gutter="0" w:footer="0" w:header="0"/>
        </w:sectPr>
      </w:pPr>
    </w:p>
    <w:p>
      <w:pPr>
        <w:spacing w:after="0" w:line="308" w:lineRule="exact"/>
        <w:rPr>
          <w:sz w:val="20"/>
          <w:szCs w:val="20"/>
          <w:color w:val="auto"/>
        </w:rPr>
      </w:pPr>
    </w:p>
    <w:p>
      <w:pPr>
        <w:jc w:val="center"/>
        <w:ind w:right="420"/>
        <w:spacing w:after="0"/>
        <w:rPr>
          <w:sz w:val="20"/>
          <w:szCs w:val="20"/>
          <w:color w:val="auto"/>
        </w:rPr>
      </w:pPr>
      <w:r>
        <w:rPr>
          <w:rFonts w:ascii="Arial" w:cs="Arial" w:eastAsia="Arial" w:hAnsi="Arial"/>
          <w:sz w:val="16"/>
          <w:szCs w:val="16"/>
          <w:color w:val="auto"/>
        </w:rPr>
        <w:t>- 80 -</w:t>
      </w:r>
    </w:p>
    <w:p>
      <w:pPr>
        <w:sectPr>
          <w:pgSz w:w="11900" w:h="16838" w:orient="portrait"/>
          <w:cols w:equalWidth="0" w:num="1">
            <w:col w:w="11000"/>
          </w:cols>
          <w:pgMar w:left="660" w:top="337" w:right="239" w:bottom="1440" w:gutter="0" w:footer="0" w:header="0"/>
          <w:type w:val="continuous"/>
        </w:sectPr>
      </w:pPr>
    </w:p>
    <w:bookmarkStart w:id="81" w:name="page82"/>
    <w:bookmarkEnd w:id="81"/>
    <w:p>
      <w:pPr>
        <w:jc w:val="center"/>
        <w:ind w:right="360"/>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ind w:right="36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both"/>
        <w:ind w:right="200"/>
        <w:spacing w:after="0" w:line="286" w:lineRule="auto"/>
        <w:rPr>
          <w:sz w:val="20"/>
          <w:szCs w:val="20"/>
          <w:color w:val="auto"/>
        </w:rPr>
      </w:pPr>
      <w:r>
        <w:rPr>
          <w:rFonts w:ascii="Arial" w:cs="Arial" w:eastAsia="Arial" w:hAnsi="Arial"/>
          <w:sz w:val="17"/>
          <w:szCs w:val="17"/>
          <w:color w:val="auto"/>
        </w:rPr>
        <w:t>This transaction was accounted for under the acquisition method of accounting. Accordingly, the operating results of CCC have been included in the Company’s QiG segment from the date of acquisition. For 2014, CCC added approximately $5.8 million to the Company’s revenue and increased the Company’s net income by $1.2 million. The aggregate purchase price of $19.8 million was funded with cash on hand.</w:t>
      </w:r>
    </w:p>
    <w:p>
      <w:pPr>
        <w:spacing w:after="0" w:line="166" w:lineRule="exact"/>
        <w:rPr>
          <w:sz w:val="20"/>
          <w:szCs w:val="20"/>
          <w:color w:val="auto"/>
        </w:rPr>
      </w:pPr>
    </w:p>
    <w:p>
      <w:pPr>
        <w:ind w:right="40"/>
        <w:spacing w:after="0" w:line="279" w:lineRule="auto"/>
        <w:rPr>
          <w:sz w:val="20"/>
          <w:szCs w:val="20"/>
          <w:color w:val="auto"/>
        </w:rPr>
      </w:pPr>
      <w:r>
        <w:rPr>
          <w:rFonts w:ascii="Arial" w:cs="Arial" w:eastAsia="Arial" w:hAnsi="Arial"/>
          <w:sz w:val="17"/>
          <w:szCs w:val="17"/>
          <w:color w:val="auto"/>
        </w:rPr>
        <w:t>The cost of the acquisition was allocated to the assets acquired and liabilities assumed from CCC based on their fair values as of the closing date of the acquisition, with the amount exceeding the fair value of the net assets acquired recorded as goodwill. The valuation of the assets acquired and liabilities assumed from CCC was finalized during 2015 and did not result in a material adjustment to the original valuation of net assets acquired, including goodwill and therefore was not reflected as a retrospective adjustment to the historical financial statements.</w:t>
      </w:r>
    </w:p>
    <w:p>
      <w:pPr>
        <w:spacing w:after="0" w:line="171" w:lineRule="exact"/>
        <w:rPr>
          <w:sz w:val="20"/>
          <w:szCs w:val="20"/>
          <w:color w:val="auto"/>
        </w:rPr>
      </w:pPr>
    </w:p>
    <w:p>
      <w:pPr>
        <w:ind w:right="320"/>
        <w:spacing w:after="0" w:line="277" w:lineRule="auto"/>
        <w:rPr>
          <w:sz w:val="20"/>
          <w:szCs w:val="20"/>
          <w:color w:val="auto"/>
        </w:rPr>
      </w:pPr>
      <w:r>
        <w:rPr>
          <w:rFonts w:ascii="Arial" w:cs="Arial" w:eastAsia="Arial" w:hAnsi="Arial"/>
          <w:sz w:val="18"/>
          <w:szCs w:val="18"/>
          <w:color w:val="auto"/>
        </w:rPr>
        <w:t>The following table summarizes the allocation of the CCC purchase price to the assets acquired and liabilities assumed as of the acquisition date (in thousands):</w:t>
      </w:r>
    </w:p>
    <w:p>
      <w:pPr>
        <w:spacing w:after="0" w:line="27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820" w:type="dxa"/>
            <w:vAlign w:val="bottom"/>
          </w:tcPr>
          <w:p>
            <w:pPr>
              <w:ind w:left="20"/>
              <w:spacing w:after="0"/>
              <w:rPr>
                <w:sz w:val="20"/>
                <w:szCs w:val="20"/>
                <w:color w:val="auto"/>
              </w:rPr>
            </w:pPr>
            <w:r>
              <w:rPr>
                <w:rFonts w:ascii="Arial" w:cs="Arial" w:eastAsia="Arial" w:hAnsi="Arial"/>
                <w:sz w:val="18"/>
                <w:szCs w:val="18"/>
                <w:b w:val="1"/>
                <w:bCs w:val="1"/>
                <w:color w:val="auto"/>
              </w:rPr>
              <w:t>Assets acquired</w:t>
            </w:r>
          </w:p>
        </w:tc>
        <w:tc>
          <w:tcPr>
            <w:tcW w:w="480" w:type="dxa"/>
            <w:vAlign w:val="bottom"/>
          </w:tcPr>
          <w:p>
            <w:pPr>
              <w:spacing w:after="0"/>
              <w:rPr>
                <w:sz w:val="20"/>
                <w:szCs w:val="20"/>
                <w:color w:val="auto"/>
              </w:rPr>
            </w:pPr>
          </w:p>
        </w:tc>
        <w:tc>
          <w:tcPr>
            <w:tcW w:w="940" w:type="dxa"/>
            <w:vAlign w:val="bottom"/>
          </w:tcPr>
          <w:p>
            <w:pPr>
              <w:spacing w:after="0"/>
              <w:rPr>
                <w:sz w:val="20"/>
                <w:szCs w:val="20"/>
                <w:color w:val="auto"/>
              </w:rPr>
            </w:pPr>
          </w:p>
        </w:tc>
      </w:tr>
      <w:tr>
        <w:trPr>
          <w:trHeight w:val="27"/>
        </w:trPr>
        <w:tc>
          <w:tcPr>
            <w:tcW w:w="4820" w:type="dxa"/>
            <w:vAlign w:val="bottom"/>
          </w:tcPr>
          <w:p>
            <w:pPr>
              <w:spacing w:after="0"/>
              <w:rPr>
                <w:sz w:val="2"/>
                <w:szCs w:val="2"/>
                <w:color w:val="auto"/>
              </w:rPr>
            </w:pPr>
          </w:p>
        </w:tc>
        <w:tc>
          <w:tcPr>
            <w:tcW w:w="48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48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Current assets</w:t>
            </w:r>
          </w:p>
        </w:tc>
        <w:tc>
          <w:tcPr>
            <w:tcW w:w="48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10,670</w:t>
            </w:r>
          </w:p>
        </w:tc>
      </w:tr>
      <w:tr>
        <w:trPr>
          <w:trHeight w:val="243"/>
        </w:trPr>
        <w:tc>
          <w:tcPr>
            <w:tcW w:w="4820" w:type="dxa"/>
            <w:vAlign w:val="bottom"/>
          </w:tcPr>
          <w:p>
            <w:pPr>
              <w:ind w:left="380"/>
              <w:spacing w:after="0"/>
              <w:rPr>
                <w:sz w:val="20"/>
                <w:szCs w:val="20"/>
                <w:color w:val="auto"/>
              </w:rPr>
            </w:pPr>
            <w:r>
              <w:rPr>
                <w:rFonts w:ascii="Arial" w:cs="Arial" w:eastAsia="Arial" w:hAnsi="Arial"/>
                <w:sz w:val="18"/>
                <w:szCs w:val="18"/>
                <w:color w:val="auto"/>
              </w:rPr>
              <w:t>Property, plant and equipment</w:t>
            </w:r>
          </w:p>
        </w:tc>
        <w:tc>
          <w:tcPr>
            <w:tcW w:w="48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1,131</w:t>
            </w:r>
          </w:p>
        </w:tc>
      </w:tr>
      <w:tr>
        <w:trPr>
          <w:trHeight w:val="27"/>
        </w:trPr>
        <w:tc>
          <w:tcPr>
            <w:tcW w:w="4820" w:type="dxa"/>
            <w:vAlign w:val="bottom"/>
          </w:tcPr>
          <w:p>
            <w:pPr>
              <w:spacing w:after="0"/>
              <w:rPr>
                <w:sz w:val="2"/>
                <w:szCs w:val="2"/>
                <w:color w:val="auto"/>
              </w:rPr>
            </w:pPr>
          </w:p>
        </w:tc>
        <w:tc>
          <w:tcPr>
            <w:tcW w:w="48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48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Amortizing intangible assets</w:t>
            </w:r>
          </w:p>
        </w:tc>
        <w:tc>
          <w:tcPr>
            <w:tcW w:w="4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6,100</w:t>
            </w:r>
          </w:p>
        </w:tc>
      </w:tr>
      <w:tr>
        <w:trPr>
          <w:trHeight w:val="243"/>
        </w:trPr>
        <w:tc>
          <w:tcPr>
            <w:tcW w:w="4820" w:type="dxa"/>
            <w:vAlign w:val="bottom"/>
          </w:tcPr>
          <w:p>
            <w:pPr>
              <w:ind w:left="380"/>
              <w:spacing w:after="0"/>
              <w:rPr>
                <w:sz w:val="20"/>
                <w:szCs w:val="20"/>
                <w:color w:val="auto"/>
              </w:rPr>
            </w:pPr>
            <w:r>
              <w:rPr>
                <w:rFonts w:ascii="Arial" w:cs="Arial" w:eastAsia="Arial" w:hAnsi="Arial"/>
                <w:sz w:val="18"/>
                <w:szCs w:val="18"/>
                <w:color w:val="auto"/>
              </w:rPr>
              <w:t>Goodwill</w:t>
            </w:r>
          </w:p>
        </w:tc>
        <w:tc>
          <w:tcPr>
            <w:tcW w:w="48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8,296</w:t>
            </w:r>
          </w:p>
        </w:tc>
      </w:tr>
      <w:tr>
        <w:trPr>
          <w:trHeight w:val="27"/>
        </w:trPr>
        <w:tc>
          <w:tcPr>
            <w:tcW w:w="482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44"/>
        </w:trPr>
        <w:tc>
          <w:tcPr>
            <w:tcW w:w="48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assets acquired</w:t>
            </w:r>
          </w:p>
        </w:tc>
        <w:tc>
          <w:tcPr>
            <w:tcW w:w="4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26,197</w:t>
            </w:r>
          </w:p>
        </w:tc>
      </w:tr>
      <w:tr>
        <w:trPr>
          <w:trHeight w:val="243"/>
        </w:trPr>
        <w:tc>
          <w:tcPr>
            <w:tcW w:w="4820" w:type="dxa"/>
            <w:vAlign w:val="bottom"/>
          </w:tcPr>
          <w:p>
            <w:pPr>
              <w:ind w:left="20"/>
              <w:spacing w:after="0"/>
              <w:rPr>
                <w:sz w:val="20"/>
                <w:szCs w:val="20"/>
                <w:color w:val="auto"/>
              </w:rPr>
            </w:pPr>
            <w:r>
              <w:rPr>
                <w:rFonts w:ascii="Arial" w:cs="Arial" w:eastAsia="Arial" w:hAnsi="Arial"/>
                <w:sz w:val="18"/>
                <w:szCs w:val="18"/>
                <w:b w:val="1"/>
                <w:bCs w:val="1"/>
                <w:color w:val="auto"/>
              </w:rPr>
              <w:t>Liabilities assumed</w:t>
            </w:r>
          </w:p>
        </w:tc>
        <w:tc>
          <w:tcPr>
            <w:tcW w:w="480" w:type="dxa"/>
            <w:vAlign w:val="bottom"/>
          </w:tcPr>
          <w:p>
            <w:pPr>
              <w:spacing w:after="0"/>
              <w:rPr>
                <w:sz w:val="21"/>
                <w:szCs w:val="21"/>
                <w:color w:val="auto"/>
              </w:rPr>
            </w:pPr>
          </w:p>
        </w:tc>
        <w:tc>
          <w:tcPr>
            <w:tcW w:w="940" w:type="dxa"/>
            <w:vAlign w:val="bottom"/>
          </w:tcPr>
          <w:p>
            <w:pPr>
              <w:spacing w:after="0"/>
              <w:rPr>
                <w:sz w:val="21"/>
                <w:szCs w:val="21"/>
                <w:color w:val="auto"/>
              </w:rPr>
            </w:pPr>
          </w:p>
        </w:tc>
      </w:tr>
      <w:tr>
        <w:trPr>
          <w:trHeight w:val="27"/>
        </w:trPr>
        <w:tc>
          <w:tcPr>
            <w:tcW w:w="4820" w:type="dxa"/>
            <w:vAlign w:val="bottom"/>
          </w:tcPr>
          <w:p>
            <w:pPr>
              <w:spacing w:after="0"/>
              <w:rPr>
                <w:sz w:val="2"/>
                <w:szCs w:val="2"/>
                <w:color w:val="auto"/>
              </w:rPr>
            </w:pPr>
          </w:p>
        </w:tc>
        <w:tc>
          <w:tcPr>
            <w:tcW w:w="48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48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Current liabilities</w:t>
            </w:r>
          </w:p>
        </w:tc>
        <w:tc>
          <w:tcPr>
            <w:tcW w:w="4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4,842</w:t>
            </w:r>
          </w:p>
        </w:tc>
      </w:tr>
      <w:tr>
        <w:trPr>
          <w:trHeight w:val="243"/>
        </w:trPr>
        <w:tc>
          <w:tcPr>
            <w:tcW w:w="4820" w:type="dxa"/>
            <w:vAlign w:val="bottom"/>
          </w:tcPr>
          <w:p>
            <w:pPr>
              <w:ind w:left="380"/>
              <w:spacing w:after="0"/>
              <w:rPr>
                <w:sz w:val="20"/>
                <w:szCs w:val="20"/>
                <w:color w:val="auto"/>
              </w:rPr>
            </w:pPr>
            <w:r>
              <w:rPr>
                <w:rFonts w:ascii="Arial" w:cs="Arial" w:eastAsia="Arial" w:hAnsi="Arial"/>
                <w:sz w:val="18"/>
                <w:szCs w:val="18"/>
                <w:color w:val="auto"/>
              </w:rPr>
              <w:t>Deferred income taxes</w:t>
            </w:r>
          </w:p>
        </w:tc>
        <w:tc>
          <w:tcPr>
            <w:tcW w:w="48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1,590</w:t>
            </w:r>
          </w:p>
        </w:tc>
      </w:tr>
      <w:tr>
        <w:trPr>
          <w:trHeight w:val="27"/>
        </w:trPr>
        <w:tc>
          <w:tcPr>
            <w:tcW w:w="482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64"/>
        </w:trPr>
        <w:tc>
          <w:tcPr>
            <w:tcW w:w="48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liabilities assumed</w:t>
            </w:r>
          </w:p>
        </w:tc>
        <w:tc>
          <w:tcPr>
            <w:tcW w:w="48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6,432</w:t>
            </w:r>
          </w:p>
        </w:tc>
      </w:tr>
      <w:tr>
        <w:trPr>
          <w:trHeight w:val="257"/>
        </w:trPr>
        <w:tc>
          <w:tcPr>
            <w:tcW w:w="4820" w:type="dxa"/>
            <w:vAlign w:val="bottom"/>
          </w:tcPr>
          <w:p>
            <w:pPr>
              <w:ind w:left="20"/>
              <w:spacing w:after="0"/>
              <w:rPr>
                <w:sz w:val="20"/>
                <w:szCs w:val="20"/>
                <w:color w:val="auto"/>
              </w:rPr>
            </w:pPr>
            <w:r>
              <w:rPr>
                <w:rFonts w:ascii="Arial" w:cs="Arial" w:eastAsia="Arial" w:hAnsi="Arial"/>
                <w:sz w:val="18"/>
                <w:szCs w:val="18"/>
                <w:color w:val="auto"/>
              </w:rPr>
              <w:t>Net assets acquired</w:t>
            </w:r>
          </w:p>
        </w:tc>
        <w:tc>
          <w:tcPr>
            <w:tcW w:w="480" w:type="dxa"/>
            <w:vAlign w:val="bottom"/>
            <w:tcBorders>
              <w:top w:val="single" w:sz="8" w:color="auto"/>
              <w:bottom w:val="single" w:sz="8" w:color="auto"/>
            </w:tcBorders>
          </w:tcPr>
          <w:p>
            <w:pPr>
              <w:jc w:val="right"/>
              <w:ind w:right="270"/>
              <w:spacing w:after="0"/>
              <w:rPr>
                <w:sz w:val="20"/>
                <w:szCs w:val="20"/>
                <w:color w:val="auto"/>
              </w:rPr>
            </w:pPr>
            <w:r>
              <w:rPr>
                <w:rFonts w:ascii="Arial" w:cs="Arial" w:eastAsia="Arial" w:hAnsi="Arial"/>
                <w:sz w:val="18"/>
                <w:szCs w:val="18"/>
                <w:color w:val="auto"/>
                <w:w w:val="99"/>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19,765</w:t>
            </w:r>
          </w:p>
        </w:tc>
      </w:tr>
      <w:tr>
        <w:trPr>
          <w:trHeight w:val="20"/>
        </w:trPr>
        <w:tc>
          <w:tcPr>
            <w:tcW w:w="482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280"/>
        <w:spacing w:after="0" w:line="308" w:lineRule="auto"/>
        <w:rPr>
          <w:sz w:val="20"/>
          <w:szCs w:val="20"/>
          <w:color w:val="auto"/>
        </w:rPr>
      </w:pPr>
      <w:r>
        <w:rPr>
          <w:rFonts w:ascii="Arial" w:cs="Arial" w:eastAsia="Arial" w:hAnsi="Arial"/>
          <w:sz w:val="17"/>
          <w:szCs w:val="17"/>
          <w:color w:val="auto"/>
        </w:rPr>
        <w:t>The fair values of the assets acquired were determined using one of three valuation approaches: market, income or cost. The selection of a particular method for a given asset depended on the reliability of available data and the nature of the asset, among other considerations.</w:t>
      </w:r>
    </w:p>
    <w:p>
      <w:pPr>
        <w:spacing w:after="0" w:line="147" w:lineRule="exact"/>
        <w:rPr>
          <w:sz w:val="20"/>
          <w:szCs w:val="20"/>
          <w:color w:val="auto"/>
        </w:rPr>
      </w:pPr>
    </w:p>
    <w:p>
      <w:pPr>
        <w:spacing w:after="0" w:line="277" w:lineRule="auto"/>
        <w:rPr>
          <w:sz w:val="20"/>
          <w:szCs w:val="20"/>
          <w:color w:val="auto"/>
        </w:rPr>
      </w:pPr>
      <w:r>
        <w:rPr>
          <w:rFonts w:ascii="Arial" w:cs="Arial" w:eastAsia="Arial" w:hAnsi="Arial"/>
          <w:sz w:val="18"/>
          <w:szCs w:val="18"/>
          <w:b w:val="1"/>
          <w:bCs w:val="1"/>
          <w:i w:val="1"/>
          <w:iCs w:val="1"/>
          <w:color w:val="auto"/>
        </w:rPr>
        <w:t xml:space="preserve">Current Assets and Liabilities </w:t>
      </w:r>
      <w:r>
        <w:rPr>
          <w:rFonts w:ascii="Arial" w:cs="Arial" w:eastAsia="Arial" w:hAnsi="Arial"/>
          <w:sz w:val="18"/>
          <w:szCs w:val="18"/>
          <w:color w:val="auto"/>
        </w:rPr>
        <w:t>– The fair value of current assets and liabilities, excluding inventory, was assumed to approximate their carrying value as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of the acquisition date due to the short-term nature of these assets and liabilities.</w:t>
      </w:r>
    </w:p>
    <w:p>
      <w:pPr>
        <w:spacing w:after="0" w:line="170" w:lineRule="exact"/>
        <w:rPr>
          <w:sz w:val="20"/>
          <w:szCs w:val="20"/>
          <w:color w:val="auto"/>
        </w:rPr>
      </w:pPr>
    </w:p>
    <w:p>
      <w:pPr>
        <w:ind w:right="180"/>
        <w:spacing w:after="0" w:line="279" w:lineRule="auto"/>
        <w:rPr>
          <w:sz w:val="20"/>
          <w:szCs w:val="20"/>
          <w:color w:val="auto"/>
        </w:rPr>
      </w:pPr>
      <w:r>
        <w:rPr>
          <w:rFonts w:ascii="Arial" w:cs="Arial" w:eastAsia="Arial" w:hAnsi="Arial"/>
          <w:sz w:val="17"/>
          <w:szCs w:val="17"/>
          <w:color w:val="auto"/>
        </w:rPr>
        <w:t>The fair value of in-process and finished goods inventory acquired was estimated by applying a version of the market approach called the comparable sales method. This approach estimates the fair value of the assets by calculating the potential revenue generated from selling the inventory and subtracting from it the costs related to the completion and sale of that inventory and a reasonable profit allowance. Based upon this methodology, the Company recorded the inventory acquired at fair value resulting in an increase in inventory of $0.3 million.</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 xml:space="preserve">Intangible Assets </w:t>
      </w:r>
      <w:r>
        <w:rPr>
          <w:rFonts w:ascii="Arial" w:cs="Arial" w:eastAsia="Arial" w:hAnsi="Arial"/>
          <w:sz w:val="18"/>
          <w:szCs w:val="18"/>
          <w:color w:val="auto"/>
        </w:rPr>
        <w:t>– The purchase price was allocated to intangible assets as follows (dollars in thousands):</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6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1"/>
              </w:rPr>
              <w:t>Weighted</w:t>
            </w:r>
          </w:p>
        </w:tc>
        <w:tc>
          <w:tcPr>
            <w:tcW w:w="1340" w:type="dxa"/>
            <w:vAlign w:val="bottom"/>
          </w:tcPr>
          <w:p>
            <w:pPr>
              <w:jc w:val="center"/>
              <w:spacing w:after="0"/>
              <w:rPr>
                <w:sz w:val="20"/>
                <w:szCs w:val="20"/>
                <w:color w:val="auto"/>
              </w:rPr>
            </w:pPr>
            <w:r>
              <w:rPr>
                <w:rFonts w:ascii="Arial" w:cs="Arial" w:eastAsia="Arial" w:hAnsi="Arial"/>
                <w:sz w:val="18"/>
                <w:szCs w:val="18"/>
                <w:b w:val="1"/>
                <w:bCs w:val="1"/>
                <w:color w:val="auto"/>
                <w:w w:val="91"/>
              </w:rPr>
              <w:t>Weighted</w:t>
            </w:r>
          </w:p>
        </w:tc>
      </w:tr>
      <w:tr>
        <w:trPr>
          <w:trHeight w:val="216"/>
        </w:trPr>
        <w:tc>
          <w:tcPr>
            <w:tcW w:w="3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40" w:type="dxa"/>
            <w:vAlign w:val="bottom"/>
          </w:tcPr>
          <w:p>
            <w:pPr>
              <w:jc w:val="center"/>
              <w:ind w:right="130"/>
              <w:spacing w:after="0"/>
              <w:rPr>
                <w:sz w:val="20"/>
                <w:szCs w:val="20"/>
                <w:color w:val="auto"/>
              </w:rPr>
            </w:pPr>
            <w:r>
              <w:rPr>
                <w:rFonts w:ascii="Arial" w:cs="Arial" w:eastAsia="Arial" w:hAnsi="Arial"/>
                <w:sz w:val="18"/>
                <w:szCs w:val="18"/>
                <w:b w:val="1"/>
                <w:bCs w:val="1"/>
                <w:color w:val="auto"/>
                <w:w w:val="96"/>
              </w:rPr>
              <w:t>Fair</w:t>
            </w:r>
          </w:p>
        </w:tc>
        <w:tc>
          <w:tcPr>
            <w:tcW w:w="120" w:type="dxa"/>
            <w:vAlign w:val="bottom"/>
          </w:tcPr>
          <w:p>
            <w:pPr>
              <w:spacing w:after="0"/>
              <w:rPr>
                <w:sz w:val="18"/>
                <w:szCs w:val="18"/>
                <w:color w:val="auto"/>
              </w:rPr>
            </w:pPr>
          </w:p>
        </w:tc>
        <w:tc>
          <w:tcPr>
            <w:tcW w:w="146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7"/>
              </w:rPr>
              <w:t>Average</w:t>
            </w:r>
          </w:p>
        </w:tc>
        <w:tc>
          <w:tcPr>
            <w:tcW w:w="1340" w:type="dxa"/>
            <w:vAlign w:val="bottom"/>
          </w:tcPr>
          <w:p>
            <w:pPr>
              <w:jc w:val="center"/>
              <w:spacing w:after="0"/>
              <w:rPr>
                <w:sz w:val="20"/>
                <w:szCs w:val="20"/>
                <w:color w:val="auto"/>
              </w:rPr>
            </w:pPr>
            <w:r>
              <w:rPr>
                <w:rFonts w:ascii="Arial" w:cs="Arial" w:eastAsia="Arial" w:hAnsi="Arial"/>
                <w:sz w:val="18"/>
                <w:szCs w:val="18"/>
                <w:b w:val="1"/>
                <w:bCs w:val="1"/>
                <w:color w:val="auto"/>
                <w:w w:val="87"/>
              </w:rPr>
              <w:t>Average</w:t>
            </w:r>
          </w:p>
        </w:tc>
      </w:tr>
      <w:tr>
        <w:trPr>
          <w:trHeight w:val="216"/>
        </w:trPr>
        <w:tc>
          <w:tcPr>
            <w:tcW w:w="3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40" w:type="dxa"/>
            <w:vAlign w:val="bottom"/>
          </w:tcPr>
          <w:p>
            <w:pPr>
              <w:jc w:val="center"/>
              <w:ind w:right="130"/>
              <w:spacing w:after="0"/>
              <w:rPr>
                <w:sz w:val="20"/>
                <w:szCs w:val="20"/>
                <w:color w:val="auto"/>
              </w:rPr>
            </w:pPr>
            <w:r>
              <w:rPr>
                <w:rFonts w:ascii="Arial" w:cs="Arial" w:eastAsia="Arial" w:hAnsi="Arial"/>
                <w:sz w:val="18"/>
                <w:szCs w:val="18"/>
                <w:b w:val="1"/>
                <w:bCs w:val="1"/>
                <w:color w:val="auto"/>
                <w:w w:val="91"/>
              </w:rPr>
              <w:t>Value</w:t>
            </w:r>
          </w:p>
        </w:tc>
        <w:tc>
          <w:tcPr>
            <w:tcW w:w="120" w:type="dxa"/>
            <w:vAlign w:val="bottom"/>
          </w:tcPr>
          <w:p>
            <w:pPr>
              <w:spacing w:after="0"/>
              <w:rPr>
                <w:sz w:val="18"/>
                <w:szCs w:val="18"/>
                <w:color w:val="auto"/>
              </w:rPr>
            </w:pPr>
          </w:p>
        </w:tc>
        <w:tc>
          <w:tcPr>
            <w:tcW w:w="146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2"/>
              </w:rPr>
              <w:t>Amortization</w:t>
            </w:r>
          </w:p>
        </w:tc>
        <w:tc>
          <w:tcPr>
            <w:tcW w:w="1340" w:type="dxa"/>
            <w:vAlign w:val="bottom"/>
          </w:tcPr>
          <w:p>
            <w:pPr>
              <w:jc w:val="center"/>
              <w:spacing w:after="0"/>
              <w:rPr>
                <w:sz w:val="20"/>
                <w:szCs w:val="20"/>
                <w:color w:val="auto"/>
              </w:rPr>
            </w:pPr>
            <w:r>
              <w:rPr>
                <w:rFonts w:ascii="Arial" w:cs="Arial" w:eastAsia="Arial" w:hAnsi="Arial"/>
                <w:sz w:val="18"/>
                <w:szCs w:val="18"/>
                <w:b w:val="1"/>
                <w:bCs w:val="1"/>
                <w:color w:val="auto"/>
                <w:w w:val="88"/>
              </w:rPr>
              <w:t>Discount</w:t>
            </w:r>
          </w:p>
        </w:tc>
      </w:tr>
      <w:tr>
        <w:trPr>
          <w:trHeight w:val="234"/>
        </w:trPr>
        <w:tc>
          <w:tcPr>
            <w:tcW w:w="3680" w:type="dxa"/>
            <w:vAlign w:val="bottom"/>
            <w:gridSpan w:val="2"/>
          </w:tcPr>
          <w:p>
            <w:pPr>
              <w:ind w:left="20"/>
              <w:spacing w:after="0"/>
              <w:rPr>
                <w:sz w:val="20"/>
                <w:szCs w:val="20"/>
                <w:color w:val="auto"/>
              </w:rPr>
            </w:pPr>
            <w:r>
              <w:rPr>
                <w:rFonts w:ascii="Arial" w:cs="Arial" w:eastAsia="Arial" w:hAnsi="Arial"/>
                <w:sz w:val="18"/>
                <w:szCs w:val="18"/>
                <w:b w:val="1"/>
                <w:bCs w:val="1"/>
                <w:color w:val="auto"/>
              </w:rPr>
              <w:t>Amortizing Intangible Assets</w:t>
            </w:r>
          </w:p>
        </w:tc>
        <w:tc>
          <w:tcPr>
            <w:tcW w:w="220" w:type="dxa"/>
            <w:vAlign w:val="bottom"/>
          </w:tcPr>
          <w:p>
            <w:pPr>
              <w:spacing w:after="0"/>
              <w:rPr>
                <w:sz w:val="20"/>
                <w:szCs w:val="20"/>
                <w:color w:val="auto"/>
              </w:rPr>
            </w:pPr>
          </w:p>
        </w:tc>
        <w:tc>
          <w:tcPr>
            <w:tcW w:w="1140" w:type="dxa"/>
            <w:vAlign w:val="bottom"/>
          </w:tcPr>
          <w:p>
            <w:pPr>
              <w:jc w:val="center"/>
              <w:ind w:right="130"/>
              <w:spacing w:after="0"/>
              <w:rPr>
                <w:sz w:val="20"/>
                <w:szCs w:val="20"/>
                <w:color w:val="auto"/>
              </w:rPr>
            </w:pPr>
            <w:r>
              <w:rPr>
                <w:rFonts w:ascii="Arial" w:cs="Arial" w:eastAsia="Arial" w:hAnsi="Arial"/>
                <w:sz w:val="18"/>
                <w:szCs w:val="18"/>
                <w:b w:val="1"/>
                <w:bCs w:val="1"/>
                <w:color w:val="auto"/>
                <w:w w:val="83"/>
              </w:rPr>
              <w:t>Assigned</w:t>
            </w:r>
          </w:p>
        </w:tc>
        <w:tc>
          <w:tcPr>
            <w:tcW w:w="120" w:type="dxa"/>
            <w:vAlign w:val="bottom"/>
          </w:tcPr>
          <w:p>
            <w:pPr>
              <w:spacing w:after="0"/>
              <w:rPr>
                <w:sz w:val="20"/>
                <w:szCs w:val="20"/>
                <w:color w:val="auto"/>
              </w:rPr>
            </w:pPr>
          </w:p>
        </w:tc>
        <w:tc>
          <w:tcPr>
            <w:tcW w:w="146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0"/>
              </w:rPr>
              <w:t>Period (Years)</w:t>
            </w:r>
          </w:p>
        </w:tc>
        <w:tc>
          <w:tcPr>
            <w:tcW w:w="1340" w:type="dxa"/>
            <w:vAlign w:val="bottom"/>
          </w:tcPr>
          <w:p>
            <w:pPr>
              <w:jc w:val="center"/>
              <w:spacing w:after="0"/>
              <w:rPr>
                <w:sz w:val="20"/>
                <w:szCs w:val="20"/>
                <w:color w:val="auto"/>
              </w:rPr>
            </w:pPr>
            <w:r>
              <w:rPr>
                <w:rFonts w:ascii="Arial" w:cs="Arial" w:eastAsia="Arial" w:hAnsi="Arial"/>
                <w:sz w:val="18"/>
                <w:szCs w:val="18"/>
                <w:b w:val="1"/>
                <w:bCs w:val="1"/>
                <w:color w:val="auto"/>
                <w:w w:val="92"/>
              </w:rPr>
              <w:t>Rate</w:t>
            </w:r>
          </w:p>
        </w:tc>
      </w:tr>
      <w:tr>
        <w:trPr>
          <w:trHeight w:val="27"/>
        </w:trPr>
        <w:tc>
          <w:tcPr>
            <w:tcW w:w="35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115"/>
        </w:trPr>
        <w:tc>
          <w:tcPr>
            <w:tcW w:w="35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1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3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340" w:type="dxa"/>
            <w:vAlign w:val="bottom"/>
          </w:tcPr>
          <w:p>
            <w:pPr>
              <w:spacing w:after="0"/>
              <w:rPr>
                <w:sz w:val="10"/>
                <w:szCs w:val="10"/>
                <w:color w:val="auto"/>
              </w:rPr>
            </w:pPr>
          </w:p>
        </w:tc>
      </w:tr>
      <w:tr>
        <w:trPr>
          <w:trHeight w:val="250"/>
        </w:trPr>
        <w:tc>
          <w:tcPr>
            <w:tcW w:w="36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Technology</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1,400</w:t>
            </w:r>
          </w:p>
        </w:tc>
        <w:tc>
          <w:tcPr>
            <w:tcW w:w="1460" w:type="dxa"/>
            <w:vAlign w:val="bottom"/>
            <w:tcBorders>
              <w:bottom w:val="single" w:sz="8" w:color="CCEEFF"/>
            </w:tcBorders>
            <w:gridSpan w:val="2"/>
            <w:shd w:val="clear" w:color="auto" w:fill="CCEEFF"/>
          </w:tcPr>
          <w:p>
            <w:pPr>
              <w:jc w:val="center"/>
              <w:ind w:left="30"/>
              <w:spacing w:after="0"/>
              <w:rPr>
                <w:sz w:val="20"/>
                <w:szCs w:val="20"/>
                <w:color w:val="auto"/>
              </w:rPr>
            </w:pPr>
            <w:r>
              <w:rPr>
                <w:rFonts w:ascii="Arial" w:cs="Arial" w:eastAsia="Arial" w:hAnsi="Arial"/>
                <w:sz w:val="18"/>
                <w:szCs w:val="18"/>
                <w:color w:val="auto"/>
                <w:w w:val="89"/>
              </w:rPr>
              <w:t>10</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4"/>
              </w:rPr>
              <w:t>18%</w:t>
            </w:r>
          </w:p>
        </w:tc>
      </w:tr>
      <w:tr>
        <w:trPr>
          <w:trHeight w:val="243"/>
        </w:trPr>
        <w:tc>
          <w:tcPr>
            <w:tcW w:w="3680" w:type="dxa"/>
            <w:vAlign w:val="bottom"/>
            <w:gridSpan w:val="2"/>
          </w:tcPr>
          <w:p>
            <w:pPr>
              <w:ind w:left="20"/>
              <w:spacing w:after="0"/>
              <w:rPr>
                <w:sz w:val="20"/>
                <w:szCs w:val="20"/>
                <w:color w:val="auto"/>
              </w:rPr>
            </w:pPr>
            <w:r>
              <w:rPr>
                <w:rFonts w:ascii="Arial" w:cs="Arial" w:eastAsia="Arial" w:hAnsi="Arial"/>
                <w:sz w:val="18"/>
                <w:szCs w:val="18"/>
                <w:color w:val="auto"/>
              </w:rPr>
              <w:t>Customer lists</w:t>
            </w:r>
          </w:p>
        </w:tc>
        <w:tc>
          <w:tcPr>
            <w:tcW w:w="22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4,600</w:t>
            </w:r>
          </w:p>
        </w:tc>
        <w:tc>
          <w:tcPr>
            <w:tcW w:w="1460" w:type="dxa"/>
            <w:vAlign w:val="bottom"/>
            <w:gridSpan w:val="2"/>
          </w:tcPr>
          <w:p>
            <w:pPr>
              <w:jc w:val="center"/>
              <w:ind w:left="30"/>
              <w:spacing w:after="0"/>
              <w:rPr>
                <w:sz w:val="20"/>
                <w:szCs w:val="20"/>
                <w:color w:val="auto"/>
              </w:rPr>
            </w:pPr>
            <w:r>
              <w:rPr>
                <w:rFonts w:ascii="Arial" w:cs="Arial" w:eastAsia="Arial" w:hAnsi="Arial"/>
                <w:sz w:val="18"/>
                <w:szCs w:val="18"/>
                <w:color w:val="auto"/>
                <w:w w:val="89"/>
              </w:rPr>
              <w:t>10</w:t>
            </w:r>
          </w:p>
        </w:tc>
        <w:tc>
          <w:tcPr>
            <w:tcW w:w="120" w:type="dxa"/>
            <w:vAlign w:val="bottom"/>
          </w:tcPr>
          <w:p>
            <w:pPr>
              <w:spacing w:after="0"/>
              <w:rPr>
                <w:sz w:val="21"/>
                <w:szCs w:val="21"/>
                <w:color w:val="auto"/>
              </w:rPr>
            </w:pPr>
          </w:p>
        </w:tc>
        <w:tc>
          <w:tcPr>
            <w:tcW w:w="1340" w:type="dxa"/>
            <w:vAlign w:val="bottom"/>
          </w:tcPr>
          <w:p>
            <w:pPr>
              <w:jc w:val="center"/>
              <w:spacing w:after="0"/>
              <w:rPr>
                <w:sz w:val="20"/>
                <w:szCs w:val="20"/>
                <w:color w:val="auto"/>
              </w:rPr>
            </w:pPr>
            <w:r>
              <w:rPr>
                <w:rFonts w:ascii="Arial" w:cs="Arial" w:eastAsia="Arial" w:hAnsi="Arial"/>
                <w:sz w:val="18"/>
                <w:szCs w:val="18"/>
                <w:color w:val="auto"/>
                <w:w w:val="94"/>
              </w:rPr>
              <w:t>18%</w:t>
            </w:r>
          </w:p>
        </w:tc>
      </w:tr>
      <w:tr>
        <w:trPr>
          <w:trHeight w:val="27"/>
        </w:trPr>
        <w:tc>
          <w:tcPr>
            <w:tcW w:w="3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70"/>
        </w:trPr>
        <w:tc>
          <w:tcPr>
            <w:tcW w:w="36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Trademarks and tradenames</w:t>
            </w:r>
          </w:p>
        </w:tc>
        <w:tc>
          <w:tcPr>
            <w:tcW w:w="22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w:t>
            </w:r>
          </w:p>
        </w:tc>
        <w:tc>
          <w:tcPr>
            <w:tcW w:w="1460" w:type="dxa"/>
            <w:vAlign w:val="bottom"/>
            <w:tcBorders>
              <w:bottom w:val="single" w:sz="8" w:color="CCEEFF"/>
            </w:tcBorders>
            <w:gridSpan w:val="2"/>
            <w:shd w:val="clear" w:color="auto" w:fill="CCEEFF"/>
          </w:tcPr>
          <w:p>
            <w:pPr>
              <w:jc w:val="center"/>
              <w:ind w:left="30"/>
              <w:spacing w:after="0"/>
              <w:rPr>
                <w:sz w:val="20"/>
                <w:szCs w:val="20"/>
                <w:color w:val="auto"/>
              </w:rPr>
            </w:pPr>
            <w:r>
              <w:rPr>
                <w:rFonts w:ascii="Arial" w:cs="Arial" w:eastAsia="Arial" w:hAnsi="Arial"/>
                <w:sz w:val="18"/>
                <w:szCs w:val="18"/>
                <w:color w:val="auto"/>
                <w:w w:val="99"/>
              </w:rPr>
              <w:t>2</w:t>
            </w:r>
          </w:p>
        </w:tc>
        <w:tc>
          <w:tcPr>
            <w:tcW w:w="12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4"/>
              </w:rPr>
              <w:t>18%</w:t>
            </w:r>
          </w:p>
        </w:tc>
      </w:tr>
      <w:tr>
        <w:trPr>
          <w:trHeight w:val="257"/>
        </w:trPr>
        <w:tc>
          <w:tcPr>
            <w:tcW w:w="35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6,100</w:t>
            </w:r>
          </w:p>
        </w:tc>
        <w:tc>
          <w:tcPr>
            <w:tcW w:w="1460" w:type="dxa"/>
            <w:vAlign w:val="bottom"/>
            <w:gridSpan w:val="2"/>
          </w:tcPr>
          <w:p>
            <w:pPr>
              <w:jc w:val="center"/>
              <w:ind w:left="30"/>
              <w:spacing w:after="0"/>
              <w:rPr>
                <w:sz w:val="20"/>
                <w:szCs w:val="20"/>
                <w:color w:val="auto"/>
              </w:rPr>
            </w:pPr>
            <w:r>
              <w:rPr>
                <w:rFonts w:ascii="Arial" w:cs="Arial" w:eastAsia="Arial" w:hAnsi="Arial"/>
                <w:sz w:val="18"/>
                <w:szCs w:val="18"/>
                <w:color w:val="auto"/>
                <w:w w:val="89"/>
              </w:rPr>
              <w:t>10</w:t>
            </w:r>
          </w:p>
        </w:tc>
        <w:tc>
          <w:tcPr>
            <w:tcW w:w="120" w:type="dxa"/>
            <w:vAlign w:val="bottom"/>
          </w:tcPr>
          <w:p>
            <w:pPr>
              <w:spacing w:after="0"/>
              <w:rPr>
                <w:sz w:val="22"/>
                <w:szCs w:val="22"/>
                <w:color w:val="auto"/>
              </w:rPr>
            </w:pPr>
          </w:p>
        </w:tc>
        <w:tc>
          <w:tcPr>
            <w:tcW w:w="1340" w:type="dxa"/>
            <w:vAlign w:val="bottom"/>
          </w:tcPr>
          <w:p>
            <w:pPr>
              <w:jc w:val="center"/>
              <w:spacing w:after="0"/>
              <w:rPr>
                <w:sz w:val="20"/>
                <w:szCs w:val="20"/>
                <w:color w:val="auto"/>
              </w:rPr>
            </w:pPr>
            <w:r>
              <w:rPr>
                <w:rFonts w:ascii="Arial" w:cs="Arial" w:eastAsia="Arial" w:hAnsi="Arial"/>
                <w:sz w:val="18"/>
                <w:szCs w:val="18"/>
                <w:color w:val="auto"/>
                <w:w w:val="94"/>
              </w:rPr>
              <w:t>18%</w:t>
            </w:r>
          </w:p>
        </w:tc>
      </w:tr>
      <w:tr>
        <w:trPr>
          <w:trHeight w:val="20"/>
        </w:trPr>
        <w:tc>
          <w:tcPr>
            <w:tcW w:w="35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r>
    </w:tbl>
    <w:p>
      <w:pPr>
        <w:spacing w:after="0" w:line="202" w:lineRule="exact"/>
        <w:rPr>
          <w:sz w:val="20"/>
          <w:szCs w:val="20"/>
          <w:color w:val="auto"/>
        </w:rPr>
      </w:pPr>
    </w:p>
    <w:p>
      <w:pPr>
        <w:ind w:right="200"/>
        <w:spacing w:after="0" w:line="257" w:lineRule="auto"/>
        <w:rPr>
          <w:sz w:val="20"/>
          <w:szCs w:val="20"/>
          <w:color w:val="auto"/>
        </w:rPr>
      </w:pPr>
      <w:r>
        <w:rPr>
          <w:rFonts w:ascii="Arial" w:cs="Arial" w:eastAsia="Arial" w:hAnsi="Arial"/>
          <w:sz w:val="18"/>
          <w:szCs w:val="18"/>
          <w:b w:val="1"/>
          <w:bCs w:val="1"/>
          <w:i w:val="1"/>
          <w:iCs w:val="1"/>
          <w:color w:val="auto"/>
        </w:rPr>
        <w:t xml:space="preserve">Technology </w:t>
      </w:r>
      <w:r>
        <w:rPr>
          <w:rFonts w:ascii="Arial" w:cs="Arial" w:eastAsia="Arial" w:hAnsi="Arial"/>
          <w:sz w:val="18"/>
          <w:szCs w:val="18"/>
          <w:color w:val="auto"/>
        </w:rPr>
        <w:t>– Technology consists of technical processes, unpatented technology, manufacturing know-how, trade secrets and the understanding with</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respect to products or processes that have been developed by CCC and that will be leveraged in current and future products. The fair value of technology acquired was determined utilizing the relief from royalty method, a form of the income approach, with a royalty rate of 3%. The weighted average amortization period of the technology is based upon management’s estimate of the product life cycle associated with technology before they will be replaced by new technologies.</w:t>
      </w:r>
    </w:p>
    <w:p>
      <w:pPr>
        <w:sectPr>
          <w:pgSz w:w="11900" w:h="16838" w:orient="portrait"/>
          <w:cols w:equalWidth="0" w:num="1">
            <w:col w:w="10960"/>
          </w:cols>
          <w:pgMar w:left="660" w:top="337" w:right="279" w:bottom="1440" w:gutter="0" w:footer="0" w:header="0"/>
        </w:sectPr>
      </w:pPr>
    </w:p>
    <w:p>
      <w:pPr>
        <w:spacing w:after="0" w:line="323" w:lineRule="exact"/>
        <w:rPr>
          <w:sz w:val="20"/>
          <w:szCs w:val="20"/>
          <w:color w:val="auto"/>
        </w:rPr>
      </w:pPr>
    </w:p>
    <w:p>
      <w:pPr>
        <w:jc w:val="center"/>
        <w:ind w:right="380"/>
        <w:spacing w:after="0"/>
        <w:rPr>
          <w:sz w:val="20"/>
          <w:szCs w:val="20"/>
          <w:color w:val="auto"/>
        </w:rPr>
      </w:pPr>
      <w:r>
        <w:rPr>
          <w:rFonts w:ascii="Arial" w:cs="Arial" w:eastAsia="Arial" w:hAnsi="Arial"/>
          <w:sz w:val="16"/>
          <w:szCs w:val="16"/>
          <w:color w:val="auto"/>
        </w:rPr>
        <w:t>- 81 -</w:t>
      </w:r>
    </w:p>
    <w:p>
      <w:pPr>
        <w:sectPr>
          <w:pgSz w:w="11900" w:h="16838" w:orient="portrait"/>
          <w:cols w:equalWidth="0" w:num="1">
            <w:col w:w="10960"/>
          </w:cols>
          <w:pgMar w:left="660" w:top="337" w:right="279" w:bottom="1440" w:gutter="0" w:footer="0" w:header="0"/>
          <w:type w:val="continuous"/>
        </w:sectPr>
      </w:pPr>
    </w:p>
    <w:bookmarkStart w:id="82" w:name="page83"/>
    <w:bookmarkEnd w:id="82"/>
    <w:p>
      <w:pPr>
        <w:jc w:val="center"/>
        <w:ind w:right="360"/>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ind w:right="36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right="100"/>
        <w:spacing w:after="0" w:line="255" w:lineRule="auto"/>
        <w:rPr>
          <w:sz w:val="20"/>
          <w:szCs w:val="20"/>
          <w:color w:val="auto"/>
        </w:rPr>
      </w:pPr>
      <w:r>
        <w:rPr>
          <w:rFonts w:ascii="Arial" w:cs="Arial" w:eastAsia="Arial" w:hAnsi="Arial"/>
          <w:sz w:val="18"/>
          <w:szCs w:val="18"/>
          <w:b w:val="1"/>
          <w:bCs w:val="1"/>
          <w:i w:val="1"/>
          <w:iCs w:val="1"/>
          <w:color w:val="auto"/>
        </w:rPr>
        <w:t xml:space="preserve">Customer Lists </w:t>
      </w:r>
      <w:r>
        <w:rPr>
          <w:rFonts w:ascii="Arial" w:cs="Arial" w:eastAsia="Arial" w:hAnsi="Arial"/>
          <w:sz w:val="18"/>
          <w:szCs w:val="18"/>
          <w:color w:val="auto"/>
        </w:rPr>
        <w:t>– Customer lists represent the estimated fair value of non-contractual customer relationships CCC has as of the acquisition date. The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primary customers of CCC include medical device companies in various geographic locations around the world. These relationships were valued separately from goodwill at the amount that an independent third party would be willing to pay for these relationships. The fair value of customer lists was determined using the multi-period excess-earnings method, a form of the income approach. The weighted average amortization period of the existing customer base was based upon the historical customer annual attrition rate of 15%, as well as management’s understanding of the industry and product life cycles.</w:t>
      </w:r>
    </w:p>
    <w:p>
      <w:pPr>
        <w:spacing w:after="0" w:line="193" w:lineRule="exact"/>
        <w:rPr>
          <w:sz w:val="20"/>
          <w:szCs w:val="20"/>
          <w:color w:val="auto"/>
        </w:rPr>
      </w:pPr>
    </w:p>
    <w:p>
      <w:pPr>
        <w:ind w:right="160"/>
        <w:spacing w:after="0" w:line="259" w:lineRule="auto"/>
        <w:rPr>
          <w:sz w:val="20"/>
          <w:szCs w:val="20"/>
          <w:color w:val="auto"/>
        </w:rPr>
      </w:pPr>
      <w:r>
        <w:rPr>
          <w:rFonts w:ascii="Arial" w:cs="Arial" w:eastAsia="Arial" w:hAnsi="Arial"/>
          <w:sz w:val="18"/>
          <w:szCs w:val="18"/>
          <w:b w:val="1"/>
          <w:bCs w:val="1"/>
          <w:i w:val="1"/>
          <w:iCs w:val="1"/>
          <w:color w:val="auto"/>
        </w:rPr>
        <w:t xml:space="preserve">Trademarks and Tradenames </w:t>
      </w:r>
      <w:r>
        <w:rPr>
          <w:rFonts w:ascii="Arial" w:cs="Arial" w:eastAsia="Arial" w:hAnsi="Arial"/>
          <w:sz w:val="18"/>
          <w:szCs w:val="18"/>
          <w:color w:val="auto"/>
        </w:rPr>
        <w:t>– Trademarks and tradenames represent the estimated fair value of corporate and product names acquired from CCC.</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These tradenames were valued separately from goodwill at the amount that an independent third party would be willing to pay for use of these names. The fair value of the trademarks and tradenames was determined by utilizing the relief from royalty method, a form of the income approach, with a 0.5% royalty rate.</w:t>
      </w:r>
    </w:p>
    <w:p>
      <w:pPr>
        <w:spacing w:after="0" w:line="187" w:lineRule="exact"/>
        <w:rPr>
          <w:sz w:val="20"/>
          <w:szCs w:val="20"/>
          <w:color w:val="auto"/>
        </w:rPr>
      </w:pPr>
    </w:p>
    <w:p>
      <w:pPr>
        <w:ind w:right="40"/>
        <w:spacing w:after="0" w:line="257" w:lineRule="auto"/>
        <w:rPr>
          <w:sz w:val="20"/>
          <w:szCs w:val="20"/>
          <w:color w:val="auto"/>
        </w:rPr>
      </w:pPr>
      <w:r>
        <w:rPr>
          <w:rFonts w:ascii="Arial" w:cs="Arial" w:eastAsia="Arial" w:hAnsi="Arial"/>
          <w:sz w:val="18"/>
          <w:szCs w:val="18"/>
          <w:b w:val="1"/>
          <w:bCs w:val="1"/>
          <w:i w:val="1"/>
          <w:iCs w:val="1"/>
          <w:color w:val="auto"/>
        </w:rPr>
        <w:t xml:space="preserve">Goodwill </w:t>
      </w:r>
      <w:r>
        <w:rPr>
          <w:rFonts w:ascii="Arial" w:cs="Arial" w:eastAsia="Arial" w:hAnsi="Arial"/>
          <w:sz w:val="18"/>
          <w:szCs w:val="18"/>
          <w:color w:val="auto"/>
        </w:rPr>
        <w:t>– The excess of the purchase price over the fair value of net tangible and intangible assets acquired and liabilities assumed was allocated to</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goodwill. Various factors contributed to the establishment of goodwill, including: the value of CCC’s highly trained assembled work force and management team; the incremental value that CCC’s technology will bring to QiG’s medical devices; and the expected revenue growth over time that is attributable to increased market penetration from future products and customers. The goodwill acquired in connection with the CCC acquisition was allocated to the QiG business segment and is not deductible for tax purposes.</w:t>
      </w:r>
    </w:p>
    <w:p>
      <w:pPr>
        <w:spacing w:after="0" w:line="188" w:lineRule="exact"/>
        <w:rPr>
          <w:sz w:val="20"/>
          <w:szCs w:val="20"/>
          <w:color w:val="auto"/>
        </w:rPr>
      </w:pPr>
    </w:p>
    <w:p>
      <w:pPr>
        <w:spacing w:after="0" w:line="264" w:lineRule="auto"/>
        <w:rPr>
          <w:sz w:val="20"/>
          <w:szCs w:val="20"/>
          <w:color w:val="auto"/>
        </w:rPr>
      </w:pPr>
      <w:r>
        <w:rPr>
          <w:rFonts w:ascii="Arial" w:cs="Arial" w:eastAsia="Arial" w:hAnsi="Arial"/>
          <w:sz w:val="18"/>
          <w:szCs w:val="18"/>
          <w:b w:val="1"/>
          <w:bCs w:val="1"/>
          <w:i w:val="1"/>
          <w:iCs w:val="1"/>
          <w:color w:val="auto"/>
        </w:rPr>
        <w:t xml:space="preserve">Pro Forma Results (Unaudited) </w:t>
      </w:r>
      <w:r>
        <w:rPr>
          <w:rFonts w:ascii="Arial" w:cs="Arial" w:eastAsia="Arial" w:hAnsi="Arial"/>
          <w:sz w:val="18"/>
          <w:szCs w:val="18"/>
          <w:color w:val="auto"/>
        </w:rPr>
        <w:t>– The following unaudited pro forma information presents the consolidated results of operations of the Company, Lake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Region Medical, and CCC as if those acquisitions occurred as of the beginning of fiscal years 2014 (Lake Region Medical) and 2013 (CCC) (in thousands, except per share amounts):</w:t>
      </w:r>
    </w:p>
    <w:p>
      <w:pPr>
        <w:spacing w:after="0" w:line="281"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34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gridSpan w:val="2"/>
          </w:tcPr>
          <w:p>
            <w:pPr>
              <w:ind w:left="120"/>
              <w:spacing w:after="0"/>
              <w:rPr>
                <w:sz w:val="20"/>
                <w:szCs w:val="20"/>
                <w:color w:val="auto"/>
              </w:rPr>
            </w:pPr>
            <w:r>
              <w:rPr>
                <w:rFonts w:ascii="Arial" w:cs="Arial" w:eastAsia="Arial" w:hAnsi="Arial"/>
                <w:sz w:val="14"/>
                <w:szCs w:val="14"/>
                <w:b w:val="1"/>
                <w:bCs w:val="1"/>
                <w:color w:val="auto"/>
              </w:rPr>
              <w:t>Year Ended</w:t>
            </w:r>
          </w:p>
        </w:tc>
        <w:tc>
          <w:tcPr>
            <w:tcW w:w="26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spacing w:after="0"/>
              <w:rPr>
                <w:sz w:val="16"/>
                <w:szCs w:val="16"/>
                <w:color w:val="auto"/>
              </w:rPr>
            </w:pPr>
          </w:p>
        </w:tc>
      </w:tr>
      <w:tr>
        <w:trPr>
          <w:trHeight w:val="152"/>
        </w:trPr>
        <w:tc>
          <w:tcPr>
            <w:tcW w:w="33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300" w:type="dxa"/>
            <w:vAlign w:val="bottom"/>
            <w:gridSpan w:val="2"/>
          </w:tcPr>
          <w:p>
            <w:pPr>
              <w:ind w:left="140"/>
              <w:spacing w:after="0" w:line="153" w:lineRule="exact"/>
              <w:rPr>
                <w:sz w:val="20"/>
                <w:szCs w:val="20"/>
                <w:color w:val="auto"/>
              </w:rPr>
            </w:pPr>
            <w:r>
              <w:rPr>
                <w:rFonts w:ascii="Arial" w:cs="Arial" w:eastAsia="Arial" w:hAnsi="Arial"/>
                <w:sz w:val="14"/>
                <w:szCs w:val="14"/>
                <w:b w:val="1"/>
                <w:bCs w:val="1"/>
                <w:color w:val="auto"/>
              </w:rPr>
              <w:t>January 1,</w:t>
            </w:r>
          </w:p>
        </w:tc>
        <w:tc>
          <w:tcPr>
            <w:tcW w:w="260" w:type="dxa"/>
            <w:vAlign w:val="bottom"/>
          </w:tcPr>
          <w:p>
            <w:pPr>
              <w:spacing w:after="0"/>
              <w:rPr>
                <w:sz w:val="13"/>
                <w:szCs w:val="13"/>
                <w:color w:val="auto"/>
              </w:rPr>
            </w:pPr>
          </w:p>
        </w:tc>
        <w:tc>
          <w:tcPr>
            <w:tcW w:w="1300" w:type="dxa"/>
            <w:vAlign w:val="bottom"/>
            <w:gridSpan w:val="2"/>
          </w:tcPr>
          <w:p>
            <w:pPr>
              <w:ind w:left="120"/>
              <w:spacing w:after="0" w:line="153" w:lineRule="exact"/>
              <w:rPr>
                <w:sz w:val="20"/>
                <w:szCs w:val="20"/>
                <w:color w:val="auto"/>
              </w:rPr>
            </w:pPr>
            <w:r>
              <w:rPr>
                <w:rFonts w:ascii="Arial" w:cs="Arial" w:eastAsia="Arial" w:hAnsi="Arial"/>
                <w:sz w:val="14"/>
                <w:szCs w:val="14"/>
                <w:b w:val="1"/>
                <w:bCs w:val="1"/>
                <w:color w:val="auto"/>
              </w:rPr>
              <w:t>January 2,</w:t>
            </w:r>
          </w:p>
        </w:tc>
        <w:tc>
          <w:tcPr>
            <w:tcW w:w="260" w:type="dxa"/>
            <w:vAlign w:val="bottom"/>
          </w:tcPr>
          <w:p>
            <w:pPr>
              <w:spacing w:after="0"/>
              <w:rPr>
                <w:sz w:val="13"/>
                <w:szCs w:val="13"/>
                <w:color w:val="auto"/>
              </w:rPr>
            </w:pPr>
          </w:p>
        </w:tc>
        <w:tc>
          <w:tcPr>
            <w:tcW w:w="1180" w:type="dxa"/>
            <w:vAlign w:val="bottom"/>
          </w:tcPr>
          <w:p>
            <w:pPr>
              <w:jc w:val="right"/>
              <w:ind w:right="316"/>
              <w:spacing w:after="0" w:line="153" w:lineRule="exact"/>
              <w:rPr>
                <w:sz w:val="20"/>
                <w:szCs w:val="20"/>
                <w:color w:val="auto"/>
              </w:rPr>
            </w:pPr>
            <w:r>
              <w:rPr>
                <w:rFonts w:ascii="Arial" w:cs="Arial" w:eastAsia="Arial" w:hAnsi="Arial"/>
                <w:sz w:val="14"/>
                <w:szCs w:val="14"/>
                <w:b w:val="1"/>
                <w:bCs w:val="1"/>
                <w:color w:val="auto"/>
              </w:rPr>
              <w:t>January 3,</w:t>
            </w:r>
          </w:p>
        </w:tc>
      </w:tr>
      <w:tr>
        <w:trPr>
          <w:trHeight w:val="192"/>
        </w:trPr>
        <w:tc>
          <w:tcPr>
            <w:tcW w:w="334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496"/>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498"/>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jc w:val="right"/>
              <w:ind w:right="496"/>
              <w:spacing w:after="0"/>
              <w:rPr>
                <w:sz w:val="20"/>
                <w:szCs w:val="20"/>
                <w:color w:val="auto"/>
              </w:rPr>
            </w:pPr>
            <w:r>
              <w:rPr>
                <w:rFonts w:ascii="Arial" w:cs="Arial" w:eastAsia="Arial" w:hAnsi="Arial"/>
                <w:sz w:val="14"/>
                <w:szCs w:val="14"/>
                <w:b w:val="1"/>
                <w:bCs w:val="1"/>
                <w:color w:val="auto"/>
              </w:rPr>
              <w:t>2014</w:t>
            </w:r>
          </w:p>
        </w:tc>
      </w:tr>
      <w:tr>
        <w:trPr>
          <w:trHeight w:val="250"/>
        </w:trPr>
        <w:tc>
          <w:tcPr>
            <w:tcW w:w="33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Sales</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1,445,689</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1,441,782</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677,657</w:t>
            </w:r>
          </w:p>
        </w:tc>
      </w:tr>
      <w:tr>
        <w:trPr>
          <w:trHeight w:val="243"/>
        </w:trPr>
        <w:tc>
          <w:tcPr>
            <w:tcW w:w="3340" w:type="dxa"/>
            <w:vAlign w:val="bottom"/>
          </w:tcPr>
          <w:p>
            <w:pPr>
              <w:ind w:left="20"/>
              <w:spacing w:after="0"/>
              <w:rPr>
                <w:sz w:val="20"/>
                <w:szCs w:val="20"/>
                <w:color w:val="auto"/>
              </w:rPr>
            </w:pPr>
            <w:r>
              <w:rPr>
                <w:rFonts w:ascii="Arial" w:cs="Arial" w:eastAsia="Arial" w:hAnsi="Arial"/>
                <w:sz w:val="18"/>
                <w:szCs w:val="18"/>
                <w:color w:val="auto"/>
              </w:rPr>
              <w:t>Net income (loss)</w:t>
            </w:r>
          </w:p>
        </w:tc>
        <w:tc>
          <w:tcPr>
            <w:tcW w:w="24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2,405</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(25,865)</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37,612</w:t>
            </w:r>
          </w:p>
        </w:tc>
      </w:tr>
      <w:tr>
        <w:trPr>
          <w:trHeight w:val="27"/>
        </w:trPr>
        <w:tc>
          <w:tcPr>
            <w:tcW w:w="33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50"/>
        </w:trPr>
        <w:tc>
          <w:tcPr>
            <w:tcW w:w="33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Earnings (loss) per share:</w:t>
            </w:r>
          </w:p>
        </w:tc>
        <w:tc>
          <w:tcPr>
            <w:tcW w:w="24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r>
      <w:tr>
        <w:trPr>
          <w:trHeight w:val="243"/>
        </w:trPr>
        <w:tc>
          <w:tcPr>
            <w:tcW w:w="3340" w:type="dxa"/>
            <w:vAlign w:val="bottom"/>
          </w:tcPr>
          <w:p>
            <w:pPr>
              <w:ind w:left="380"/>
              <w:spacing w:after="0"/>
              <w:rPr>
                <w:sz w:val="20"/>
                <w:szCs w:val="20"/>
                <w:color w:val="auto"/>
              </w:rPr>
            </w:pPr>
            <w:r>
              <w:rPr>
                <w:rFonts w:ascii="Arial" w:cs="Arial" w:eastAsia="Arial" w:hAnsi="Arial"/>
                <w:sz w:val="18"/>
                <w:szCs w:val="18"/>
                <w:color w:val="auto"/>
              </w:rPr>
              <w:t>Basic</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spacing w:after="0"/>
              <w:rPr>
                <w:sz w:val="20"/>
                <w:szCs w:val="20"/>
                <w:color w:val="auto"/>
              </w:rPr>
            </w:pPr>
            <w:r>
              <w:rPr>
                <w:rFonts w:ascii="Arial" w:cs="Arial" w:eastAsia="Arial" w:hAnsi="Arial"/>
                <w:sz w:val="18"/>
                <w:szCs w:val="18"/>
                <w:color w:val="auto"/>
              </w:rPr>
              <w:t>0.08</w:t>
            </w:r>
          </w:p>
        </w:tc>
        <w:tc>
          <w:tcPr>
            <w:tcW w:w="10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spacing w:after="0"/>
              <w:rPr>
                <w:sz w:val="20"/>
                <w:szCs w:val="20"/>
                <w:color w:val="auto"/>
              </w:rPr>
            </w:pPr>
            <w:r>
              <w:rPr>
                <w:rFonts w:ascii="Arial" w:cs="Arial" w:eastAsia="Arial" w:hAnsi="Arial"/>
                <w:sz w:val="18"/>
                <w:szCs w:val="18"/>
                <w:color w:val="auto"/>
              </w:rPr>
              <w:t>(0.87)</w:t>
            </w:r>
          </w:p>
        </w:tc>
        <w:tc>
          <w:tcPr>
            <w:tcW w:w="10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1.57</w:t>
            </w:r>
          </w:p>
        </w:tc>
      </w:tr>
      <w:tr>
        <w:trPr>
          <w:trHeight w:val="27"/>
        </w:trPr>
        <w:tc>
          <w:tcPr>
            <w:tcW w:w="33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43"/>
        </w:trPr>
        <w:tc>
          <w:tcPr>
            <w:tcW w:w="3340" w:type="dxa"/>
            <w:vAlign w:val="bottom"/>
            <w:shd w:val="clear" w:color="auto" w:fill="CCEEFF"/>
          </w:tcPr>
          <w:p>
            <w:pPr>
              <w:ind w:left="380"/>
              <w:spacing w:after="0"/>
              <w:rPr>
                <w:sz w:val="20"/>
                <w:szCs w:val="20"/>
                <w:color w:val="auto"/>
              </w:rPr>
            </w:pPr>
            <w:r>
              <w:rPr>
                <w:rFonts w:ascii="Arial" w:cs="Arial" w:eastAsia="Arial" w:hAnsi="Arial"/>
                <w:sz w:val="18"/>
                <w:szCs w:val="18"/>
                <w:color w:val="auto"/>
              </w:rPr>
              <w:t>Diluted</w:t>
            </w:r>
          </w:p>
        </w:tc>
        <w:tc>
          <w:tcPr>
            <w:tcW w:w="2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0.08</w:t>
            </w:r>
          </w:p>
        </w:tc>
        <w:tc>
          <w:tcPr>
            <w:tcW w:w="100" w:type="dxa"/>
            <w:vAlign w:val="bottom"/>
            <w:shd w:val="clear" w:color="auto" w:fill="CCEEFF"/>
          </w:tcPr>
          <w:p>
            <w:pPr>
              <w:spacing w:after="0"/>
              <w:rPr>
                <w:sz w:val="21"/>
                <w:szCs w:val="21"/>
                <w:color w:val="auto"/>
              </w:rPr>
            </w:pPr>
          </w:p>
        </w:tc>
        <w:tc>
          <w:tcPr>
            <w:tcW w:w="26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(0.87)</w:t>
            </w:r>
          </w:p>
        </w:tc>
        <w:tc>
          <w:tcPr>
            <w:tcW w:w="100" w:type="dxa"/>
            <w:vAlign w:val="bottom"/>
            <w:shd w:val="clear" w:color="auto" w:fill="CCEEFF"/>
          </w:tcPr>
          <w:p>
            <w:pPr>
              <w:spacing w:after="0"/>
              <w:rPr>
                <w:sz w:val="21"/>
                <w:szCs w:val="21"/>
                <w:color w:val="auto"/>
              </w:rPr>
            </w:pPr>
          </w:p>
        </w:tc>
        <w:tc>
          <w:tcPr>
            <w:tcW w:w="26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1.49</w:t>
            </w:r>
          </w:p>
        </w:tc>
      </w:tr>
      <w:tr>
        <w:trPr>
          <w:trHeight w:val="27"/>
        </w:trPr>
        <w:tc>
          <w:tcPr>
            <w:tcW w:w="3340" w:type="dxa"/>
            <w:vAlign w:val="bottom"/>
            <w:shd w:val="clear" w:color="auto" w:fill="CCEEFF"/>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12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12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1180" w:type="dxa"/>
            <w:vAlign w:val="bottom"/>
            <w:shd w:val="clear" w:color="auto" w:fill="CCEEFF"/>
          </w:tcPr>
          <w:p>
            <w:pPr>
              <w:spacing w:after="0"/>
              <w:rPr>
                <w:sz w:val="2"/>
                <w:szCs w:val="2"/>
                <w:color w:val="auto"/>
              </w:rPr>
            </w:pPr>
          </w:p>
        </w:tc>
      </w:tr>
    </w:tbl>
    <w:p>
      <w:pPr>
        <w:spacing w:after="0" w:line="202" w:lineRule="exact"/>
        <w:rPr>
          <w:sz w:val="20"/>
          <w:szCs w:val="20"/>
          <w:color w:val="auto"/>
        </w:rPr>
      </w:pPr>
    </w:p>
    <w:p>
      <w:pPr>
        <w:spacing w:after="0" w:line="269" w:lineRule="auto"/>
        <w:rPr>
          <w:sz w:val="20"/>
          <w:szCs w:val="20"/>
          <w:color w:val="auto"/>
        </w:rPr>
      </w:pPr>
      <w:r>
        <w:rPr>
          <w:rFonts w:ascii="Arial" w:cs="Arial" w:eastAsia="Arial" w:hAnsi="Arial"/>
          <w:sz w:val="17"/>
          <w:szCs w:val="17"/>
          <w:color w:val="auto"/>
        </w:rPr>
        <w:t>The unaudited pro forma information presents the combined operating results of Greatbatch, Lake Region Medical, and CCC, with the results prior to the acquisition date adjusted to include the pro forma impact of the amortization of acquired intangible assets, the adjustment to interest expense reflecting the amount borrowed in connection with the acquisitions at Greatbatch’s interest rate, and the impact of income taxes on the pro forma adjustments utilizing the applicable statutory tax rate. Fiscal year 2015 pro forma earnings were adjusted to exclude $32.3 million of acquisition-related costs (change-in-control payments, investment banking fees, professional fees), $9.5 million of debt related charges (commitment fees, swap termination fees, debt extinguishment fees) and $23.0 million of nonrecurring amortization expense related to the fair value step-up of inventory incurred in 2015 as a result of the acquisition of Lake Region Medical. Fiscal year 2014 supplemental pro forma earnings were adjusted to include these charges. The unaudited pro forma consolidated basic and diluted earnings (loss) per share calculations are based on the consolidated basic and diluted weighted average shares of Greatbatch. The unaudited pro forma results are presented for illustrative purposes only and do not reflect the realization of potential cost savings, and any related integration costs. Certain costs savings may result from the acquisition; however, there can be no assurance that these cost savings will be achieved. These pro forma results do not purport to be indicative of the results that would have been obtained, or to be a projection of results that may be obtained in the future.</w:t>
      </w:r>
    </w:p>
    <w:p>
      <w:pPr>
        <w:spacing w:after="0" w:line="315" w:lineRule="exact"/>
        <w:rPr>
          <w:sz w:val="20"/>
          <w:szCs w:val="20"/>
          <w:color w:val="auto"/>
        </w:rPr>
      </w:pPr>
    </w:p>
    <w:p>
      <w:pPr>
        <w:jc w:val="center"/>
        <w:ind w:right="360"/>
        <w:spacing w:after="0"/>
        <w:rPr>
          <w:sz w:val="20"/>
          <w:szCs w:val="20"/>
          <w:color w:val="auto"/>
        </w:rPr>
      </w:pPr>
      <w:r>
        <w:rPr>
          <w:rFonts w:ascii="Arial" w:cs="Arial" w:eastAsia="Arial" w:hAnsi="Arial"/>
          <w:sz w:val="18"/>
          <w:szCs w:val="18"/>
          <w:color w:val="auto"/>
        </w:rPr>
        <w:t>- 82 -</w:t>
      </w:r>
    </w:p>
    <w:p>
      <w:pPr>
        <w:sectPr>
          <w:pgSz w:w="11900" w:h="16838" w:orient="portrait"/>
          <w:cols w:equalWidth="0" w:num="1">
            <w:col w:w="10960"/>
          </w:cols>
          <w:pgMar w:left="660" w:top="337" w:right="279" w:bottom="1440" w:gutter="0" w:footer="0" w:header="0"/>
        </w:sectPr>
      </w:pPr>
    </w:p>
    <w:bookmarkStart w:id="83" w:name="page84"/>
    <w:bookmarkEnd w:id="83"/>
    <w:p>
      <w:pPr>
        <w:jc w:val="center"/>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40"/>
        <w:spacing w:after="0"/>
        <w:tabs>
          <w:tab w:leader="none" w:pos="380" w:val="left"/>
        </w:tabs>
        <w:rPr>
          <w:sz w:val="20"/>
          <w:szCs w:val="20"/>
          <w:color w:val="auto"/>
        </w:rPr>
      </w:pPr>
      <w:r>
        <w:rPr>
          <w:rFonts w:ascii="Arial" w:cs="Arial" w:eastAsia="Arial" w:hAnsi="Arial"/>
          <w:sz w:val="18"/>
          <w:szCs w:val="18"/>
          <w:b w:val="1"/>
          <w:bCs w:val="1"/>
          <w:color w:val="auto"/>
        </w:rPr>
        <w:t>3.</w:t>
        <w:tab/>
        <w:t>SUPPLEMENTAL CASH FLOW INFORMATION</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74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gridSpan w:val="2"/>
          </w:tcPr>
          <w:p>
            <w:pPr>
              <w:jc w:val="center"/>
              <w:ind w:right="360"/>
              <w:spacing w:after="0"/>
              <w:rPr>
                <w:sz w:val="20"/>
                <w:szCs w:val="20"/>
                <w:color w:val="auto"/>
              </w:rPr>
            </w:pPr>
            <w:r>
              <w:rPr>
                <w:rFonts w:ascii="Arial" w:cs="Arial" w:eastAsia="Arial" w:hAnsi="Arial"/>
                <w:sz w:val="14"/>
                <w:szCs w:val="14"/>
                <w:b w:val="1"/>
                <w:bCs w:val="1"/>
                <w:color w:val="auto"/>
                <w:w w:val="93"/>
              </w:rPr>
              <w:t>Year Ended</w:t>
            </w:r>
          </w:p>
        </w:tc>
        <w:tc>
          <w:tcPr>
            <w:tcW w:w="26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spacing w:after="0"/>
              <w:rPr>
                <w:sz w:val="16"/>
                <w:szCs w:val="16"/>
                <w:color w:val="auto"/>
              </w:rPr>
            </w:pPr>
          </w:p>
        </w:tc>
      </w:tr>
      <w:tr>
        <w:trPr>
          <w:trHeight w:val="152"/>
        </w:trPr>
        <w:tc>
          <w:tcPr>
            <w:tcW w:w="67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340" w:type="dxa"/>
            <w:vAlign w:val="bottom"/>
            <w:gridSpan w:val="2"/>
          </w:tcPr>
          <w:p>
            <w:pPr>
              <w:ind w:left="140"/>
              <w:spacing w:after="0" w:line="153" w:lineRule="exact"/>
              <w:rPr>
                <w:sz w:val="20"/>
                <w:szCs w:val="20"/>
                <w:color w:val="auto"/>
              </w:rPr>
            </w:pPr>
            <w:r>
              <w:rPr>
                <w:rFonts w:ascii="Arial" w:cs="Arial" w:eastAsia="Arial" w:hAnsi="Arial"/>
                <w:sz w:val="14"/>
                <w:szCs w:val="14"/>
                <w:b w:val="1"/>
                <w:bCs w:val="1"/>
                <w:color w:val="auto"/>
              </w:rPr>
              <w:t>January 1,</w:t>
            </w:r>
          </w:p>
        </w:tc>
        <w:tc>
          <w:tcPr>
            <w:tcW w:w="260" w:type="dxa"/>
            <w:vAlign w:val="bottom"/>
          </w:tcPr>
          <w:p>
            <w:pPr>
              <w:spacing w:after="0"/>
              <w:rPr>
                <w:sz w:val="13"/>
                <w:szCs w:val="13"/>
                <w:color w:val="auto"/>
              </w:rPr>
            </w:pPr>
          </w:p>
        </w:tc>
        <w:tc>
          <w:tcPr>
            <w:tcW w:w="1320" w:type="dxa"/>
            <w:vAlign w:val="bottom"/>
            <w:gridSpan w:val="2"/>
          </w:tcPr>
          <w:p>
            <w:pPr>
              <w:jc w:val="center"/>
              <w:ind w:right="380"/>
              <w:spacing w:after="0" w:line="153" w:lineRule="exact"/>
              <w:rPr>
                <w:sz w:val="20"/>
                <w:szCs w:val="20"/>
                <w:color w:val="auto"/>
              </w:rPr>
            </w:pPr>
            <w:r>
              <w:rPr>
                <w:rFonts w:ascii="Arial" w:cs="Arial" w:eastAsia="Arial" w:hAnsi="Arial"/>
                <w:sz w:val="14"/>
                <w:szCs w:val="14"/>
                <w:b w:val="1"/>
                <w:bCs w:val="1"/>
                <w:color w:val="auto"/>
                <w:w w:val="95"/>
              </w:rPr>
              <w:t>January 2,</w:t>
            </w:r>
          </w:p>
        </w:tc>
        <w:tc>
          <w:tcPr>
            <w:tcW w:w="260" w:type="dxa"/>
            <w:vAlign w:val="bottom"/>
          </w:tcPr>
          <w:p>
            <w:pPr>
              <w:spacing w:after="0"/>
              <w:rPr>
                <w:sz w:val="13"/>
                <w:szCs w:val="13"/>
                <w:color w:val="auto"/>
              </w:rPr>
            </w:pPr>
          </w:p>
        </w:tc>
        <w:tc>
          <w:tcPr>
            <w:tcW w:w="1220" w:type="dxa"/>
            <w:vAlign w:val="bottom"/>
          </w:tcPr>
          <w:p>
            <w:pPr>
              <w:jc w:val="right"/>
              <w:ind w:right="333"/>
              <w:spacing w:after="0" w:line="153" w:lineRule="exact"/>
              <w:rPr>
                <w:sz w:val="20"/>
                <w:szCs w:val="20"/>
                <w:color w:val="auto"/>
              </w:rPr>
            </w:pPr>
            <w:r>
              <w:rPr>
                <w:rFonts w:ascii="Arial" w:cs="Arial" w:eastAsia="Arial" w:hAnsi="Arial"/>
                <w:sz w:val="14"/>
                <w:szCs w:val="14"/>
                <w:b w:val="1"/>
                <w:bCs w:val="1"/>
                <w:color w:val="auto"/>
              </w:rPr>
              <w:t>January 3,</w:t>
            </w:r>
          </w:p>
        </w:tc>
      </w:tr>
      <w:tr>
        <w:trPr>
          <w:trHeight w:val="192"/>
        </w:trPr>
        <w:tc>
          <w:tcPr>
            <w:tcW w:w="674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tcPr>
          <w:p>
            <w:pPr>
              <w:jc w:val="right"/>
              <w:ind w:right="533"/>
              <w:spacing w:after="0"/>
              <w:rPr>
                <w:sz w:val="20"/>
                <w:szCs w:val="20"/>
                <w:color w:val="auto"/>
              </w:rPr>
            </w:pPr>
            <w:r>
              <w:rPr>
                <w:rFonts w:ascii="Arial" w:cs="Arial" w:eastAsia="Arial" w:hAnsi="Arial"/>
                <w:sz w:val="14"/>
                <w:szCs w:val="14"/>
                <w:b w:val="1"/>
                <w:bCs w:val="1"/>
                <w:color w:val="auto"/>
              </w:rPr>
              <w:t>2016</w:t>
            </w:r>
          </w:p>
        </w:tc>
        <w:tc>
          <w:tcPr>
            <w:tcW w:w="10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jc w:val="center"/>
              <w:ind w:right="174"/>
              <w:spacing w:after="0"/>
              <w:rPr>
                <w:sz w:val="20"/>
                <w:szCs w:val="20"/>
                <w:color w:val="auto"/>
              </w:rPr>
            </w:pPr>
            <w:r>
              <w:rPr>
                <w:rFonts w:ascii="Arial" w:cs="Arial" w:eastAsia="Arial" w:hAnsi="Arial"/>
                <w:sz w:val="14"/>
                <w:szCs w:val="14"/>
                <w:b w:val="1"/>
                <w:bCs w:val="1"/>
                <w:color w:val="auto"/>
                <w:w w:val="89"/>
              </w:rPr>
              <w:t>2015</w:t>
            </w:r>
          </w:p>
        </w:tc>
        <w:tc>
          <w:tcPr>
            <w:tcW w:w="10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2014</w:t>
            </w:r>
          </w:p>
        </w:tc>
      </w:tr>
      <w:tr>
        <w:trPr>
          <w:trHeight w:val="264"/>
        </w:trPr>
        <w:tc>
          <w:tcPr>
            <w:tcW w:w="6740" w:type="dxa"/>
            <w:vAlign w:val="bottom"/>
          </w:tcPr>
          <w:p>
            <w:pPr>
              <w:ind w:left="40"/>
              <w:spacing w:after="0"/>
              <w:rPr>
                <w:sz w:val="20"/>
                <w:szCs w:val="20"/>
                <w:color w:val="auto"/>
              </w:rPr>
            </w:pPr>
            <w:r>
              <w:rPr>
                <w:rFonts w:ascii="Arial" w:cs="Arial" w:eastAsia="Arial" w:hAnsi="Arial"/>
                <w:sz w:val="14"/>
                <w:szCs w:val="14"/>
                <w:b w:val="1"/>
                <w:bCs w:val="1"/>
                <w:color w:val="auto"/>
              </w:rPr>
              <w:t>(in thousands)</w:t>
            </w:r>
          </w:p>
        </w:tc>
        <w:tc>
          <w:tcPr>
            <w:tcW w:w="28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220" w:type="dxa"/>
            <w:vAlign w:val="bottom"/>
          </w:tcPr>
          <w:p>
            <w:pPr>
              <w:spacing w:after="0"/>
              <w:rPr>
                <w:sz w:val="22"/>
                <w:szCs w:val="22"/>
                <w:color w:val="auto"/>
              </w:rPr>
            </w:pPr>
          </w:p>
        </w:tc>
      </w:tr>
      <w:tr>
        <w:trPr>
          <w:trHeight w:val="256"/>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Noncash investing and financing activities:</w:t>
            </w:r>
          </w:p>
        </w:tc>
        <w:tc>
          <w:tcPr>
            <w:tcW w:w="280" w:type="dxa"/>
            <w:vAlign w:val="bottom"/>
            <w:tcBorders>
              <w:bottom w:val="single" w:sz="8" w:color="CCEEFF"/>
            </w:tcBorders>
            <w:shd w:val="clear" w:color="auto" w:fill="CCEEFF"/>
          </w:tcPr>
          <w:p>
            <w:pPr>
              <w:spacing w:after="0"/>
              <w:rPr>
                <w:sz w:val="22"/>
                <w:szCs w:val="22"/>
                <w:color w:val="auto"/>
              </w:rPr>
            </w:pPr>
          </w:p>
        </w:tc>
        <w:tc>
          <w:tcPr>
            <w:tcW w:w="124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spacing w:after="0"/>
              <w:rPr>
                <w:sz w:val="22"/>
                <w:szCs w:val="22"/>
                <w:color w:val="auto"/>
              </w:rPr>
            </w:pPr>
          </w:p>
        </w:tc>
      </w:tr>
      <w:tr>
        <w:trPr>
          <w:trHeight w:val="243"/>
        </w:trPr>
        <w:tc>
          <w:tcPr>
            <w:tcW w:w="6740" w:type="dxa"/>
            <w:vAlign w:val="bottom"/>
          </w:tcPr>
          <w:p>
            <w:pPr>
              <w:ind w:left="380"/>
              <w:spacing w:after="0"/>
              <w:rPr>
                <w:sz w:val="20"/>
                <w:szCs w:val="20"/>
                <w:color w:val="auto"/>
              </w:rPr>
            </w:pPr>
            <w:r>
              <w:rPr>
                <w:rFonts w:ascii="Arial" w:cs="Arial" w:eastAsia="Arial" w:hAnsi="Arial"/>
                <w:sz w:val="18"/>
                <w:szCs w:val="18"/>
                <w:color w:val="auto"/>
              </w:rPr>
              <w:t>Common stock contributed to 401(k) Plan</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240" w:type="dxa"/>
            <w:vAlign w:val="bottom"/>
          </w:tcPr>
          <w:p>
            <w:pPr>
              <w:jc w:val="right"/>
              <w:ind w:right="33"/>
              <w:spacing w:after="0"/>
              <w:rPr>
                <w:sz w:val="20"/>
                <w:szCs w:val="20"/>
                <w:color w:val="auto"/>
              </w:rPr>
            </w:pPr>
            <w:r>
              <w:rPr>
                <w:rFonts w:ascii="Arial" w:cs="Arial" w:eastAsia="Arial" w:hAnsi="Arial"/>
                <w:sz w:val="18"/>
                <w:szCs w:val="18"/>
                <w:color w:val="auto"/>
              </w:rPr>
              <w:t>3,920</w:t>
            </w:r>
          </w:p>
        </w:tc>
        <w:tc>
          <w:tcPr>
            <w:tcW w:w="10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Pr>
          <w:p>
            <w:pPr>
              <w:jc w:val="right"/>
              <w:ind w:right="14"/>
              <w:spacing w:after="0"/>
              <w:rPr>
                <w:sz w:val="20"/>
                <w:szCs w:val="20"/>
                <w:color w:val="auto"/>
              </w:rPr>
            </w:pPr>
            <w:r>
              <w:rPr>
                <w:rFonts w:ascii="Arial" w:cs="Arial" w:eastAsia="Arial" w:hAnsi="Arial"/>
                <w:sz w:val="18"/>
                <w:szCs w:val="18"/>
                <w:color w:val="auto"/>
              </w:rPr>
              <w:t>4,341</w:t>
            </w:r>
          </w:p>
        </w:tc>
        <w:tc>
          <w:tcPr>
            <w:tcW w:w="10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Pr>
          <w:p>
            <w:pPr>
              <w:jc w:val="right"/>
              <w:ind w:right="13"/>
              <w:spacing w:after="0"/>
              <w:rPr>
                <w:sz w:val="20"/>
                <w:szCs w:val="20"/>
                <w:color w:val="auto"/>
              </w:rPr>
            </w:pPr>
            <w:r>
              <w:rPr>
                <w:rFonts w:ascii="Arial" w:cs="Arial" w:eastAsia="Arial" w:hAnsi="Arial"/>
                <w:sz w:val="18"/>
                <w:szCs w:val="18"/>
                <w:color w:val="auto"/>
              </w:rPr>
              <w:t>2,477</w:t>
            </w:r>
          </w:p>
        </w:tc>
      </w:tr>
      <w:tr>
        <w:trPr>
          <w:trHeight w:val="27"/>
        </w:trPr>
        <w:tc>
          <w:tcPr>
            <w:tcW w:w="67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Property, plant and equipment purchases included in accounts payable</w:t>
            </w:r>
          </w:p>
        </w:tc>
        <w:tc>
          <w:tcPr>
            <w:tcW w:w="2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7,401</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2,926</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2,103</w:t>
            </w:r>
          </w:p>
        </w:tc>
      </w:tr>
      <w:tr>
        <w:trPr>
          <w:trHeight w:val="243"/>
        </w:trPr>
        <w:tc>
          <w:tcPr>
            <w:tcW w:w="6740" w:type="dxa"/>
            <w:vAlign w:val="bottom"/>
          </w:tcPr>
          <w:p>
            <w:pPr>
              <w:ind w:left="380"/>
              <w:spacing w:after="0"/>
              <w:rPr>
                <w:sz w:val="20"/>
                <w:szCs w:val="20"/>
                <w:color w:val="auto"/>
              </w:rPr>
            </w:pPr>
            <w:r>
              <w:rPr>
                <w:rFonts w:ascii="Arial" w:cs="Arial" w:eastAsia="Arial" w:hAnsi="Arial"/>
                <w:sz w:val="18"/>
                <w:szCs w:val="18"/>
                <w:color w:val="auto"/>
              </w:rPr>
              <w:t>Common stock issued in connection with Lake Region Medical acquisition</w:t>
            </w:r>
          </w:p>
        </w:tc>
        <w:tc>
          <w:tcPr>
            <w:tcW w:w="280" w:type="dxa"/>
            <w:vAlign w:val="bottom"/>
          </w:tcPr>
          <w:p>
            <w:pPr>
              <w:spacing w:after="0"/>
              <w:rPr>
                <w:sz w:val="21"/>
                <w:szCs w:val="21"/>
                <w:color w:val="auto"/>
              </w:rPr>
            </w:pPr>
          </w:p>
        </w:tc>
        <w:tc>
          <w:tcPr>
            <w:tcW w:w="1240" w:type="dxa"/>
            <w:vAlign w:val="bottom"/>
          </w:tcPr>
          <w:p>
            <w:pPr>
              <w:jc w:val="right"/>
              <w:ind w:right="33"/>
              <w:spacing w:after="0"/>
              <w:rPr>
                <w:sz w:val="20"/>
                <w:szCs w:val="20"/>
                <w:color w:val="auto"/>
              </w:rPr>
            </w:pPr>
            <w:r>
              <w:rPr>
                <w:rFonts w:ascii="Arial" w:cs="Arial" w:eastAsia="Arial" w:hAnsi="Arial"/>
                <w:sz w:val="18"/>
                <w:szCs w:val="18"/>
                <w:color w:val="auto"/>
              </w:rPr>
              <w:t>245,368</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1220" w:type="dxa"/>
            <w:vAlign w:val="bottom"/>
          </w:tcPr>
          <w:p>
            <w:pPr>
              <w:jc w:val="right"/>
              <w:ind w:right="13"/>
              <w:spacing w:after="0"/>
              <w:rPr>
                <w:sz w:val="20"/>
                <w:szCs w:val="20"/>
                <w:color w:val="auto"/>
              </w:rPr>
            </w:pPr>
            <w:r>
              <w:rPr>
                <w:rFonts w:ascii="Arial" w:cs="Arial" w:eastAsia="Arial" w:hAnsi="Arial"/>
                <w:sz w:val="18"/>
                <w:szCs w:val="18"/>
                <w:color w:val="auto"/>
              </w:rPr>
              <w:t>—</w:t>
            </w:r>
          </w:p>
        </w:tc>
      </w:tr>
      <w:tr>
        <w:trPr>
          <w:trHeight w:val="27"/>
        </w:trPr>
        <w:tc>
          <w:tcPr>
            <w:tcW w:w="67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w w:val="92"/>
              </w:rPr>
              <w:t>Replacement stock options issued in connection with Lake Region Medical acquisition</w:t>
            </w:r>
          </w:p>
        </w:tc>
        <w:tc>
          <w:tcPr>
            <w:tcW w:w="2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4,508</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w:t>
            </w:r>
          </w:p>
        </w:tc>
      </w:tr>
      <w:tr>
        <w:trPr>
          <w:trHeight w:val="243"/>
        </w:trPr>
        <w:tc>
          <w:tcPr>
            <w:tcW w:w="6740" w:type="dxa"/>
            <w:vAlign w:val="bottom"/>
          </w:tcPr>
          <w:p>
            <w:pPr>
              <w:ind w:left="380"/>
              <w:spacing w:after="0"/>
              <w:rPr>
                <w:sz w:val="20"/>
                <w:szCs w:val="20"/>
                <w:color w:val="auto"/>
              </w:rPr>
            </w:pPr>
            <w:r>
              <w:rPr>
                <w:rFonts w:ascii="Arial" w:cs="Arial" w:eastAsia="Arial" w:hAnsi="Arial"/>
                <w:sz w:val="18"/>
                <w:szCs w:val="18"/>
                <w:color w:val="auto"/>
                <w:w w:val="97"/>
              </w:rPr>
              <w:t>Purchase of non-controlling interests in subsidiaries included in accrued expenses</w:t>
            </w:r>
          </w:p>
        </w:tc>
        <w:tc>
          <w:tcPr>
            <w:tcW w:w="280" w:type="dxa"/>
            <w:vAlign w:val="bottom"/>
          </w:tcPr>
          <w:p>
            <w:pPr>
              <w:spacing w:after="0"/>
              <w:rPr>
                <w:sz w:val="21"/>
                <w:szCs w:val="21"/>
                <w:color w:val="auto"/>
              </w:rPr>
            </w:pPr>
          </w:p>
        </w:tc>
        <w:tc>
          <w:tcPr>
            <w:tcW w:w="1240" w:type="dxa"/>
            <w:vAlign w:val="bottom"/>
          </w:tcPr>
          <w:p>
            <w:pPr>
              <w:jc w:val="right"/>
              <w:ind w:right="33"/>
              <w:spacing w:after="0"/>
              <w:rPr>
                <w:sz w:val="20"/>
                <w:szCs w:val="20"/>
                <w:color w:val="auto"/>
              </w:rPr>
            </w:pPr>
            <w:r>
              <w:rPr>
                <w:rFonts w:ascii="Arial" w:cs="Arial" w:eastAsia="Arial" w:hAnsi="Arial"/>
                <w:sz w:val="18"/>
                <w:szCs w:val="18"/>
                <w:color w:val="auto"/>
              </w:rPr>
              <w:t>6,818</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1220" w:type="dxa"/>
            <w:vAlign w:val="bottom"/>
          </w:tcPr>
          <w:p>
            <w:pPr>
              <w:jc w:val="right"/>
              <w:ind w:right="13"/>
              <w:spacing w:after="0"/>
              <w:rPr>
                <w:sz w:val="20"/>
                <w:szCs w:val="20"/>
                <w:color w:val="auto"/>
              </w:rPr>
            </w:pPr>
            <w:r>
              <w:rPr>
                <w:rFonts w:ascii="Arial" w:cs="Arial" w:eastAsia="Arial" w:hAnsi="Arial"/>
                <w:sz w:val="18"/>
                <w:szCs w:val="18"/>
                <w:color w:val="auto"/>
              </w:rPr>
              <w:t>—</w:t>
            </w:r>
          </w:p>
        </w:tc>
      </w:tr>
      <w:tr>
        <w:trPr>
          <w:trHeight w:val="27"/>
        </w:trPr>
        <w:tc>
          <w:tcPr>
            <w:tcW w:w="67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paid during the year for:</w:t>
            </w:r>
          </w:p>
        </w:tc>
        <w:tc>
          <w:tcPr>
            <w:tcW w:w="2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r>
      <w:tr>
        <w:trPr>
          <w:trHeight w:val="243"/>
        </w:trPr>
        <w:tc>
          <w:tcPr>
            <w:tcW w:w="6740" w:type="dxa"/>
            <w:vAlign w:val="bottom"/>
          </w:tcPr>
          <w:p>
            <w:pPr>
              <w:ind w:left="380"/>
              <w:spacing w:after="0"/>
              <w:rPr>
                <w:sz w:val="20"/>
                <w:szCs w:val="20"/>
                <w:color w:val="auto"/>
              </w:rPr>
            </w:pPr>
            <w:r>
              <w:rPr>
                <w:rFonts w:ascii="Arial" w:cs="Arial" w:eastAsia="Arial" w:hAnsi="Arial"/>
                <w:sz w:val="18"/>
                <w:szCs w:val="18"/>
                <w:color w:val="auto"/>
              </w:rPr>
              <w:t>Interest</w:t>
            </w:r>
          </w:p>
        </w:tc>
        <w:tc>
          <w:tcPr>
            <w:tcW w:w="280" w:type="dxa"/>
            <w:vAlign w:val="bottom"/>
          </w:tcPr>
          <w:p>
            <w:pPr>
              <w:spacing w:after="0"/>
              <w:rPr>
                <w:sz w:val="21"/>
                <w:szCs w:val="21"/>
                <w:color w:val="auto"/>
              </w:rPr>
            </w:pPr>
          </w:p>
        </w:tc>
        <w:tc>
          <w:tcPr>
            <w:tcW w:w="1240" w:type="dxa"/>
            <w:vAlign w:val="bottom"/>
          </w:tcPr>
          <w:p>
            <w:pPr>
              <w:jc w:val="right"/>
              <w:ind w:right="33"/>
              <w:spacing w:after="0"/>
              <w:rPr>
                <w:sz w:val="20"/>
                <w:szCs w:val="20"/>
                <w:color w:val="auto"/>
              </w:rPr>
            </w:pPr>
            <w:r>
              <w:rPr>
                <w:rFonts w:ascii="Arial" w:cs="Arial" w:eastAsia="Arial" w:hAnsi="Arial"/>
                <w:sz w:val="18"/>
                <w:szCs w:val="18"/>
                <w:color w:val="auto"/>
              </w:rPr>
              <w:t>13,057</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14"/>
              <w:spacing w:after="0"/>
              <w:rPr>
                <w:sz w:val="20"/>
                <w:szCs w:val="20"/>
                <w:color w:val="auto"/>
              </w:rPr>
            </w:pPr>
            <w:r>
              <w:rPr>
                <w:rFonts w:ascii="Arial" w:cs="Arial" w:eastAsia="Arial" w:hAnsi="Arial"/>
                <w:sz w:val="18"/>
                <w:szCs w:val="18"/>
                <w:color w:val="auto"/>
              </w:rPr>
              <w:t>3,521</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13"/>
              <w:spacing w:after="0"/>
              <w:rPr>
                <w:sz w:val="20"/>
                <w:szCs w:val="20"/>
                <w:color w:val="auto"/>
              </w:rPr>
            </w:pPr>
            <w:r>
              <w:rPr>
                <w:rFonts w:ascii="Arial" w:cs="Arial" w:eastAsia="Arial" w:hAnsi="Arial"/>
                <w:sz w:val="18"/>
                <w:szCs w:val="18"/>
                <w:color w:val="auto"/>
              </w:rPr>
              <w:t>4,989</w:t>
            </w:r>
          </w:p>
        </w:tc>
      </w:tr>
      <w:tr>
        <w:trPr>
          <w:trHeight w:val="27"/>
        </w:trPr>
        <w:tc>
          <w:tcPr>
            <w:tcW w:w="67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Income taxes</w:t>
            </w:r>
          </w:p>
        </w:tc>
        <w:tc>
          <w:tcPr>
            <w:tcW w:w="2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6,312</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13,565</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44,165</w:t>
            </w: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Acquisition of noncash assets</w:t>
            </w:r>
          </w:p>
        </w:tc>
        <w:tc>
          <w:tcPr>
            <w:tcW w:w="280" w:type="dxa"/>
            <w:vAlign w:val="bottom"/>
          </w:tcPr>
          <w:p>
            <w:pPr>
              <w:spacing w:after="0"/>
              <w:rPr>
                <w:sz w:val="21"/>
                <w:szCs w:val="21"/>
                <w:color w:val="auto"/>
              </w:rPr>
            </w:pPr>
          </w:p>
        </w:tc>
        <w:tc>
          <w:tcPr>
            <w:tcW w:w="1240" w:type="dxa"/>
            <w:vAlign w:val="bottom"/>
          </w:tcPr>
          <w:p>
            <w:pPr>
              <w:jc w:val="right"/>
              <w:ind w:right="33"/>
              <w:spacing w:after="0"/>
              <w:rPr>
                <w:sz w:val="20"/>
                <w:szCs w:val="20"/>
                <w:color w:val="auto"/>
              </w:rPr>
            </w:pPr>
            <w:r>
              <w:rPr>
                <w:rFonts w:ascii="Arial" w:cs="Arial" w:eastAsia="Arial" w:hAnsi="Arial"/>
                <w:sz w:val="18"/>
                <w:szCs w:val="18"/>
                <w:color w:val="auto"/>
              </w:rPr>
              <w:t>2,013,604</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14"/>
              <w:spacing w:after="0"/>
              <w:rPr>
                <w:sz w:val="20"/>
                <w:szCs w:val="20"/>
                <w:color w:val="auto"/>
              </w:rPr>
            </w:pPr>
            <w:r>
              <w:rPr>
                <w:rFonts w:ascii="Arial" w:cs="Arial" w:eastAsia="Arial" w:hAnsi="Arial"/>
                <w:sz w:val="18"/>
                <w:szCs w:val="18"/>
                <w:color w:val="auto"/>
              </w:rPr>
              <w:t>22,434</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13"/>
              <w:spacing w:after="0"/>
              <w:rPr>
                <w:sz w:val="20"/>
                <w:szCs w:val="20"/>
                <w:color w:val="auto"/>
              </w:rPr>
            </w:pPr>
            <w:r>
              <w:rPr>
                <w:rFonts w:ascii="Arial" w:cs="Arial" w:eastAsia="Arial" w:hAnsi="Arial"/>
                <w:sz w:val="18"/>
                <w:szCs w:val="18"/>
                <w:color w:val="auto"/>
              </w:rPr>
              <w:t>—</w:t>
            </w:r>
          </w:p>
        </w:tc>
      </w:tr>
      <w:tr>
        <w:trPr>
          <w:trHeight w:val="27"/>
        </w:trPr>
        <w:tc>
          <w:tcPr>
            <w:tcW w:w="67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43"/>
        </w:trPr>
        <w:tc>
          <w:tcPr>
            <w:tcW w:w="6740" w:type="dxa"/>
            <w:vAlign w:val="bottom"/>
            <w:shd w:val="clear" w:color="auto" w:fill="CCEEFF"/>
          </w:tcPr>
          <w:p>
            <w:pPr>
              <w:ind w:left="40"/>
              <w:spacing w:after="0"/>
              <w:rPr>
                <w:sz w:val="20"/>
                <w:szCs w:val="20"/>
                <w:color w:val="auto"/>
              </w:rPr>
            </w:pPr>
            <w:r>
              <w:rPr>
                <w:rFonts w:ascii="Arial" w:cs="Arial" w:eastAsia="Arial" w:hAnsi="Arial"/>
                <w:sz w:val="18"/>
                <w:szCs w:val="18"/>
                <w:color w:val="auto"/>
              </w:rPr>
              <w:t>Liabilities assumed</w:t>
            </w:r>
          </w:p>
        </w:tc>
        <w:tc>
          <w:tcPr>
            <w:tcW w:w="280" w:type="dxa"/>
            <w:vAlign w:val="bottom"/>
            <w:shd w:val="clear" w:color="auto" w:fill="CCEEFF"/>
          </w:tcPr>
          <w:p>
            <w:pPr>
              <w:spacing w:after="0"/>
              <w:rPr>
                <w:sz w:val="21"/>
                <w:szCs w:val="21"/>
                <w:color w:val="auto"/>
              </w:rPr>
            </w:pPr>
          </w:p>
        </w:tc>
        <w:tc>
          <w:tcPr>
            <w:tcW w:w="1240" w:type="dxa"/>
            <w:vAlign w:val="bottom"/>
            <w:shd w:val="clear" w:color="auto" w:fill="CCEEFF"/>
          </w:tcPr>
          <w:p>
            <w:pPr>
              <w:jc w:val="right"/>
              <w:ind w:right="33"/>
              <w:spacing w:after="0"/>
              <w:rPr>
                <w:sz w:val="20"/>
                <w:szCs w:val="20"/>
                <w:color w:val="auto"/>
              </w:rPr>
            </w:pPr>
            <w:r>
              <w:rPr>
                <w:rFonts w:ascii="Arial" w:cs="Arial" w:eastAsia="Arial" w:hAnsi="Arial"/>
                <w:sz w:val="18"/>
                <w:szCs w:val="18"/>
                <w:color w:val="auto"/>
              </w:rPr>
              <w:t>1,340,339</w:t>
            </w:r>
          </w:p>
        </w:tc>
        <w:tc>
          <w:tcPr>
            <w:tcW w:w="100" w:type="dxa"/>
            <w:vAlign w:val="bottom"/>
            <w:shd w:val="clear" w:color="auto" w:fill="CCEEFF"/>
          </w:tcPr>
          <w:p>
            <w:pPr>
              <w:spacing w:after="0"/>
              <w:rPr>
                <w:sz w:val="21"/>
                <w:szCs w:val="21"/>
                <w:color w:val="auto"/>
              </w:rPr>
            </w:pPr>
          </w:p>
        </w:tc>
        <w:tc>
          <w:tcPr>
            <w:tcW w:w="260" w:type="dxa"/>
            <w:vAlign w:val="bottom"/>
            <w:shd w:val="clear" w:color="auto" w:fill="CCEEFF"/>
          </w:tcPr>
          <w:p>
            <w:pPr>
              <w:spacing w:after="0"/>
              <w:rPr>
                <w:sz w:val="21"/>
                <w:szCs w:val="21"/>
                <w:color w:val="auto"/>
              </w:rPr>
            </w:pPr>
          </w:p>
        </w:tc>
        <w:tc>
          <w:tcPr>
            <w:tcW w:w="122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6,432</w:t>
            </w:r>
          </w:p>
        </w:tc>
        <w:tc>
          <w:tcPr>
            <w:tcW w:w="100" w:type="dxa"/>
            <w:vAlign w:val="bottom"/>
            <w:shd w:val="clear" w:color="auto" w:fill="CCEEFF"/>
          </w:tcPr>
          <w:p>
            <w:pPr>
              <w:spacing w:after="0"/>
              <w:rPr>
                <w:sz w:val="21"/>
                <w:szCs w:val="21"/>
                <w:color w:val="auto"/>
              </w:rPr>
            </w:pPr>
          </w:p>
        </w:tc>
        <w:tc>
          <w:tcPr>
            <w:tcW w:w="260" w:type="dxa"/>
            <w:vAlign w:val="bottom"/>
            <w:shd w:val="clear" w:color="auto" w:fill="CCEEFF"/>
          </w:tcPr>
          <w:p>
            <w:pPr>
              <w:spacing w:after="0"/>
              <w:rPr>
                <w:sz w:val="21"/>
                <w:szCs w:val="21"/>
                <w:color w:val="auto"/>
              </w:rPr>
            </w:pPr>
          </w:p>
        </w:tc>
        <w:tc>
          <w:tcPr>
            <w:tcW w:w="122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w:t>
            </w:r>
          </w:p>
        </w:tc>
      </w:tr>
      <w:tr>
        <w:trPr>
          <w:trHeight w:val="27"/>
        </w:trPr>
        <w:tc>
          <w:tcPr>
            <w:tcW w:w="6740" w:type="dxa"/>
            <w:vAlign w:val="bottom"/>
            <w:shd w:val="clear" w:color="auto" w:fill="CCEEFF"/>
          </w:tcPr>
          <w:p>
            <w:pPr>
              <w:spacing w:after="0"/>
              <w:rPr>
                <w:sz w:val="2"/>
                <w:szCs w:val="2"/>
                <w:color w:val="auto"/>
              </w:rPr>
            </w:pPr>
          </w:p>
        </w:tc>
        <w:tc>
          <w:tcPr>
            <w:tcW w:w="280" w:type="dxa"/>
            <w:vAlign w:val="bottom"/>
            <w:shd w:val="clear" w:color="auto" w:fill="CCEEFF"/>
          </w:tcPr>
          <w:p>
            <w:pPr>
              <w:spacing w:after="0"/>
              <w:rPr>
                <w:sz w:val="2"/>
                <w:szCs w:val="2"/>
                <w:color w:val="auto"/>
              </w:rPr>
            </w:pPr>
          </w:p>
        </w:tc>
        <w:tc>
          <w:tcPr>
            <w:tcW w:w="12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12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1220" w:type="dxa"/>
            <w:vAlign w:val="bottom"/>
            <w:shd w:val="clear" w:color="auto" w:fill="CCEEFF"/>
          </w:tcPr>
          <w:p>
            <w:pPr>
              <w:spacing w:after="0"/>
              <w:rPr>
                <w:sz w:val="2"/>
                <w:szCs w:val="2"/>
                <w:color w:val="auto"/>
              </w:rPr>
            </w:pPr>
          </w:p>
        </w:tc>
      </w:tr>
    </w:tbl>
    <w:p>
      <w:pPr>
        <w:spacing w:after="0" w:line="200" w:lineRule="exact"/>
        <w:rPr>
          <w:sz w:val="20"/>
          <w:szCs w:val="20"/>
          <w:color w:val="auto"/>
        </w:rPr>
      </w:pPr>
    </w:p>
    <w:p>
      <w:pPr>
        <w:spacing w:after="0" w:line="214" w:lineRule="exact"/>
        <w:rPr>
          <w:sz w:val="20"/>
          <w:szCs w:val="20"/>
          <w:color w:val="auto"/>
        </w:rPr>
      </w:pPr>
    </w:p>
    <w:p>
      <w:pPr>
        <w:ind w:left="400" w:hanging="365"/>
        <w:spacing w:after="0"/>
        <w:tabs>
          <w:tab w:leader="none" w:pos="400" w:val="left"/>
        </w:tabs>
        <w:numPr>
          <w:ilvl w:val="0"/>
          <w:numId w:val="36"/>
        </w:numPr>
        <w:rPr>
          <w:rFonts w:ascii="Arial" w:cs="Arial" w:eastAsia="Arial" w:hAnsi="Arial"/>
          <w:sz w:val="18"/>
          <w:szCs w:val="18"/>
          <w:b w:val="1"/>
          <w:bCs w:val="1"/>
          <w:color w:val="auto"/>
        </w:rPr>
      </w:pPr>
      <w:r>
        <w:rPr>
          <w:rFonts w:ascii="Arial" w:cs="Arial" w:eastAsia="Arial" w:hAnsi="Arial"/>
          <w:sz w:val="18"/>
          <w:szCs w:val="18"/>
          <w:b w:val="1"/>
          <w:bCs w:val="1"/>
          <w:color w:val="auto"/>
        </w:rPr>
        <w:t>INVENTORIES</w:t>
      </w:r>
    </w:p>
    <w:p>
      <w:pPr>
        <w:spacing w:after="0" w:line="148" w:lineRule="exact"/>
        <w:rPr>
          <w:rFonts w:ascii="Arial" w:cs="Arial" w:eastAsia="Arial" w:hAnsi="Arial"/>
          <w:sz w:val="18"/>
          <w:szCs w:val="18"/>
          <w:b w:val="1"/>
          <w:bCs w:val="1"/>
          <w:color w:val="auto"/>
        </w:rPr>
      </w:pPr>
    </w:p>
    <w:p>
      <w:pPr>
        <w:ind w:left="420"/>
        <w:spacing w:after="0"/>
        <w:rPr>
          <w:rFonts w:ascii="Arial" w:cs="Arial" w:eastAsia="Arial" w:hAnsi="Arial"/>
          <w:sz w:val="18"/>
          <w:szCs w:val="18"/>
          <w:b w:val="1"/>
          <w:bCs w:val="1"/>
          <w:color w:val="auto"/>
        </w:rPr>
      </w:pPr>
      <w:r>
        <w:rPr>
          <w:rFonts w:ascii="Arial" w:cs="Arial" w:eastAsia="Arial" w:hAnsi="Arial"/>
          <w:sz w:val="18"/>
          <w:szCs w:val="18"/>
          <w:color w:val="auto"/>
        </w:rPr>
        <w:t>Inventories are comprised of the following (in thousands):</w:t>
      </w:r>
    </w:p>
    <w:p>
      <w:pPr>
        <w:spacing w:after="0" w:line="163" w:lineRule="exact"/>
        <w:rPr>
          <w:sz w:val="20"/>
          <w:szCs w:val="20"/>
          <w:color w:val="auto"/>
        </w:rPr>
      </w:pPr>
    </w:p>
    <w:tbl>
      <w:tblPr>
        <w:tblLayout w:type="fixed"/>
        <w:tblInd w:w="420" w:type="dxa"/>
        <w:tblCellMar>
          <w:top w:w="0" w:type="dxa"/>
          <w:left w:w="0" w:type="dxa"/>
          <w:bottom w:w="0" w:type="dxa"/>
          <w:right w:w="0" w:type="dxa"/>
        </w:tblCellMar>
      </w:tblPr>
      <w:tr>
        <w:trPr>
          <w:trHeight w:val="192"/>
        </w:trPr>
        <w:tc>
          <w:tcPr>
            <w:tcW w:w="682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380" w:type="dxa"/>
            <w:vAlign w:val="bottom"/>
            <w:tcBorders>
              <w:bottom w:val="single" w:sz="8" w:color="auto"/>
            </w:tcBorders>
            <w:gridSpan w:val="3"/>
          </w:tcPr>
          <w:p>
            <w:pPr>
              <w:jc w:val="right"/>
              <w:ind w:right="110"/>
              <w:spacing w:after="0"/>
              <w:rPr>
                <w:sz w:val="20"/>
                <w:szCs w:val="20"/>
                <w:color w:val="auto"/>
              </w:rPr>
            </w:pPr>
            <w:r>
              <w:rPr>
                <w:rFonts w:ascii="Arial" w:cs="Arial" w:eastAsia="Arial" w:hAnsi="Arial"/>
                <w:sz w:val="14"/>
                <w:szCs w:val="14"/>
                <w:b w:val="1"/>
                <w:bCs w:val="1"/>
                <w:color w:val="auto"/>
              </w:rPr>
              <w:t>At</w:t>
            </w:r>
          </w:p>
        </w:tc>
        <w:tc>
          <w:tcPr>
            <w:tcW w:w="1140" w:type="dxa"/>
            <w:vAlign w:val="bottom"/>
            <w:tcBorders>
              <w:bottom w:val="single" w:sz="8" w:color="auto"/>
            </w:tcBorders>
          </w:tcPr>
          <w:p>
            <w:pPr>
              <w:spacing w:after="0"/>
              <w:rPr>
                <w:sz w:val="16"/>
                <w:szCs w:val="16"/>
                <w:color w:val="auto"/>
              </w:rPr>
            </w:pPr>
          </w:p>
        </w:tc>
      </w:tr>
      <w:tr>
        <w:trPr>
          <w:trHeight w:val="152"/>
        </w:trPr>
        <w:tc>
          <w:tcPr>
            <w:tcW w:w="68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100" w:type="dxa"/>
            <w:vAlign w:val="bottom"/>
          </w:tcPr>
          <w:p>
            <w:pPr>
              <w:jc w:val="right"/>
              <w:ind w:right="256"/>
              <w:spacing w:after="0" w:line="153" w:lineRule="exact"/>
              <w:rPr>
                <w:sz w:val="20"/>
                <w:szCs w:val="20"/>
                <w:color w:val="auto"/>
              </w:rPr>
            </w:pPr>
            <w:r>
              <w:rPr>
                <w:rFonts w:ascii="Arial" w:cs="Arial" w:eastAsia="Arial" w:hAnsi="Arial"/>
                <w:sz w:val="14"/>
                <w:szCs w:val="14"/>
                <w:b w:val="1"/>
                <w:bCs w:val="1"/>
                <w:color w:val="auto"/>
              </w:rPr>
              <w:t>January 1,</w:t>
            </w: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140" w:type="dxa"/>
            <w:vAlign w:val="bottom"/>
          </w:tcPr>
          <w:p>
            <w:pPr>
              <w:jc w:val="right"/>
              <w:ind w:right="276"/>
              <w:spacing w:after="0" w:line="153" w:lineRule="exact"/>
              <w:rPr>
                <w:sz w:val="20"/>
                <w:szCs w:val="20"/>
                <w:color w:val="auto"/>
              </w:rPr>
            </w:pPr>
            <w:r>
              <w:rPr>
                <w:rFonts w:ascii="Arial" w:cs="Arial" w:eastAsia="Arial" w:hAnsi="Arial"/>
                <w:sz w:val="14"/>
                <w:szCs w:val="14"/>
                <w:b w:val="1"/>
                <w:bCs w:val="1"/>
                <w:color w:val="auto"/>
              </w:rPr>
              <w:t>January 2,</w:t>
            </w:r>
          </w:p>
        </w:tc>
      </w:tr>
      <w:tr>
        <w:trPr>
          <w:trHeight w:val="192"/>
        </w:trPr>
        <w:tc>
          <w:tcPr>
            <w:tcW w:w="682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416"/>
              <w:spacing w:after="0"/>
              <w:rPr>
                <w:sz w:val="20"/>
                <w:szCs w:val="20"/>
                <w:color w:val="auto"/>
              </w:rPr>
            </w:pPr>
            <w:r>
              <w:rPr>
                <w:rFonts w:ascii="Arial" w:cs="Arial" w:eastAsia="Arial" w:hAnsi="Arial"/>
                <w:sz w:val="14"/>
                <w:szCs w:val="14"/>
                <w:b w:val="1"/>
                <w:bCs w:val="1"/>
                <w:color w:val="auto"/>
              </w:rPr>
              <w:t>2016</w:t>
            </w:r>
          </w:p>
        </w:tc>
        <w:tc>
          <w:tcPr>
            <w:tcW w:w="4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456"/>
              <w:spacing w:after="0"/>
              <w:rPr>
                <w:sz w:val="20"/>
                <w:szCs w:val="20"/>
                <w:color w:val="auto"/>
              </w:rPr>
            </w:pPr>
            <w:r>
              <w:rPr>
                <w:rFonts w:ascii="Arial" w:cs="Arial" w:eastAsia="Arial" w:hAnsi="Arial"/>
                <w:sz w:val="14"/>
                <w:szCs w:val="14"/>
                <w:b w:val="1"/>
                <w:bCs w:val="1"/>
                <w:color w:val="auto"/>
              </w:rPr>
              <w:t>2015</w:t>
            </w:r>
          </w:p>
        </w:tc>
      </w:tr>
      <w:tr>
        <w:trPr>
          <w:trHeight w:val="250"/>
        </w:trPr>
        <w:tc>
          <w:tcPr>
            <w:tcW w:w="68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Raw materials</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107,296</w:t>
            </w:r>
          </w:p>
        </w:tc>
        <w:tc>
          <w:tcPr>
            <w:tcW w:w="380" w:type="dxa"/>
            <w:vAlign w:val="bottom"/>
            <w:tcBorders>
              <w:bottom w:val="single" w:sz="8" w:color="CCEEFF"/>
            </w:tcBorders>
            <w:gridSpan w:val="3"/>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73,354</w:t>
            </w:r>
          </w:p>
        </w:tc>
      </w:tr>
      <w:tr>
        <w:trPr>
          <w:trHeight w:val="243"/>
        </w:trPr>
        <w:tc>
          <w:tcPr>
            <w:tcW w:w="6820" w:type="dxa"/>
            <w:vAlign w:val="bottom"/>
          </w:tcPr>
          <w:p>
            <w:pPr>
              <w:ind w:left="20"/>
              <w:spacing w:after="0"/>
              <w:rPr>
                <w:sz w:val="20"/>
                <w:szCs w:val="20"/>
                <w:color w:val="auto"/>
              </w:rPr>
            </w:pPr>
            <w:r>
              <w:rPr>
                <w:rFonts w:ascii="Arial" w:cs="Arial" w:eastAsia="Arial" w:hAnsi="Arial"/>
                <w:sz w:val="18"/>
                <w:szCs w:val="18"/>
                <w:color w:val="auto"/>
              </w:rPr>
              <w:t>Work-in-process</w:t>
            </w:r>
          </w:p>
        </w:tc>
        <w:tc>
          <w:tcPr>
            <w:tcW w:w="2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93,729</w:t>
            </w: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38,930</w:t>
            </w:r>
          </w:p>
        </w:tc>
      </w:tr>
      <w:tr>
        <w:trPr>
          <w:trHeight w:val="27"/>
        </w:trPr>
        <w:tc>
          <w:tcPr>
            <w:tcW w:w="68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70"/>
        </w:trPr>
        <w:tc>
          <w:tcPr>
            <w:tcW w:w="68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Finished goods</w:t>
            </w:r>
          </w:p>
        </w:tc>
        <w:tc>
          <w:tcPr>
            <w:tcW w:w="24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51,141</w:t>
            </w:r>
          </w:p>
        </w:tc>
        <w:tc>
          <w:tcPr>
            <w:tcW w:w="4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16,958</w:t>
            </w:r>
          </w:p>
        </w:tc>
      </w:tr>
      <w:tr>
        <w:trPr>
          <w:trHeight w:val="257"/>
        </w:trPr>
        <w:tc>
          <w:tcPr>
            <w:tcW w:w="6820" w:type="dxa"/>
            <w:vAlign w:val="bottom"/>
          </w:tcPr>
          <w:p>
            <w:pPr>
              <w:ind w:left="260"/>
              <w:spacing w:after="0"/>
              <w:rPr>
                <w:sz w:val="20"/>
                <w:szCs w:val="20"/>
                <w:color w:val="auto"/>
              </w:rPr>
            </w:pPr>
            <w:r>
              <w:rPr>
                <w:rFonts w:ascii="Arial" w:cs="Arial" w:eastAsia="Arial" w:hAnsi="Arial"/>
                <w:sz w:val="18"/>
                <w:szCs w:val="18"/>
                <w:color w:val="auto"/>
              </w:rPr>
              <w:t>Total</w:t>
            </w: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252,166</w:t>
            </w:r>
          </w:p>
        </w:tc>
        <w:tc>
          <w:tcPr>
            <w:tcW w:w="40" w:type="dxa"/>
            <w:vAlign w:val="bottom"/>
            <w:tcBorders>
              <w:top w:val="single" w:sz="8" w:color="auto"/>
              <w:bottom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129,242</w:t>
            </w:r>
          </w:p>
        </w:tc>
      </w:tr>
      <w:tr>
        <w:trPr>
          <w:trHeight w:val="20"/>
        </w:trPr>
        <w:tc>
          <w:tcPr>
            <w:tcW w:w="68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r>
    </w:tbl>
    <w:p>
      <w:pPr>
        <w:spacing w:after="0" w:line="252" w:lineRule="exact"/>
        <w:rPr>
          <w:sz w:val="20"/>
          <w:szCs w:val="20"/>
          <w:color w:val="auto"/>
        </w:rPr>
      </w:pPr>
    </w:p>
    <w:p>
      <w:pPr>
        <w:ind w:left="400" w:hanging="365"/>
        <w:spacing w:after="0"/>
        <w:tabs>
          <w:tab w:leader="none" w:pos="400" w:val="left"/>
        </w:tabs>
        <w:numPr>
          <w:ilvl w:val="0"/>
          <w:numId w:val="37"/>
        </w:numPr>
        <w:rPr>
          <w:rFonts w:ascii="Arial" w:cs="Arial" w:eastAsia="Arial" w:hAnsi="Arial"/>
          <w:sz w:val="18"/>
          <w:szCs w:val="18"/>
          <w:b w:val="1"/>
          <w:bCs w:val="1"/>
          <w:color w:val="auto"/>
        </w:rPr>
      </w:pPr>
      <w:r>
        <w:rPr>
          <w:rFonts w:ascii="Arial" w:cs="Arial" w:eastAsia="Arial" w:hAnsi="Arial"/>
          <w:sz w:val="18"/>
          <w:szCs w:val="18"/>
          <w:b w:val="1"/>
          <w:bCs w:val="1"/>
          <w:color w:val="auto"/>
        </w:rPr>
        <w:t>ASSETS HELD FOR SALE</w:t>
      </w:r>
    </w:p>
    <w:p>
      <w:pPr>
        <w:spacing w:after="0" w:line="148" w:lineRule="exact"/>
        <w:rPr>
          <w:rFonts w:ascii="Arial" w:cs="Arial" w:eastAsia="Arial" w:hAnsi="Arial"/>
          <w:sz w:val="18"/>
          <w:szCs w:val="18"/>
          <w:b w:val="1"/>
          <w:bCs w:val="1"/>
          <w:color w:val="auto"/>
        </w:rPr>
      </w:pPr>
    </w:p>
    <w:p>
      <w:pPr>
        <w:ind w:left="420"/>
        <w:spacing w:after="0"/>
        <w:rPr>
          <w:rFonts w:ascii="Arial" w:cs="Arial" w:eastAsia="Arial" w:hAnsi="Arial"/>
          <w:sz w:val="18"/>
          <w:szCs w:val="18"/>
          <w:b w:val="1"/>
          <w:bCs w:val="1"/>
          <w:color w:val="auto"/>
        </w:rPr>
      </w:pPr>
      <w:r>
        <w:rPr>
          <w:rFonts w:ascii="Arial" w:cs="Arial" w:eastAsia="Arial" w:hAnsi="Arial"/>
          <w:sz w:val="18"/>
          <w:szCs w:val="18"/>
          <w:color w:val="auto"/>
        </w:rPr>
        <w:t>Assets held for sale included in Prepaid Expenses and Other Current Assets, is comprised of the following (in thousands):</w:t>
      </w:r>
    </w:p>
    <w:p>
      <w:pPr>
        <w:spacing w:after="0" w:line="230" w:lineRule="exact"/>
        <w:rPr>
          <w:sz w:val="20"/>
          <w:szCs w:val="20"/>
          <w:color w:val="auto"/>
        </w:rPr>
      </w:pPr>
    </w:p>
    <w:tbl>
      <w:tblPr>
        <w:tblLayout w:type="fixed"/>
        <w:tblInd w:w="420" w:type="dxa"/>
        <w:tblCellMar>
          <w:top w:w="0" w:type="dxa"/>
          <w:left w:w="0" w:type="dxa"/>
          <w:bottom w:w="0" w:type="dxa"/>
          <w:right w:w="0" w:type="dxa"/>
        </w:tblCellMar>
      </w:tblPr>
      <w:tr>
        <w:trPr>
          <w:trHeight w:val="192"/>
        </w:trPr>
        <w:tc>
          <w:tcPr>
            <w:tcW w:w="47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7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380" w:type="dxa"/>
            <w:vAlign w:val="bottom"/>
            <w:tcBorders>
              <w:bottom w:val="single" w:sz="8" w:color="auto"/>
            </w:tcBorders>
            <w:gridSpan w:val="3"/>
          </w:tcPr>
          <w:p>
            <w:pPr>
              <w:jc w:val="right"/>
              <w:ind w:right="180"/>
              <w:spacing w:after="0"/>
              <w:rPr>
                <w:sz w:val="20"/>
                <w:szCs w:val="20"/>
                <w:color w:val="auto"/>
              </w:rPr>
            </w:pPr>
            <w:r>
              <w:rPr>
                <w:rFonts w:ascii="Arial" w:cs="Arial" w:eastAsia="Arial" w:hAnsi="Arial"/>
                <w:sz w:val="14"/>
                <w:szCs w:val="14"/>
                <w:b w:val="1"/>
                <w:bCs w:val="1"/>
                <w:color w:val="auto"/>
              </w:rPr>
              <w:t>At</w:t>
            </w:r>
          </w:p>
        </w:tc>
        <w:tc>
          <w:tcPr>
            <w:tcW w:w="11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3"/>
        </w:trPr>
        <w:tc>
          <w:tcPr>
            <w:tcW w:w="4740" w:type="dxa"/>
            <w:vAlign w:val="bottom"/>
            <w:vMerge w:val="restart"/>
          </w:tcPr>
          <w:p>
            <w:pPr>
              <w:ind w:left="2200"/>
              <w:spacing w:after="0"/>
              <w:rPr>
                <w:sz w:val="20"/>
                <w:szCs w:val="20"/>
                <w:color w:val="auto"/>
              </w:rPr>
            </w:pPr>
            <w:r>
              <w:rPr>
                <w:rFonts w:ascii="Arial" w:cs="Arial" w:eastAsia="Arial" w:hAnsi="Arial"/>
                <w:sz w:val="14"/>
                <w:szCs w:val="14"/>
                <w:b w:val="1"/>
                <w:bCs w:val="1"/>
                <w:color w:val="auto"/>
              </w:rPr>
              <w:t>Asset</w:t>
            </w:r>
          </w:p>
        </w:tc>
        <w:tc>
          <w:tcPr>
            <w:tcW w:w="120" w:type="dxa"/>
            <w:vAlign w:val="bottom"/>
            <w:vMerge w:val="restart"/>
          </w:tcPr>
          <w:p>
            <w:pPr>
              <w:spacing w:after="0"/>
              <w:rPr>
                <w:sz w:val="13"/>
                <w:szCs w:val="13"/>
                <w:color w:val="auto"/>
              </w:rPr>
            </w:pPr>
          </w:p>
        </w:tc>
        <w:tc>
          <w:tcPr>
            <w:tcW w:w="284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83"/>
              </w:rPr>
              <w:t>Business</w:t>
            </w:r>
          </w:p>
        </w:tc>
        <w:tc>
          <w:tcPr>
            <w:tcW w:w="980" w:type="dxa"/>
            <w:vAlign w:val="bottom"/>
          </w:tcPr>
          <w:p>
            <w:pPr>
              <w:jc w:val="center"/>
              <w:ind w:left="242"/>
              <w:spacing w:after="0" w:line="153" w:lineRule="exact"/>
              <w:rPr>
                <w:sz w:val="20"/>
                <w:szCs w:val="20"/>
                <w:color w:val="auto"/>
              </w:rPr>
            </w:pPr>
            <w:r>
              <w:rPr>
                <w:rFonts w:ascii="Arial" w:cs="Arial" w:eastAsia="Arial" w:hAnsi="Arial"/>
                <w:sz w:val="14"/>
                <w:szCs w:val="14"/>
                <w:b w:val="1"/>
                <w:bCs w:val="1"/>
                <w:color w:val="auto"/>
                <w:w w:val="95"/>
              </w:rPr>
              <w:t>January 1,</w:t>
            </w:r>
          </w:p>
        </w:tc>
        <w:tc>
          <w:tcPr>
            <w:tcW w:w="3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140" w:type="dxa"/>
            <w:vAlign w:val="bottom"/>
          </w:tcPr>
          <w:p>
            <w:pPr>
              <w:jc w:val="center"/>
              <w:ind w:right="162"/>
              <w:spacing w:after="0" w:line="153" w:lineRule="exact"/>
              <w:rPr>
                <w:sz w:val="20"/>
                <w:szCs w:val="20"/>
                <w:color w:val="auto"/>
              </w:rPr>
            </w:pPr>
            <w:r>
              <w:rPr>
                <w:rFonts w:ascii="Arial" w:cs="Arial" w:eastAsia="Arial" w:hAnsi="Arial"/>
                <w:sz w:val="14"/>
                <w:szCs w:val="14"/>
                <w:b w:val="1"/>
                <w:bCs w:val="1"/>
                <w:color w:val="auto"/>
                <w:w w:val="95"/>
              </w:rPr>
              <w:t>January 2,</w:t>
            </w:r>
          </w:p>
        </w:tc>
        <w:tc>
          <w:tcPr>
            <w:tcW w:w="0" w:type="dxa"/>
            <w:vAlign w:val="bottom"/>
          </w:tcPr>
          <w:p>
            <w:pPr>
              <w:spacing w:after="0"/>
              <w:rPr>
                <w:sz w:val="1"/>
                <w:szCs w:val="1"/>
                <w:color w:val="auto"/>
              </w:rPr>
            </w:pPr>
          </w:p>
        </w:tc>
      </w:tr>
      <w:tr>
        <w:trPr>
          <w:trHeight w:val="192"/>
        </w:trPr>
        <w:tc>
          <w:tcPr>
            <w:tcW w:w="474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27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7"/>
              </w:rPr>
              <w:t>Segment</w:t>
            </w:r>
          </w:p>
        </w:tc>
        <w:tc>
          <w:tcPr>
            <w:tcW w:w="120" w:type="dxa"/>
            <w:vAlign w:val="bottom"/>
          </w:tcPr>
          <w:p>
            <w:pPr>
              <w:spacing w:after="0"/>
              <w:rPr>
                <w:sz w:val="16"/>
                <w:szCs w:val="16"/>
                <w:color w:val="auto"/>
              </w:rPr>
            </w:pPr>
          </w:p>
        </w:tc>
        <w:tc>
          <w:tcPr>
            <w:tcW w:w="980" w:type="dxa"/>
            <w:vAlign w:val="bottom"/>
            <w:tcBorders>
              <w:bottom w:val="single" w:sz="8" w:color="auto"/>
            </w:tcBorders>
          </w:tcPr>
          <w:p>
            <w:pPr>
              <w:jc w:val="right"/>
              <w:ind w:right="82"/>
              <w:spacing w:after="0"/>
              <w:rPr>
                <w:sz w:val="20"/>
                <w:szCs w:val="20"/>
                <w:color w:val="auto"/>
              </w:rPr>
            </w:pPr>
            <w:r>
              <w:rPr>
                <w:rFonts w:ascii="Arial" w:cs="Arial" w:eastAsia="Arial" w:hAnsi="Arial"/>
                <w:sz w:val="14"/>
                <w:szCs w:val="14"/>
                <w:b w:val="1"/>
                <w:bCs w:val="1"/>
                <w:color w:val="auto"/>
              </w:rPr>
              <w:t>2016</w:t>
            </w:r>
          </w:p>
        </w:tc>
        <w:tc>
          <w:tcPr>
            <w:tcW w:w="320" w:type="dxa"/>
            <w:vAlign w:val="bottom"/>
            <w:tcBorders>
              <w:bottom w:val="single" w:sz="8" w:color="auto"/>
            </w:tcBorders>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462"/>
              <w:spacing w:after="0"/>
              <w:rPr>
                <w:sz w:val="20"/>
                <w:szCs w:val="20"/>
                <w:color w:val="auto"/>
              </w:rPr>
            </w:pPr>
            <w:r>
              <w:rPr>
                <w:rFonts w:ascii="Arial" w:cs="Arial" w:eastAsia="Arial" w:hAnsi="Arial"/>
                <w:sz w:val="14"/>
                <w:szCs w:val="14"/>
                <w:b w:val="1"/>
                <w:bCs w:val="1"/>
                <w:color w:val="auto"/>
              </w:rPr>
              <w:t>2015</w:t>
            </w:r>
          </w:p>
        </w:tc>
        <w:tc>
          <w:tcPr>
            <w:tcW w:w="0" w:type="dxa"/>
            <w:vAlign w:val="bottom"/>
          </w:tcPr>
          <w:p>
            <w:pPr>
              <w:spacing w:after="0"/>
              <w:rPr>
                <w:sz w:val="1"/>
                <w:szCs w:val="1"/>
                <w:color w:val="auto"/>
              </w:rPr>
            </w:pPr>
          </w:p>
        </w:tc>
      </w:tr>
      <w:tr>
        <w:trPr>
          <w:trHeight w:val="243"/>
        </w:trPr>
        <w:tc>
          <w:tcPr>
            <w:tcW w:w="4860" w:type="dxa"/>
            <w:vAlign w:val="bottom"/>
            <w:gridSpan w:val="2"/>
          </w:tcPr>
          <w:p>
            <w:pPr>
              <w:ind w:left="20"/>
              <w:spacing w:after="0"/>
              <w:rPr>
                <w:sz w:val="20"/>
                <w:szCs w:val="20"/>
                <w:color w:val="auto"/>
              </w:rPr>
            </w:pPr>
            <w:r>
              <w:rPr>
                <w:rFonts w:ascii="Arial" w:cs="Arial" w:eastAsia="Arial" w:hAnsi="Arial"/>
                <w:sz w:val="18"/>
                <w:szCs w:val="18"/>
                <w:color w:val="auto"/>
              </w:rPr>
              <w:t>Building and building improvements</w:t>
            </w:r>
          </w:p>
        </w:tc>
        <w:tc>
          <w:tcPr>
            <w:tcW w:w="2840" w:type="dxa"/>
            <w:vAlign w:val="bottom"/>
            <w:gridSpan w:val="2"/>
          </w:tcPr>
          <w:p>
            <w:pPr>
              <w:jc w:val="center"/>
              <w:ind w:right="120"/>
              <w:spacing w:after="0"/>
              <w:rPr>
                <w:sz w:val="20"/>
                <w:szCs w:val="20"/>
                <w:color w:val="auto"/>
              </w:rPr>
            </w:pPr>
            <w:r>
              <w:rPr>
                <w:rFonts w:ascii="Arial" w:cs="Arial" w:eastAsia="Arial" w:hAnsi="Arial"/>
                <w:sz w:val="18"/>
                <w:szCs w:val="18"/>
                <w:color w:val="auto"/>
                <w:w w:val="92"/>
              </w:rPr>
              <w:t>Greatbatch Medical</w:t>
            </w:r>
          </w:p>
        </w:tc>
        <w:tc>
          <w:tcPr>
            <w:tcW w:w="980" w:type="dxa"/>
            <w:vAlign w:val="bottom"/>
          </w:tcPr>
          <w:p>
            <w:pPr>
              <w:jc w:val="right"/>
              <w:ind w:right="802"/>
              <w:spacing w:after="0"/>
              <w:rPr>
                <w:sz w:val="20"/>
                <w:szCs w:val="20"/>
                <w:color w:val="auto"/>
              </w:rPr>
            </w:pPr>
            <w:r>
              <w:rPr>
                <w:rFonts w:ascii="Arial" w:cs="Arial" w:eastAsia="Arial" w:hAnsi="Arial"/>
                <w:sz w:val="18"/>
                <w:szCs w:val="18"/>
                <w:color w:val="auto"/>
                <w:w w:val="79"/>
              </w:rPr>
              <w:t>$</w:t>
            </w:r>
          </w:p>
        </w:tc>
        <w:tc>
          <w:tcPr>
            <w:tcW w:w="320" w:type="dxa"/>
            <w:vAlign w:val="bottom"/>
          </w:tcPr>
          <w:p>
            <w:pPr>
              <w:jc w:val="right"/>
              <w:spacing w:after="0"/>
              <w:rPr>
                <w:sz w:val="20"/>
                <w:szCs w:val="20"/>
                <w:color w:val="auto"/>
              </w:rPr>
            </w:pPr>
            <w:r>
              <w:rPr>
                <w:rFonts w:ascii="Arial" w:cs="Arial" w:eastAsia="Arial" w:hAnsi="Arial"/>
                <w:sz w:val="18"/>
                <w:szCs w:val="18"/>
                <w:color w:val="auto"/>
                <w:w w:val="86"/>
              </w:rPr>
              <w:t>996</w:t>
            </w:r>
          </w:p>
        </w:tc>
        <w:tc>
          <w:tcPr>
            <w:tcW w:w="38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c>
          <w:tcPr>
            <w:tcW w:w="1140" w:type="dxa"/>
            <w:vAlign w:val="bottom"/>
          </w:tcPr>
          <w:p>
            <w:pPr>
              <w:jc w:val="right"/>
              <w:ind w:right="2"/>
              <w:spacing w:after="0"/>
              <w:rPr>
                <w:sz w:val="20"/>
                <w:szCs w:val="20"/>
                <w:color w:val="auto"/>
              </w:rPr>
            </w:pPr>
            <w:r>
              <w:rPr>
                <w:rFonts w:ascii="Arial" w:cs="Arial" w:eastAsia="Arial" w:hAnsi="Arial"/>
                <w:sz w:val="18"/>
                <w:szCs w:val="18"/>
                <w:color w:val="auto"/>
              </w:rPr>
              <w:t>1,635</w:t>
            </w:r>
          </w:p>
        </w:tc>
        <w:tc>
          <w:tcPr>
            <w:tcW w:w="0" w:type="dxa"/>
            <w:vAlign w:val="bottom"/>
          </w:tcPr>
          <w:p>
            <w:pPr>
              <w:spacing w:after="0"/>
              <w:rPr>
                <w:sz w:val="1"/>
                <w:szCs w:val="1"/>
                <w:color w:val="auto"/>
              </w:rPr>
            </w:pPr>
          </w:p>
        </w:tc>
      </w:tr>
    </w:tbl>
    <w:p>
      <w:pPr>
        <w:spacing w:after="0" w:line="229" w:lineRule="exact"/>
        <w:rPr>
          <w:sz w:val="20"/>
          <w:szCs w:val="20"/>
          <w:color w:val="auto"/>
        </w:rPr>
      </w:pPr>
    </w:p>
    <w:p>
      <w:pPr>
        <w:ind w:left="420" w:right="40"/>
        <w:spacing w:after="0" w:line="279" w:lineRule="auto"/>
        <w:rPr>
          <w:sz w:val="20"/>
          <w:szCs w:val="20"/>
          <w:color w:val="auto"/>
        </w:rPr>
      </w:pPr>
      <w:r>
        <w:rPr>
          <w:rFonts w:ascii="Arial" w:cs="Arial" w:eastAsia="Arial" w:hAnsi="Arial"/>
          <w:sz w:val="17"/>
          <w:szCs w:val="17"/>
          <w:color w:val="auto"/>
        </w:rPr>
        <w:t>During 2014, the Company transferred $2.1 million of assets relating to the Company’s Orvin, Switzerland property to assets held for sale and recognized a $0.4 million impairment charge that was recorded in Other Operating Expenses, Net. During 2015, the Company sold $0.6 million of these assets held for sale with no additional gain or loss recognized. Refer to Note 13 “Other Operating Expenses, Net” for additional information regarding this transaction and Note 18 “Fair Value Measurements” for information regarding the fair value of the assets.</w:t>
      </w:r>
    </w:p>
    <w:p>
      <w:pPr>
        <w:spacing w:after="0" w:line="30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- 83 -</w:t>
      </w:r>
    </w:p>
    <w:p>
      <w:pPr>
        <w:sectPr>
          <w:pgSz w:w="11900" w:h="16838" w:orient="portrait"/>
          <w:cols w:equalWidth="0" w:num="1">
            <w:col w:w="11420"/>
          </w:cols>
          <w:pgMar w:left="240" w:top="337" w:right="239" w:bottom="1440" w:gutter="0" w:footer="0" w:header="0"/>
        </w:sectPr>
      </w:pPr>
    </w:p>
    <w:bookmarkStart w:id="84" w:name="page85"/>
    <w:bookmarkEnd w:id="84"/>
    <w:p>
      <w:pPr>
        <w:jc w:val="center"/>
        <w:ind w:right="15"/>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ind w:right="15"/>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365" w:hanging="365"/>
        <w:spacing w:after="0"/>
        <w:tabs>
          <w:tab w:leader="none" w:pos="365" w:val="left"/>
        </w:tabs>
        <w:numPr>
          <w:ilvl w:val="0"/>
          <w:numId w:val="38"/>
        </w:numPr>
        <w:rPr>
          <w:rFonts w:ascii="Arial" w:cs="Arial" w:eastAsia="Arial" w:hAnsi="Arial"/>
          <w:sz w:val="18"/>
          <w:szCs w:val="18"/>
          <w:b w:val="1"/>
          <w:bCs w:val="1"/>
          <w:color w:val="auto"/>
        </w:rPr>
      </w:pPr>
      <w:r>
        <w:rPr>
          <w:rFonts w:ascii="Arial" w:cs="Arial" w:eastAsia="Arial" w:hAnsi="Arial"/>
          <w:sz w:val="18"/>
          <w:szCs w:val="18"/>
          <w:b w:val="1"/>
          <w:bCs w:val="1"/>
          <w:color w:val="auto"/>
        </w:rPr>
        <w:t>PROPERTY, PLANT AND EQUIPMENT, NET</w:t>
      </w:r>
    </w:p>
    <w:p>
      <w:pPr>
        <w:spacing w:after="0" w:line="148" w:lineRule="exact"/>
        <w:rPr>
          <w:rFonts w:ascii="Arial" w:cs="Arial" w:eastAsia="Arial" w:hAnsi="Arial"/>
          <w:sz w:val="18"/>
          <w:szCs w:val="18"/>
          <w:b w:val="1"/>
          <w:bCs w:val="1"/>
          <w:color w:val="auto"/>
        </w:rPr>
      </w:pPr>
    </w:p>
    <w:p>
      <w:pPr>
        <w:ind w:left="385"/>
        <w:spacing w:after="0"/>
        <w:rPr>
          <w:rFonts w:ascii="Arial" w:cs="Arial" w:eastAsia="Arial" w:hAnsi="Arial"/>
          <w:sz w:val="18"/>
          <w:szCs w:val="18"/>
          <w:b w:val="1"/>
          <w:bCs w:val="1"/>
          <w:color w:val="auto"/>
        </w:rPr>
      </w:pPr>
      <w:r>
        <w:rPr>
          <w:rFonts w:ascii="Arial" w:cs="Arial" w:eastAsia="Arial" w:hAnsi="Arial"/>
          <w:sz w:val="18"/>
          <w:szCs w:val="18"/>
          <w:color w:val="auto"/>
        </w:rPr>
        <w:t>Property, plant and equipment are comprised of the following (in thousands):</w:t>
      </w:r>
    </w:p>
    <w:p>
      <w:pPr>
        <w:spacing w:after="0" w:line="163" w:lineRule="exact"/>
        <w:rPr>
          <w:sz w:val="20"/>
          <w:szCs w:val="20"/>
          <w:color w:val="auto"/>
        </w:rPr>
      </w:pPr>
    </w:p>
    <w:tbl>
      <w:tblPr>
        <w:tblLayout w:type="fixed"/>
        <w:tblInd w:w="385" w:type="dxa"/>
        <w:tblCellMar>
          <w:top w:w="0" w:type="dxa"/>
          <w:left w:w="0" w:type="dxa"/>
          <w:bottom w:w="0" w:type="dxa"/>
          <w:right w:w="0" w:type="dxa"/>
        </w:tblCellMar>
      </w:tblPr>
      <w:tr>
        <w:trPr>
          <w:trHeight w:val="192"/>
        </w:trPr>
        <w:tc>
          <w:tcPr>
            <w:tcW w:w="682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360" w:type="dxa"/>
            <w:vAlign w:val="bottom"/>
            <w:tcBorders>
              <w:bottom w:val="single" w:sz="8" w:color="auto"/>
            </w:tcBorders>
            <w:gridSpan w:val="3"/>
          </w:tcPr>
          <w:p>
            <w:pPr>
              <w:jc w:val="right"/>
              <w:ind w:right="200"/>
              <w:spacing w:after="0"/>
              <w:rPr>
                <w:sz w:val="20"/>
                <w:szCs w:val="20"/>
                <w:color w:val="auto"/>
              </w:rPr>
            </w:pPr>
            <w:r>
              <w:rPr>
                <w:rFonts w:ascii="Arial" w:cs="Arial" w:eastAsia="Arial" w:hAnsi="Arial"/>
                <w:sz w:val="14"/>
                <w:szCs w:val="14"/>
                <w:b w:val="1"/>
                <w:bCs w:val="1"/>
                <w:color w:val="auto"/>
                <w:w w:val="94"/>
              </w:rPr>
              <w:t>At</w:t>
            </w:r>
          </w:p>
        </w:tc>
        <w:tc>
          <w:tcPr>
            <w:tcW w:w="1140" w:type="dxa"/>
            <w:vAlign w:val="bottom"/>
            <w:tcBorders>
              <w:bottom w:val="single" w:sz="8" w:color="auto"/>
            </w:tcBorders>
          </w:tcPr>
          <w:p>
            <w:pPr>
              <w:spacing w:after="0"/>
              <w:rPr>
                <w:sz w:val="16"/>
                <w:szCs w:val="16"/>
                <w:color w:val="auto"/>
              </w:rPr>
            </w:pPr>
          </w:p>
        </w:tc>
      </w:tr>
      <w:tr>
        <w:trPr>
          <w:trHeight w:val="152"/>
        </w:trPr>
        <w:tc>
          <w:tcPr>
            <w:tcW w:w="68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120" w:type="dxa"/>
            <w:vAlign w:val="bottom"/>
          </w:tcPr>
          <w:p>
            <w:pPr>
              <w:jc w:val="right"/>
              <w:ind w:right="273"/>
              <w:spacing w:after="0" w:line="153" w:lineRule="exact"/>
              <w:rPr>
                <w:sz w:val="20"/>
                <w:szCs w:val="20"/>
                <w:color w:val="auto"/>
              </w:rPr>
            </w:pPr>
            <w:r>
              <w:rPr>
                <w:rFonts w:ascii="Arial" w:cs="Arial" w:eastAsia="Arial" w:hAnsi="Arial"/>
                <w:sz w:val="14"/>
                <w:szCs w:val="14"/>
                <w:b w:val="1"/>
                <w:bCs w:val="1"/>
                <w:color w:val="auto"/>
              </w:rPr>
              <w:t>January 1,</w:t>
            </w: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140" w:type="dxa"/>
            <w:vAlign w:val="bottom"/>
          </w:tcPr>
          <w:p>
            <w:pPr>
              <w:jc w:val="right"/>
              <w:ind w:right="273"/>
              <w:spacing w:after="0" w:line="153" w:lineRule="exact"/>
              <w:rPr>
                <w:sz w:val="20"/>
                <w:szCs w:val="20"/>
                <w:color w:val="auto"/>
              </w:rPr>
            </w:pPr>
            <w:r>
              <w:rPr>
                <w:rFonts w:ascii="Arial" w:cs="Arial" w:eastAsia="Arial" w:hAnsi="Arial"/>
                <w:sz w:val="14"/>
                <w:szCs w:val="14"/>
                <w:b w:val="1"/>
                <w:bCs w:val="1"/>
                <w:color w:val="auto"/>
              </w:rPr>
              <w:t>January 2,</w:t>
            </w:r>
          </w:p>
        </w:tc>
      </w:tr>
      <w:tr>
        <w:trPr>
          <w:trHeight w:val="192"/>
        </w:trPr>
        <w:tc>
          <w:tcPr>
            <w:tcW w:w="682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33"/>
              <w:spacing w:after="0"/>
              <w:rPr>
                <w:sz w:val="20"/>
                <w:szCs w:val="20"/>
                <w:color w:val="auto"/>
              </w:rPr>
            </w:pPr>
            <w:r>
              <w:rPr>
                <w:rFonts w:ascii="Arial" w:cs="Arial" w:eastAsia="Arial" w:hAnsi="Arial"/>
                <w:sz w:val="14"/>
                <w:szCs w:val="14"/>
                <w:b w:val="1"/>
                <w:bCs w:val="1"/>
                <w:color w:val="auto"/>
              </w:rPr>
              <w:t>2016</w:t>
            </w:r>
          </w:p>
        </w:tc>
        <w:tc>
          <w:tcPr>
            <w:tcW w:w="2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453"/>
              <w:spacing w:after="0"/>
              <w:rPr>
                <w:sz w:val="20"/>
                <w:szCs w:val="20"/>
                <w:color w:val="auto"/>
              </w:rPr>
            </w:pPr>
            <w:r>
              <w:rPr>
                <w:rFonts w:ascii="Arial" w:cs="Arial" w:eastAsia="Arial" w:hAnsi="Arial"/>
                <w:sz w:val="14"/>
                <w:szCs w:val="14"/>
                <w:b w:val="1"/>
                <w:bCs w:val="1"/>
                <w:color w:val="auto"/>
              </w:rPr>
              <w:t>2015</w:t>
            </w:r>
          </w:p>
        </w:tc>
      </w:tr>
      <w:tr>
        <w:trPr>
          <w:trHeight w:val="250"/>
        </w:trPr>
        <w:tc>
          <w:tcPr>
            <w:tcW w:w="68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Manufacturing machinery and equipment</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285,068</w:t>
            </w:r>
          </w:p>
        </w:tc>
        <w:tc>
          <w:tcPr>
            <w:tcW w:w="360" w:type="dxa"/>
            <w:vAlign w:val="bottom"/>
            <w:tcBorders>
              <w:bottom w:val="single" w:sz="8" w:color="CCEEFF"/>
            </w:tcBorders>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167,173</w:t>
            </w:r>
          </w:p>
        </w:tc>
      </w:tr>
      <w:tr>
        <w:trPr>
          <w:trHeight w:val="243"/>
        </w:trPr>
        <w:tc>
          <w:tcPr>
            <w:tcW w:w="6820" w:type="dxa"/>
            <w:vAlign w:val="bottom"/>
          </w:tcPr>
          <w:p>
            <w:pPr>
              <w:ind w:left="20"/>
              <w:spacing w:after="0"/>
              <w:rPr>
                <w:sz w:val="20"/>
                <w:szCs w:val="20"/>
                <w:color w:val="auto"/>
              </w:rPr>
            </w:pPr>
            <w:r>
              <w:rPr>
                <w:rFonts w:ascii="Arial" w:cs="Arial" w:eastAsia="Arial" w:hAnsi="Arial"/>
                <w:sz w:val="18"/>
                <w:szCs w:val="18"/>
                <w:color w:val="auto"/>
              </w:rPr>
              <w:t>Buildings and building improvements</w:t>
            </w:r>
          </w:p>
        </w:tc>
        <w:tc>
          <w:tcPr>
            <w:tcW w:w="2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130,184</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89,258</w:t>
            </w:r>
          </w:p>
        </w:tc>
      </w:tr>
      <w:tr>
        <w:trPr>
          <w:trHeight w:val="27"/>
        </w:trPr>
        <w:tc>
          <w:tcPr>
            <w:tcW w:w="68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68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Information technology hardware and software</w:t>
            </w: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43,947</w:t>
            </w:r>
          </w:p>
        </w:tc>
        <w:tc>
          <w:tcPr>
            <w:tcW w:w="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31,725</w:t>
            </w:r>
          </w:p>
        </w:tc>
      </w:tr>
      <w:tr>
        <w:trPr>
          <w:trHeight w:val="243"/>
        </w:trPr>
        <w:tc>
          <w:tcPr>
            <w:tcW w:w="6820" w:type="dxa"/>
            <w:vAlign w:val="bottom"/>
          </w:tcPr>
          <w:p>
            <w:pPr>
              <w:ind w:left="20"/>
              <w:spacing w:after="0"/>
              <w:rPr>
                <w:sz w:val="20"/>
                <w:szCs w:val="20"/>
                <w:color w:val="auto"/>
              </w:rPr>
            </w:pPr>
            <w:r>
              <w:rPr>
                <w:rFonts w:ascii="Arial" w:cs="Arial" w:eastAsia="Arial" w:hAnsi="Arial"/>
                <w:sz w:val="18"/>
                <w:szCs w:val="18"/>
                <w:color w:val="auto"/>
              </w:rPr>
              <w:t>Leasehold improvements</w:t>
            </w:r>
          </w:p>
        </w:tc>
        <w:tc>
          <w:tcPr>
            <w:tcW w:w="2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36,745</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31,170</w:t>
            </w:r>
          </w:p>
        </w:tc>
      </w:tr>
      <w:tr>
        <w:trPr>
          <w:trHeight w:val="27"/>
        </w:trPr>
        <w:tc>
          <w:tcPr>
            <w:tcW w:w="68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68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Furniture and fixtures</w:t>
            </w: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16,243</w:t>
            </w:r>
          </w:p>
        </w:tc>
        <w:tc>
          <w:tcPr>
            <w:tcW w:w="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14,045</w:t>
            </w:r>
          </w:p>
        </w:tc>
      </w:tr>
      <w:tr>
        <w:trPr>
          <w:trHeight w:val="243"/>
        </w:trPr>
        <w:tc>
          <w:tcPr>
            <w:tcW w:w="6820" w:type="dxa"/>
            <w:vAlign w:val="bottom"/>
          </w:tcPr>
          <w:p>
            <w:pPr>
              <w:ind w:left="20"/>
              <w:spacing w:after="0"/>
              <w:rPr>
                <w:sz w:val="20"/>
                <w:szCs w:val="20"/>
                <w:color w:val="auto"/>
              </w:rPr>
            </w:pPr>
            <w:r>
              <w:rPr>
                <w:rFonts w:ascii="Arial" w:cs="Arial" w:eastAsia="Arial" w:hAnsi="Arial"/>
                <w:sz w:val="18"/>
                <w:szCs w:val="18"/>
                <w:color w:val="auto"/>
              </w:rPr>
              <w:t>Land and land improvements</w:t>
            </w:r>
          </w:p>
        </w:tc>
        <w:tc>
          <w:tcPr>
            <w:tcW w:w="2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21,774</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10,816</w:t>
            </w:r>
          </w:p>
        </w:tc>
      </w:tr>
      <w:tr>
        <w:trPr>
          <w:trHeight w:val="27"/>
        </w:trPr>
        <w:tc>
          <w:tcPr>
            <w:tcW w:w="68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68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Construction work in process</w:t>
            </w: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76,835</w:t>
            </w:r>
          </w:p>
        </w:tc>
        <w:tc>
          <w:tcPr>
            <w:tcW w:w="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14,129</w:t>
            </w:r>
          </w:p>
        </w:tc>
      </w:tr>
      <w:tr>
        <w:trPr>
          <w:trHeight w:val="243"/>
        </w:trPr>
        <w:tc>
          <w:tcPr>
            <w:tcW w:w="6820" w:type="dxa"/>
            <w:vAlign w:val="bottom"/>
          </w:tcPr>
          <w:p>
            <w:pPr>
              <w:ind w:left="20"/>
              <w:spacing w:after="0"/>
              <w:rPr>
                <w:sz w:val="20"/>
                <w:szCs w:val="20"/>
                <w:color w:val="auto"/>
              </w:rPr>
            </w:pPr>
            <w:r>
              <w:rPr>
                <w:rFonts w:ascii="Arial" w:cs="Arial" w:eastAsia="Arial" w:hAnsi="Arial"/>
                <w:sz w:val="18"/>
                <w:szCs w:val="18"/>
                <w:color w:val="auto"/>
              </w:rPr>
              <w:t>Other</w:t>
            </w:r>
          </w:p>
        </w:tc>
        <w:tc>
          <w:tcPr>
            <w:tcW w:w="2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852</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629</w:t>
            </w:r>
          </w:p>
        </w:tc>
      </w:tr>
      <w:tr>
        <w:trPr>
          <w:trHeight w:val="27"/>
        </w:trPr>
        <w:tc>
          <w:tcPr>
            <w:tcW w:w="68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44"/>
        </w:trPr>
        <w:tc>
          <w:tcPr>
            <w:tcW w:w="68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611,648</w:t>
            </w:r>
          </w:p>
        </w:tc>
        <w:tc>
          <w:tcPr>
            <w:tcW w:w="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358,945</w:t>
            </w:r>
          </w:p>
        </w:tc>
      </w:tr>
      <w:tr>
        <w:trPr>
          <w:trHeight w:val="243"/>
        </w:trPr>
        <w:tc>
          <w:tcPr>
            <w:tcW w:w="6820" w:type="dxa"/>
            <w:vAlign w:val="bottom"/>
          </w:tcPr>
          <w:p>
            <w:pPr>
              <w:ind w:left="20"/>
              <w:spacing w:after="0"/>
              <w:rPr>
                <w:sz w:val="20"/>
                <w:szCs w:val="20"/>
                <w:color w:val="auto"/>
              </w:rPr>
            </w:pPr>
            <w:r>
              <w:rPr>
                <w:rFonts w:ascii="Arial" w:cs="Arial" w:eastAsia="Arial" w:hAnsi="Arial"/>
                <w:sz w:val="18"/>
                <w:szCs w:val="18"/>
                <w:color w:val="auto"/>
              </w:rPr>
              <w:t>Accumulated depreciation</w:t>
            </w:r>
          </w:p>
        </w:tc>
        <w:tc>
          <w:tcPr>
            <w:tcW w:w="2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(232,156)</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(214,020)</w:t>
            </w:r>
          </w:p>
        </w:tc>
      </w:tr>
      <w:tr>
        <w:trPr>
          <w:trHeight w:val="27"/>
        </w:trPr>
        <w:tc>
          <w:tcPr>
            <w:tcW w:w="68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57"/>
        </w:trPr>
        <w:tc>
          <w:tcPr>
            <w:tcW w:w="6820" w:type="dxa"/>
            <w:vAlign w:val="bottom"/>
            <w:shd w:val="clear" w:color="auto" w:fill="CCEEFF"/>
          </w:tcPr>
          <w:p>
            <w:pPr>
              <w:ind w:left="260"/>
              <w:spacing w:after="0"/>
              <w:rPr>
                <w:sz w:val="20"/>
                <w:szCs w:val="20"/>
                <w:color w:val="auto"/>
              </w:rPr>
            </w:pPr>
            <w:r>
              <w:rPr>
                <w:rFonts w:ascii="Arial" w:cs="Arial" w:eastAsia="Arial" w:hAnsi="Arial"/>
                <w:sz w:val="18"/>
                <w:szCs w:val="18"/>
                <w:color w:val="auto"/>
              </w:rPr>
              <w:t>Total</w:t>
            </w:r>
          </w:p>
        </w:tc>
        <w:tc>
          <w:tcPr>
            <w:tcW w:w="2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379,492</w:t>
            </w:r>
          </w:p>
        </w:tc>
        <w:tc>
          <w:tcPr>
            <w:tcW w:w="36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144,925</w:t>
            </w:r>
          </w:p>
        </w:tc>
      </w:tr>
      <w:tr>
        <w:trPr>
          <w:trHeight w:val="20"/>
        </w:trPr>
        <w:tc>
          <w:tcPr>
            <w:tcW w:w="68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385"/>
        <w:spacing w:after="0"/>
        <w:rPr>
          <w:sz w:val="20"/>
          <w:szCs w:val="20"/>
          <w:color w:val="auto"/>
        </w:rPr>
      </w:pPr>
      <w:r>
        <w:rPr>
          <w:rFonts w:ascii="Arial" w:cs="Arial" w:eastAsia="Arial" w:hAnsi="Arial"/>
          <w:sz w:val="18"/>
          <w:szCs w:val="18"/>
          <w:color w:val="auto"/>
        </w:rPr>
        <w:t>Depreciation expense for property, plant and equipment was as follows (in thousands):</w:t>
      </w:r>
    </w:p>
    <w:p>
      <w:pPr>
        <w:spacing w:after="0" w:line="163" w:lineRule="exact"/>
        <w:rPr>
          <w:sz w:val="20"/>
          <w:szCs w:val="20"/>
          <w:color w:val="auto"/>
        </w:rPr>
      </w:pPr>
    </w:p>
    <w:tbl>
      <w:tblPr>
        <w:tblLayout w:type="fixed"/>
        <w:tblInd w:w="385" w:type="dxa"/>
        <w:tblCellMar>
          <w:top w:w="0" w:type="dxa"/>
          <w:left w:w="0" w:type="dxa"/>
          <w:bottom w:w="0" w:type="dxa"/>
          <w:right w:w="0" w:type="dxa"/>
        </w:tblCellMar>
      </w:tblPr>
      <w:tr>
        <w:trPr>
          <w:trHeight w:val="192"/>
        </w:trPr>
        <w:tc>
          <w:tcPr>
            <w:tcW w:w="622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gridSpan w:val="2"/>
          </w:tcPr>
          <w:p>
            <w:pPr>
              <w:ind w:left="100"/>
              <w:spacing w:after="0"/>
              <w:rPr>
                <w:sz w:val="20"/>
                <w:szCs w:val="20"/>
                <w:color w:val="auto"/>
              </w:rPr>
            </w:pPr>
            <w:r>
              <w:rPr>
                <w:rFonts w:ascii="Arial" w:cs="Arial" w:eastAsia="Arial" w:hAnsi="Arial"/>
                <w:sz w:val="14"/>
                <w:szCs w:val="14"/>
                <w:b w:val="1"/>
                <w:bCs w:val="1"/>
                <w:color w:val="auto"/>
              </w:rPr>
              <w:t>Year Ended</w:t>
            </w:r>
          </w:p>
        </w:tc>
        <w:tc>
          <w:tcPr>
            <w:tcW w:w="22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r>
      <w:tr>
        <w:trPr>
          <w:trHeight w:val="152"/>
        </w:trPr>
        <w:tc>
          <w:tcPr>
            <w:tcW w:w="62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60" w:type="dxa"/>
            <w:vAlign w:val="bottom"/>
            <w:gridSpan w:val="2"/>
          </w:tcPr>
          <w:p>
            <w:pPr>
              <w:jc w:val="center"/>
              <w:ind w:right="360"/>
              <w:spacing w:after="0" w:line="153" w:lineRule="exact"/>
              <w:rPr>
                <w:sz w:val="20"/>
                <w:szCs w:val="20"/>
                <w:color w:val="auto"/>
              </w:rPr>
            </w:pPr>
            <w:r>
              <w:rPr>
                <w:rFonts w:ascii="Arial" w:cs="Arial" w:eastAsia="Arial" w:hAnsi="Arial"/>
                <w:sz w:val="14"/>
                <w:szCs w:val="14"/>
                <w:b w:val="1"/>
                <w:bCs w:val="1"/>
                <w:color w:val="auto"/>
                <w:w w:val="95"/>
              </w:rPr>
              <w:t>January 1,</w:t>
            </w:r>
          </w:p>
        </w:tc>
        <w:tc>
          <w:tcPr>
            <w:tcW w:w="220" w:type="dxa"/>
            <w:vAlign w:val="bottom"/>
          </w:tcPr>
          <w:p>
            <w:pPr>
              <w:spacing w:after="0"/>
              <w:rPr>
                <w:sz w:val="13"/>
                <w:szCs w:val="13"/>
                <w:color w:val="auto"/>
              </w:rPr>
            </w:pPr>
          </w:p>
        </w:tc>
        <w:tc>
          <w:tcPr>
            <w:tcW w:w="1240" w:type="dxa"/>
            <w:vAlign w:val="bottom"/>
            <w:gridSpan w:val="2"/>
          </w:tcPr>
          <w:p>
            <w:pPr>
              <w:ind w:left="100"/>
              <w:spacing w:after="0" w:line="153" w:lineRule="exact"/>
              <w:rPr>
                <w:sz w:val="20"/>
                <w:szCs w:val="20"/>
                <w:color w:val="auto"/>
              </w:rPr>
            </w:pPr>
            <w:r>
              <w:rPr>
                <w:rFonts w:ascii="Arial" w:cs="Arial" w:eastAsia="Arial" w:hAnsi="Arial"/>
                <w:sz w:val="14"/>
                <w:szCs w:val="14"/>
                <w:b w:val="1"/>
                <w:bCs w:val="1"/>
                <w:color w:val="auto"/>
              </w:rPr>
              <w:t>January 2,</w:t>
            </w:r>
          </w:p>
        </w:tc>
        <w:tc>
          <w:tcPr>
            <w:tcW w:w="220" w:type="dxa"/>
            <w:vAlign w:val="bottom"/>
          </w:tcPr>
          <w:p>
            <w:pPr>
              <w:spacing w:after="0"/>
              <w:rPr>
                <w:sz w:val="13"/>
                <w:szCs w:val="13"/>
                <w:color w:val="auto"/>
              </w:rPr>
            </w:pPr>
          </w:p>
        </w:tc>
        <w:tc>
          <w:tcPr>
            <w:tcW w:w="1140" w:type="dxa"/>
            <w:vAlign w:val="bottom"/>
          </w:tcPr>
          <w:p>
            <w:pPr>
              <w:jc w:val="center"/>
              <w:ind w:right="162"/>
              <w:spacing w:after="0" w:line="153" w:lineRule="exact"/>
              <w:rPr>
                <w:sz w:val="20"/>
                <w:szCs w:val="20"/>
                <w:color w:val="auto"/>
              </w:rPr>
            </w:pPr>
            <w:r>
              <w:rPr>
                <w:rFonts w:ascii="Arial" w:cs="Arial" w:eastAsia="Arial" w:hAnsi="Arial"/>
                <w:sz w:val="14"/>
                <w:szCs w:val="14"/>
                <w:b w:val="1"/>
                <w:bCs w:val="1"/>
                <w:color w:val="auto"/>
                <w:w w:val="95"/>
              </w:rPr>
              <w:t>January 3,</w:t>
            </w:r>
          </w:p>
        </w:tc>
      </w:tr>
      <w:tr>
        <w:trPr>
          <w:trHeight w:val="192"/>
        </w:trPr>
        <w:tc>
          <w:tcPr>
            <w:tcW w:w="622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462"/>
              <w:spacing w:after="0"/>
              <w:rPr>
                <w:sz w:val="20"/>
                <w:szCs w:val="20"/>
                <w:color w:val="auto"/>
              </w:rPr>
            </w:pPr>
            <w:r>
              <w:rPr>
                <w:rFonts w:ascii="Arial" w:cs="Arial" w:eastAsia="Arial" w:hAnsi="Arial"/>
                <w:sz w:val="14"/>
                <w:szCs w:val="14"/>
                <w:b w:val="1"/>
                <w:bCs w:val="1"/>
                <w:color w:val="auto"/>
              </w:rPr>
              <w:t>2016</w:t>
            </w:r>
          </w:p>
        </w:tc>
        <w:tc>
          <w:tcPr>
            <w:tcW w:w="12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464"/>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462"/>
              <w:spacing w:after="0"/>
              <w:rPr>
                <w:sz w:val="20"/>
                <w:szCs w:val="20"/>
                <w:color w:val="auto"/>
              </w:rPr>
            </w:pPr>
            <w:r>
              <w:rPr>
                <w:rFonts w:ascii="Arial" w:cs="Arial" w:eastAsia="Arial" w:hAnsi="Arial"/>
                <w:sz w:val="14"/>
                <w:szCs w:val="14"/>
                <w:b w:val="1"/>
                <w:bCs w:val="1"/>
                <w:color w:val="auto"/>
              </w:rPr>
              <w:t>2014</w:t>
            </w:r>
          </w:p>
        </w:tc>
      </w:tr>
      <w:tr>
        <w:trPr>
          <w:trHeight w:val="243"/>
        </w:trPr>
        <w:tc>
          <w:tcPr>
            <w:tcW w:w="6220" w:type="dxa"/>
            <w:vAlign w:val="bottom"/>
            <w:shd w:val="clear" w:color="auto" w:fill="CCEEFF"/>
          </w:tcPr>
          <w:p>
            <w:pPr>
              <w:ind w:left="20"/>
              <w:spacing w:after="0"/>
              <w:rPr>
                <w:sz w:val="20"/>
                <w:szCs w:val="20"/>
                <w:color w:val="auto"/>
              </w:rPr>
            </w:pPr>
            <w:r>
              <w:rPr>
                <w:rFonts w:ascii="Arial" w:cs="Arial" w:eastAsia="Arial" w:hAnsi="Arial"/>
                <w:sz w:val="18"/>
                <w:szCs w:val="18"/>
                <w:color w:val="auto"/>
              </w:rPr>
              <w:t>Depreciation expense</w:t>
            </w:r>
          </w:p>
        </w:tc>
        <w:tc>
          <w:tcPr>
            <w:tcW w:w="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140" w:type="dxa"/>
            <w:vAlign w:val="bottom"/>
            <w:shd w:val="clear" w:color="auto" w:fill="CCEEFF"/>
          </w:tcPr>
          <w:p>
            <w:pPr>
              <w:jc w:val="right"/>
              <w:ind w:right="22"/>
              <w:spacing w:after="0"/>
              <w:rPr>
                <w:sz w:val="20"/>
                <w:szCs w:val="20"/>
                <w:color w:val="auto"/>
              </w:rPr>
            </w:pPr>
            <w:r>
              <w:rPr>
                <w:rFonts w:ascii="Arial" w:cs="Arial" w:eastAsia="Arial" w:hAnsi="Arial"/>
                <w:sz w:val="18"/>
                <w:szCs w:val="18"/>
                <w:color w:val="auto"/>
              </w:rPr>
              <w:t>27,136</w:t>
            </w:r>
          </w:p>
        </w:tc>
        <w:tc>
          <w:tcPr>
            <w:tcW w:w="120" w:type="dxa"/>
            <w:vAlign w:val="bottom"/>
            <w:shd w:val="clear" w:color="auto" w:fill="CCEEFF"/>
          </w:tcPr>
          <w:p>
            <w:pPr>
              <w:spacing w:after="0"/>
              <w:rPr>
                <w:sz w:val="21"/>
                <w:szCs w:val="21"/>
                <w:color w:val="auto"/>
              </w:rPr>
            </w:pP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140" w:type="dxa"/>
            <w:vAlign w:val="bottom"/>
            <w:shd w:val="clear" w:color="auto" w:fill="CCEEFF"/>
          </w:tcPr>
          <w:p>
            <w:pPr>
              <w:jc w:val="right"/>
              <w:ind w:right="24"/>
              <w:spacing w:after="0"/>
              <w:rPr>
                <w:sz w:val="20"/>
                <w:szCs w:val="20"/>
                <w:color w:val="auto"/>
              </w:rPr>
            </w:pPr>
            <w:r>
              <w:rPr>
                <w:rFonts w:ascii="Arial" w:cs="Arial" w:eastAsia="Arial" w:hAnsi="Arial"/>
                <w:sz w:val="18"/>
                <w:szCs w:val="18"/>
                <w:color w:val="auto"/>
              </w:rPr>
              <w:t>23,320</w:t>
            </w:r>
          </w:p>
        </w:tc>
        <w:tc>
          <w:tcPr>
            <w:tcW w:w="100" w:type="dxa"/>
            <w:vAlign w:val="bottom"/>
            <w:shd w:val="clear" w:color="auto" w:fill="CCEEFF"/>
          </w:tcPr>
          <w:p>
            <w:pPr>
              <w:spacing w:after="0"/>
              <w:rPr>
                <w:sz w:val="21"/>
                <w:szCs w:val="21"/>
                <w:color w:val="auto"/>
              </w:rPr>
            </w:pPr>
          </w:p>
        </w:tc>
        <w:tc>
          <w:tcPr>
            <w:tcW w:w="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140" w:type="dxa"/>
            <w:vAlign w:val="bottom"/>
            <w:shd w:val="clear" w:color="auto" w:fill="CCEEFF"/>
          </w:tcPr>
          <w:p>
            <w:pPr>
              <w:jc w:val="right"/>
              <w:ind w:right="2"/>
              <w:spacing w:after="0"/>
              <w:rPr>
                <w:sz w:val="20"/>
                <w:szCs w:val="20"/>
                <w:color w:val="auto"/>
              </w:rPr>
            </w:pPr>
            <w:r>
              <w:rPr>
                <w:rFonts w:ascii="Arial" w:cs="Arial" w:eastAsia="Arial" w:hAnsi="Arial"/>
                <w:sz w:val="18"/>
                <w:szCs w:val="18"/>
                <w:color w:val="auto"/>
              </w:rPr>
              <w:t>22,799</w:t>
            </w:r>
          </w:p>
        </w:tc>
      </w:tr>
      <w:tr>
        <w:trPr>
          <w:trHeight w:val="27"/>
        </w:trPr>
        <w:tc>
          <w:tcPr>
            <w:tcW w:w="622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14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1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140" w:type="dxa"/>
            <w:vAlign w:val="bottom"/>
            <w:shd w:val="clear" w:color="auto" w:fill="CCEEFF"/>
          </w:tcPr>
          <w:p>
            <w:pPr>
              <w:spacing w:after="0"/>
              <w:rPr>
                <w:sz w:val="2"/>
                <w:szCs w:val="2"/>
                <w:color w:val="auto"/>
              </w:rPr>
            </w:pPr>
          </w:p>
        </w:tc>
      </w:tr>
    </w:tbl>
    <w:p>
      <w:pPr>
        <w:spacing w:after="0" w:line="202" w:lineRule="exact"/>
        <w:rPr>
          <w:sz w:val="20"/>
          <w:szCs w:val="20"/>
          <w:color w:val="auto"/>
        </w:rPr>
      </w:pPr>
    </w:p>
    <w:p>
      <w:pPr>
        <w:ind w:left="385"/>
        <w:spacing w:after="0" w:line="259" w:lineRule="auto"/>
        <w:rPr>
          <w:sz w:val="20"/>
          <w:szCs w:val="20"/>
          <w:color w:val="auto"/>
        </w:rPr>
      </w:pPr>
      <w:r>
        <w:rPr>
          <w:rFonts w:ascii="Arial" w:cs="Arial" w:eastAsia="Arial" w:hAnsi="Arial"/>
          <w:sz w:val="18"/>
          <w:szCs w:val="18"/>
          <w:color w:val="auto"/>
        </w:rPr>
        <w:t>Construction work in process at January 1, 2016 and January 2, 2015 includes asset purchases related to the Company’s 2014 investment in capacity and capabilities initiatives. Additionally, construction work in process also relates to routine purchases of machinery, equipment, and information technology assets to support normal recurring operations. Refer to Note 13 “Other Operating Expenses, Net” for a description of the Company’s significant capital investment projects.</w:t>
      </w:r>
    </w:p>
    <w:p>
      <w:pPr>
        <w:spacing w:after="0" w:line="237" w:lineRule="exact"/>
        <w:rPr>
          <w:sz w:val="20"/>
          <w:szCs w:val="20"/>
          <w:color w:val="auto"/>
        </w:rPr>
      </w:pPr>
    </w:p>
    <w:p>
      <w:pPr>
        <w:ind w:left="365" w:hanging="365"/>
        <w:spacing w:after="0"/>
        <w:tabs>
          <w:tab w:leader="none" w:pos="365" w:val="left"/>
        </w:tabs>
        <w:numPr>
          <w:ilvl w:val="0"/>
          <w:numId w:val="39"/>
        </w:numPr>
        <w:rPr>
          <w:rFonts w:ascii="Arial" w:cs="Arial" w:eastAsia="Arial" w:hAnsi="Arial"/>
          <w:sz w:val="18"/>
          <w:szCs w:val="18"/>
          <w:b w:val="1"/>
          <w:bCs w:val="1"/>
          <w:color w:val="auto"/>
        </w:rPr>
      </w:pPr>
      <w:r>
        <w:rPr>
          <w:rFonts w:ascii="Arial" w:cs="Arial" w:eastAsia="Arial" w:hAnsi="Arial"/>
          <w:sz w:val="18"/>
          <w:szCs w:val="18"/>
          <w:b w:val="1"/>
          <w:bCs w:val="1"/>
          <w:color w:val="auto"/>
        </w:rPr>
        <w:t>INTANGIBLE ASSETS</w:t>
      </w:r>
    </w:p>
    <w:p>
      <w:pPr>
        <w:spacing w:after="0" w:line="148" w:lineRule="exact"/>
        <w:rPr>
          <w:rFonts w:ascii="Arial" w:cs="Arial" w:eastAsia="Arial" w:hAnsi="Arial"/>
          <w:sz w:val="18"/>
          <w:szCs w:val="18"/>
          <w:b w:val="1"/>
          <w:bCs w:val="1"/>
          <w:color w:val="auto"/>
        </w:rPr>
      </w:pPr>
    </w:p>
    <w:p>
      <w:pPr>
        <w:ind w:left="385"/>
        <w:spacing w:after="0"/>
        <w:rPr>
          <w:rFonts w:ascii="Arial" w:cs="Arial" w:eastAsia="Arial" w:hAnsi="Arial"/>
          <w:sz w:val="18"/>
          <w:szCs w:val="18"/>
          <w:b w:val="1"/>
          <w:bCs w:val="1"/>
          <w:color w:val="auto"/>
        </w:rPr>
      </w:pPr>
      <w:r>
        <w:rPr>
          <w:rFonts w:ascii="Arial" w:cs="Arial" w:eastAsia="Arial" w:hAnsi="Arial"/>
          <w:sz w:val="18"/>
          <w:szCs w:val="18"/>
          <w:color w:val="auto"/>
        </w:rPr>
        <w:t>Amortizing intangible assets, net are comprised of the following (in thousands):</w:t>
      </w:r>
    </w:p>
    <w:p>
      <w:pPr>
        <w:spacing w:after="0" w:line="150" w:lineRule="exact"/>
        <w:rPr>
          <w:sz w:val="20"/>
          <w:szCs w:val="20"/>
          <w:color w:val="auto"/>
        </w:rPr>
      </w:pPr>
    </w:p>
    <w:tbl>
      <w:tblPr>
        <w:tblLayout w:type="fixed"/>
        <w:tblInd w:w="385" w:type="dxa"/>
        <w:tblCellMar>
          <w:top w:w="0" w:type="dxa"/>
          <w:left w:w="0" w:type="dxa"/>
          <w:bottom w:w="0" w:type="dxa"/>
          <w:right w:w="0" w:type="dxa"/>
        </w:tblCellMar>
      </w:tblPr>
      <w:tr>
        <w:trPr>
          <w:trHeight w:val="161"/>
        </w:trPr>
        <w:tc>
          <w:tcPr>
            <w:tcW w:w="47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4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88"/>
              </w:rPr>
              <w:t>Gross</w:t>
            </w:r>
          </w:p>
        </w:tc>
        <w:tc>
          <w:tcPr>
            <w:tcW w:w="180" w:type="dxa"/>
            <w:vAlign w:val="bottom"/>
          </w:tcPr>
          <w:p>
            <w:pPr>
              <w:spacing w:after="0"/>
              <w:rPr>
                <w:sz w:val="14"/>
                <w:szCs w:val="14"/>
                <w:color w:val="auto"/>
              </w:rPr>
            </w:pPr>
          </w:p>
        </w:tc>
        <w:tc>
          <w:tcPr>
            <w:tcW w:w="128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Accumulated</w:t>
            </w:r>
          </w:p>
        </w:tc>
        <w:tc>
          <w:tcPr>
            <w:tcW w:w="220" w:type="dxa"/>
            <w:vAlign w:val="bottom"/>
          </w:tcPr>
          <w:p>
            <w:pPr>
              <w:spacing w:after="0"/>
              <w:rPr>
                <w:sz w:val="14"/>
                <w:szCs w:val="14"/>
                <w:color w:val="auto"/>
              </w:rPr>
            </w:pPr>
          </w:p>
        </w:tc>
        <w:tc>
          <w:tcPr>
            <w:tcW w:w="126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3"/>
              </w:rPr>
              <w:t>Foreign</w:t>
            </w:r>
          </w:p>
        </w:tc>
        <w:tc>
          <w:tcPr>
            <w:tcW w:w="260" w:type="dxa"/>
            <w:vAlign w:val="bottom"/>
          </w:tcPr>
          <w:p>
            <w:pPr>
              <w:spacing w:after="0"/>
              <w:rPr>
                <w:sz w:val="14"/>
                <w:szCs w:val="14"/>
                <w:color w:val="auto"/>
              </w:rPr>
            </w:pPr>
          </w:p>
        </w:tc>
        <w:tc>
          <w:tcPr>
            <w:tcW w:w="1100" w:type="dxa"/>
            <w:vAlign w:val="bottom"/>
          </w:tcPr>
          <w:p>
            <w:pPr>
              <w:jc w:val="center"/>
              <w:ind w:right="175"/>
              <w:spacing w:after="0"/>
              <w:rPr>
                <w:sz w:val="20"/>
                <w:szCs w:val="20"/>
                <w:color w:val="auto"/>
              </w:rPr>
            </w:pPr>
            <w:r>
              <w:rPr>
                <w:rFonts w:ascii="Arial" w:cs="Arial" w:eastAsia="Arial" w:hAnsi="Arial"/>
                <w:sz w:val="14"/>
                <w:szCs w:val="14"/>
                <w:b w:val="1"/>
                <w:bCs w:val="1"/>
                <w:color w:val="auto"/>
                <w:w w:val="88"/>
              </w:rPr>
              <w:t>Net</w:t>
            </w:r>
          </w:p>
        </w:tc>
        <w:tc>
          <w:tcPr>
            <w:tcW w:w="0" w:type="dxa"/>
            <w:vAlign w:val="bottom"/>
          </w:tcPr>
          <w:p>
            <w:pPr>
              <w:spacing w:after="0"/>
              <w:rPr>
                <w:sz w:val="1"/>
                <w:szCs w:val="1"/>
                <w:color w:val="auto"/>
              </w:rPr>
            </w:pPr>
          </w:p>
        </w:tc>
      </w:tr>
      <w:tr>
        <w:trPr>
          <w:trHeight w:val="149"/>
        </w:trPr>
        <w:tc>
          <w:tcPr>
            <w:tcW w:w="47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4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7"/>
              </w:rPr>
              <w:t>Carrying</w:t>
            </w:r>
          </w:p>
        </w:tc>
        <w:tc>
          <w:tcPr>
            <w:tcW w:w="180" w:type="dxa"/>
            <w:vAlign w:val="bottom"/>
          </w:tcPr>
          <w:p>
            <w:pPr>
              <w:spacing w:after="0"/>
              <w:rPr>
                <w:sz w:val="12"/>
                <w:szCs w:val="12"/>
                <w:color w:val="auto"/>
              </w:rPr>
            </w:pPr>
          </w:p>
        </w:tc>
        <w:tc>
          <w:tcPr>
            <w:tcW w:w="1280" w:type="dxa"/>
            <w:vAlign w:val="bottom"/>
            <w:gridSpan w:val="2"/>
            <w:vMerge w:val="continue"/>
          </w:tcPr>
          <w:p>
            <w:pPr>
              <w:spacing w:after="0"/>
              <w:rPr>
                <w:sz w:val="12"/>
                <w:szCs w:val="12"/>
                <w:color w:val="auto"/>
              </w:rPr>
            </w:pPr>
          </w:p>
        </w:tc>
        <w:tc>
          <w:tcPr>
            <w:tcW w:w="220" w:type="dxa"/>
            <w:vAlign w:val="bottom"/>
          </w:tcPr>
          <w:p>
            <w:pPr>
              <w:spacing w:after="0"/>
              <w:rPr>
                <w:sz w:val="12"/>
                <w:szCs w:val="12"/>
                <w:color w:val="auto"/>
              </w:rPr>
            </w:pPr>
          </w:p>
        </w:tc>
        <w:tc>
          <w:tcPr>
            <w:tcW w:w="126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4"/>
              </w:rPr>
              <w:t>Currency</w:t>
            </w:r>
          </w:p>
        </w:tc>
        <w:tc>
          <w:tcPr>
            <w:tcW w:w="260" w:type="dxa"/>
            <w:vAlign w:val="bottom"/>
          </w:tcPr>
          <w:p>
            <w:pPr>
              <w:spacing w:after="0"/>
              <w:rPr>
                <w:sz w:val="12"/>
                <w:szCs w:val="12"/>
                <w:color w:val="auto"/>
              </w:rPr>
            </w:pPr>
          </w:p>
        </w:tc>
        <w:tc>
          <w:tcPr>
            <w:tcW w:w="1100" w:type="dxa"/>
            <w:vAlign w:val="bottom"/>
          </w:tcPr>
          <w:p>
            <w:pPr>
              <w:jc w:val="center"/>
              <w:ind w:right="175"/>
              <w:spacing w:after="0" w:line="149" w:lineRule="exact"/>
              <w:rPr>
                <w:sz w:val="20"/>
                <w:szCs w:val="20"/>
                <w:color w:val="auto"/>
              </w:rPr>
            </w:pPr>
            <w:r>
              <w:rPr>
                <w:rFonts w:ascii="Arial" w:cs="Arial" w:eastAsia="Arial" w:hAnsi="Arial"/>
                <w:sz w:val="14"/>
                <w:szCs w:val="14"/>
                <w:b w:val="1"/>
                <w:bCs w:val="1"/>
                <w:color w:val="auto"/>
                <w:w w:val="97"/>
              </w:rPr>
              <w:t>Carrying</w:t>
            </w:r>
          </w:p>
        </w:tc>
        <w:tc>
          <w:tcPr>
            <w:tcW w:w="0" w:type="dxa"/>
            <w:vAlign w:val="bottom"/>
          </w:tcPr>
          <w:p>
            <w:pPr>
              <w:spacing w:after="0"/>
              <w:rPr>
                <w:sz w:val="1"/>
                <w:szCs w:val="1"/>
                <w:color w:val="auto"/>
              </w:rPr>
            </w:pPr>
          </w:p>
        </w:tc>
      </w:tr>
      <w:tr>
        <w:trPr>
          <w:trHeight w:val="192"/>
        </w:trPr>
        <w:tc>
          <w:tcPr>
            <w:tcW w:w="47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24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4"/>
              </w:rPr>
              <w:t>Amount</w:t>
            </w:r>
          </w:p>
        </w:tc>
        <w:tc>
          <w:tcPr>
            <w:tcW w:w="180" w:type="dxa"/>
            <w:vAlign w:val="bottom"/>
          </w:tcPr>
          <w:p>
            <w:pPr>
              <w:spacing w:after="0"/>
              <w:rPr>
                <w:sz w:val="16"/>
                <w:szCs w:val="16"/>
                <w:color w:val="auto"/>
              </w:rPr>
            </w:pPr>
          </w:p>
        </w:tc>
        <w:tc>
          <w:tcPr>
            <w:tcW w:w="1280" w:type="dxa"/>
            <w:vAlign w:val="bottom"/>
            <w:gridSpan w:val="2"/>
          </w:tcPr>
          <w:p>
            <w:pPr>
              <w:ind w:left="80"/>
              <w:spacing w:after="0"/>
              <w:rPr>
                <w:sz w:val="20"/>
                <w:szCs w:val="20"/>
                <w:color w:val="auto"/>
              </w:rPr>
            </w:pPr>
            <w:r>
              <w:rPr>
                <w:rFonts w:ascii="Arial" w:cs="Arial" w:eastAsia="Arial" w:hAnsi="Arial"/>
                <w:sz w:val="14"/>
                <w:szCs w:val="14"/>
                <w:b w:val="1"/>
                <w:bCs w:val="1"/>
                <w:color w:val="auto"/>
              </w:rPr>
              <w:t>Amortization</w:t>
            </w:r>
          </w:p>
        </w:tc>
        <w:tc>
          <w:tcPr>
            <w:tcW w:w="220" w:type="dxa"/>
            <w:vAlign w:val="bottom"/>
          </w:tcPr>
          <w:p>
            <w:pPr>
              <w:spacing w:after="0"/>
              <w:rPr>
                <w:sz w:val="16"/>
                <w:szCs w:val="16"/>
                <w:color w:val="auto"/>
              </w:rPr>
            </w:pPr>
          </w:p>
        </w:tc>
        <w:tc>
          <w:tcPr>
            <w:tcW w:w="126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2"/>
              </w:rPr>
              <w:t>Translation</w:t>
            </w:r>
          </w:p>
        </w:tc>
        <w:tc>
          <w:tcPr>
            <w:tcW w:w="260" w:type="dxa"/>
            <w:vAlign w:val="bottom"/>
          </w:tcPr>
          <w:p>
            <w:pPr>
              <w:spacing w:after="0"/>
              <w:rPr>
                <w:sz w:val="16"/>
                <w:szCs w:val="16"/>
                <w:color w:val="auto"/>
              </w:rPr>
            </w:pPr>
          </w:p>
        </w:tc>
        <w:tc>
          <w:tcPr>
            <w:tcW w:w="1100" w:type="dxa"/>
            <w:vAlign w:val="bottom"/>
          </w:tcPr>
          <w:p>
            <w:pPr>
              <w:jc w:val="center"/>
              <w:ind w:right="175"/>
              <w:spacing w:after="0"/>
              <w:rPr>
                <w:sz w:val="20"/>
                <w:szCs w:val="20"/>
                <w:color w:val="auto"/>
              </w:rPr>
            </w:pPr>
            <w:r>
              <w:rPr>
                <w:rFonts w:ascii="Arial" w:cs="Arial" w:eastAsia="Arial" w:hAnsi="Arial"/>
                <w:sz w:val="14"/>
                <w:szCs w:val="14"/>
                <w:b w:val="1"/>
                <w:bCs w:val="1"/>
                <w:color w:val="auto"/>
                <w:w w:val="98"/>
              </w:rPr>
              <w:t>Amount</w:t>
            </w:r>
          </w:p>
        </w:tc>
        <w:tc>
          <w:tcPr>
            <w:tcW w:w="0" w:type="dxa"/>
            <w:vAlign w:val="bottom"/>
          </w:tcPr>
          <w:p>
            <w:pPr>
              <w:spacing w:after="0"/>
              <w:rPr>
                <w:sz w:val="1"/>
                <w:szCs w:val="1"/>
                <w:color w:val="auto"/>
              </w:rPr>
            </w:pPr>
          </w:p>
        </w:tc>
      </w:tr>
      <w:tr>
        <w:trPr>
          <w:trHeight w:val="250"/>
        </w:trPr>
        <w:tc>
          <w:tcPr>
            <w:tcW w:w="472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At January 1, 2016</w:t>
            </w:r>
          </w:p>
        </w:tc>
        <w:tc>
          <w:tcPr>
            <w:tcW w:w="240" w:type="dxa"/>
            <w:vAlign w:val="bottom"/>
            <w:tcBorders>
              <w:top w:val="single" w:sz="8" w:color="auto"/>
              <w:bottom w:val="single" w:sz="8" w:color="CCEEFF"/>
            </w:tcBorders>
            <w:shd w:val="clear" w:color="auto" w:fill="CCEEFF"/>
          </w:tcPr>
          <w:p>
            <w:pPr>
              <w:spacing w:after="0"/>
              <w:rPr>
                <w:sz w:val="21"/>
                <w:szCs w:val="21"/>
                <w:color w:val="auto"/>
              </w:rPr>
            </w:pPr>
          </w:p>
        </w:tc>
        <w:tc>
          <w:tcPr>
            <w:tcW w:w="112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11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CCEEFF"/>
            </w:tcBorders>
            <w:shd w:val="clear" w:color="auto" w:fill="CCEEFF"/>
          </w:tcPr>
          <w:p>
            <w:pPr>
              <w:spacing w:after="0"/>
              <w:rPr>
                <w:sz w:val="21"/>
                <w:szCs w:val="21"/>
                <w:color w:val="auto"/>
              </w:rPr>
            </w:pPr>
          </w:p>
        </w:tc>
        <w:tc>
          <w:tcPr>
            <w:tcW w:w="114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CCEEFF"/>
            </w:tcBorders>
            <w:shd w:val="clear" w:color="auto" w:fill="CCEEFF"/>
          </w:tcPr>
          <w:p>
            <w:pPr>
              <w:spacing w:after="0"/>
              <w:rPr>
                <w:sz w:val="21"/>
                <w:szCs w:val="21"/>
                <w:color w:val="auto"/>
              </w:rPr>
            </w:pPr>
          </w:p>
        </w:tc>
        <w:tc>
          <w:tcPr>
            <w:tcW w:w="110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720" w:type="dxa"/>
            <w:vAlign w:val="bottom"/>
          </w:tcPr>
          <w:p>
            <w:pPr>
              <w:ind w:left="20"/>
              <w:spacing w:after="0"/>
              <w:rPr>
                <w:sz w:val="20"/>
                <w:szCs w:val="20"/>
                <w:color w:val="auto"/>
              </w:rPr>
            </w:pPr>
            <w:r>
              <w:rPr>
                <w:rFonts w:ascii="Arial" w:cs="Arial" w:eastAsia="Arial" w:hAnsi="Arial"/>
                <w:sz w:val="18"/>
                <w:szCs w:val="18"/>
                <w:color w:val="auto"/>
              </w:rPr>
              <w:t>Purchased technology and patents</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255,776</w:t>
            </w:r>
          </w:p>
        </w:tc>
        <w:tc>
          <w:tcPr>
            <w:tcW w:w="12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(83,708)</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1,444</w:t>
            </w:r>
          </w:p>
        </w:tc>
        <w:tc>
          <w:tcPr>
            <w:tcW w:w="12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15"/>
              <w:spacing w:after="0"/>
              <w:rPr>
                <w:sz w:val="20"/>
                <w:szCs w:val="20"/>
                <w:color w:val="auto"/>
              </w:rPr>
            </w:pPr>
            <w:r>
              <w:rPr>
                <w:rFonts w:ascii="Arial" w:cs="Arial" w:eastAsia="Arial" w:hAnsi="Arial"/>
                <w:sz w:val="18"/>
                <w:szCs w:val="18"/>
                <w:color w:val="auto"/>
              </w:rPr>
              <w:t>173,512</w:t>
            </w:r>
          </w:p>
        </w:tc>
        <w:tc>
          <w:tcPr>
            <w:tcW w:w="0" w:type="dxa"/>
            <w:vAlign w:val="bottom"/>
          </w:tcPr>
          <w:p>
            <w:pPr>
              <w:spacing w:after="0"/>
              <w:rPr>
                <w:sz w:val="1"/>
                <w:szCs w:val="1"/>
                <w:color w:val="auto"/>
              </w:rPr>
            </w:pPr>
          </w:p>
        </w:tc>
      </w:tr>
      <w:tr>
        <w:trPr>
          <w:trHeight w:val="27"/>
        </w:trPr>
        <w:tc>
          <w:tcPr>
            <w:tcW w:w="47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Customer lists</w:t>
            </w: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761,857</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(40,815)</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(986)</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720,056</w:t>
            </w:r>
          </w:p>
        </w:tc>
        <w:tc>
          <w:tcPr>
            <w:tcW w:w="0" w:type="dxa"/>
            <w:vAlign w:val="bottom"/>
          </w:tcPr>
          <w:p>
            <w:pPr>
              <w:spacing w:after="0"/>
              <w:rPr>
                <w:sz w:val="1"/>
                <w:szCs w:val="1"/>
                <w:color w:val="auto"/>
              </w:rPr>
            </w:pPr>
          </w:p>
        </w:tc>
      </w:tr>
      <w:tr>
        <w:trPr>
          <w:trHeight w:val="243"/>
        </w:trPr>
        <w:tc>
          <w:tcPr>
            <w:tcW w:w="4720" w:type="dxa"/>
            <w:vAlign w:val="bottom"/>
          </w:tcPr>
          <w:p>
            <w:pPr>
              <w:ind w:left="20"/>
              <w:spacing w:after="0"/>
              <w:rPr>
                <w:sz w:val="20"/>
                <w:szCs w:val="20"/>
                <w:color w:val="auto"/>
              </w:rPr>
            </w:pPr>
            <w:r>
              <w:rPr>
                <w:rFonts w:ascii="Arial" w:cs="Arial" w:eastAsia="Arial" w:hAnsi="Arial"/>
                <w:sz w:val="18"/>
                <w:szCs w:val="18"/>
                <w:color w:val="auto"/>
              </w:rPr>
              <w:t>Other</w:t>
            </w:r>
          </w:p>
        </w:tc>
        <w:tc>
          <w:tcPr>
            <w:tcW w:w="24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4,534</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(4,946)</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821</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00" w:type="dxa"/>
            <w:vAlign w:val="bottom"/>
          </w:tcPr>
          <w:p>
            <w:pPr>
              <w:jc w:val="right"/>
              <w:ind w:right="15"/>
              <w:spacing w:after="0"/>
              <w:rPr>
                <w:sz w:val="20"/>
                <w:szCs w:val="20"/>
                <w:color w:val="auto"/>
              </w:rPr>
            </w:pPr>
            <w:r>
              <w:rPr>
                <w:rFonts w:ascii="Arial" w:cs="Arial" w:eastAsia="Arial" w:hAnsi="Arial"/>
                <w:sz w:val="18"/>
                <w:szCs w:val="18"/>
                <w:color w:val="auto"/>
              </w:rPr>
              <w:t>409</w:t>
            </w:r>
          </w:p>
        </w:tc>
        <w:tc>
          <w:tcPr>
            <w:tcW w:w="0" w:type="dxa"/>
            <w:vAlign w:val="bottom"/>
          </w:tcPr>
          <w:p>
            <w:pPr>
              <w:spacing w:after="0"/>
              <w:rPr>
                <w:sz w:val="1"/>
                <w:szCs w:val="1"/>
                <w:color w:val="auto"/>
              </w:rPr>
            </w:pPr>
          </w:p>
        </w:tc>
      </w:tr>
      <w:tr>
        <w:trPr>
          <w:trHeight w:val="27"/>
        </w:trPr>
        <w:tc>
          <w:tcPr>
            <w:tcW w:w="47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7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Total amortizing intangible assets</w:t>
            </w: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1,022,167</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(129,469)</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1,279</w:t>
            </w:r>
          </w:p>
        </w:tc>
        <w:tc>
          <w:tcPr>
            <w:tcW w:w="12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893,977</w:t>
            </w:r>
          </w:p>
        </w:tc>
        <w:tc>
          <w:tcPr>
            <w:tcW w:w="0" w:type="dxa"/>
            <w:vAlign w:val="bottom"/>
          </w:tcPr>
          <w:p>
            <w:pPr>
              <w:spacing w:after="0"/>
              <w:rPr>
                <w:sz w:val="1"/>
                <w:szCs w:val="1"/>
                <w:color w:val="auto"/>
              </w:rPr>
            </w:pPr>
          </w:p>
        </w:tc>
      </w:tr>
      <w:tr>
        <w:trPr>
          <w:trHeight w:val="20"/>
        </w:trPr>
        <w:tc>
          <w:tcPr>
            <w:tcW w:w="4720" w:type="dxa"/>
            <w:vAlign w:val="bottom"/>
            <w:vMerge w:val="restart"/>
          </w:tcPr>
          <w:p>
            <w:pPr>
              <w:ind w:left="20"/>
              <w:spacing w:after="0"/>
              <w:rPr>
                <w:sz w:val="20"/>
                <w:szCs w:val="20"/>
                <w:color w:val="auto"/>
              </w:rPr>
            </w:pPr>
            <w:r>
              <w:rPr>
                <w:rFonts w:ascii="Arial" w:cs="Arial" w:eastAsia="Arial" w:hAnsi="Arial"/>
                <w:sz w:val="18"/>
                <w:szCs w:val="18"/>
                <w:b w:val="1"/>
                <w:bCs w:val="1"/>
                <w:color w:val="auto"/>
              </w:rPr>
              <w:t>At January 2, 2015</w:t>
            </w:r>
          </w:p>
        </w:tc>
        <w:tc>
          <w:tcPr>
            <w:tcW w:w="2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4720" w:type="dxa"/>
            <w:vAlign w:val="bottom"/>
            <w:vMerge w:val="continue"/>
          </w:tcPr>
          <w:p>
            <w:pPr>
              <w:spacing w:after="0"/>
              <w:rPr>
                <w:sz w:val="20"/>
                <w:szCs w:val="20"/>
                <w:color w:val="auto"/>
              </w:rPr>
            </w:pPr>
          </w:p>
        </w:tc>
        <w:tc>
          <w:tcPr>
            <w:tcW w:w="2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47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Purchased technology and patents</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95,776</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(75,894)</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1,966</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21,848</w:t>
            </w:r>
          </w:p>
        </w:tc>
        <w:tc>
          <w:tcPr>
            <w:tcW w:w="0" w:type="dxa"/>
            <w:vAlign w:val="bottom"/>
          </w:tcPr>
          <w:p>
            <w:pPr>
              <w:spacing w:after="0"/>
              <w:rPr>
                <w:sz w:val="1"/>
                <w:szCs w:val="1"/>
                <w:color w:val="auto"/>
              </w:rPr>
            </w:pPr>
          </w:p>
        </w:tc>
      </w:tr>
      <w:tr>
        <w:trPr>
          <w:trHeight w:val="243"/>
        </w:trPr>
        <w:tc>
          <w:tcPr>
            <w:tcW w:w="4720" w:type="dxa"/>
            <w:vAlign w:val="bottom"/>
          </w:tcPr>
          <w:p>
            <w:pPr>
              <w:ind w:left="20"/>
              <w:spacing w:after="0"/>
              <w:rPr>
                <w:sz w:val="20"/>
                <w:szCs w:val="20"/>
                <w:color w:val="auto"/>
              </w:rPr>
            </w:pPr>
            <w:r>
              <w:rPr>
                <w:rFonts w:ascii="Arial" w:cs="Arial" w:eastAsia="Arial" w:hAnsi="Arial"/>
                <w:sz w:val="18"/>
                <w:szCs w:val="18"/>
                <w:color w:val="auto"/>
              </w:rPr>
              <w:t>Customer lists</w:t>
            </w:r>
          </w:p>
        </w:tc>
        <w:tc>
          <w:tcPr>
            <w:tcW w:w="24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72,857</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(31,460)</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1,374</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00" w:type="dxa"/>
            <w:vAlign w:val="bottom"/>
          </w:tcPr>
          <w:p>
            <w:pPr>
              <w:jc w:val="right"/>
              <w:ind w:right="15"/>
              <w:spacing w:after="0"/>
              <w:rPr>
                <w:sz w:val="20"/>
                <w:szCs w:val="20"/>
                <w:color w:val="auto"/>
              </w:rPr>
            </w:pPr>
            <w:r>
              <w:rPr>
                <w:rFonts w:ascii="Arial" w:cs="Arial" w:eastAsia="Arial" w:hAnsi="Arial"/>
                <w:sz w:val="18"/>
                <w:szCs w:val="18"/>
                <w:color w:val="auto"/>
              </w:rPr>
              <w:t>42,771</w:t>
            </w:r>
          </w:p>
        </w:tc>
        <w:tc>
          <w:tcPr>
            <w:tcW w:w="0" w:type="dxa"/>
            <w:vAlign w:val="bottom"/>
          </w:tcPr>
          <w:p>
            <w:pPr>
              <w:spacing w:after="0"/>
              <w:rPr>
                <w:sz w:val="1"/>
                <w:szCs w:val="1"/>
                <w:color w:val="auto"/>
              </w:rPr>
            </w:pPr>
          </w:p>
        </w:tc>
      </w:tr>
      <w:tr>
        <w:trPr>
          <w:trHeight w:val="27"/>
        </w:trPr>
        <w:tc>
          <w:tcPr>
            <w:tcW w:w="47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Other</w:t>
            </w:r>
          </w:p>
        </w:tc>
        <w:tc>
          <w:tcPr>
            <w:tcW w:w="2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4,534</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(4,619)</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803</w:t>
            </w:r>
          </w:p>
        </w:tc>
        <w:tc>
          <w:tcPr>
            <w:tcW w:w="12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718</w:t>
            </w:r>
          </w:p>
        </w:tc>
        <w:tc>
          <w:tcPr>
            <w:tcW w:w="0" w:type="dxa"/>
            <w:vAlign w:val="bottom"/>
          </w:tcPr>
          <w:p>
            <w:pPr>
              <w:spacing w:after="0"/>
              <w:rPr>
                <w:sz w:val="1"/>
                <w:szCs w:val="1"/>
                <w:color w:val="auto"/>
              </w:rPr>
            </w:pPr>
          </w:p>
        </w:tc>
      </w:tr>
      <w:tr>
        <w:trPr>
          <w:trHeight w:val="257"/>
        </w:trPr>
        <w:tc>
          <w:tcPr>
            <w:tcW w:w="4720" w:type="dxa"/>
            <w:vAlign w:val="bottom"/>
          </w:tcPr>
          <w:p>
            <w:pPr>
              <w:ind w:left="260"/>
              <w:spacing w:after="0"/>
              <w:rPr>
                <w:sz w:val="20"/>
                <w:szCs w:val="20"/>
                <w:color w:val="auto"/>
              </w:rPr>
            </w:pPr>
            <w:r>
              <w:rPr>
                <w:rFonts w:ascii="Arial" w:cs="Arial" w:eastAsia="Arial" w:hAnsi="Arial"/>
                <w:sz w:val="18"/>
                <w:szCs w:val="18"/>
                <w:color w:val="auto"/>
              </w:rPr>
              <w:t>Total amortizing intangible assets</w:t>
            </w: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color w:val="auto"/>
              </w:rPr>
              <w:t>173,167</w:t>
            </w:r>
          </w:p>
        </w:tc>
        <w:tc>
          <w:tcPr>
            <w:tcW w:w="12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(111,973)</w:t>
            </w:r>
          </w:p>
        </w:tc>
        <w:tc>
          <w:tcPr>
            <w:tcW w:w="100" w:type="dxa"/>
            <w:vAlign w:val="bottom"/>
          </w:tcPr>
          <w:p>
            <w:pPr>
              <w:spacing w:after="0"/>
              <w:rPr>
                <w:sz w:val="22"/>
                <w:szCs w:val="22"/>
                <w:color w:val="auto"/>
              </w:rPr>
            </w:pP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4,143</w:t>
            </w:r>
          </w:p>
        </w:tc>
        <w:tc>
          <w:tcPr>
            <w:tcW w:w="120" w:type="dxa"/>
            <w:vAlign w:val="bottom"/>
          </w:tcPr>
          <w:p>
            <w:pPr>
              <w:spacing w:after="0"/>
              <w:rPr>
                <w:sz w:val="22"/>
                <w:szCs w:val="22"/>
                <w:color w:val="auto"/>
              </w:rPr>
            </w:pPr>
          </w:p>
        </w:tc>
        <w:tc>
          <w:tcPr>
            <w:tcW w:w="26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auto"/>
            </w:tcBorders>
          </w:tcPr>
          <w:p>
            <w:pPr>
              <w:jc w:val="right"/>
              <w:ind w:right="15"/>
              <w:spacing w:after="0"/>
              <w:rPr>
                <w:sz w:val="20"/>
                <w:szCs w:val="20"/>
                <w:color w:val="auto"/>
              </w:rPr>
            </w:pPr>
            <w:r>
              <w:rPr>
                <w:rFonts w:ascii="Arial" w:cs="Arial" w:eastAsia="Arial" w:hAnsi="Arial"/>
                <w:sz w:val="18"/>
                <w:szCs w:val="18"/>
                <w:color w:val="auto"/>
              </w:rPr>
              <w:t>65,337</w:t>
            </w:r>
          </w:p>
        </w:tc>
        <w:tc>
          <w:tcPr>
            <w:tcW w:w="0" w:type="dxa"/>
            <w:vAlign w:val="bottom"/>
          </w:tcPr>
          <w:p>
            <w:pPr>
              <w:spacing w:after="0"/>
              <w:rPr>
                <w:sz w:val="1"/>
                <w:szCs w:val="1"/>
                <w:color w:val="auto"/>
              </w:rPr>
            </w:pPr>
          </w:p>
        </w:tc>
      </w:tr>
      <w:tr>
        <w:trPr>
          <w:trHeight w:val="20"/>
        </w:trPr>
        <w:tc>
          <w:tcPr>
            <w:tcW w:w="47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54"/>
        </w:trPr>
        <w:tc>
          <w:tcPr>
            <w:tcW w:w="47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20" w:type="dxa"/>
            <w:vAlign w:val="bottom"/>
          </w:tcPr>
          <w:p>
            <w:pPr>
              <w:jc w:val="right"/>
              <w:ind w:right="514"/>
              <w:spacing w:after="0"/>
              <w:rPr>
                <w:sz w:val="20"/>
                <w:szCs w:val="20"/>
                <w:color w:val="auto"/>
              </w:rPr>
            </w:pPr>
            <w:r>
              <w:rPr>
                <w:rFonts w:ascii="Arial" w:cs="Arial" w:eastAsia="Arial" w:hAnsi="Arial"/>
                <w:sz w:val="18"/>
                <w:szCs w:val="18"/>
                <w:color w:val="auto"/>
              </w:rPr>
              <w:t>- 84 -</w:t>
            </w: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385"/>
          </w:cols>
          <w:pgMar w:left="275" w:top="337" w:right="239" w:bottom="1440" w:gutter="0" w:footer="0" w:header="0"/>
        </w:sectPr>
      </w:pPr>
    </w:p>
    <w:bookmarkStart w:id="85" w:name="page86"/>
    <w:bookmarkEnd w:id="85"/>
    <w:p>
      <w:pPr>
        <w:jc w:val="center"/>
        <w:ind w:right="180"/>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ind w:right="18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spacing w:after="0"/>
        <w:rPr>
          <w:sz w:val="20"/>
          <w:szCs w:val="20"/>
          <w:color w:val="auto"/>
        </w:rPr>
      </w:pPr>
      <w:r>
        <w:rPr>
          <w:rFonts w:ascii="Arial" w:cs="Arial" w:eastAsia="Arial" w:hAnsi="Arial"/>
          <w:sz w:val="18"/>
          <w:szCs w:val="18"/>
          <w:color w:val="auto"/>
        </w:rPr>
        <w:t>Aggregate intangible asset amortization expense is comprised of the following (in thousands):</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22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gridSpan w:val="2"/>
          </w:tcPr>
          <w:p>
            <w:pPr>
              <w:ind w:left="100"/>
              <w:spacing w:after="0"/>
              <w:rPr>
                <w:sz w:val="20"/>
                <w:szCs w:val="20"/>
                <w:color w:val="auto"/>
              </w:rPr>
            </w:pPr>
            <w:r>
              <w:rPr>
                <w:rFonts w:ascii="Arial" w:cs="Arial" w:eastAsia="Arial" w:hAnsi="Arial"/>
                <w:sz w:val="14"/>
                <w:szCs w:val="14"/>
                <w:b w:val="1"/>
                <w:bCs w:val="1"/>
                <w:color w:val="auto"/>
              </w:rPr>
              <w:t>Year Ended</w:t>
            </w:r>
          </w:p>
        </w:tc>
        <w:tc>
          <w:tcPr>
            <w:tcW w:w="22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r>
      <w:tr>
        <w:trPr>
          <w:trHeight w:val="152"/>
        </w:trPr>
        <w:tc>
          <w:tcPr>
            <w:tcW w:w="62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60" w:type="dxa"/>
            <w:vAlign w:val="bottom"/>
            <w:gridSpan w:val="2"/>
          </w:tcPr>
          <w:p>
            <w:pPr>
              <w:ind w:left="120"/>
              <w:spacing w:after="0" w:line="153" w:lineRule="exact"/>
              <w:rPr>
                <w:sz w:val="20"/>
                <w:szCs w:val="20"/>
                <w:color w:val="auto"/>
              </w:rPr>
            </w:pPr>
            <w:r>
              <w:rPr>
                <w:rFonts w:ascii="Arial" w:cs="Arial" w:eastAsia="Arial" w:hAnsi="Arial"/>
                <w:sz w:val="14"/>
                <w:szCs w:val="14"/>
                <w:b w:val="1"/>
                <w:bCs w:val="1"/>
                <w:color w:val="auto"/>
              </w:rPr>
              <w:t>January 1,</w:t>
            </w:r>
          </w:p>
        </w:tc>
        <w:tc>
          <w:tcPr>
            <w:tcW w:w="220" w:type="dxa"/>
            <w:vAlign w:val="bottom"/>
          </w:tcPr>
          <w:p>
            <w:pPr>
              <w:spacing w:after="0"/>
              <w:rPr>
                <w:sz w:val="13"/>
                <w:szCs w:val="13"/>
                <w:color w:val="auto"/>
              </w:rPr>
            </w:pPr>
          </w:p>
        </w:tc>
        <w:tc>
          <w:tcPr>
            <w:tcW w:w="1240" w:type="dxa"/>
            <w:vAlign w:val="bottom"/>
            <w:gridSpan w:val="2"/>
          </w:tcPr>
          <w:p>
            <w:pPr>
              <w:ind w:left="100"/>
              <w:spacing w:after="0" w:line="153" w:lineRule="exact"/>
              <w:rPr>
                <w:sz w:val="20"/>
                <w:szCs w:val="20"/>
                <w:color w:val="auto"/>
              </w:rPr>
            </w:pPr>
            <w:r>
              <w:rPr>
                <w:rFonts w:ascii="Arial" w:cs="Arial" w:eastAsia="Arial" w:hAnsi="Arial"/>
                <w:sz w:val="14"/>
                <w:szCs w:val="14"/>
                <w:b w:val="1"/>
                <w:bCs w:val="1"/>
                <w:color w:val="auto"/>
              </w:rPr>
              <w:t>January 2,</w:t>
            </w:r>
          </w:p>
        </w:tc>
        <w:tc>
          <w:tcPr>
            <w:tcW w:w="220" w:type="dxa"/>
            <w:vAlign w:val="bottom"/>
          </w:tcPr>
          <w:p>
            <w:pPr>
              <w:spacing w:after="0"/>
              <w:rPr>
                <w:sz w:val="13"/>
                <w:szCs w:val="13"/>
                <w:color w:val="auto"/>
              </w:rPr>
            </w:pPr>
          </w:p>
        </w:tc>
        <w:tc>
          <w:tcPr>
            <w:tcW w:w="1140" w:type="dxa"/>
            <w:vAlign w:val="bottom"/>
          </w:tcPr>
          <w:p>
            <w:pPr>
              <w:jc w:val="right"/>
              <w:ind w:right="276"/>
              <w:spacing w:after="0" w:line="153" w:lineRule="exact"/>
              <w:rPr>
                <w:sz w:val="20"/>
                <w:szCs w:val="20"/>
                <w:color w:val="auto"/>
              </w:rPr>
            </w:pPr>
            <w:r>
              <w:rPr>
                <w:rFonts w:ascii="Arial" w:cs="Arial" w:eastAsia="Arial" w:hAnsi="Arial"/>
                <w:sz w:val="14"/>
                <w:szCs w:val="14"/>
                <w:b w:val="1"/>
                <w:bCs w:val="1"/>
                <w:color w:val="auto"/>
              </w:rPr>
              <w:t>January 3,</w:t>
            </w:r>
          </w:p>
        </w:tc>
      </w:tr>
      <w:tr>
        <w:trPr>
          <w:trHeight w:val="192"/>
        </w:trPr>
        <w:tc>
          <w:tcPr>
            <w:tcW w:w="622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456"/>
              <w:spacing w:after="0"/>
              <w:rPr>
                <w:sz w:val="20"/>
                <w:szCs w:val="20"/>
                <w:color w:val="auto"/>
              </w:rPr>
            </w:pPr>
            <w:r>
              <w:rPr>
                <w:rFonts w:ascii="Arial" w:cs="Arial" w:eastAsia="Arial" w:hAnsi="Arial"/>
                <w:sz w:val="14"/>
                <w:szCs w:val="14"/>
                <w:b w:val="1"/>
                <w:bCs w:val="1"/>
                <w:color w:val="auto"/>
              </w:rPr>
              <w:t>2016</w:t>
            </w:r>
          </w:p>
        </w:tc>
        <w:tc>
          <w:tcPr>
            <w:tcW w:w="12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458"/>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456"/>
              <w:spacing w:after="0"/>
              <w:rPr>
                <w:sz w:val="20"/>
                <w:szCs w:val="20"/>
                <w:color w:val="auto"/>
              </w:rPr>
            </w:pPr>
            <w:r>
              <w:rPr>
                <w:rFonts w:ascii="Arial" w:cs="Arial" w:eastAsia="Arial" w:hAnsi="Arial"/>
                <w:sz w:val="14"/>
                <w:szCs w:val="14"/>
                <w:b w:val="1"/>
                <w:bCs w:val="1"/>
                <w:color w:val="auto"/>
              </w:rPr>
              <w:t>2014</w:t>
            </w:r>
          </w:p>
        </w:tc>
      </w:tr>
      <w:tr>
        <w:trPr>
          <w:trHeight w:val="250"/>
        </w:trPr>
        <w:tc>
          <w:tcPr>
            <w:tcW w:w="62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Cost of sales</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7,403</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6,201</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6,822</w:t>
            </w:r>
          </w:p>
        </w:tc>
      </w:tr>
      <w:tr>
        <w:trPr>
          <w:trHeight w:val="243"/>
        </w:trPr>
        <w:tc>
          <w:tcPr>
            <w:tcW w:w="6220" w:type="dxa"/>
            <w:vAlign w:val="bottom"/>
          </w:tcPr>
          <w:p>
            <w:pPr>
              <w:ind w:left="20"/>
              <w:spacing w:after="0"/>
              <w:rPr>
                <w:sz w:val="20"/>
                <w:szCs w:val="20"/>
                <w:color w:val="auto"/>
              </w:rPr>
            </w:pPr>
            <w:r>
              <w:rPr>
                <w:rFonts w:ascii="Arial" w:cs="Arial" w:eastAsia="Arial" w:hAnsi="Arial"/>
                <w:sz w:val="18"/>
                <w:szCs w:val="18"/>
                <w:color w:val="auto"/>
              </w:rPr>
              <w:t>SG&amp;A</w:t>
            </w:r>
          </w:p>
        </w:tc>
        <w:tc>
          <w:tcPr>
            <w:tcW w:w="220" w:type="dxa"/>
            <w:vAlign w:val="bottom"/>
          </w:tcPr>
          <w:p>
            <w:pPr>
              <w:spacing w:after="0"/>
              <w:rPr>
                <w:sz w:val="21"/>
                <w:szCs w:val="21"/>
                <w:color w:val="auto"/>
              </w:rPr>
            </w:pPr>
          </w:p>
        </w:tc>
        <w:tc>
          <w:tcPr>
            <w:tcW w:w="1140" w:type="dxa"/>
            <w:vAlign w:val="bottom"/>
          </w:tcPr>
          <w:p>
            <w:pPr>
              <w:jc w:val="right"/>
              <w:ind w:right="16"/>
              <w:spacing w:after="0"/>
              <w:rPr>
                <w:sz w:val="20"/>
                <w:szCs w:val="20"/>
                <w:color w:val="auto"/>
              </w:rPr>
            </w:pPr>
            <w:r>
              <w:rPr>
                <w:rFonts w:ascii="Arial" w:cs="Arial" w:eastAsia="Arial" w:hAnsi="Arial"/>
                <w:sz w:val="18"/>
                <w:szCs w:val="18"/>
                <w:color w:val="auto"/>
              </w:rPr>
              <w:t>9,681</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40" w:type="dxa"/>
            <w:vAlign w:val="bottom"/>
          </w:tcPr>
          <w:p>
            <w:pPr>
              <w:jc w:val="right"/>
              <w:ind w:right="18"/>
              <w:spacing w:after="0"/>
              <w:rPr>
                <w:sz w:val="20"/>
                <w:szCs w:val="20"/>
                <w:color w:val="auto"/>
              </w:rPr>
            </w:pPr>
            <w:r>
              <w:rPr>
                <w:rFonts w:ascii="Arial" w:cs="Arial" w:eastAsia="Arial" w:hAnsi="Arial"/>
                <w:sz w:val="18"/>
                <w:szCs w:val="18"/>
                <w:color w:val="auto"/>
              </w:rPr>
              <w:t>7,009</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5,800</w:t>
            </w:r>
          </w:p>
        </w:tc>
      </w:tr>
      <w:tr>
        <w:trPr>
          <w:trHeight w:val="27"/>
        </w:trPr>
        <w:tc>
          <w:tcPr>
            <w:tcW w:w="62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70"/>
        </w:trPr>
        <w:tc>
          <w:tcPr>
            <w:tcW w:w="62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RD&amp;E</w:t>
            </w:r>
          </w:p>
        </w:tc>
        <w:tc>
          <w:tcPr>
            <w:tcW w:w="22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412</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667</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545</w:t>
            </w:r>
          </w:p>
        </w:tc>
      </w:tr>
      <w:tr>
        <w:trPr>
          <w:trHeight w:val="257"/>
        </w:trPr>
        <w:tc>
          <w:tcPr>
            <w:tcW w:w="6220" w:type="dxa"/>
            <w:vAlign w:val="bottom"/>
          </w:tcPr>
          <w:p>
            <w:pPr>
              <w:ind w:left="260"/>
              <w:spacing w:after="0"/>
              <w:rPr>
                <w:sz w:val="20"/>
                <w:szCs w:val="20"/>
                <w:color w:val="auto"/>
              </w:rPr>
            </w:pPr>
            <w:r>
              <w:rPr>
                <w:rFonts w:ascii="Arial" w:cs="Arial" w:eastAsia="Arial" w:hAnsi="Arial"/>
                <w:sz w:val="18"/>
                <w:szCs w:val="18"/>
                <w:color w:val="auto"/>
              </w:rPr>
              <w:t>Total intangible asset amortization expense</w:t>
            </w: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bottom w:val="single" w:sz="8" w:color="auto"/>
            </w:tcBorders>
          </w:tcPr>
          <w:p>
            <w:pPr>
              <w:jc w:val="right"/>
              <w:ind w:right="16"/>
              <w:spacing w:after="0"/>
              <w:rPr>
                <w:sz w:val="20"/>
                <w:szCs w:val="20"/>
                <w:color w:val="auto"/>
              </w:rPr>
            </w:pPr>
            <w:r>
              <w:rPr>
                <w:rFonts w:ascii="Arial" w:cs="Arial" w:eastAsia="Arial" w:hAnsi="Arial"/>
                <w:sz w:val="18"/>
                <w:szCs w:val="18"/>
                <w:color w:val="auto"/>
              </w:rPr>
              <w:t>17,496</w:t>
            </w:r>
          </w:p>
        </w:tc>
        <w:tc>
          <w:tcPr>
            <w:tcW w:w="120" w:type="dxa"/>
            <w:vAlign w:val="bottom"/>
          </w:tcPr>
          <w:p>
            <w:pPr>
              <w:spacing w:after="0"/>
              <w:rPr>
                <w:sz w:val="22"/>
                <w:szCs w:val="22"/>
                <w:color w:val="auto"/>
              </w:rPr>
            </w:pP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bottom w:val="single" w:sz="8" w:color="auto"/>
            </w:tcBorders>
          </w:tcPr>
          <w:p>
            <w:pPr>
              <w:jc w:val="right"/>
              <w:ind w:right="18"/>
              <w:spacing w:after="0"/>
              <w:rPr>
                <w:sz w:val="20"/>
                <w:szCs w:val="20"/>
                <w:color w:val="auto"/>
              </w:rPr>
            </w:pPr>
            <w:r>
              <w:rPr>
                <w:rFonts w:ascii="Arial" w:cs="Arial" w:eastAsia="Arial" w:hAnsi="Arial"/>
                <w:sz w:val="18"/>
                <w:szCs w:val="18"/>
                <w:color w:val="auto"/>
              </w:rPr>
              <w:t>13,877</w:t>
            </w:r>
          </w:p>
        </w:tc>
        <w:tc>
          <w:tcPr>
            <w:tcW w:w="100" w:type="dxa"/>
            <w:vAlign w:val="bottom"/>
          </w:tcPr>
          <w:p>
            <w:pPr>
              <w:spacing w:after="0"/>
              <w:rPr>
                <w:sz w:val="22"/>
                <w:szCs w:val="22"/>
                <w:color w:val="auto"/>
              </w:rPr>
            </w:pP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13,167</w:t>
            </w:r>
          </w:p>
        </w:tc>
      </w:tr>
      <w:tr>
        <w:trPr>
          <w:trHeight w:val="20"/>
        </w:trPr>
        <w:tc>
          <w:tcPr>
            <w:tcW w:w="62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Estimated future intangible asset amortization expense based upon the current carrying value is as follows (in thousands):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1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00" w:type="dxa"/>
            <w:vAlign w:val="bottom"/>
          </w:tcPr>
          <w:p>
            <w:pPr>
              <w:jc w:val="center"/>
              <w:ind w:right="115"/>
              <w:spacing w:after="0"/>
              <w:rPr>
                <w:sz w:val="20"/>
                <w:szCs w:val="20"/>
                <w:color w:val="auto"/>
              </w:rPr>
            </w:pPr>
            <w:r>
              <w:rPr>
                <w:rFonts w:ascii="Arial" w:cs="Arial" w:eastAsia="Arial" w:hAnsi="Arial"/>
                <w:sz w:val="14"/>
                <w:szCs w:val="14"/>
                <w:b w:val="1"/>
                <w:bCs w:val="1"/>
                <w:color w:val="auto"/>
                <w:w w:val="95"/>
              </w:rPr>
              <w:t>Estimated</w:t>
            </w:r>
          </w:p>
        </w:tc>
      </w:tr>
      <w:tr>
        <w:trPr>
          <w:trHeight w:val="149"/>
        </w:trPr>
        <w:tc>
          <w:tcPr>
            <w:tcW w:w="61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0" w:type="dxa"/>
            <w:vAlign w:val="bottom"/>
          </w:tcPr>
          <w:p>
            <w:pPr>
              <w:jc w:val="center"/>
              <w:ind w:right="115"/>
              <w:spacing w:after="0" w:line="149" w:lineRule="exact"/>
              <w:rPr>
                <w:sz w:val="20"/>
                <w:szCs w:val="20"/>
                <w:color w:val="auto"/>
              </w:rPr>
            </w:pPr>
            <w:r>
              <w:rPr>
                <w:rFonts w:ascii="Arial" w:cs="Arial" w:eastAsia="Arial" w:hAnsi="Arial"/>
                <w:sz w:val="14"/>
                <w:szCs w:val="14"/>
                <w:b w:val="1"/>
                <w:bCs w:val="1"/>
                <w:color w:val="auto"/>
                <w:w w:val="98"/>
              </w:rPr>
              <w:t>Amortization</w:t>
            </w:r>
          </w:p>
        </w:tc>
      </w:tr>
      <w:tr>
        <w:trPr>
          <w:trHeight w:val="192"/>
        </w:trPr>
        <w:tc>
          <w:tcPr>
            <w:tcW w:w="616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center"/>
              <w:ind w:right="115"/>
              <w:spacing w:after="0"/>
              <w:rPr>
                <w:sz w:val="20"/>
                <w:szCs w:val="20"/>
                <w:color w:val="auto"/>
              </w:rPr>
            </w:pPr>
            <w:r>
              <w:rPr>
                <w:rFonts w:ascii="Arial" w:cs="Arial" w:eastAsia="Arial" w:hAnsi="Arial"/>
                <w:sz w:val="14"/>
                <w:szCs w:val="14"/>
                <w:b w:val="1"/>
                <w:bCs w:val="1"/>
                <w:color w:val="auto"/>
                <w:w w:val="90"/>
              </w:rPr>
              <w:t>Expense</w:t>
            </w:r>
          </w:p>
        </w:tc>
      </w:tr>
      <w:tr>
        <w:trPr>
          <w:trHeight w:val="250"/>
        </w:trPr>
        <w:tc>
          <w:tcPr>
            <w:tcW w:w="61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2016</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37,854</w:t>
            </w:r>
          </w:p>
        </w:tc>
      </w:tr>
      <w:tr>
        <w:trPr>
          <w:trHeight w:val="243"/>
        </w:trPr>
        <w:tc>
          <w:tcPr>
            <w:tcW w:w="6160" w:type="dxa"/>
            <w:vAlign w:val="bottom"/>
          </w:tcPr>
          <w:p>
            <w:pPr>
              <w:ind w:left="20"/>
              <w:spacing w:after="0"/>
              <w:rPr>
                <w:sz w:val="20"/>
                <w:szCs w:val="20"/>
                <w:color w:val="auto"/>
              </w:rPr>
            </w:pPr>
            <w:r>
              <w:rPr>
                <w:rFonts w:ascii="Arial" w:cs="Arial" w:eastAsia="Arial" w:hAnsi="Arial"/>
                <w:sz w:val="18"/>
                <w:szCs w:val="18"/>
                <w:color w:val="auto"/>
              </w:rPr>
              <w:t>2017</w:t>
            </w:r>
          </w:p>
        </w:tc>
        <w:tc>
          <w:tcPr>
            <w:tcW w:w="20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43,991</w:t>
            </w:r>
          </w:p>
        </w:tc>
      </w:tr>
      <w:tr>
        <w:trPr>
          <w:trHeight w:val="27"/>
        </w:trPr>
        <w:tc>
          <w:tcPr>
            <w:tcW w:w="6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61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2018</w:t>
            </w:r>
          </w:p>
        </w:tc>
        <w:tc>
          <w:tcPr>
            <w:tcW w:w="2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44,894</w:t>
            </w:r>
          </w:p>
        </w:tc>
      </w:tr>
      <w:tr>
        <w:trPr>
          <w:trHeight w:val="243"/>
        </w:trPr>
        <w:tc>
          <w:tcPr>
            <w:tcW w:w="6160" w:type="dxa"/>
            <w:vAlign w:val="bottom"/>
          </w:tcPr>
          <w:p>
            <w:pPr>
              <w:ind w:left="20"/>
              <w:spacing w:after="0"/>
              <w:rPr>
                <w:sz w:val="20"/>
                <w:szCs w:val="20"/>
                <w:color w:val="auto"/>
              </w:rPr>
            </w:pPr>
            <w:r>
              <w:rPr>
                <w:rFonts w:ascii="Arial" w:cs="Arial" w:eastAsia="Arial" w:hAnsi="Arial"/>
                <w:sz w:val="18"/>
                <w:szCs w:val="18"/>
                <w:color w:val="auto"/>
              </w:rPr>
              <w:t>2019</w:t>
            </w:r>
          </w:p>
        </w:tc>
        <w:tc>
          <w:tcPr>
            <w:tcW w:w="20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44,960</w:t>
            </w:r>
          </w:p>
        </w:tc>
      </w:tr>
      <w:tr>
        <w:trPr>
          <w:trHeight w:val="27"/>
        </w:trPr>
        <w:tc>
          <w:tcPr>
            <w:tcW w:w="6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61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2020</w:t>
            </w:r>
          </w:p>
        </w:tc>
        <w:tc>
          <w:tcPr>
            <w:tcW w:w="2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45,467</w:t>
            </w:r>
          </w:p>
        </w:tc>
      </w:tr>
      <w:tr>
        <w:trPr>
          <w:trHeight w:val="243"/>
        </w:trPr>
        <w:tc>
          <w:tcPr>
            <w:tcW w:w="6160" w:type="dxa"/>
            <w:vAlign w:val="bottom"/>
          </w:tcPr>
          <w:p>
            <w:pPr>
              <w:ind w:left="20"/>
              <w:spacing w:after="0"/>
              <w:rPr>
                <w:sz w:val="20"/>
                <w:szCs w:val="20"/>
                <w:color w:val="auto"/>
              </w:rPr>
            </w:pPr>
            <w:r>
              <w:rPr>
                <w:rFonts w:ascii="Arial" w:cs="Arial" w:eastAsia="Arial" w:hAnsi="Arial"/>
                <w:sz w:val="18"/>
                <w:szCs w:val="18"/>
                <w:color w:val="auto"/>
              </w:rPr>
              <w:t>Thereafter</w:t>
            </w:r>
          </w:p>
        </w:tc>
        <w:tc>
          <w:tcPr>
            <w:tcW w:w="20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676,811</w:t>
            </w:r>
          </w:p>
        </w:tc>
      </w:tr>
      <w:tr>
        <w:trPr>
          <w:trHeight w:val="27"/>
        </w:trPr>
        <w:tc>
          <w:tcPr>
            <w:tcW w:w="616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257"/>
        </w:trPr>
        <w:tc>
          <w:tcPr>
            <w:tcW w:w="616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Total estimated amortization expense</w:t>
            </w: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893,977</w:t>
            </w:r>
          </w:p>
        </w:tc>
      </w:tr>
      <w:tr>
        <w:trPr>
          <w:trHeight w:val="20"/>
        </w:trPr>
        <w:tc>
          <w:tcPr>
            <w:tcW w:w="6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The change in indefinite-lived intangible assets during 2015 is as follows (in thousands):</w:t>
      </w:r>
    </w:p>
    <w:p>
      <w:pPr>
        <w:spacing w:after="0" w:line="36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1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480" w:type="dxa"/>
            <w:vAlign w:val="bottom"/>
            <w:gridSpan w:val="5"/>
          </w:tcPr>
          <w:p>
            <w:pPr>
              <w:jc w:val="center"/>
              <w:ind w:right="560"/>
              <w:spacing w:after="0"/>
              <w:rPr>
                <w:sz w:val="20"/>
                <w:szCs w:val="20"/>
                <w:color w:val="auto"/>
              </w:rPr>
            </w:pPr>
            <w:r>
              <w:rPr>
                <w:rFonts w:ascii="Arial" w:cs="Arial" w:eastAsia="Arial" w:hAnsi="Arial"/>
                <w:sz w:val="14"/>
                <w:szCs w:val="14"/>
                <w:b w:val="1"/>
                <w:bCs w:val="1"/>
                <w:color w:val="auto"/>
                <w:w w:val="95"/>
              </w:rPr>
              <w:t>Trademarks</w:t>
            </w:r>
          </w:p>
        </w:tc>
        <w:tc>
          <w:tcPr>
            <w:tcW w:w="18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5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3"/>
          </w:tcPr>
          <w:p>
            <w:pPr>
              <w:jc w:val="center"/>
              <w:ind w:right="840"/>
              <w:spacing w:after="0" w:line="149" w:lineRule="exact"/>
              <w:rPr>
                <w:sz w:val="20"/>
                <w:szCs w:val="20"/>
                <w:color w:val="auto"/>
              </w:rPr>
            </w:pPr>
            <w:r>
              <w:rPr>
                <w:rFonts w:ascii="Arial" w:cs="Arial" w:eastAsia="Arial" w:hAnsi="Arial"/>
                <w:sz w:val="14"/>
                <w:szCs w:val="14"/>
                <w:b w:val="1"/>
                <w:bCs w:val="1"/>
                <w:color w:val="auto"/>
                <w:w w:val="96"/>
              </w:rPr>
              <w:t>and</w:t>
            </w:r>
          </w:p>
        </w:tc>
        <w:tc>
          <w:tcPr>
            <w:tcW w:w="18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2"/>
        </w:trPr>
        <w:tc>
          <w:tcPr>
            <w:tcW w:w="5160" w:type="dxa"/>
            <w:vAlign w:val="bottom"/>
            <w:tcBorders>
              <w:bottom w:val="single" w:sz="8" w:color="CCEEFF"/>
            </w:tcBorders>
          </w:tcPr>
          <w:p>
            <w:pPr>
              <w:spacing w:after="0"/>
              <w:rPr>
                <w:sz w:val="16"/>
                <w:szCs w:val="16"/>
                <w:color w:val="auto"/>
              </w:rPr>
            </w:pPr>
          </w:p>
        </w:tc>
        <w:tc>
          <w:tcPr>
            <w:tcW w:w="180" w:type="dxa"/>
            <w:vAlign w:val="bottom"/>
            <w:tcBorders>
              <w:bottom w:val="single" w:sz="8" w:color="CCEEFF"/>
            </w:tcBorders>
          </w:tcPr>
          <w:p>
            <w:pPr>
              <w:spacing w:after="0"/>
              <w:rPr>
                <w:sz w:val="16"/>
                <w:szCs w:val="16"/>
                <w:color w:val="auto"/>
              </w:rPr>
            </w:pPr>
          </w:p>
        </w:tc>
        <w:tc>
          <w:tcPr>
            <w:tcW w:w="82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gridSpan w:val="3"/>
          </w:tcPr>
          <w:p>
            <w:pPr>
              <w:jc w:val="center"/>
              <w:ind w:right="154"/>
              <w:spacing w:after="0"/>
              <w:rPr>
                <w:sz w:val="20"/>
                <w:szCs w:val="20"/>
                <w:color w:val="auto"/>
              </w:rPr>
            </w:pPr>
            <w:r>
              <w:rPr>
                <w:rFonts w:ascii="Arial" w:cs="Arial" w:eastAsia="Arial" w:hAnsi="Arial"/>
                <w:sz w:val="14"/>
                <w:szCs w:val="14"/>
                <w:b w:val="1"/>
                <w:bCs w:val="1"/>
                <w:color w:val="auto"/>
                <w:w w:val="92"/>
              </w:rPr>
              <w:t>Tradenames</w:t>
            </w:r>
          </w:p>
        </w:tc>
        <w:tc>
          <w:tcPr>
            <w:tcW w:w="320" w:type="dxa"/>
            <w:vAlign w:val="bottom"/>
            <w:gridSpan w:val="2"/>
          </w:tcPr>
          <w:p>
            <w:pPr>
              <w:spacing w:after="0"/>
              <w:rPr>
                <w:sz w:val="16"/>
                <w:szCs w:val="16"/>
                <w:color w:val="auto"/>
              </w:rPr>
            </w:pPr>
          </w:p>
        </w:tc>
        <w:tc>
          <w:tcPr>
            <w:tcW w:w="18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51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At January 2, 2015</w:t>
            </w: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8"/>
                <w:szCs w:val="18"/>
                <w:color w:val="auto"/>
                <w:w w:val="98"/>
              </w:rPr>
              <w:t>20,288</w:t>
            </w:r>
          </w:p>
        </w:tc>
        <w:tc>
          <w:tcPr>
            <w:tcW w:w="2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160" w:type="dxa"/>
            <w:vAlign w:val="bottom"/>
          </w:tcPr>
          <w:p>
            <w:pPr>
              <w:ind w:left="20"/>
              <w:spacing w:after="0"/>
              <w:rPr>
                <w:sz w:val="20"/>
                <w:szCs w:val="20"/>
                <w:color w:val="auto"/>
              </w:rPr>
            </w:pPr>
            <w:r>
              <w:rPr>
                <w:rFonts w:ascii="Arial" w:cs="Arial" w:eastAsia="Arial" w:hAnsi="Arial"/>
                <w:sz w:val="18"/>
                <w:szCs w:val="18"/>
                <w:color w:val="auto"/>
              </w:rPr>
              <w:t>Indefinite-lived intangible assets acquired</w:t>
            </w:r>
          </w:p>
        </w:tc>
        <w:tc>
          <w:tcPr>
            <w:tcW w:w="18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80" w:type="dxa"/>
            <w:vAlign w:val="bottom"/>
          </w:tcPr>
          <w:p>
            <w:pPr>
              <w:ind w:left="320"/>
              <w:spacing w:after="0"/>
              <w:rPr>
                <w:sz w:val="20"/>
                <w:szCs w:val="20"/>
                <w:color w:val="auto"/>
              </w:rPr>
            </w:pPr>
            <w:r>
              <w:rPr>
                <w:rFonts w:ascii="Arial" w:cs="Arial" w:eastAsia="Arial" w:hAnsi="Arial"/>
                <w:sz w:val="18"/>
                <w:szCs w:val="18"/>
                <w:color w:val="auto"/>
                <w:w w:val="98"/>
              </w:rPr>
              <w:t>70,000</w:t>
            </w:r>
          </w:p>
        </w:tc>
        <w:tc>
          <w:tcPr>
            <w:tcW w:w="2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160" w:type="dxa"/>
            <w:vAlign w:val="bottom"/>
            <w:tcBorders>
              <w:bottom w:val="single" w:sz="8" w:color="CCEEFF"/>
            </w:tcBorders>
          </w:tcPr>
          <w:p>
            <w:pPr>
              <w:spacing w:after="0"/>
              <w:rPr>
                <w:sz w:val="2"/>
                <w:szCs w:val="2"/>
                <w:color w:val="auto"/>
              </w:rPr>
            </w:pPr>
          </w:p>
        </w:tc>
        <w:tc>
          <w:tcPr>
            <w:tcW w:w="180" w:type="dxa"/>
            <w:vAlign w:val="bottom"/>
            <w:tcBorders>
              <w:bottom w:val="single" w:sz="8" w:color="CCEEFF"/>
            </w:tcBorders>
          </w:tcPr>
          <w:p>
            <w:pPr>
              <w:spacing w:after="0"/>
              <w:rPr>
                <w:sz w:val="2"/>
                <w:szCs w:val="2"/>
                <w:color w:val="auto"/>
              </w:rPr>
            </w:pPr>
          </w:p>
        </w:tc>
        <w:tc>
          <w:tcPr>
            <w:tcW w:w="8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5160" w:type="dxa"/>
            <w:vAlign w:val="bottom"/>
            <w:shd w:val="clear" w:color="auto" w:fill="CCEEFF"/>
          </w:tcPr>
          <w:p>
            <w:pPr>
              <w:ind w:left="20"/>
              <w:spacing w:after="0"/>
              <w:rPr>
                <w:sz w:val="20"/>
                <w:szCs w:val="20"/>
                <w:color w:val="auto"/>
              </w:rPr>
            </w:pPr>
            <w:r>
              <w:rPr>
                <w:rFonts w:ascii="Arial" w:cs="Arial" w:eastAsia="Arial" w:hAnsi="Arial"/>
                <w:sz w:val="18"/>
                <w:szCs w:val="18"/>
                <w:color w:val="auto"/>
              </w:rPr>
              <w:t>At January 1, 2016</w:t>
            </w:r>
          </w:p>
        </w:tc>
        <w:tc>
          <w:tcPr>
            <w:tcW w:w="180" w:type="dxa"/>
            <w:vAlign w:val="bottom"/>
            <w:shd w:val="clear" w:color="auto" w:fill="CCEEFF"/>
          </w:tcPr>
          <w:p>
            <w:pPr>
              <w:spacing w:after="0"/>
              <w:rPr>
                <w:sz w:val="22"/>
                <w:szCs w:val="22"/>
                <w:color w:val="auto"/>
              </w:rPr>
            </w:pPr>
          </w:p>
        </w:tc>
        <w:tc>
          <w:tcPr>
            <w:tcW w:w="10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880" w:type="dxa"/>
            <w:vAlign w:val="bottom"/>
            <w:shd w:val="clear" w:color="auto" w:fill="CCEEFF"/>
          </w:tcPr>
          <w:p>
            <w:pPr>
              <w:ind w:left="320"/>
              <w:spacing w:after="0"/>
              <w:rPr>
                <w:sz w:val="20"/>
                <w:szCs w:val="20"/>
                <w:color w:val="auto"/>
              </w:rPr>
            </w:pPr>
            <w:r>
              <w:rPr>
                <w:rFonts w:ascii="Arial" w:cs="Arial" w:eastAsia="Arial" w:hAnsi="Arial"/>
                <w:sz w:val="18"/>
                <w:szCs w:val="18"/>
                <w:color w:val="auto"/>
                <w:w w:val="98"/>
              </w:rPr>
              <w:t>90,288</w:t>
            </w:r>
          </w:p>
        </w:tc>
        <w:tc>
          <w:tcPr>
            <w:tcW w:w="2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516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color w:val="auto"/>
              </w:rPr>
              <w:t>The change in goodwill during 2015 is as follows (in thousands):</w:t>
            </w:r>
          </w:p>
        </w:tc>
        <w:tc>
          <w:tcPr>
            <w:tcW w:w="180" w:type="dxa"/>
            <w:vAlign w:val="bottom"/>
            <w:tcBorders>
              <w:top w:val="single" w:sz="8" w:color="CCEEFF"/>
            </w:tcBorders>
          </w:tcPr>
          <w:p>
            <w:pPr>
              <w:spacing w:after="0" w:line="20" w:lineRule="exact"/>
              <w:rPr>
                <w:sz w:val="1"/>
                <w:szCs w:val="1"/>
                <w:color w:val="auto"/>
              </w:rPr>
            </w:pPr>
          </w:p>
        </w:tc>
        <w:tc>
          <w:tcPr>
            <w:tcW w:w="8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9"/>
        </w:trPr>
        <w:tc>
          <w:tcPr>
            <w:tcW w:w="5160" w:type="dxa"/>
            <w:vAlign w:val="bottom"/>
            <w:vMerge w:val="continue"/>
          </w:tcPr>
          <w:p>
            <w:pPr>
              <w:spacing w:after="0"/>
              <w:rPr>
                <w:sz w:val="24"/>
                <w:szCs w:val="24"/>
                <w:color w:val="auto"/>
              </w:rPr>
            </w:pPr>
          </w:p>
        </w:tc>
        <w:tc>
          <w:tcPr>
            <w:tcW w:w="1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6"/>
        </w:trPr>
        <w:tc>
          <w:tcPr>
            <w:tcW w:w="5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60" w:type="dxa"/>
            <w:vAlign w:val="bottom"/>
            <w:gridSpan w:val="2"/>
          </w:tcPr>
          <w:p>
            <w:pPr>
              <w:jc w:val="right"/>
              <w:ind w:right="260"/>
              <w:spacing w:after="0"/>
              <w:rPr>
                <w:sz w:val="20"/>
                <w:szCs w:val="20"/>
                <w:color w:val="auto"/>
              </w:rPr>
            </w:pPr>
            <w:r>
              <w:rPr>
                <w:rFonts w:ascii="Arial" w:cs="Arial" w:eastAsia="Arial" w:hAnsi="Arial"/>
                <w:sz w:val="14"/>
                <w:szCs w:val="14"/>
                <w:b w:val="1"/>
                <w:bCs w:val="1"/>
                <w:color w:val="auto"/>
              </w:rPr>
              <w:t>Greatbatch</w:t>
            </w: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00" w:type="dxa"/>
            <w:vAlign w:val="bottom"/>
            <w:gridSpan w:val="2"/>
            <w:vMerge w:val="restart"/>
          </w:tcPr>
          <w:p>
            <w:pPr>
              <w:ind w:left="340"/>
              <w:spacing w:after="0"/>
              <w:rPr>
                <w:sz w:val="20"/>
                <w:szCs w:val="20"/>
                <w:color w:val="auto"/>
              </w:rPr>
            </w:pPr>
            <w:r>
              <w:rPr>
                <w:rFonts w:ascii="Arial" w:cs="Arial" w:eastAsia="Arial" w:hAnsi="Arial"/>
                <w:sz w:val="14"/>
                <w:szCs w:val="14"/>
                <w:b w:val="1"/>
                <w:bCs w:val="1"/>
                <w:color w:val="auto"/>
              </w:rPr>
              <w:t>QiG</w:t>
            </w:r>
          </w:p>
        </w:tc>
        <w:tc>
          <w:tcPr>
            <w:tcW w:w="100" w:type="dxa"/>
            <w:vAlign w:val="bottom"/>
            <w:vMerge w:val="restart"/>
          </w:tcPr>
          <w:p>
            <w:pPr>
              <w:spacing w:after="0"/>
              <w:rPr>
                <w:sz w:val="24"/>
                <w:szCs w:val="24"/>
                <w:color w:val="auto"/>
              </w:rPr>
            </w:pPr>
          </w:p>
        </w:tc>
        <w:tc>
          <w:tcPr>
            <w:tcW w:w="180" w:type="dxa"/>
            <w:vAlign w:val="bottom"/>
          </w:tcPr>
          <w:p>
            <w:pPr>
              <w:spacing w:after="0"/>
              <w:rPr>
                <w:sz w:val="24"/>
                <w:szCs w:val="24"/>
                <w:color w:val="auto"/>
              </w:rPr>
            </w:pPr>
          </w:p>
        </w:tc>
        <w:tc>
          <w:tcPr>
            <w:tcW w:w="1120" w:type="dxa"/>
            <w:vAlign w:val="bottom"/>
          </w:tcPr>
          <w:p>
            <w:pPr>
              <w:jc w:val="right"/>
              <w:ind w:right="196"/>
              <w:spacing w:after="0"/>
              <w:rPr>
                <w:sz w:val="20"/>
                <w:szCs w:val="20"/>
                <w:color w:val="auto"/>
              </w:rPr>
            </w:pPr>
            <w:r>
              <w:rPr>
                <w:rFonts w:ascii="Arial" w:cs="Arial" w:eastAsia="Arial" w:hAnsi="Arial"/>
                <w:sz w:val="14"/>
                <w:szCs w:val="14"/>
                <w:b w:val="1"/>
                <w:bCs w:val="1"/>
                <w:color w:val="auto"/>
                <w:w w:val="98"/>
              </w:rPr>
              <w:t>Lake Region</w:t>
            </w:r>
          </w:p>
        </w:tc>
        <w:tc>
          <w:tcPr>
            <w:tcW w:w="340" w:type="dxa"/>
            <w:vAlign w:val="bottom"/>
          </w:tcPr>
          <w:p>
            <w:pPr>
              <w:spacing w:after="0"/>
              <w:rPr>
                <w:sz w:val="24"/>
                <w:szCs w:val="24"/>
                <w:color w:val="auto"/>
              </w:rPr>
            </w:pPr>
          </w:p>
        </w:tc>
        <w:tc>
          <w:tcPr>
            <w:tcW w:w="980" w:type="dxa"/>
            <w:vAlign w:val="bottom"/>
            <w:vMerge w:val="restart"/>
          </w:tcPr>
          <w:p>
            <w:pPr>
              <w:jc w:val="right"/>
              <w:ind w:right="394"/>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516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gridSpan w:val="2"/>
          </w:tcPr>
          <w:p>
            <w:pPr>
              <w:jc w:val="right"/>
              <w:ind w:right="380"/>
              <w:spacing w:after="0"/>
              <w:rPr>
                <w:sz w:val="20"/>
                <w:szCs w:val="20"/>
                <w:color w:val="auto"/>
              </w:rPr>
            </w:pPr>
            <w:r>
              <w:rPr>
                <w:rFonts w:ascii="Arial" w:cs="Arial" w:eastAsia="Arial" w:hAnsi="Arial"/>
                <w:sz w:val="14"/>
                <w:szCs w:val="14"/>
                <w:b w:val="1"/>
                <w:bCs w:val="1"/>
                <w:color w:val="auto"/>
              </w:rPr>
              <w:t>Medical</w:t>
            </w:r>
          </w:p>
        </w:tc>
        <w:tc>
          <w:tcPr>
            <w:tcW w:w="1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gridSpan w:val="2"/>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336"/>
              <w:spacing w:after="0"/>
              <w:rPr>
                <w:sz w:val="20"/>
                <w:szCs w:val="20"/>
                <w:color w:val="auto"/>
              </w:rPr>
            </w:pPr>
            <w:r>
              <w:rPr>
                <w:rFonts w:ascii="Arial" w:cs="Arial" w:eastAsia="Arial" w:hAnsi="Arial"/>
                <w:sz w:val="14"/>
                <w:szCs w:val="14"/>
                <w:b w:val="1"/>
                <w:bCs w:val="1"/>
                <w:color w:val="auto"/>
              </w:rPr>
              <w:t>Medical</w:t>
            </w:r>
          </w:p>
        </w:tc>
        <w:tc>
          <w:tcPr>
            <w:tcW w:w="34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51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At January 2, 2015</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304,297</w:t>
            </w:r>
          </w:p>
        </w:tc>
        <w:tc>
          <w:tcPr>
            <w:tcW w:w="28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50,096</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56"/>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9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354,393</w:t>
            </w:r>
          </w:p>
        </w:tc>
        <w:tc>
          <w:tcPr>
            <w:tcW w:w="0" w:type="dxa"/>
            <w:vAlign w:val="bottom"/>
          </w:tcPr>
          <w:p>
            <w:pPr>
              <w:spacing w:after="0"/>
              <w:rPr>
                <w:sz w:val="1"/>
                <w:szCs w:val="1"/>
                <w:color w:val="auto"/>
              </w:rPr>
            </w:pPr>
          </w:p>
        </w:tc>
      </w:tr>
      <w:tr>
        <w:trPr>
          <w:trHeight w:val="243"/>
        </w:trPr>
        <w:tc>
          <w:tcPr>
            <w:tcW w:w="5160" w:type="dxa"/>
            <w:vAlign w:val="bottom"/>
          </w:tcPr>
          <w:p>
            <w:pPr>
              <w:ind w:left="20"/>
              <w:spacing w:after="0"/>
              <w:rPr>
                <w:sz w:val="20"/>
                <w:szCs w:val="20"/>
                <w:color w:val="auto"/>
              </w:rPr>
            </w:pPr>
            <w:r>
              <w:rPr>
                <w:rFonts w:ascii="Arial" w:cs="Arial" w:eastAsia="Arial" w:hAnsi="Arial"/>
                <w:sz w:val="18"/>
                <w:szCs w:val="18"/>
                <w:color w:val="auto"/>
              </w:rPr>
              <w:t>Goodwill acquired (Note 2)</w:t>
            </w:r>
          </w:p>
        </w:tc>
        <w:tc>
          <w:tcPr>
            <w:tcW w:w="180" w:type="dxa"/>
            <w:vAlign w:val="bottom"/>
          </w:tcPr>
          <w:p>
            <w:pPr>
              <w:spacing w:after="0"/>
              <w:rPr>
                <w:sz w:val="21"/>
                <w:szCs w:val="21"/>
                <w:color w:val="auto"/>
              </w:rPr>
            </w:pPr>
          </w:p>
        </w:tc>
        <w:tc>
          <w:tcPr>
            <w:tcW w:w="106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3"/>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120" w:type="dxa"/>
            <w:vAlign w:val="bottom"/>
          </w:tcPr>
          <w:p>
            <w:pPr>
              <w:jc w:val="right"/>
              <w:ind w:right="56"/>
              <w:spacing w:after="0"/>
              <w:rPr>
                <w:sz w:val="20"/>
                <w:szCs w:val="20"/>
                <w:color w:val="auto"/>
              </w:rPr>
            </w:pPr>
            <w:r>
              <w:rPr>
                <w:rFonts w:ascii="Arial" w:cs="Arial" w:eastAsia="Arial" w:hAnsi="Arial"/>
                <w:sz w:val="18"/>
                <w:szCs w:val="18"/>
                <w:color w:val="auto"/>
              </w:rPr>
              <w:t>661,788</w:t>
            </w:r>
          </w:p>
        </w:tc>
        <w:tc>
          <w:tcPr>
            <w:tcW w:w="340" w:type="dxa"/>
            <w:vAlign w:val="bottom"/>
          </w:tcPr>
          <w:p>
            <w:pPr>
              <w:spacing w:after="0"/>
              <w:rPr>
                <w:sz w:val="21"/>
                <w:szCs w:val="21"/>
                <w:color w:val="auto"/>
              </w:rPr>
            </w:pPr>
          </w:p>
        </w:tc>
        <w:tc>
          <w:tcPr>
            <w:tcW w:w="980" w:type="dxa"/>
            <w:vAlign w:val="bottom"/>
          </w:tcPr>
          <w:p>
            <w:pPr>
              <w:jc w:val="right"/>
              <w:ind w:right="14"/>
              <w:spacing w:after="0"/>
              <w:rPr>
                <w:sz w:val="20"/>
                <w:szCs w:val="20"/>
                <w:color w:val="auto"/>
              </w:rPr>
            </w:pPr>
            <w:r>
              <w:rPr>
                <w:rFonts w:ascii="Arial" w:cs="Arial" w:eastAsia="Arial" w:hAnsi="Arial"/>
                <w:sz w:val="18"/>
                <w:szCs w:val="18"/>
                <w:color w:val="auto"/>
              </w:rPr>
              <w:t>661,788</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1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Foreign currency translation</w:t>
            </w:r>
          </w:p>
        </w:tc>
        <w:tc>
          <w:tcPr>
            <w:tcW w:w="18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(368)</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(2,243)</w:t>
            </w:r>
          </w:p>
        </w:tc>
        <w:tc>
          <w:tcPr>
            <w:tcW w:w="34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(2,611)</w:t>
            </w:r>
          </w:p>
        </w:tc>
        <w:tc>
          <w:tcPr>
            <w:tcW w:w="0" w:type="dxa"/>
            <w:vAlign w:val="bottom"/>
          </w:tcPr>
          <w:p>
            <w:pPr>
              <w:spacing w:after="0"/>
              <w:rPr>
                <w:sz w:val="1"/>
                <w:szCs w:val="1"/>
                <w:color w:val="auto"/>
              </w:rPr>
            </w:pPr>
          </w:p>
        </w:tc>
      </w:tr>
      <w:tr>
        <w:trPr>
          <w:trHeight w:val="257"/>
        </w:trPr>
        <w:tc>
          <w:tcPr>
            <w:tcW w:w="5160" w:type="dxa"/>
            <w:vAlign w:val="bottom"/>
          </w:tcPr>
          <w:p>
            <w:pPr>
              <w:ind w:left="20"/>
              <w:spacing w:after="0"/>
              <w:rPr>
                <w:sz w:val="20"/>
                <w:szCs w:val="20"/>
                <w:color w:val="auto"/>
              </w:rPr>
            </w:pPr>
            <w:r>
              <w:rPr>
                <w:rFonts w:ascii="Arial" w:cs="Arial" w:eastAsia="Arial" w:hAnsi="Arial"/>
                <w:sz w:val="18"/>
                <w:szCs w:val="18"/>
                <w:color w:val="auto"/>
              </w:rPr>
              <w:t>At January 1, 2016</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bottom w:val="single" w:sz="8" w:color="auto"/>
            </w:tcBorders>
            <w:gridSpan w:val="2"/>
          </w:tcPr>
          <w:p>
            <w:pPr>
              <w:jc w:val="right"/>
              <w:ind w:right="80"/>
              <w:spacing w:after="0"/>
              <w:rPr>
                <w:sz w:val="20"/>
                <w:szCs w:val="20"/>
                <w:color w:val="auto"/>
              </w:rPr>
            </w:pPr>
            <w:r>
              <w:rPr>
                <w:rFonts w:ascii="Arial" w:cs="Arial" w:eastAsia="Arial" w:hAnsi="Arial"/>
                <w:sz w:val="18"/>
                <w:szCs w:val="18"/>
                <w:color w:val="auto"/>
              </w:rPr>
              <w:t>303,929</w:t>
            </w:r>
          </w:p>
        </w:tc>
        <w:tc>
          <w:tcPr>
            <w:tcW w:w="120" w:type="dxa"/>
            <w:vAlign w:val="bottom"/>
          </w:tcPr>
          <w:p>
            <w:pPr>
              <w:spacing w:after="0"/>
              <w:rPr>
                <w:sz w:val="22"/>
                <w:szCs w:val="22"/>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auto"/>
            </w:tcBorders>
            <w:gridSpan w:val="2"/>
          </w:tcPr>
          <w:p>
            <w:pPr>
              <w:jc w:val="right"/>
              <w:ind w:right="100"/>
              <w:spacing w:after="0"/>
              <w:rPr>
                <w:sz w:val="20"/>
                <w:szCs w:val="20"/>
                <w:color w:val="auto"/>
              </w:rPr>
            </w:pPr>
            <w:r>
              <w:rPr>
                <w:rFonts w:ascii="Arial" w:cs="Arial" w:eastAsia="Arial" w:hAnsi="Arial"/>
                <w:sz w:val="18"/>
                <w:szCs w:val="18"/>
                <w:color w:val="auto"/>
              </w:rPr>
              <w:t>50,096</w:t>
            </w: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ind w:right="56"/>
              <w:spacing w:after="0"/>
              <w:rPr>
                <w:sz w:val="20"/>
                <w:szCs w:val="20"/>
                <w:color w:val="auto"/>
              </w:rPr>
            </w:pPr>
            <w:r>
              <w:rPr>
                <w:rFonts w:ascii="Arial" w:cs="Arial" w:eastAsia="Arial" w:hAnsi="Arial"/>
                <w:sz w:val="18"/>
                <w:szCs w:val="18"/>
                <w:color w:val="auto"/>
              </w:rPr>
              <w:t>659,545</w:t>
            </w:r>
          </w:p>
        </w:tc>
        <w:tc>
          <w:tcPr>
            <w:tcW w:w="34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98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color w:val="auto"/>
              </w:rPr>
              <w:t>1,013,570</w:t>
            </w:r>
          </w:p>
        </w:tc>
        <w:tc>
          <w:tcPr>
            <w:tcW w:w="0" w:type="dxa"/>
            <w:vAlign w:val="bottom"/>
          </w:tcPr>
          <w:p>
            <w:pPr>
              <w:spacing w:after="0"/>
              <w:rPr>
                <w:sz w:val="1"/>
                <w:szCs w:val="1"/>
                <w:color w:val="auto"/>
              </w:rPr>
            </w:pPr>
          </w:p>
        </w:tc>
      </w:tr>
      <w:tr>
        <w:trPr>
          <w:trHeight w:val="20"/>
        </w:trPr>
        <w:tc>
          <w:tcPr>
            <w:tcW w:w="5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4"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As of January 1, 2016, no accumulated impairment loss has been recognized for the goodwill allocated to the Company’s Greatbatch Medical, QiG or Lake Region Medical segments.</w:t>
      </w: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jc w:val="center"/>
        <w:ind w:right="180"/>
        <w:spacing w:after="0"/>
        <w:rPr>
          <w:sz w:val="20"/>
          <w:szCs w:val="20"/>
          <w:color w:val="auto"/>
        </w:rPr>
      </w:pPr>
      <w:r>
        <w:rPr>
          <w:rFonts w:ascii="Arial" w:cs="Arial" w:eastAsia="Arial" w:hAnsi="Arial"/>
          <w:sz w:val="18"/>
          <w:szCs w:val="18"/>
          <w:color w:val="auto"/>
        </w:rPr>
        <w:t>- 85 -</w:t>
      </w:r>
    </w:p>
    <w:p>
      <w:pPr>
        <w:sectPr>
          <w:pgSz w:w="11900" w:h="16838" w:orient="portrait"/>
          <w:cols w:equalWidth="0" w:num="1">
            <w:col w:w="10780"/>
          </w:cols>
          <w:pgMar w:left="660" w:top="337" w:right="459" w:bottom="1440" w:gutter="0" w:footer="0" w:header="0"/>
        </w:sectPr>
      </w:pPr>
    </w:p>
    <w:bookmarkStart w:id="86" w:name="page87"/>
    <w:bookmarkEnd w:id="86"/>
    <w:p>
      <w:pPr>
        <w:jc w:val="center"/>
        <w:ind w:right="20"/>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200" w:type="dxa"/>
            <w:vAlign w:val="bottom"/>
            <w:gridSpan w:val="2"/>
          </w:tcPr>
          <w:p>
            <w:pPr>
              <w:spacing w:after="0"/>
              <w:rPr>
                <w:sz w:val="20"/>
                <w:szCs w:val="20"/>
                <w:color w:val="auto"/>
              </w:rPr>
            </w:pPr>
            <w:r>
              <w:rPr>
                <w:rFonts w:ascii="Arial" w:cs="Arial" w:eastAsia="Arial" w:hAnsi="Arial"/>
                <w:sz w:val="18"/>
                <w:szCs w:val="18"/>
                <w:b w:val="1"/>
                <w:bCs w:val="1"/>
                <w:color w:val="auto"/>
              </w:rPr>
              <w:t>8.   ACCRUED EXPENSES</w:t>
            </w:r>
          </w:p>
        </w:tc>
        <w:tc>
          <w:tcPr>
            <w:tcW w:w="24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40" w:type="dxa"/>
            <w:vAlign w:val="bottom"/>
          </w:tcPr>
          <w:p>
            <w:pPr>
              <w:spacing w:after="0"/>
              <w:rPr>
                <w:sz w:val="20"/>
                <w:szCs w:val="20"/>
                <w:color w:val="auto"/>
              </w:rPr>
            </w:pPr>
          </w:p>
        </w:tc>
      </w:tr>
      <w:tr>
        <w:trPr>
          <w:trHeight w:val="459"/>
        </w:trPr>
        <w:tc>
          <w:tcPr>
            <w:tcW w:w="380" w:type="dxa"/>
            <w:vAlign w:val="bottom"/>
          </w:tcPr>
          <w:p>
            <w:pPr>
              <w:spacing w:after="0"/>
              <w:rPr>
                <w:sz w:val="24"/>
                <w:szCs w:val="24"/>
                <w:color w:val="auto"/>
              </w:rPr>
            </w:pPr>
          </w:p>
        </w:tc>
        <w:tc>
          <w:tcPr>
            <w:tcW w:w="6820" w:type="dxa"/>
            <w:vAlign w:val="bottom"/>
          </w:tcPr>
          <w:p>
            <w:pPr>
              <w:spacing w:after="0"/>
              <w:rPr>
                <w:sz w:val="20"/>
                <w:szCs w:val="20"/>
                <w:color w:val="auto"/>
              </w:rPr>
            </w:pPr>
            <w:r>
              <w:rPr>
                <w:rFonts w:ascii="Arial" w:cs="Arial" w:eastAsia="Arial" w:hAnsi="Arial"/>
                <w:sz w:val="18"/>
                <w:szCs w:val="18"/>
                <w:color w:val="auto"/>
              </w:rPr>
              <w:t>Accrued expenses are comprised of the following (in thousands):</w:t>
            </w:r>
          </w:p>
        </w:tc>
        <w:tc>
          <w:tcPr>
            <w:tcW w:w="2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40" w:type="dxa"/>
            <w:vAlign w:val="bottom"/>
          </w:tcPr>
          <w:p>
            <w:pPr>
              <w:spacing w:after="0"/>
              <w:rPr>
                <w:sz w:val="24"/>
                <w:szCs w:val="24"/>
                <w:color w:val="auto"/>
              </w:rPr>
            </w:pPr>
          </w:p>
        </w:tc>
      </w:tr>
      <w:tr>
        <w:trPr>
          <w:trHeight w:val="332"/>
        </w:trPr>
        <w:tc>
          <w:tcPr>
            <w:tcW w:w="380" w:type="dxa"/>
            <w:vAlign w:val="bottom"/>
          </w:tcPr>
          <w:p>
            <w:pPr>
              <w:spacing w:after="0"/>
              <w:rPr>
                <w:sz w:val="24"/>
                <w:szCs w:val="24"/>
                <w:color w:val="auto"/>
              </w:rPr>
            </w:pPr>
          </w:p>
        </w:tc>
        <w:tc>
          <w:tcPr>
            <w:tcW w:w="682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gridSpan w:val="3"/>
          </w:tcPr>
          <w:p>
            <w:pPr>
              <w:jc w:val="right"/>
              <w:ind w:right="110"/>
              <w:spacing w:after="0"/>
              <w:rPr>
                <w:sz w:val="20"/>
                <w:szCs w:val="20"/>
                <w:color w:val="auto"/>
              </w:rPr>
            </w:pPr>
            <w:r>
              <w:rPr>
                <w:rFonts w:ascii="Arial" w:cs="Arial" w:eastAsia="Arial" w:hAnsi="Arial"/>
                <w:sz w:val="14"/>
                <w:szCs w:val="14"/>
                <w:b w:val="1"/>
                <w:bCs w:val="1"/>
                <w:color w:val="auto"/>
              </w:rPr>
              <w:t>At</w:t>
            </w:r>
          </w:p>
        </w:tc>
        <w:tc>
          <w:tcPr>
            <w:tcW w:w="1140" w:type="dxa"/>
            <w:vAlign w:val="bottom"/>
            <w:tcBorders>
              <w:bottom w:val="single" w:sz="8" w:color="auto"/>
            </w:tcBorders>
          </w:tcPr>
          <w:p>
            <w:pPr>
              <w:spacing w:after="0"/>
              <w:rPr>
                <w:sz w:val="24"/>
                <w:szCs w:val="24"/>
                <w:color w:val="auto"/>
              </w:rPr>
            </w:pPr>
          </w:p>
        </w:tc>
      </w:tr>
      <w:tr>
        <w:trPr>
          <w:trHeight w:val="152"/>
        </w:trPr>
        <w:tc>
          <w:tcPr>
            <w:tcW w:w="380" w:type="dxa"/>
            <w:vAlign w:val="bottom"/>
          </w:tcPr>
          <w:p>
            <w:pPr>
              <w:spacing w:after="0"/>
              <w:rPr>
                <w:sz w:val="13"/>
                <w:szCs w:val="13"/>
                <w:color w:val="auto"/>
              </w:rPr>
            </w:pPr>
          </w:p>
        </w:tc>
        <w:tc>
          <w:tcPr>
            <w:tcW w:w="68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100" w:type="dxa"/>
            <w:vAlign w:val="bottom"/>
          </w:tcPr>
          <w:p>
            <w:pPr>
              <w:jc w:val="right"/>
              <w:ind w:right="254"/>
              <w:spacing w:after="0" w:line="153" w:lineRule="exact"/>
              <w:rPr>
                <w:sz w:val="20"/>
                <w:szCs w:val="20"/>
                <w:color w:val="auto"/>
              </w:rPr>
            </w:pPr>
            <w:r>
              <w:rPr>
                <w:rFonts w:ascii="Arial" w:cs="Arial" w:eastAsia="Arial" w:hAnsi="Arial"/>
                <w:sz w:val="14"/>
                <w:szCs w:val="14"/>
                <w:b w:val="1"/>
                <w:bCs w:val="1"/>
                <w:color w:val="auto"/>
              </w:rPr>
              <w:t>January 1,</w:t>
            </w: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140" w:type="dxa"/>
            <w:vAlign w:val="bottom"/>
          </w:tcPr>
          <w:p>
            <w:pPr>
              <w:jc w:val="right"/>
              <w:ind w:right="274"/>
              <w:spacing w:after="0" w:line="153" w:lineRule="exact"/>
              <w:rPr>
                <w:sz w:val="20"/>
                <w:szCs w:val="20"/>
                <w:color w:val="auto"/>
              </w:rPr>
            </w:pPr>
            <w:r>
              <w:rPr>
                <w:rFonts w:ascii="Arial" w:cs="Arial" w:eastAsia="Arial" w:hAnsi="Arial"/>
                <w:sz w:val="14"/>
                <w:szCs w:val="14"/>
                <w:b w:val="1"/>
                <w:bCs w:val="1"/>
                <w:color w:val="auto"/>
              </w:rPr>
              <w:t>January 2,</w:t>
            </w:r>
          </w:p>
        </w:tc>
      </w:tr>
      <w:tr>
        <w:trPr>
          <w:trHeight w:val="192"/>
        </w:trPr>
        <w:tc>
          <w:tcPr>
            <w:tcW w:w="380" w:type="dxa"/>
            <w:vAlign w:val="bottom"/>
          </w:tcPr>
          <w:p>
            <w:pPr>
              <w:spacing w:after="0"/>
              <w:rPr>
                <w:sz w:val="16"/>
                <w:szCs w:val="16"/>
                <w:color w:val="auto"/>
              </w:rPr>
            </w:pPr>
          </w:p>
        </w:tc>
        <w:tc>
          <w:tcPr>
            <w:tcW w:w="682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414"/>
              <w:spacing w:after="0"/>
              <w:rPr>
                <w:sz w:val="20"/>
                <w:szCs w:val="20"/>
                <w:color w:val="auto"/>
              </w:rPr>
            </w:pPr>
            <w:r>
              <w:rPr>
                <w:rFonts w:ascii="Arial" w:cs="Arial" w:eastAsia="Arial" w:hAnsi="Arial"/>
                <w:sz w:val="14"/>
                <w:szCs w:val="14"/>
                <w:b w:val="1"/>
                <w:bCs w:val="1"/>
                <w:color w:val="auto"/>
              </w:rPr>
              <w:t>2016</w:t>
            </w:r>
          </w:p>
        </w:tc>
        <w:tc>
          <w:tcPr>
            <w:tcW w:w="4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454"/>
              <w:spacing w:after="0"/>
              <w:rPr>
                <w:sz w:val="20"/>
                <w:szCs w:val="20"/>
                <w:color w:val="auto"/>
              </w:rPr>
            </w:pPr>
            <w:r>
              <w:rPr>
                <w:rFonts w:ascii="Arial" w:cs="Arial" w:eastAsia="Arial" w:hAnsi="Arial"/>
                <w:sz w:val="14"/>
                <w:szCs w:val="14"/>
                <w:b w:val="1"/>
                <w:bCs w:val="1"/>
                <w:color w:val="auto"/>
              </w:rPr>
              <w:t>2015</w:t>
            </w:r>
          </w:p>
        </w:tc>
      </w:tr>
      <w:tr>
        <w:trPr>
          <w:trHeight w:val="250"/>
        </w:trPr>
        <w:tc>
          <w:tcPr>
            <w:tcW w:w="380" w:type="dxa"/>
            <w:vAlign w:val="bottom"/>
          </w:tcPr>
          <w:p>
            <w:pPr>
              <w:spacing w:after="0"/>
              <w:rPr>
                <w:sz w:val="21"/>
                <w:szCs w:val="21"/>
                <w:color w:val="auto"/>
              </w:rPr>
            </w:pPr>
          </w:p>
        </w:tc>
        <w:tc>
          <w:tcPr>
            <w:tcW w:w="68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Salaries and benefits</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37,579</w:t>
            </w:r>
          </w:p>
        </w:tc>
        <w:tc>
          <w:tcPr>
            <w:tcW w:w="380" w:type="dxa"/>
            <w:vAlign w:val="bottom"/>
            <w:tcBorders>
              <w:bottom w:val="single" w:sz="8" w:color="CCEEFF"/>
            </w:tcBorders>
            <w:gridSpan w:val="3"/>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20,770</w:t>
            </w:r>
          </w:p>
        </w:tc>
      </w:tr>
      <w:tr>
        <w:trPr>
          <w:trHeight w:val="243"/>
        </w:trPr>
        <w:tc>
          <w:tcPr>
            <w:tcW w:w="380" w:type="dxa"/>
            <w:vAlign w:val="bottom"/>
          </w:tcPr>
          <w:p>
            <w:pPr>
              <w:spacing w:after="0"/>
              <w:rPr>
                <w:sz w:val="21"/>
                <w:szCs w:val="21"/>
                <w:color w:val="auto"/>
              </w:rPr>
            </w:pPr>
          </w:p>
        </w:tc>
        <w:tc>
          <w:tcPr>
            <w:tcW w:w="6820" w:type="dxa"/>
            <w:vAlign w:val="bottom"/>
          </w:tcPr>
          <w:p>
            <w:pPr>
              <w:ind w:left="20"/>
              <w:spacing w:after="0"/>
              <w:rPr>
                <w:sz w:val="20"/>
                <w:szCs w:val="20"/>
                <w:color w:val="auto"/>
              </w:rPr>
            </w:pPr>
            <w:r>
              <w:rPr>
                <w:rFonts w:ascii="Arial" w:cs="Arial" w:eastAsia="Arial" w:hAnsi="Arial"/>
                <w:sz w:val="18"/>
                <w:szCs w:val="18"/>
                <w:color w:val="auto"/>
              </w:rPr>
              <w:t>Profit sharing and bonuses</w:t>
            </w:r>
          </w:p>
        </w:tc>
        <w:tc>
          <w:tcPr>
            <w:tcW w:w="2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6,781</w:t>
            </w: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18,524</w:t>
            </w:r>
          </w:p>
        </w:tc>
      </w:tr>
      <w:tr>
        <w:trPr>
          <w:trHeight w:val="27"/>
        </w:trPr>
        <w:tc>
          <w:tcPr>
            <w:tcW w:w="380" w:type="dxa"/>
            <w:vAlign w:val="bottom"/>
          </w:tcPr>
          <w:p>
            <w:pPr>
              <w:spacing w:after="0"/>
              <w:rPr>
                <w:sz w:val="2"/>
                <w:szCs w:val="2"/>
                <w:color w:val="auto"/>
              </w:rPr>
            </w:pPr>
          </w:p>
        </w:tc>
        <w:tc>
          <w:tcPr>
            <w:tcW w:w="68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380" w:type="dxa"/>
            <w:vAlign w:val="bottom"/>
          </w:tcPr>
          <w:p>
            <w:pPr>
              <w:spacing w:after="0"/>
              <w:rPr>
                <w:sz w:val="21"/>
                <w:szCs w:val="21"/>
                <w:color w:val="auto"/>
              </w:rPr>
            </w:pPr>
          </w:p>
        </w:tc>
        <w:tc>
          <w:tcPr>
            <w:tcW w:w="68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Accrued interest</w:t>
            </w:r>
          </w:p>
        </w:tc>
        <w:tc>
          <w:tcPr>
            <w:tcW w:w="2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9,378</w:t>
            </w:r>
          </w:p>
        </w:tc>
        <w:tc>
          <w:tcPr>
            <w:tcW w:w="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195</w:t>
            </w:r>
          </w:p>
        </w:tc>
      </w:tr>
      <w:tr>
        <w:trPr>
          <w:trHeight w:val="243"/>
        </w:trPr>
        <w:tc>
          <w:tcPr>
            <w:tcW w:w="380" w:type="dxa"/>
            <w:vAlign w:val="bottom"/>
          </w:tcPr>
          <w:p>
            <w:pPr>
              <w:spacing w:after="0"/>
              <w:rPr>
                <w:sz w:val="21"/>
                <w:szCs w:val="21"/>
                <w:color w:val="auto"/>
              </w:rPr>
            </w:pPr>
          </w:p>
        </w:tc>
        <w:tc>
          <w:tcPr>
            <w:tcW w:w="6820" w:type="dxa"/>
            <w:vAlign w:val="bottom"/>
          </w:tcPr>
          <w:p>
            <w:pPr>
              <w:ind w:left="20"/>
              <w:spacing w:after="0"/>
              <w:rPr>
                <w:sz w:val="20"/>
                <w:szCs w:val="20"/>
                <w:color w:val="auto"/>
              </w:rPr>
            </w:pPr>
            <w:r>
              <w:rPr>
                <w:rFonts w:ascii="Arial" w:cs="Arial" w:eastAsia="Arial" w:hAnsi="Arial"/>
                <w:sz w:val="18"/>
                <w:szCs w:val="18"/>
                <w:color w:val="auto"/>
              </w:rPr>
              <w:t>Purchase of non-controlling interest in subsidiaries</w:t>
            </w:r>
          </w:p>
        </w:tc>
        <w:tc>
          <w:tcPr>
            <w:tcW w:w="2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6,818</w:t>
            </w: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7"/>
        </w:trPr>
        <w:tc>
          <w:tcPr>
            <w:tcW w:w="380" w:type="dxa"/>
            <w:vAlign w:val="bottom"/>
          </w:tcPr>
          <w:p>
            <w:pPr>
              <w:spacing w:after="0"/>
              <w:rPr>
                <w:sz w:val="2"/>
                <w:szCs w:val="2"/>
                <w:color w:val="auto"/>
              </w:rPr>
            </w:pPr>
          </w:p>
        </w:tc>
        <w:tc>
          <w:tcPr>
            <w:tcW w:w="68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380" w:type="dxa"/>
            <w:vAlign w:val="bottom"/>
          </w:tcPr>
          <w:p>
            <w:pPr>
              <w:spacing w:after="0"/>
              <w:rPr>
                <w:sz w:val="21"/>
                <w:szCs w:val="21"/>
                <w:color w:val="auto"/>
              </w:rPr>
            </w:pPr>
          </w:p>
        </w:tc>
        <w:tc>
          <w:tcPr>
            <w:tcW w:w="68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Severance and change in control payments</w:t>
            </w:r>
          </w:p>
        </w:tc>
        <w:tc>
          <w:tcPr>
            <w:tcW w:w="2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11,969</w:t>
            </w:r>
          </w:p>
        </w:tc>
        <w:tc>
          <w:tcPr>
            <w:tcW w:w="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1,878</w:t>
            </w:r>
          </w:p>
        </w:tc>
      </w:tr>
      <w:tr>
        <w:trPr>
          <w:trHeight w:val="243"/>
        </w:trPr>
        <w:tc>
          <w:tcPr>
            <w:tcW w:w="380" w:type="dxa"/>
            <w:vAlign w:val="bottom"/>
          </w:tcPr>
          <w:p>
            <w:pPr>
              <w:spacing w:after="0"/>
              <w:rPr>
                <w:sz w:val="21"/>
                <w:szCs w:val="21"/>
                <w:color w:val="auto"/>
              </w:rPr>
            </w:pPr>
          </w:p>
        </w:tc>
        <w:tc>
          <w:tcPr>
            <w:tcW w:w="6820" w:type="dxa"/>
            <w:vAlign w:val="bottom"/>
          </w:tcPr>
          <w:p>
            <w:pPr>
              <w:ind w:left="20"/>
              <w:spacing w:after="0"/>
              <w:rPr>
                <w:sz w:val="20"/>
                <w:szCs w:val="20"/>
                <w:color w:val="auto"/>
              </w:rPr>
            </w:pPr>
            <w:r>
              <w:rPr>
                <w:rFonts w:ascii="Arial" w:cs="Arial" w:eastAsia="Arial" w:hAnsi="Arial"/>
                <w:sz w:val="18"/>
                <w:szCs w:val="18"/>
                <w:color w:val="auto"/>
              </w:rPr>
              <w:t>Warranty and customer rebates</w:t>
            </w:r>
          </w:p>
        </w:tc>
        <w:tc>
          <w:tcPr>
            <w:tcW w:w="2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7,205</w:t>
            </w: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660</w:t>
            </w:r>
          </w:p>
        </w:tc>
      </w:tr>
      <w:tr>
        <w:trPr>
          <w:trHeight w:val="27"/>
        </w:trPr>
        <w:tc>
          <w:tcPr>
            <w:tcW w:w="380" w:type="dxa"/>
            <w:vAlign w:val="bottom"/>
          </w:tcPr>
          <w:p>
            <w:pPr>
              <w:spacing w:after="0"/>
              <w:rPr>
                <w:sz w:val="2"/>
                <w:szCs w:val="2"/>
                <w:color w:val="auto"/>
              </w:rPr>
            </w:pPr>
          </w:p>
        </w:tc>
        <w:tc>
          <w:tcPr>
            <w:tcW w:w="68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70"/>
        </w:trPr>
        <w:tc>
          <w:tcPr>
            <w:tcW w:w="380" w:type="dxa"/>
            <w:vAlign w:val="bottom"/>
          </w:tcPr>
          <w:p>
            <w:pPr>
              <w:spacing w:after="0"/>
              <w:rPr>
                <w:sz w:val="23"/>
                <w:szCs w:val="23"/>
                <w:color w:val="auto"/>
              </w:rPr>
            </w:pPr>
          </w:p>
        </w:tc>
        <w:tc>
          <w:tcPr>
            <w:tcW w:w="68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Other</w:t>
            </w:r>
          </w:p>
        </w:tc>
        <w:tc>
          <w:tcPr>
            <w:tcW w:w="24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17,527</w:t>
            </w:r>
          </w:p>
        </w:tc>
        <w:tc>
          <w:tcPr>
            <w:tcW w:w="4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6,357</w:t>
            </w:r>
          </w:p>
        </w:tc>
      </w:tr>
      <w:tr>
        <w:trPr>
          <w:trHeight w:val="257"/>
        </w:trPr>
        <w:tc>
          <w:tcPr>
            <w:tcW w:w="380" w:type="dxa"/>
            <w:vAlign w:val="bottom"/>
          </w:tcPr>
          <w:p>
            <w:pPr>
              <w:spacing w:after="0"/>
              <w:rPr>
                <w:sz w:val="22"/>
                <w:szCs w:val="22"/>
                <w:color w:val="auto"/>
              </w:rPr>
            </w:pPr>
          </w:p>
        </w:tc>
        <w:tc>
          <w:tcPr>
            <w:tcW w:w="6820" w:type="dxa"/>
            <w:vAlign w:val="bottom"/>
          </w:tcPr>
          <w:p>
            <w:pPr>
              <w:ind w:left="260"/>
              <w:spacing w:after="0"/>
              <w:rPr>
                <w:sz w:val="20"/>
                <w:szCs w:val="20"/>
                <w:color w:val="auto"/>
              </w:rPr>
            </w:pPr>
            <w:r>
              <w:rPr>
                <w:rFonts w:ascii="Arial" w:cs="Arial" w:eastAsia="Arial" w:hAnsi="Arial"/>
                <w:sz w:val="18"/>
                <w:szCs w:val="18"/>
                <w:color w:val="auto"/>
              </w:rPr>
              <w:t>Total</w:t>
            </w: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97,257</w:t>
            </w:r>
          </w:p>
        </w:tc>
        <w:tc>
          <w:tcPr>
            <w:tcW w:w="40" w:type="dxa"/>
            <w:vAlign w:val="bottom"/>
            <w:tcBorders>
              <w:top w:val="single" w:sz="8" w:color="auto"/>
              <w:bottom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48,384</w:t>
            </w:r>
          </w:p>
        </w:tc>
      </w:tr>
      <w:tr>
        <w:trPr>
          <w:trHeight w:val="20"/>
        </w:trPr>
        <w:tc>
          <w:tcPr>
            <w:tcW w:w="380" w:type="dxa"/>
            <w:vAlign w:val="bottom"/>
          </w:tcPr>
          <w:p>
            <w:pPr>
              <w:spacing w:after="0" w:line="20" w:lineRule="exact"/>
              <w:rPr>
                <w:sz w:val="1"/>
                <w:szCs w:val="1"/>
                <w:color w:val="auto"/>
              </w:rPr>
            </w:pPr>
          </w:p>
        </w:tc>
        <w:tc>
          <w:tcPr>
            <w:tcW w:w="68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r>
    </w:tbl>
    <w:p>
      <w:pPr>
        <w:spacing w:after="0" w:line="360" w:lineRule="exact"/>
        <w:rPr>
          <w:sz w:val="20"/>
          <w:szCs w:val="20"/>
          <w:color w:val="auto"/>
        </w:rPr>
      </w:pPr>
    </w:p>
    <w:p>
      <w:pPr>
        <w:spacing w:after="0"/>
        <w:tabs>
          <w:tab w:leader="none" w:pos="340" w:val="left"/>
        </w:tabs>
        <w:rPr>
          <w:sz w:val="20"/>
          <w:szCs w:val="20"/>
          <w:color w:val="auto"/>
        </w:rPr>
      </w:pPr>
      <w:r>
        <w:rPr>
          <w:rFonts w:ascii="Arial" w:cs="Arial" w:eastAsia="Arial" w:hAnsi="Arial"/>
          <w:sz w:val="18"/>
          <w:szCs w:val="18"/>
          <w:b w:val="1"/>
          <w:bCs w:val="1"/>
          <w:color w:val="auto"/>
        </w:rPr>
        <w:t>9.</w:t>
        <w:tab/>
        <w:t>DEBT</w:t>
      </w:r>
    </w:p>
    <w:p>
      <w:pPr>
        <w:spacing w:after="0" w:line="148" w:lineRule="exact"/>
        <w:rPr>
          <w:sz w:val="20"/>
          <w:szCs w:val="20"/>
          <w:color w:val="auto"/>
        </w:rPr>
      </w:pPr>
    </w:p>
    <w:p>
      <w:pPr>
        <w:ind w:left="380"/>
        <w:spacing w:after="0"/>
        <w:rPr>
          <w:sz w:val="20"/>
          <w:szCs w:val="20"/>
          <w:color w:val="auto"/>
        </w:rPr>
      </w:pPr>
      <w:r>
        <w:rPr>
          <w:rFonts w:ascii="Arial" w:cs="Arial" w:eastAsia="Arial" w:hAnsi="Arial"/>
          <w:sz w:val="18"/>
          <w:szCs w:val="18"/>
          <w:color w:val="auto"/>
        </w:rPr>
        <w:t>Long-term debt is comprised of the following (in thousands):</w:t>
      </w:r>
    </w:p>
    <w:p>
      <w:pPr>
        <w:spacing w:after="0" w:line="163" w:lineRule="exact"/>
        <w:rPr>
          <w:sz w:val="20"/>
          <w:szCs w:val="20"/>
          <w:color w:val="auto"/>
        </w:rPr>
      </w:pPr>
    </w:p>
    <w:tbl>
      <w:tblPr>
        <w:tblLayout w:type="fixed"/>
        <w:tblInd w:w="380" w:type="dxa"/>
        <w:tblCellMar>
          <w:top w:w="0" w:type="dxa"/>
          <w:left w:w="0" w:type="dxa"/>
          <w:bottom w:w="0" w:type="dxa"/>
          <w:right w:w="0" w:type="dxa"/>
        </w:tblCellMar>
      </w:tblPr>
      <w:tr>
        <w:trPr>
          <w:trHeight w:val="192"/>
        </w:trPr>
        <w:tc>
          <w:tcPr>
            <w:tcW w:w="768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360" w:type="dxa"/>
            <w:vAlign w:val="bottom"/>
            <w:tcBorders>
              <w:bottom w:val="single" w:sz="8" w:color="auto"/>
            </w:tcBorders>
            <w:gridSpan w:val="3"/>
          </w:tcPr>
          <w:p>
            <w:pPr>
              <w:jc w:val="right"/>
              <w:ind w:right="200"/>
              <w:spacing w:after="0"/>
              <w:rPr>
                <w:sz w:val="20"/>
                <w:szCs w:val="20"/>
                <w:color w:val="auto"/>
              </w:rPr>
            </w:pPr>
            <w:r>
              <w:rPr>
                <w:rFonts w:ascii="Arial" w:cs="Arial" w:eastAsia="Arial" w:hAnsi="Arial"/>
                <w:sz w:val="14"/>
                <w:szCs w:val="14"/>
                <w:b w:val="1"/>
                <w:bCs w:val="1"/>
                <w:color w:val="auto"/>
                <w:w w:val="94"/>
              </w:rPr>
              <w:t>At</w:t>
            </w:r>
          </w:p>
        </w:tc>
        <w:tc>
          <w:tcPr>
            <w:tcW w:w="1140" w:type="dxa"/>
            <w:vAlign w:val="bottom"/>
            <w:tcBorders>
              <w:bottom w:val="single" w:sz="8" w:color="auto"/>
            </w:tcBorders>
          </w:tcPr>
          <w:p>
            <w:pPr>
              <w:spacing w:after="0"/>
              <w:rPr>
                <w:sz w:val="16"/>
                <w:szCs w:val="16"/>
                <w:color w:val="auto"/>
              </w:rPr>
            </w:pPr>
          </w:p>
        </w:tc>
      </w:tr>
      <w:tr>
        <w:trPr>
          <w:trHeight w:val="152"/>
        </w:trPr>
        <w:tc>
          <w:tcPr>
            <w:tcW w:w="76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120" w:type="dxa"/>
            <w:vAlign w:val="bottom"/>
          </w:tcPr>
          <w:p>
            <w:pPr>
              <w:jc w:val="right"/>
              <w:ind w:right="273"/>
              <w:spacing w:after="0" w:line="153" w:lineRule="exact"/>
              <w:rPr>
                <w:sz w:val="20"/>
                <w:szCs w:val="20"/>
                <w:color w:val="auto"/>
              </w:rPr>
            </w:pPr>
            <w:r>
              <w:rPr>
                <w:rFonts w:ascii="Arial" w:cs="Arial" w:eastAsia="Arial" w:hAnsi="Arial"/>
                <w:sz w:val="14"/>
                <w:szCs w:val="14"/>
                <w:b w:val="1"/>
                <w:bCs w:val="1"/>
                <w:color w:val="auto"/>
              </w:rPr>
              <w:t>January 1,</w:t>
            </w: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140" w:type="dxa"/>
            <w:vAlign w:val="bottom"/>
          </w:tcPr>
          <w:p>
            <w:pPr>
              <w:jc w:val="right"/>
              <w:ind w:right="293"/>
              <w:spacing w:after="0" w:line="153" w:lineRule="exact"/>
              <w:rPr>
                <w:sz w:val="20"/>
                <w:szCs w:val="20"/>
                <w:color w:val="auto"/>
              </w:rPr>
            </w:pPr>
            <w:r>
              <w:rPr>
                <w:rFonts w:ascii="Arial" w:cs="Arial" w:eastAsia="Arial" w:hAnsi="Arial"/>
                <w:sz w:val="14"/>
                <w:szCs w:val="14"/>
                <w:b w:val="1"/>
                <w:bCs w:val="1"/>
                <w:color w:val="auto"/>
              </w:rPr>
              <w:t>January 2,</w:t>
            </w:r>
          </w:p>
        </w:tc>
      </w:tr>
      <w:tr>
        <w:trPr>
          <w:trHeight w:val="192"/>
        </w:trPr>
        <w:tc>
          <w:tcPr>
            <w:tcW w:w="768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33"/>
              <w:spacing w:after="0"/>
              <w:rPr>
                <w:sz w:val="20"/>
                <w:szCs w:val="20"/>
                <w:color w:val="auto"/>
              </w:rPr>
            </w:pPr>
            <w:r>
              <w:rPr>
                <w:rFonts w:ascii="Arial" w:cs="Arial" w:eastAsia="Arial" w:hAnsi="Arial"/>
                <w:sz w:val="14"/>
                <w:szCs w:val="14"/>
                <w:b w:val="1"/>
                <w:bCs w:val="1"/>
                <w:color w:val="auto"/>
              </w:rPr>
              <w:t>2016</w:t>
            </w:r>
          </w:p>
        </w:tc>
        <w:tc>
          <w:tcPr>
            <w:tcW w:w="2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453"/>
              <w:spacing w:after="0"/>
              <w:rPr>
                <w:sz w:val="20"/>
                <w:szCs w:val="20"/>
                <w:color w:val="auto"/>
              </w:rPr>
            </w:pPr>
            <w:r>
              <w:rPr>
                <w:rFonts w:ascii="Arial" w:cs="Arial" w:eastAsia="Arial" w:hAnsi="Arial"/>
                <w:sz w:val="14"/>
                <w:szCs w:val="14"/>
                <w:b w:val="1"/>
                <w:bCs w:val="1"/>
                <w:color w:val="auto"/>
              </w:rPr>
              <w:t>2015</w:t>
            </w:r>
          </w:p>
        </w:tc>
      </w:tr>
      <w:tr>
        <w:trPr>
          <w:trHeight w:val="250"/>
        </w:trPr>
        <w:tc>
          <w:tcPr>
            <w:tcW w:w="76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Senior secured term loan A</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375,000</w:t>
            </w:r>
          </w:p>
        </w:tc>
        <w:tc>
          <w:tcPr>
            <w:tcW w:w="360" w:type="dxa"/>
            <w:vAlign w:val="bottom"/>
            <w:tcBorders>
              <w:bottom w:val="single" w:sz="8" w:color="CCEEFF"/>
            </w:tcBorders>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w:t>
            </w:r>
          </w:p>
        </w:tc>
      </w:tr>
      <w:tr>
        <w:trPr>
          <w:trHeight w:val="243"/>
        </w:trPr>
        <w:tc>
          <w:tcPr>
            <w:tcW w:w="7680" w:type="dxa"/>
            <w:vAlign w:val="bottom"/>
          </w:tcPr>
          <w:p>
            <w:pPr>
              <w:ind w:left="20"/>
              <w:spacing w:after="0"/>
              <w:rPr>
                <w:sz w:val="20"/>
                <w:szCs w:val="20"/>
                <w:color w:val="auto"/>
              </w:rPr>
            </w:pPr>
            <w:r>
              <w:rPr>
                <w:rFonts w:ascii="Arial" w:cs="Arial" w:eastAsia="Arial" w:hAnsi="Arial"/>
                <w:sz w:val="18"/>
                <w:szCs w:val="18"/>
                <w:color w:val="auto"/>
              </w:rPr>
              <w:t>Senior secured term loan B</w:t>
            </w:r>
          </w:p>
        </w:tc>
        <w:tc>
          <w:tcPr>
            <w:tcW w:w="22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1,025,000</w:t>
            </w: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40" w:type="dxa"/>
            <w:vAlign w:val="bottom"/>
          </w:tcPr>
          <w:p>
            <w:pPr>
              <w:jc w:val="right"/>
              <w:ind w:right="13"/>
              <w:spacing w:after="0"/>
              <w:rPr>
                <w:sz w:val="20"/>
                <w:szCs w:val="20"/>
                <w:color w:val="auto"/>
              </w:rPr>
            </w:pPr>
            <w:r>
              <w:rPr>
                <w:rFonts w:ascii="Arial" w:cs="Arial" w:eastAsia="Arial" w:hAnsi="Arial"/>
                <w:sz w:val="18"/>
                <w:szCs w:val="18"/>
                <w:color w:val="auto"/>
              </w:rPr>
              <w:t>—</w:t>
            </w:r>
          </w:p>
        </w:tc>
      </w:tr>
      <w:tr>
        <w:trPr>
          <w:trHeight w:val="27"/>
        </w:trPr>
        <w:tc>
          <w:tcPr>
            <w:tcW w:w="76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76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9.125% senior notes, due 2023</w:t>
            </w: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360,000</w:t>
            </w: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w:t>
            </w:r>
          </w:p>
        </w:tc>
      </w:tr>
      <w:tr>
        <w:trPr>
          <w:trHeight w:val="243"/>
        </w:trPr>
        <w:tc>
          <w:tcPr>
            <w:tcW w:w="7680" w:type="dxa"/>
            <w:vAlign w:val="bottom"/>
          </w:tcPr>
          <w:p>
            <w:pPr>
              <w:ind w:left="20"/>
              <w:spacing w:after="0"/>
              <w:rPr>
                <w:sz w:val="20"/>
                <w:szCs w:val="20"/>
                <w:color w:val="auto"/>
              </w:rPr>
            </w:pPr>
            <w:r>
              <w:rPr>
                <w:rFonts w:ascii="Arial" w:cs="Arial" w:eastAsia="Arial" w:hAnsi="Arial"/>
                <w:sz w:val="18"/>
                <w:szCs w:val="18"/>
                <w:color w:val="auto"/>
              </w:rPr>
              <w:t>Variable rate term loan</w:t>
            </w:r>
          </w:p>
        </w:tc>
        <w:tc>
          <w:tcPr>
            <w:tcW w:w="22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40" w:type="dxa"/>
            <w:vAlign w:val="bottom"/>
          </w:tcPr>
          <w:p>
            <w:pPr>
              <w:jc w:val="right"/>
              <w:ind w:right="13"/>
              <w:spacing w:after="0"/>
              <w:rPr>
                <w:sz w:val="20"/>
                <w:szCs w:val="20"/>
                <w:color w:val="auto"/>
              </w:rPr>
            </w:pPr>
            <w:r>
              <w:rPr>
                <w:rFonts w:ascii="Arial" w:cs="Arial" w:eastAsia="Arial" w:hAnsi="Arial"/>
                <w:sz w:val="18"/>
                <w:szCs w:val="18"/>
                <w:color w:val="auto"/>
              </w:rPr>
              <w:t>187,500</w:t>
            </w:r>
          </w:p>
        </w:tc>
      </w:tr>
      <w:tr>
        <w:trPr>
          <w:trHeight w:val="27"/>
        </w:trPr>
        <w:tc>
          <w:tcPr>
            <w:tcW w:w="76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76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Revolving line of credit</w:t>
            </w: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w:t>
            </w:r>
          </w:p>
        </w:tc>
      </w:tr>
      <w:tr>
        <w:trPr>
          <w:trHeight w:val="243"/>
        </w:trPr>
        <w:tc>
          <w:tcPr>
            <w:tcW w:w="7680" w:type="dxa"/>
            <w:vAlign w:val="bottom"/>
          </w:tcPr>
          <w:p>
            <w:pPr>
              <w:ind w:left="20"/>
              <w:spacing w:after="0"/>
              <w:rPr>
                <w:sz w:val="20"/>
                <w:szCs w:val="20"/>
                <w:color w:val="auto"/>
              </w:rPr>
            </w:pPr>
            <w:r>
              <w:rPr>
                <w:rFonts w:ascii="Arial" w:cs="Arial" w:eastAsia="Arial" w:hAnsi="Arial"/>
                <w:sz w:val="18"/>
                <w:szCs w:val="18"/>
                <w:color w:val="auto"/>
              </w:rPr>
              <w:t>Less unamortized discount on term loan B and debt issuance costs</w:t>
            </w:r>
          </w:p>
        </w:tc>
        <w:tc>
          <w:tcPr>
            <w:tcW w:w="22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(45,947)</w:t>
            </w: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(887)</w:t>
            </w:r>
          </w:p>
        </w:tc>
      </w:tr>
      <w:tr>
        <w:trPr>
          <w:trHeight w:val="27"/>
        </w:trPr>
        <w:tc>
          <w:tcPr>
            <w:tcW w:w="76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44"/>
        </w:trPr>
        <w:tc>
          <w:tcPr>
            <w:tcW w:w="768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Total debt</w:t>
            </w: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1,714,053</w:t>
            </w: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186,613</w:t>
            </w:r>
          </w:p>
        </w:tc>
      </w:tr>
      <w:tr>
        <w:trPr>
          <w:trHeight w:val="243"/>
        </w:trPr>
        <w:tc>
          <w:tcPr>
            <w:tcW w:w="7680" w:type="dxa"/>
            <w:vAlign w:val="bottom"/>
          </w:tcPr>
          <w:p>
            <w:pPr>
              <w:ind w:left="20"/>
              <w:spacing w:after="0"/>
              <w:rPr>
                <w:sz w:val="20"/>
                <w:szCs w:val="20"/>
                <w:color w:val="auto"/>
              </w:rPr>
            </w:pPr>
            <w:r>
              <w:rPr>
                <w:rFonts w:ascii="Arial" w:cs="Arial" w:eastAsia="Arial" w:hAnsi="Arial"/>
                <w:sz w:val="18"/>
                <w:szCs w:val="18"/>
                <w:color w:val="auto"/>
              </w:rPr>
              <w:t>Less current portion of long-term debt</w:t>
            </w:r>
          </w:p>
        </w:tc>
        <w:tc>
          <w:tcPr>
            <w:tcW w:w="22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29,000</w:t>
            </w: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40" w:type="dxa"/>
            <w:vAlign w:val="bottom"/>
          </w:tcPr>
          <w:p>
            <w:pPr>
              <w:jc w:val="right"/>
              <w:ind w:right="13"/>
              <w:spacing w:after="0"/>
              <w:rPr>
                <w:sz w:val="20"/>
                <w:szCs w:val="20"/>
                <w:color w:val="auto"/>
              </w:rPr>
            </w:pPr>
            <w:r>
              <w:rPr>
                <w:rFonts w:ascii="Arial" w:cs="Arial" w:eastAsia="Arial" w:hAnsi="Arial"/>
                <w:sz w:val="18"/>
                <w:szCs w:val="18"/>
                <w:color w:val="auto"/>
              </w:rPr>
              <w:t>11,250</w:t>
            </w:r>
          </w:p>
        </w:tc>
      </w:tr>
      <w:tr>
        <w:trPr>
          <w:trHeight w:val="27"/>
        </w:trPr>
        <w:tc>
          <w:tcPr>
            <w:tcW w:w="76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57"/>
        </w:trPr>
        <w:tc>
          <w:tcPr>
            <w:tcW w:w="7680" w:type="dxa"/>
            <w:vAlign w:val="bottom"/>
            <w:shd w:val="clear" w:color="auto" w:fill="CCEEFF"/>
          </w:tcPr>
          <w:p>
            <w:pPr>
              <w:ind w:left="260"/>
              <w:spacing w:after="0"/>
              <w:rPr>
                <w:sz w:val="20"/>
                <w:szCs w:val="20"/>
                <w:color w:val="auto"/>
              </w:rPr>
            </w:pPr>
            <w:r>
              <w:rPr>
                <w:rFonts w:ascii="Arial" w:cs="Arial" w:eastAsia="Arial" w:hAnsi="Arial"/>
                <w:sz w:val="18"/>
                <w:szCs w:val="18"/>
                <w:color w:val="auto"/>
              </w:rPr>
              <w:t>Total long-term debt</w:t>
            </w:r>
          </w:p>
        </w:tc>
        <w:tc>
          <w:tcPr>
            <w:tcW w:w="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1,685,053</w:t>
            </w:r>
          </w:p>
        </w:tc>
        <w:tc>
          <w:tcPr>
            <w:tcW w:w="36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14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175,363</w:t>
            </w:r>
          </w:p>
        </w:tc>
      </w:tr>
      <w:tr>
        <w:trPr>
          <w:trHeight w:val="20"/>
        </w:trPr>
        <w:tc>
          <w:tcPr>
            <w:tcW w:w="768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380" w:right="80"/>
        <w:spacing w:after="0" w:line="302" w:lineRule="auto"/>
        <w:rPr>
          <w:sz w:val="20"/>
          <w:szCs w:val="20"/>
          <w:color w:val="auto"/>
        </w:rPr>
      </w:pPr>
      <w:r>
        <w:rPr>
          <w:rFonts w:ascii="Arial" w:cs="Arial" w:eastAsia="Arial" w:hAnsi="Arial"/>
          <w:sz w:val="16"/>
          <w:szCs w:val="16"/>
          <w:b w:val="1"/>
          <w:bCs w:val="1"/>
          <w:i w:val="1"/>
          <w:iCs w:val="1"/>
          <w:color w:val="auto"/>
        </w:rPr>
        <w:t xml:space="preserve">Senior Secured Credit Facilities – </w:t>
      </w:r>
      <w:r>
        <w:rPr>
          <w:rFonts w:ascii="Arial" w:cs="Arial" w:eastAsia="Arial" w:hAnsi="Arial"/>
          <w:sz w:val="16"/>
          <w:szCs w:val="16"/>
          <w:color w:val="auto"/>
        </w:rPr>
        <w:t>In connection with the Lake Region Medical acquisition, on October 27, 2015, the Company replaced its existing</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credit facility with new senior secured credit facilities (the “Senior Secured Credit Facilities”) consisting of (i) a $200 million revolving credit facility (the “Revolving Credit Facility”), (ii) a $375 million term loan A facility (the “TLA Facility”), and (iii) a $1,025 million term loan B facility (the “TLB Facility”). The TLA Facility and TLB Facility are collectively referred to as the “Term Loan Facilities.” The TLB facility was issued at a 1% discount.</w:t>
      </w:r>
    </w:p>
    <w:p>
      <w:pPr>
        <w:spacing w:after="0" w:line="154" w:lineRule="exact"/>
        <w:rPr>
          <w:sz w:val="20"/>
          <w:szCs w:val="20"/>
          <w:color w:val="auto"/>
        </w:rPr>
      </w:pPr>
    </w:p>
    <w:p>
      <w:pPr>
        <w:ind w:left="380"/>
        <w:spacing w:after="0"/>
        <w:rPr>
          <w:sz w:val="20"/>
          <w:szCs w:val="20"/>
          <w:color w:val="auto"/>
        </w:rPr>
      </w:pPr>
      <w:r>
        <w:rPr>
          <w:rFonts w:ascii="Arial" w:cs="Arial" w:eastAsia="Arial" w:hAnsi="Arial"/>
          <w:sz w:val="18"/>
          <w:szCs w:val="18"/>
          <w:i w:val="1"/>
          <w:iCs w:val="1"/>
          <w:color w:val="auto"/>
        </w:rPr>
        <w:t>Term Loan Facilities</w:t>
      </w:r>
    </w:p>
    <w:p>
      <w:pPr>
        <w:spacing w:after="0" w:line="225" w:lineRule="exact"/>
        <w:rPr>
          <w:sz w:val="20"/>
          <w:szCs w:val="20"/>
          <w:color w:val="auto"/>
        </w:rPr>
      </w:pPr>
    </w:p>
    <w:p>
      <w:pPr>
        <w:ind w:left="380" w:right="300"/>
        <w:spacing w:after="0" w:line="291" w:lineRule="auto"/>
        <w:rPr>
          <w:sz w:val="20"/>
          <w:szCs w:val="20"/>
          <w:color w:val="auto"/>
        </w:rPr>
      </w:pPr>
      <w:r>
        <w:rPr>
          <w:rFonts w:ascii="Arial" w:cs="Arial" w:eastAsia="Arial" w:hAnsi="Arial"/>
          <w:sz w:val="16"/>
          <w:szCs w:val="16"/>
          <w:color w:val="auto"/>
        </w:rPr>
        <w:t>The TLA Facility and TLB Facility mature on October 27, 2021 and October 27, 2022, respectively. Interest rates on the TLA Facility, as well as the Revolving Credit Facility, are at the Company’s option, either at: (i) the prime rate plus the applicable margin, which will range between 0.75% and</w:t>
      </w:r>
    </w:p>
    <w:p>
      <w:pPr>
        <w:ind w:left="380"/>
        <w:spacing w:after="0" w:line="254" w:lineRule="auto"/>
        <w:rPr>
          <w:sz w:val="20"/>
          <w:szCs w:val="20"/>
          <w:color w:val="auto"/>
        </w:rPr>
      </w:pPr>
      <w:r>
        <w:rPr>
          <w:rFonts w:ascii="Arial" w:cs="Arial" w:eastAsia="Arial" w:hAnsi="Arial"/>
          <w:sz w:val="18"/>
          <w:szCs w:val="18"/>
          <w:color w:val="auto"/>
        </w:rPr>
        <w:t>2.25%, based on the Company’s Total Net Leverage Ratio, as defined in the Senior Secured Credit Facilities agreement or (ii) the applicable LIBOR rate plus the applicable margin, which will range between 1.75% and 3.25%, based on the Company’s Total Net Leverage Ratio. Interest rates on the TLB Facility are, at the Company’s option, either at: (i) the prime rate plus 3.25% or (ii) the applicable LIBOR rate plus 4.25%, with LIBOR subject to a 1.00% floor.</w:t>
      </w:r>
    </w:p>
    <w:p>
      <w:pPr>
        <w:spacing w:after="0" w:line="190" w:lineRule="exact"/>
        <w:rPr>
          <w:sz w:val="20"/>
          <w:szCs w:val="20"/>
          <w:color w:val="auto"/>
        </w:rPr>
      </w:pPr>
    </w:p>
    <w:p>
      <w:pPr>
        <w:ind w:left="380" w:right="40"/>
        <w:spacing w:after="0" w:line="277" w:lineRule="auto"/>
        <w:rPr>
          <w:sz w:val="20"/>
          <w:szCs w:val="20"/>
          <w:color w:val="auto"/>
        </w:rPr>
      </w:pPr>
      <w:r>
        <w:rPr>
          <w:rFonts w:ascii="Arial" w:cs="Arial" w:eastAsia="Arial" w:hAnsi="Arial"/>
          <w:sz w:val="18"/>
          <w:szCs w:val="18"/>
          <w:color w:val="231F20"/>
        </w:rPr>
        <w:t>Subject to certain conditions, one or more incremental term loan facilities may be added to the Term Loan Facilities so long as, on a pro forma basis, the Company’s first lien net leverage ratio does not exceed 4.25:1.00.</w:t>
      </w:r>
    </w:p>
    <w:p>
      <w:pPr>
        <w:sectPr>
          <w:pgSz w:w="11900" w:h="16838" w:orient="portrait"/>
          <w:cols w:equalWidth="0" w:num="1">
            <w:col w:w="11380"/>
          </w:cols>
          <w:pgMar w:left="280" w:top="337" w:right="239" w:bottom="1440" w:gutter="0" w:footer="0" w:header="0"/>
        </w:sectPr>
      </w:pPr>
    </w:p>
    <w:p>
      <w:pPr>
        <w:spacing w:after="0" w:line="306" w:lineRule="exact"/>
        <w:rPr>
          <w:sz w:val="20"/>
          <w:szCs w:val="20"/>
          <w:color w:val="auto"/>
        </w:rPr>
      </w:pPr>
    </w:p>
    <w:p>
      <w:pPr>
        <w:jc w:val="center"/>
        <w:ind w:right="40"/>
        <w:spacing w:after="0"/>
        <w:rPr>
          <w:sz w:val="20"/>
          <w:szCs w:val="20"/>
          <w:color w:val="auto"/>
        </w:rPr>
      </w:pPr>
      <w:r>
        <w:rPr>
          <w:rFonts w:ascii="Arial" w:cs="Arial" w:eastAsia="Arial" w:hAnsi="Arial"/>
          <w:sz w:val="16"/>
          <w:szCs w:val="16"/>
          <w:color w:val="auto"/>
        </w:rPr>
        <w:t>- 86 -</w:t>
      </w:r>
    </w:p>
    <w:p>
      <w:pPr>
        <w:sectPr>
          <w:pgSz w:w="11900" w:h="16838" w:orient="portrait"/>
          <w:cols w:equalWidth="0" w:num="1">
            <w:col w:w="11380"/>
          </w:cols>
          <w:pgMar w:left="280" w:top="337" w:right="239" w:bottom="1440" w:gutter="0" w:footer="0" w:header="0"/>
          <w:type w:val="continuous"/>
        </w:sectPr>
      </w:pPr>
    </w:p>
    <w:bookmarkStart w:id="87" w:name="page88"/>
    <w:bookmarkEnd w:id="87"/>
    <w:p>
      <w:pPr>
        <w:jc w:val="center"/>
        <w:ind w:right="400"/>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ind w:right="40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As of January 1, 2016, the estimated fair value of TLB is $1,013 million, based on quoted market prices for the debt, recent sales prices for the debt and consideration of comparable debt instruments with similar interest rates and trading frequency, among other factors, and is classified as Level 2 measurements within the fair value hierarchy. The par amount of TLA approximated its fair value as of January 1, 2016 based upon the debt being variable rate in nature.</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Revolving Credit Facility</w:t>
      </w:r>
    </w:p>
    <w:p>
      <w:pPr>
        <w:spacing w:after="0" w:line="225" w:lineRule="exact"/>
        <w:rPr>
          <w:sz w:val="20"/>
          <w:szCs w:val="20"/>
          <w:color w:val="auto"/>
        </w:rPr>
      </w:pPr>
    </w:p>
    <w:p>
      <w:pPr>
        <w:ind w:right="40"/>
        <w:spacing w:after="0" w:line="276" w:lineRule="auto"/>
        <w:rPr>
          <w:sz w:val="20"/>
          <w:szCs w:val="20"/>
          <w:color w:val="auto"/>
        </w:rPr>
      </w:pPr>
      <w:r>
        <w:rPr>
          <w:rFonts w:ascii="Arial" w:cs="Arial" w:eastAsia="Arial" w:hAnsi="Arial"/>
          <w:sz w:val="17"/>
          <w:szCs w:val="17"/>
          <w:color w:val="auto"/>
        </w:rPr>
        <w:t>The Revolving Credit Facility matures on October 27, 2020. The Revolving Credit Facility also includes a $15 million sublimit for swingline loans and a $30 million sublimit for standby letters of credit (which will subsequently decrease to $25 million on April 27, 2016). The Company is required to pay a commitment fee on the unused portion of the Revolving Credit Facility, which will range between 0.175% and 0.25%, depending on the Company’s Total Net Leverage Ratio. As of January 1, 2016, there were no borrowings on the Revolving Credit Facility, but available borrowing capacity was $186.6 million after giving effect to $13.4 million of outstanding standby letters of credit.</w:t>
      </w:r>
    </w:p>
    <w:p>
      <w:pPr>
        <w:spacing w:after="0" w:line="173"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color w:val="auto"/>
        </w:rPr>
        <w:t>Subject to certain conditions, commitments under the Revolving Credit Facility may be increased through an incremental revolving facility so long as, on a pro forma basis, the Company’s first lien net leverage ratio does not exceed 4.25:1.00.</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Covenants</w:t>
      </w:r>
    </w:p>
    <w:p>
      <w:pPr>
        <w:spacing w:after="0" w:line="225" w:lineRule="exact"/>
        <w:rPr>
          <w:sz w:val="20"/>
          <w:szCs w:val="20"/>
          <w:color w:val="auto"/>
        </w:rPr>
      </w:pPr>
    </w:p>
    <w:p>
      <w:pPr>
        <w:ind w:right="20"/>
        <w:spacing w:after="0" w:line="264" w:lineRule="auto"/>
        <w:rPr>
          <w:sz w:val="20"/>
          <w:szCs w:val="20"/>
          <w:color w:val="auto"/>
        </w:rPr>
      </w:pPr>
      <w:r>
        <w:rPr>
          <w:rFonts w:ascii="Arial" w:cs="Arial" w:eastAsia="Arial" w:hAnsi="Arial"/>
          <w:sz w:val="18"/>
          <w:szCs w:val="18"/>
          <w:color w:val="auto"/>
        </w:rPr>
        <w:t>The Revolving Credit Facility and the TLA Facility contain covenants requiring (A) a maximum Total Net Leverage Ratio of 6.50:1.00, subject to step downs and (B) a minimum interest coverage ratio of adjusted EBITDA (as defined in the Senior Secured Credit Facilities) to interest expense of not less than 3.00:1.00. The TLB Facility does not contain any financial maintenance covenants.</w:t>
      </w:r>
    </w:p>
    <w:p>
      <w:pPr>
        <w:spacing w:after="0" w:line="181" w:lineRule="exact"/>
        <w:rPr>
          <w:sz w:val="20"/>
          <w:szCs w:val="20"/>
          <w:color w:val="auto"/>
        </w:rPr>
      </w:pPr>
    </w:p>
    <w:p>
      <w:pPr>
        <w:spacing w:after="0" w:line="290" w:lineRule="auto"/>
        <w:rPr>
          <w:sz w:val="20"/>
          <w:szCs w:val="20"/>
          <w:color w:val="auto"/>
        </w:rPr>
      </w:pPr>
      <w:r>
        <w:rPr>
          <w:rFonts w:ascii="Arial" w:cs="Arial" w:eastAsia="Arial" w:hAnsi="Arial"/>
          <w:sz w:val="16"/>
          <w:szCs w:val="16"/>
          <w:color w:val="auto"/>
        </w:rPr>
        <w:t>The Senior Secured Credit Facilities also contain negative covenants that restrict the Company’s ability to (i) incur additional indebtedness; (ii) create certain liens; (iii) consolidate or merge; (iv) sell assets, including capital stock of the Company’s subsidiaries; (v) engage in transactions with the Company’s affiliates; (vi) create restrictions on the payment of dividends or other amounts to Greatbatch Ltd. from the Company’s restricted subsidiaries; (vii) pay dividends on capital stock or redeem, repurchase or retire capital stock; (viii) pay, prepay, repurchase or retire certain subordinated indebtedness; (ix) make investments, loans, advances and acquisitions; (x) make certain amendments or modifications to the organizational documents of the Company or its subsidiaries or the documentation governing other senior indebtedness of the Company; and (xi) change the Company’s type of business. These negative covenants are subject to a number of limitations and exceptions that are described in the Senior Secured Credit Facilities agreement. As of January 1, 2016, the Company was in compliance with all financial and negative covenants under the Senior Secured Credit Facilities.</w:t>
      </w:r>
    </w:p>
    <w:p>
      <w:pPr>
        <w:spacing w:after="0" w:line="166" w:lineRule="exact"/>
        <w:rPr>
          <w:sz w:val="20"/>
          <w:szCs w:val="20"/>
          <w:color w:val="auto"/>
        </w:rPr>
      </w:pPr>
    </w:p>
    <w:p>
      <w:pPr>
        <w:ind w:right="20"/>
        <w:spacing w:after="0" w:line="290" w:lineRule="auto"/>
        <w:rPr>
          <w:sz w:val="20"/>
          <w:szCs w:val="20"/>
          <w:color w:val="auto"/>
        </w:rPr>
      </w:pPr>
      <w:r>
        <w:rPr>
          <w:rFonts w:ascii="Arial" w:cs="Arial" w:eastAsia="Arial" w:hAnsi="Arial"/>
          <w:sz w:val="16"/>
          <w:szCs w:val="16"/>
          <w:color w:val="auto"/>
        </w:rPr>
        <w:t xml:space="preserve">The Senior Secured Credit Facilities provide for customary events of default. Upon the occurrence and during the continuance of an event of default, the outstanding advances and all other obligations under the Senior Secured Credit Facilities become immediately due and payable. </w:t>
      </w:r>
      <w:r>
        <w:rPr>
          <w:rFonts w:ascii="Arial" w:cs="Arial" w:eastAsia="Arial" w:hAnsi="Arial"/>
          <w:sz w:val="16"/>
          <w:szCs w:val="16"/>
          <w:color w:val="231F20"/>
        </w:rPr>
        <w:t>The Senior Secured</w:t>
      </w:r>
      <w:r>
        <w:rPr>
          <w:rFonts w:ascii="Arial" w:cs="Arial" w:eastAsia="Arial" w:hAnsi="Arial"/>
          <w:sz w:val="16"/>
          <w:szCs w:val="16"/>
          <w:color w:val="auto"/>
        </w:rPr>
        <w:t xml:space="preserve"> </w:t>
      </w:r>
      <w:r>
        <w:rPr>
          <w:rFonts w:ascii="Arial" w:cs="Arial" w:eastAsia="Arial" w:hAnsi="Arial"/>
          <w:sz w:val="16"/>
          <w:szCs w:val="16"/>
          <w:color w:val="231F20"/>
        </w:rPr>
        <w:t>Credit Facilities are guaranteed by the Company, as a parent guarantor, and all of the Company’s present and future direct and indirect wholly-owned domestic subsidiaries (other than Greatbatch Ltd., non-wholly owned joint ventures and certain other excluded subsidiaries). The Senior Secured Credit Facilities are secured, subject to certain exceptions, by a first priority security interest in; 1) the present and future shares of capital stock of (or other ownership or profit interests in) Greatbatch Ltd. and each guarantor (except the Company); 2) sixty-six percent (66%) of all present and future shares of voting capital stock of each specified first-tier foreign subsidiary; 3) substantially all of the Company’s, Greatbatch Ltd.’s and each other guarantor’s other personal property; and 4) all proceeds and products of the property and assets of the Company, Greatbatch Ltd. and the other guarantors.</w:t>
      </w:r>
    </w:p>
    <w:p>
      <w:pPr>
        <w:spacing w:after="0" w:line="16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 xml:space="preserve">9.125% Senior Notes due 2023 – </w:t>
      </w:r>
      <w:r>
        <w:rPr>
          <w:rFonts w:ascii="Arial" w:cs="Arial" w:eastAsia="Arial" w:hAnsi="Arial"/>
          <w:sz w:val="17"/>
          <w:szCs w:val="17"/>
          <w:color w:val="auto"/>
        </w:rPr>
        <w:t>On October 27, 2015, the Company completed a private offering of $360 million aggregate principal amount of</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9.125% senior notes due on November 1, 2023 (the “Senior Notes”). All the Senior Notes are outstanding as of January 1, 2016.</w:t>
      </w:r>
    </w:p>
    <w:p>
      <w:pPr>
        <w:spacing w:after="0" w:line="211"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Interest on the Senior Notes is payable on May 1 and November 1 of each year, beginning on May 1, 2016. The Company may redeem the Senior Notes, in whole or in part, prior to November 1, 2018 at a price equal to 100% of the principal amount thereof plus a “make-whole” premium. Prior to November 1, 2018, the Company may redeem up to 40% of the aggregate principal amount of the Senior Notes using the proceeds from certain equity offerings at a redemption price equal to 109.125% of the aggregate principal amount of the Senior Notes. As of January 1, 2016, the estimated fair value of the Senior Notes are $354.6 million, based on quoted market prices of these notes, recent sales prices for the notes and consideration of comparable debt instruments with similar interest rates and trading frequency, among other factors, and is classified as Level 2 measurements within the fair value hierarchy.</w:t>
      </w:r>
    </w:p>
    <w:p>
      <w:pPr>
        <w:sectPr>
          <w:pgSz w:w="11900" w:h="16838" w:orient="portrait"/>
          <w:cols w:equalWidth="0" w:num="1">
            <w:col w:w="11000"/>
          </w:cols>
          <w:pgMar w:left="660" w:top="337"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jc w:val="center"/>
        <w:ind w:right="420"/>
        <w:spacing w:after="0"/>
        <w:rPr>
          <w:sz w:val="20"/>
          <w:szCs w:val="20"/>
          <w:color w:val="auto"/>
        </w:rPr>
      </w:pPr>
      <w:r>
        <w:rPr>
          <w:rFonts w:ascii="Arial" w:cs="Arial" w:eastAsia="Arial" w:hAnsi="Arial"/>
          <w:sz w:val="16"/>
          <w:szCs w:val="16"/>
          <w:color w:val="auto"/>
        </w:rPr>
        <w:t>- 87 -</w:t>
      </w:r>
    </w:p>
    <w:p>
      <w:pPr>
        <w:sectPr>
          <w:pgSz w:w="11900" w:h="16838" w:orient="portrait"/>
          <w:cols w:equalWidth="0" w:num="1">
            <w:col w:w="11000"/>
          </w:cols>
          <w:pgMar w:left="660" w:top="337" w:right="239" w:bottom="1440" w:gutter="0" w:footer="0" w:header="0"/>
          <w:type w:val="continuous"/>
        </w:sectPr>
      </w:pPr>
    </w:p>
    <w:bookmarkStart w:id="88" w:name="page89"/>
    <w:bookmarkEnd w:id="88"/>
    <w:p>
      <w:pPr>
        <w:jc w:val="center"/>
        <w:ind w:right="333"/>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ind w:right="333"/>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both"/>
        <w:ind w:left="7" w:right="180"/>
        <w:spacing w:after="0" w:line="291" w:lineRule="auto"/>
        <w:rPr>
          <w:sz w:val="20"/>
          <w:szCs w:val="20"/>
          <w:color w:val="auto"/>
        </w:rPr>
      </w:pPr>
      <w:r>
        <w:rPr>
          <w:rFonts w:ascii="Arial" w:cs="Arial" w:eastAsia="Arial" w:hAnsi="Arial"/>
          <w:sz w:val="16"/>
          <w:szCs w:val="16"/>
          <w:color w:val="auto"/>
        </w:rPr>
        <w:t>The Senior Notes are senior unsecured obligations of the Company. The Senior Notes contain restrictive covenants that, among other things, limit the ability of the Company to: (i) incur or guarantee additional indebtedness or issue certain disqualified stock or preferred stock; (ii) create certain liens;</w:t>
      </w:r>
    </w:p>
    <w:p>
      <w:pPr>
        <w:ind w:left="7" w:right="80" w:hanging="7"/>
        <w:spacing w:after="0" w:line="271" w:lineRule="auto"/>
        <w:tabs>
          <w:tab w:leader="none" w:pos="322" w:val="left"/>
        </w:tabs>
        <w:numPr>
          <w:ilvl w:val="0"/>
          <w:numId w:val="40"/>
        </w:numPr>
        <w:rPr>
          <w:rFonts w:ascii="Arial" w:cs="Arial" w:eastAsia="Arial" w:hAnsi="Arial"/>
          <w:sz w:val="17"/>
          <w:szCs w:val="17"/>
          <w:color w:val="auto"/>
        </w:rPr>
      </w:pPr>
      <w:r>
        <w:rPr>
          <w:rFonts w:ascii="Arial" w:cs="Arial" w:eastAsia="Arial" w:hAnsi="Arial"/>
          <w:sz w:val="17"/>
          <w:szCs w:val="17"/>
          <w:color w:val="auto"/>
        </w:rPr>
        <w:t>pay dividends or make distributions in respect of capital stock; (iv) make certain other restricted payments; (v) enter into agreements that restrict certain dividends or other payments; (vi) enter into sale-leaseback agreements; (vii) engage in certain transactions with affiliates; and (viii) consolidate or merge with, or sell substantially all of their assets to, another person. These covenants are subject to a number of limitations and exceptions that are described in the indenture agreement of the Senior Notes. The Senior Notes provide for customary events of default, subject in certain cases to customary cure periods, in which the Senior Notes and any unpaid interest would become due and payable.</w:t>
      </w:r>
    </w:p>
    <w:p>
      <w:pPr>
        <w:spacing w:after="0" w:line="179" w:lineRule="exact"/>
        <w:rPr>
          <w:sz w:val="20"/>
          <w:szCs w:val="20"/>
          <w:color w:val="auto"/>
        </w:rPr>
      </w:pPr>
    </w:p>
    <w:p>
      <w:pPr>
        <w:ind w:left="7"/>
        <w:spacing w:after="0"/>
        <w:rPr>
          <w:sz w:val="20"/>
          <w:szCs w:val="20"/>
          <w:color w:val="auto"/>
        </w:rPr>
      </w:pPr>
      <w:r>
        <w:rPr>
          <w:rFonts w:ascii="Arial" w:cs="Arial" w:eastAsia="Arial" w:hAnsi="Arial"/>
          <w:sz w:val="18"/>
          <w:szCs w:val="18"/>
          <w:color w:val="auto"/>
        </w:rPr>
        <w:t>As of January 1, 2016, the weighted average interest rate on all outstanding borrowings is 5.69%.</w:t>
      </w:r>
    </w:p>
    <w:p>
      <w:pPr>
        <w:spacing w:after="0" w:line="225" w:lineRule="exact"/>
        <w:rPr>
          <w:sz w:val="20"/>
          <w:szCs w:val="20"/>
          <w:color w:val="auto"/>
        </w:rPr>
      </w:pPr>
    </w:p>
    <w:p>
      <w:pPr>
        <w:ind w:left="7" w:right="340"/>
        <w:spacing w:after="0" w:line="277" w:lineRule="auto"/>
        <w:rPr>
          <w:sz w:val="20"/>
          <w:szCs w:val="20"/>
          <w:color w:val="auto"/>
        </w:rPr>
      </w:pPr>
      <w:r>
        <w:rPr>
          <w:rFonts w:ascii="Arial" w:cs="Arial" w:eastAsia="Arial" w:hAnsi="Arial"/>
          <w:sz w:val="18"/>
          <w:szCs w:val="18"/>
          <w:color w:val="auto"/>
        </w:rPr>
        <w:t>Contractual maturities of the Company’s debt facilities for the next five years and thereafter, excluding any discounts or premiums, as of January 1, 2016 are as follows (in thousands):</w:t>
      </w:r>
    </w:p>
    <w:p>
      <w:pPr>
        <w:spacing w:after="0" w:line="212" w:lineRule="exact"/>
        <w:rPr>
          <w:sz w:val="20"/>
          <w:szCs w:val="20"/>
          <w:color w:val="auto"/>
        </w:rPr>
      </w:pPr>
    </w:p>
    <w:tbl>
      <w:tblPr>
        <w:tblLayout w:type="fixed"/>
        <w:tblInd w:w="7" w:type="dxa"/>
        <w:tblCellMar>
          <w:top w:w="0" w:type="dxa"/>
          <w:left w:w="0" w:type="dxa"/>
          <w:bottom w:w="0" w:type="dxa"/>
          <w:right w:w="0" w:type="dxa"/>
        </w:tblCellMar>
      </w:tblPr>
      <w:tr>
        <w:trPr>
          <w:trHeight w:val="270"/>
        </w:trPr>
        <w:tc>
          <w:tcPr>
            <w:tcW w:w="6300" w:type="dxa"/>
            <w:vAlign w:val="bottom"/>
            <w:shd w:val="clear" w:color="auto" w:fill="CCEEFF"/>
          </w:tcPr>
          <w:p>
            <w:pPr>
              <w:ind w:left="20"/>
              <w:spacing w:after="0"/>
              <w:rPr>
                <w:sz w:val="20"/>
                <w:szCs w:val="20"/>
                <w:color w:val="auto"/>
              </w:rPr>
            </w:pPr>
            <w:r>
              <w:rPr>
                <w:rFonts w:ascii="Arial" w:cs="Arial" w:eastAsia="Arial" w:hAnsi="Arial"/>
                <w:sz w:val="18"/>
                <w:szCs w:val="18"/>
                <w:color w:val="auto"/>
              </w:rPr>
              <w:t>2016</w:t>
            </w:r>
          </w:p>
        </w:tc>
        <w:tc>
          <w:tcPr>
            <w:tcW w:w="38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29,000</w:t>
            </w:r>
          </w:p>
        </w:tc>
      </w:tr>
      <w:tr>
        <w:trPr>
          <w:trHeight w:val="243"/>
        </w:trPr>
        <w:tc>
          <w:tcPr>
            <w:tcW w:w="6300" w:type="dxa"/>
            <w:vAlign w:val="bottom"/>
          </w:tcPr>
          <w:p>
            <w:pPr>
              <w:ind w:left="20"/>
              <w:spacing w:after="0"/>
              <w:rPr>
                <w:sz w:val="20"/>
                <w:szCs w:val="20"/>
                <w:color w:val="auto"/>
              </w:rPr>
            </w:pPr>
            <w:r>
              <w:rPr>
                <w:rFonts w:ascii="Arial" w:cs="Arial" w:eastAsia="Arial" w:hAnsi="Arial"/>
                <w:sz w:val="18"/>
                <w:szCs w:val="18"/>
                <w:color w:val="auto"/>
              </w:rPr>
              <w:t>2017</w:t>
            </w:r>
          </w:p>
        </w:tc>
        <w:tc>
          <w:tcPr>
            <w:tcW w:w="38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31,344</w:t>
            </w:r>
          </w:p>
        </w:tc>
      </w:tr>
      <w:tr>
        <w:trPr>
          <w:trHeight w:val="27"/>
        </w:trPr>
        <w:tc>
          <w:tcPr>
            <w:tcW w:w="63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63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2018</w:t>
            </w:r>
          </w:p>
        </w:tc>
        <w:tc>
          <w:tcPr>
            <w:tcW w:w="3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40,719</w:t>
            </w:r>
          </w:p>
        </w:tc>
      </w:tr>
      <w:tr>
        <w:trPr>
          <w:trHeight w:val="243"/>
        </w:trPr>
        <w:tc>
          <w:tcPr>
            <w:tcW w:w="6300" w:type="dxa"/>
            <w:vAlign w:val="bottom"/>
          </w:tcPr>
          <w:p>
            <w:pPr>
              <w:ind w:left="20"/>
              <w:spacing w:after="0"/>
              <w:rPr>
                <w:sz w:val="20"/>
                <w:szCs w:val="20"/>
                <w:color w:val="auto"/>
              </w:rPr>
            </w:pPr>
            <w:r>
              <w:rPr>
                <w:rFonts w:ascii="Arial" w:cs="Arial" w:eastAsia="Arial" w:hAnsi="Arial"/>
                <w:sz w:val="18"/>
                <w:szCs w:val="18"/>
                <w:color w:val="auto"/>
              </w:rPr>
              <w:t>2019</w:t>
            </w:r>
          </w:p>
        </w:tc>
        <w:tc>
          <w:tcPr>
            <w:tcW w:w="38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47,750</w:t>
            </w:r>
          </w:p>
        </w:tc>
      </w:tr>
      <w:tr>
        <w:trPr>
          <w:trHeight w:val="27"/>
        </w:trPr>
        <w:tc>
          <w:tcPr>
            <w:tcW w:w="63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63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2020</w:t>
            </w:r>
          </w:p>
        </w:tc>
        <w:tc>
          <w:tcPr>
            <w:tcW w:w="3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47,750</w:t>
            </w:r>
          </w:p>
        </w:tc>
      </w:tr>
      <w:tr>
        <w:trPr>
          <w:trHeight w:val="243"/>
        </w:trPr>
        <w:tc>
          <w:tcPr>
            <w:tcW w:w="6300" w:type="dxa"/>
            <w:vAlign w:val="bottom"/>
          </w:tcPr>
          <w:p>
            <w:pPr>
              <w:ind w:left="20"/>
              <w:spacing w:after="0"/>
              <w:rPr>
                <w:sz w:val="20"/>
                <w:szCs w:val="20"/>
                <w:color w:val="auto"/>
              </w:rPr>
            </w:pPr>
            <w:r>
              <w:rPr>
                <w:rFonts w:ascii="Arial" w:cs="Arial" w:eastAsia="Arial" w:hAnsi="Arial"/>
                <w:sz w:val="18"/>
                <w:szCs w:val="18"/>
                <w:color w:val="auto"/>
              </w:rPr>
              <w:t>Thereafter</w:t>
            </w:r>
          </w:p>
        </w:tc>
        <w:tc>
          <w:tcPr>
            <w:tcW w:w="38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1,563,437</w:t>
            </w:r>
          </w:p>
        </w:tc>
      </w:tr>
      <w:tr>
        <w:trPr>
          <w:trHeight w:val="27"/>
        </w:trPr>
        <w:tc>
          <w:tcPr>
            <w:tcW w:w="63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69"/>
        </w:trPr>
        <w:tc>
          <w:tcPr>
            <w:tcW w:w="630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Total</w:t>
            </w: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1,760,000</w:t>
            </w:r>
          </w:p>
        </w:tc>
      </w:tr>
      <w:tr>
        <w:trPr>
          <w:trHeight w:val="20"/>
        </w:trPr>
        <w:tc>
          <w:tcPr>
            <w:tcW w:w="630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r>
    </w:tbl>
    <w:p>
      <w:pPr>
        <w:spacing w:after="0" w:line="94" w:lineRule="exact"/>
        <w:rPr>
          <w:sz w:val="20"/>
          <w:szCs w:val="20"/>
          <w:color w:val="auto"/>
        </w:rPr>
      </w:pPr>
    </w:p>
    <w:p>
      <w:pPr>
        <w:ind w:left="7"/>
        <w:spacing w:after="0" w:line="269" w:lineRule="auto"/>
        <w:rPr>
          <w:sz w:val="20"/>
          <w:szCs w:val="20"/>
          <w:color w:val="auto"/>
        </w:rPr>
      </w:pPr>
      <w:r>
        <w:rPr>
          <w:rFonts w:ascii="Arial" w:cs="Arial" w:eastAsia="Arial" w:hAnsi="Arial"/>
          <w:sz w:val="17"/>
          <w:szCs w:val="17"/>
          <w:b w:val="1"/>
          <w:bCs w:val="1"/>
          <w:i w:val="1"/>
          <w:iCs w:val="1"/>
          <w:color w:val="auto"/>
        </w:rPr>
        <w:t xml:space="preserve">Interest Rate Swaps – </w:t>
      </w:r>
      <w:r>
        <w:rPr>
          <w:rFonts w:ascii="Arial" w:cs="Arial" w:eastAsia="Arial" w:hAnsi="Arial"/>
          <w:sz w:val="17"/>
          <w:szCs w:val="17"/>
          <w:color w:val="auto"/>
        </w:rPr>
        <w:t>From time to time, the Company enters into interest rate swap agreements in order to hedge against potential changes in cash</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flows on its outstanding variable rate debt. During 2012, the Company entered into a three-year $150 million interest rate swap, which amortized $50 million per year. During 2014, the Company entered into an additional interest rate swap. The first $45 million of notional amount of the swap was effective February 20, 2015, and the second $45 million of notional amount was scheduled to be effective February 22, 2016. These swaps were accounted for as cash flow hedges. As a result of the Lake Region Medical acquisition, the forecasted cash flows that the Company’s interest rate swaps were hedging were no longer expected to occur. Accordingly, during 2015, the Company recognized an additional $2.8 million charge in Interest Expense relating to the termination of the interest rate swap contracts. On October 27, 2015, the Company terminated its outstanding interest rate swap agreements resulting in a $2.8 million payment to the interest rate swap counterparty. As of January 1, 2016, the Company has no interest rate swap agreements outstanding. No portion of the change in fair value of the Company’s interest rate swaps during 2015, 2014, or 2013 were considered ineffective. The amount recorded as Interest Expense during 2015, 2014, and 2013 related to the Company’s interest rate swaps was $3.5 million, $0.5 million and $0.5 million, respectively.</w:t>
      </w:r>
    </w:p>
    <w:p>
      <w:pPr>
        <w:spacing w:after="0" w:line="183" w:lineRule="exact"/>
        <w:rPr>
          <w:sz w:val="20"/>
          <w:szCs w:val="20"/>
          <w:color w:val="auto"/>
        </w:rPr>
      </w:pPr>
    </w:p>
    <w:p>
      <w:pPr>
        <w:ind w:left="7" w:right="20"/>
        <w:spacing w:after="0" w:line="259" w:lineRule="auto"/>
        <w:rPr>
          <w:sz w:val="20"/>
          <w:szCs w:val="20"/>
          <w:color w:val="auto"/>
        </w:rPr>
      </w:pPr>
      <w:r>
        <w:rPr>
          <w:rFonts w:ascii="Arial" w:cs="Arial" w:eastAsia="Arial" w:hAnsi="Arial"/>
          <w:sz w:val="18"/>
          <w:szCs w:val="18"/>
          <w:b w:val="1"/>
          <w:bCs w:val="1"/>
          <w:i w:val="1"/>
          <w:iCs w:val="1"/>
          <w:color w:val="auto"/>
        </w:rPr>
        <w:t xml:space="preserve">Convertible Subordinated Notes – </w:t>
      </w:r>
      <w:r>
        <w:rPr>
          <w:rFonts w:ascii="Arial" w:cs="Arial" w:eastAsia="Arial" w:hAnsi="Arial"/>
          <w:sz w:val="18"/>
          <w:szCs w:val="18"/>
          <w:color w:val="auto"/>
        </w:rPr>
        <w:t>In March 2007, the Company issued $197.8 million of CSN at a 5% discount. CSN accrued interest at 2.25% per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annum. The effective interest rate of CSN, which took into consideration the amortization of the discount and deferred fees related to the issuance of these notes, was 8.5%. On February 20, 2013, the Company redeemed all outstanding CSN. The contractual interest and discount amortization for CSN were as follows (in thousands):</w:t>
      </w:r>
    </w:p>
    <w:p>
      <w:pPr>
        <w:spacing w:after="0" w:line="125" w:lineRule="exact"/>
        <w:rPr>
          <w:sz w:val="20"/>
          <w:szCs w:val="20"/>
          <w:color w:val="auto"/>
        </w:rPr>
      </w:pPr>
    </w:p>
    <w:tbl>
      <w:tblPr>
        <w:tblLayout w:type="fixed"/>
        <w:tblInd w:w="7" w:type="dxa"/>
        <w:tblCellMar>
          <w:top w:w="0" w:type="dxa"/>
          <w:left w:w="0" w:type="dxa"/>
          <w:bottom w:w="0" w:type="dxa"/>
          <w:right w:w="0" w:type="dxa"/>
        </w:tblCellMar>
      </w:tblPr>
      <w:tr>
        <w:trPr>
          <w:trHeight w:val="192"/>
        </w:trPr>
        <w:tc>
          <w:tcPr>
            <w:tcW w:w="6280" w:type="dxa"/>
            <w:vAlign w:val="bottom"/>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ind w:left="340"/>
              <w:spacing w:after="0"/>
              <w:rPr>
                <w:sz w:val="20"/>
                <w:szCs w:val="20"/>
                <w:color w:val="auto"/>
              </w:rPr>
            </w:pPr>
            <w:r>
              <w:rPr>
                <w:rFonts w:ascii="Arial" w:cs="Arial" w:eastAsia="Arial" w:hAnsi="Arial"/>
                <w:sz w:val="14"/>
                <w:szCs w:val="14"/>
                <w:b w:val="1"/>
                <w:bCs w:val="1"/>
                <w:color w:val="auto"/>
                <w:w w:val="93"/>
              </w:rPr>
              <w:t>Year Ended</w:t>
            </w:r>
          </w:p>
        </w:tc>
        <w:tc>
          <w:tcPr>
            <w:tcW w:w="3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r>
      <w:tr>
        <w:trPr>
          <w:trHeight w:val="152"/>
        </w:trPr>
        <w:tc>
          <w:tcPr>
            <w:tcW w:w="6280" w:type="dxa"/>
            <w:vAlign w:val="bottom"/>
          </w:tcPr>
          <w:p>
            <w:pPr>
              <w:spacing w:after="0"/>
              <w:rPr>
                <w:sz w:val="13"/>
                <w:szCs w:val="13"/>
                <w:color w:val="auto"/>
              </w:rPr>
            </w:pPr>
          </w:p>
        </w:tc>
        <w:tc>
          <w:tcPr>
            <w:tcW w:w="1040" w:type="dxa"/>
            <w:vAlign w:val="bottom"/>
          </w:tcPr>
          <w:p>
            <w:pPr>
              <w:jc w:val="center"/>
              <w:ind w:left="222"/>
              <w:spacing w:after="0" w:line="153" w:lineRule="exact"/>
              <w:rPr>
                <w:sz w:val="20"/>
                <w:szCs w:val="20"/>
                <w:color w:val="auto"/>
              </w:rPr>
            </w:pPr>
            <w:r>
              <w:rPr>
                <w:rFonts w:ascii="Arial" w:cs="Arial" w:eastAsia="Arial" w:hAnsi="Arial"/>
                <w:sz w:val="14"/>
                <w:szCs w:val="14"/>
                <w:b w:val="1"/>
                <w:bCs w:val="1"/>
                <w:color w:val="auto"/>
                <w:w w:val="95"/>
              </w:rPr>
              <w:t>January 1,</w:t>
            </w:r>
          </w:p>
        </w:tc>
        <w:tc>
          <w:tcPr>
            <w:tcW w:w="3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80" w:type="dxa"/>
            <w:vAlign w:val="bottom"/>
          </w:tcPr>
          <w:p>
            <w:pPr>
              <w:ind w:left="340"/>
              <w:spacing w:after="0" w:line="153" w:lineRule="exact"/>
              <w:rPr>
                <w:sz w:val="20"/>
                <w:szCs w:val="20"/>
                <w:color w:val="auto"/>
              </w:rPr>
            </w:pPr>
            <w:r>
              <w:rPr>
                <w:rFonts w:ascii="Arial" w:cs="Arial" w:eastAsia="Arial" w:hAnsi="Arial"/>
                <w:sz w:val="14"/>
                <w:szCs w:val="14"/>
                <w:b w:val="1"/>
                <w:bCs w:val="1"/>
                <w:color w:val="auto"/>
              </w:rPr>
              <w:t>January 2,</w:t>
            </w:r>
          </w:p>
        </w:tc>
        <w:tc>
          <w:tcPr>
            <w:tcW w:w="3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140" w:type="dxa"/>
            <w:vAlign w:val="bottom"/>
          </w:tcPr>
          <w:p>
            <w:pPr>
              <w:jc w:val="right"/>
              <w:ind w:right="299"/>
              <w:spacing w:after="0" w:line="153" w:lineRule="exact"/>
              <w:rPr>
                <w:sz w:val="20"/>
                <w:szCs w:val="20"/>
                <w:color w:val="auto"/>
              </w:rPr>
            </w:pPr>
            <w:r>
              <w:rPr>
                <w:rFonts w:ascii="Arial" w:cs="Arial" w:eastAsia="Arial" w:hAnsi="Arial"/>
                <w:sz w:val="14"/>
                <w:szCs w:val="14"/>
                <w:b w:val="1"/>
                <w:bCs w:val="1"/>
                <w:color w:val="auto"/>
              </w:rPr>
              <w:t>January 3,</w:t>
            </w:r>
          </w:p>
        </w:tc>
      </w:tr>
      <w:tr>
        <w:trPr>
          <w:trHeight w:val="192"/>
        </w:trPr>
        <w:tc>
          <w:tcPr>
            <w:tcW w:w="6280" w:type="dxa"/>
            <w:vAlign w:val="bottom"/>
            <w:tcBorders>
              <w:bottom w:val="single" w:sz="8" w:color="CCEEFF"/>
            </w:tcBorders>
          </w:tcPr>
          <w:p>
            <w:pPr>
              <w:spacing w:after="0"/>
              <w:rPr>
                <w:sz w:val="16"/>
                <w:szCs w:val="16"/>
                <w:color w:val="auto"/>
              </w:rPr>
            </w:pPr>
          </w:p>
        </w:tc>
        <w:tc>
          <w:tcPr>
            <w:tcW w:w="1040" w:type="dxa"/>
            <w:vAlign w:val="bottom"/>
            <w:tcBorders>
              <w:bottom w:val="single" w:sz="8" w:color="auto"/>
            </w:tcBorders>
          </w:tcPr>
          <w:p>
            <w:pPr>
              <w:jc w:val="right"/>
              <w:ind w:right="142"/>
              <w:spacing w:after="0"/>
              <w:rPr>
                <w:sz w:val="20"/>
                <w:szCs w:val="20"/>
                <w:color w:val="auto"/>
              </w:rPr>
            </w:pPr>
            <w:r>
              <w:rPr>
                <w:rFonts w:ascii="Arial" w:cs="Arial" w:eastAsia="Arial" w:hAnsi="Arial"/>
                <w:sz w:val="14"/>
                <w:szCs w:val="14"/>
                <w:b w:val="1"/>
                <w:bCs w:val="1"/>
                <w:color w:val="auto"/>
              </w:rPr>
              <w:t>2016</w:t>
            </w:r>
          </w:p>
        </w:tc>
        <w:tc>
          <w:tcPr>
            <w:tcW w:w="34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080" w:type="dxa"/>
            <w:vAlign w:val="bottom"/>
            <w:tcBorders>
              <w:bottom w:val="single" w:sz="8" w:color="auto"/>
            </w:tcBorders>
          </w:tcPr>
          <w:p>
            <w:pPr>
              <w:jc w:val="right"/>
              <w:ind w:right="164"/>
              <w:spacing w:after="0"/>
              <w:rPr>
                <w:sz w:val="20"/>
                <w:szCs w:val="20"/>
                <w:color w:val="auto"/>
              </w:rPr>
            </w:pPr>
            <w:r>
              <w:rPr>
                <w:rFonts w:ascii="Arial" w:cs="Arial" w:eastAsia="Arial" w:hAnsi="Arial"/>
                <w:sz w:val="14"/>
                <w:szCs w:val="14"/>
                <w:b w:val="1"/>
                <w:bCs w:val="1"/>
                <w:color w:val="auto"/>
              </w:rPr>
              <w:t>2015</w:t>
            </w:r>
          </w:p>
        </w:tc>
        <w:tc>
          <w:tcPr>
            <w:tcW w:w="30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459"/>
              <w:spacing w:after="0"/>
              <w:rPr>
                <w:sz w:val="20"/>
                <w:szCs w:val="20"/>
                <w:color w:val="auto"/>
              </w:rPr>
            </w:pPr>
            <w:r>
              <w:rPr>
                <w:rFonts w:ascii="Arial" w:cs="Arial" w:eastAsia="Arial" w:hAnsi="Arial"/>
                <w:sz w:val="14"/>
                <w:szCs w:val="14"/>
                <w:b w:val="1"/>
                <w:bCs w:val="1"/>
                <w:color w:val="auto"/>
              </w:rPr>
              <w:t>2014</w:t>
            </w:r>
          </w:p>
        </w:tc>
      </w:tr>
      <w:tr>
        <w:trPr>
          <w:trHeight w:val="250"/>
        </w:trPr>
        <w:tc>
          <w:tcPr>
            <w:tcW w:w="6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Contractual interest</w:t>
            </w:r>
          </w:p>
        </w:tc>
        <w:tc>
          <w:tcPr>
            <w:tcW w:w="1040" w:type="dxa"/>
            <w:vAlign w:val="bottom"/>
            <w:tcBorders>
              <w:bottom w:val="single" w:sz="8" w:color="CCEEFF"/>
            </w:tcBorders>
            <w:shd w:val="clear" w:color="auto" w:fill="CCEEFF"/>
          </w:tcPr>
          <w:p>
            <w:pPr>
              <w:jc w:val="right"/>
              <w:ind w:right="842"/>
              <w:spacing w:after="0"/>
              <w:rPr>
                <w:sz w:val="20"/>
                <w:szCs w:val="20"/>
                <w:color w:val="auto"/>
              </w:rPr>
            </w:pPr>
            <w:r>
              <w:rPr>
                <w:rFonts w:ascii="Arial" w:cs="Arial" w:eastAsia="Arial" w:hAnsi="Arial"/>
                <w:sz w:val="18"/>
                <w:szCs w:val="18"/>
                <w:color w:val="auto"/>
                <w:w w:val="99"/>
              </w:rPr>
              <w:t>$</w:t>
            </w:r>
          </w:p>
        </w:tc>
        <w:tc>
          <w:tcPr>
            <w:tcW w:w="440" w:type="dxa"/>
            <w:vAlign w:val="bottom"/>
            <w:tcBorders>
              <w:bottom w:val="single" w:sz="8" w:color="CCEEFF"/>
            </w:tcBorders>
            <w:gridSpan w:val="2"/>
            <w:shd w:val="clear" w:color="auto" w:fill="CCEEFF"/>
          </w:tcPr>
          <w:p>
            <w:pPr>
              <w:ind w:left="60"/>
              <w:spacing w:after="0"/>
              <w:rPr>
                <w:sz w:val="20"/>
                <w:szCs w:val="20"/>
                <w:color w:val="auto"/>
              </w:rPr>
            </w:pPr>
            <w:r>
              <w:rPr>
                <w:rFonts w:ascii="Arial" w:cs="Arial" w:eastAsia="Arial" w:hAnsi="Arial"/>
                <w:sz w:val="18"/>
                <w:szCs w:val="18"/>
                <w:color w:val="auto"/>
              </w:rPr>
              <w:t>—</w:t>
            </w:r>
          </w:p>
        </w:tc>
        <w:tc>
          <w:tcPr>
            <w:tcW w:w="1080" w:type="dxa"/>
            <w:vAlign w:val="bottom"/>
            <w:tcBorders>
              <w:bottom w:val="single" w:sz="8" w:color="CCEEFF"/>
            </w:tcBorders>
            <w:shd w:val="clear" w:color="auto" w:fill="CCEEFF"/>
          </w:tcPr>
          <w:p>
            <w:pPr>
              <w:jc w:val="right"/>
              <w:ind w:right="884"/>
              <w:spacing w:after="0"/>
              <w:rPr>
                <w:sz w:val="20"/>
                <w:szCs w:val="20"/>
                <w:color w:val="auto"/>
              </w:rPr>
            </w:pPr>
            <w:r>
              <w:rPr>
                <w:rFonts w:ascii="Arial" w:cs="Arial" w:eastAsia="Arial" w:hAnsi="Arial"/>
                <w:sz w:val="18"/>
                <w:szCs w:val="18"/>
                <w:color w:val="auto"/>
                <w:w w:val="99"/>
              </w:rPr>
              <w:t>$</w:t>
            </w:r>
          </w:p>
        </w:tc>
        <w:tc>
          <w:tcPr>
            <w:tcW w:w="4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634</w:t>
            </w:r>
          </w:p>
        </w:tc>
      </w:tr>
      <w:tr>
        <w:trPr>
          <w:trHeight w:val="243"/>
        </w:trPr>
        <w:tc>
          <w:tcPr>
            <w:tcW w:w="6280" w:type="dxa"/>
            <w:vAlign w:val="bottom"/>
          </w:tcPr>
          <w:p>
            <w:pPr>
              <w:ind w:left="20"/>
              <w:spacing w:after="0"/>
              <w:rPr>
                <w:sz w:val="20"/>
                <w:szCs w:val="20"/>
                <w:color w:val="auto"/>
              </w:rPr>
            </w:pPr>
            <w:r>
              <w:rPr>
                <w:rFonts w:ascii="Arial" w:cs="Arial" w:eastAsia="Arial" w:hAnsi="Arial"/>
                <w:sz w:val="18"/>
                <w:szCs w:val="18"/>
                <w:color w:val="auto"/>
              </w:rPr>
              <w:t>Discount amortization</w:t>
            </w:r>
          </w:p>
        </w:tc>
        <w:tc>
          <w:tcPr>
            <w:tcW w:w="1040" w:type="dxa"/>
            <w:vAlign w:val="bottom"/>
          </w:tcPr>
          <w:p>
            <w:pPr>
              <w:spacing w:after="0"/>
              <w:rPr>
                <w:sz w:val="21"/>
                <w:szCs w:val="21"/>
                <w:color w:val="auto"/>
              </w:rPr>
            </w:pPr>
          </w:p>
        </w:tc>
        <w:tc>
          <w:tcPr>
            <w:tcW w:w="440" w:type="dxa"/>
            <w:vAlign w:val="bottom"/>
            <w:gridSpan w:val="2"/>
          </w:tcPr>
          <w:p>
            <w:pPr>
              <w:ind w:left="60"/>
              <w:spacing w:after="0"/>
              <w:rPr>
                <w:sz w:val="20"/>
                <w:szCs w:val="20"/>
                <w:color w:val="auto"/>
              </w:rPr>
            </w:pPr>
            <w:r>
              <w:rPr>
                <w:rFonts w:ascii="Arial" w:cs="Arial" w:eastAsia="Arial" w:hAnsi="Arial"/>
                <w:sz w:val="18"/>
                <w:szCs w:val="18"/>
                <w:color w:val="auto"/>
              </w:rPr>
              <w:t>—</w:t>
            </w:r>
          </w:p>
        </w:tc>
        <w:tc>
          <w:tcPr>
            <w:tcW w:w="1080" w:type="dxa"/>
            <w:vAlign w:val="bottom"/>
          </w:tcPr>
          <w:p>
            <w:pPr>
              <w:spacing w:after="0"/>
              <w:rPr>
                <w:sz w:val="21"/>
                <w:szCs w:val="21"/>
                <w:color w:val="auto"/>
              </w:rPr>
            </w:pPr>
          </w:p>
        </w:tc>
        <w:tc>
          <w:tcPr>
            <w:tcW w:w="400" w:type="dxa"/>
            <w:vAlign w:val="bottom"/>
            <w:gridSpan w:val="2"/>
          </w:tcPr>
          <w:p>
            <w:pPr>
              <w:ind w:left="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140" w:type="dxa"/>
            <w:vAlign w:val="bottom"/>
          </w:tcPr>
          <w:p>
            <w:pPr>
              <w:jc w:val="right"/>
              <w:ind w:right="19"/>
              <w:spacing w:after="0"/>
              <w:rPr>
                <w:sz w:val="20"/>
                <w:szCs w:val="20"/>
                <w:color w:val="auto"/>
              </w:rPr>
            </w:pPr>
            <w:r>
              <w:rPr>
                <w:rFonts w:ascii="Arial" w:cs="Arial" w:eastAsia="Arial" w:hAnsi="Arial"/>
                <w:sz w:val="18"/>
                <w:szCs w:val="18"/>
                <w:color w:val="auto"/>
              </w:rPr>
              <w:t>5,368</w:t>
            </w:r>
          </w:p>
        </w:tc>
      </w:tr>
    </w:tbl>
    <w:p>
      <w:pPr>
        <w:spacing w:after="0" w:line="229" w:lineRule="exact"/>
        <w:rPr>
          <w:sz w:val="20"/>
          <w:szCs w:val="20"/>
          <w:color w:val="auto"/>
        </w:rPr>
      </w:pPr>
    </w:p>
    <w:p>
      <w:pPr>
        <w:ind w:left="7" w:right="20"/>
        <w:spacing w:after="0" w:line="255" w:lineRule="auto"/>
        <w:rPr>
          <w:sz w:val="20"/>
          <w:szCs w:val="20"/>
          <w:color w:val="auto"/>
        </w:rPr>
      </w:pPr>
      <w:r>
        <w:rPr>
          <w:rFonts w:ascii="Arial" w:cs="Arial" w:eastAsia="Arial" w:hAnsi="Arial"/>
          <w:sz w:val="18"/>
          <w:szCs w:val="18"/>
          <w:b w:val="1"/>
          <w:bCs w:val="1"/>
          <w:i w:val="1"/>
          <w:iCs w:val="1"/>
          <w:color w:val="auto"/>
        </w:rPr>
        <w:t xml:space="preserve">Debt Issuance Costs and Discounts – </w:t>
      </w:r>
      <w:r>
        <w:rPr>
          <w:rFonts w:ascii="Arial" w:cs="Arial" w:eastAsia="Arial" w:hAnsi="Arial"/>
          <w:sz w:val="18"/>
          <w:szCs w:val="18"/>
          <w:color w:val="auto"/>
        </w:rPr>
        <w:t>In conjunction with the issuance of the Senior Secured Credit Facilities and the Senior Notes, the Company</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incurred $45.9 million of debt issuance costs. As stated in Note 1, the Company has elected to early-adopt ASU 2015-03, “Simplifying the Presentation of Debt Issuance Costs.” Following this ASU, unamortized debt issuance costs of $35.9 million and $0.9 million have been recorded as a reduction of the carrying value of the related debt as of January 1, 2016 and January 2, 2015, respectively. Additionally, as of January 1, 2016 and January 2, 2015, $4.8 million and $2.2 million, respectively, of debt issuance costs attributable to the Company’s revolving credit facilities remain recorded as a component of Other Assets on the Consolidated Balance Sheets. These costs will amortize into Interest Expense over the terms of the related credit facilities.</w:t>
      </w:r>
    </w:p>
    <w:p>
      <w:pPr>
        <w:sectPr>
          <w:pgSz w:w="11900" w:h="16838" w:orient="portrait"/>
          <w:cols w:equalWidth="0" w:num="1">
            <w:col w:w="10947"/>
          </w:cols>
          <w:pgMar w:left="653" w:top="337" w:right="299" w:bottom="1440" w:gutter="0" w:footer="0" w:header="0"/>
        </w:sectPr>
      </w:pPr>
    </w:p>
    <w:p>
      <w:pPr>
        <w:spacing w:after="0" w:line="324" w:lineRule="exact"/>
        <w:rPr>
          <w:sz w:val="20"/>
          <w:szCs w:val="20"/>
          <w:color w:val="auto"/>
        </w:rPr>
      </w:pPr>
    </w:p>
    <w:p>
      <w:pPr>
        <w:jc w:val="center"/>
        <w:ind w:right="353"/>
        <w:spacing w:after="0"/>
        <w:rPr>
          <w:sz w:val="20"/>
          <w:szCs w:val="20"/>
          <w:color w:val="auto"/>
        </w:rPr>
      </w:pPr>
      <w:r>
        <w:rPr>
          <w:rFonts w:ascii="Arial" w:cs="Arial" w:eastAsia="Arial" w:hAnsi="Arial"/>
          <w:sz w:val="16"/>
          <w:szCs w:val="16"/>
          <w:color w:val="auto"/>
        </w:rPr>
        <w:t>- 88 -</w:t>
      </w:r>
    </w:p>
    <w:p>
      <w:pPr>
        <w:sectPr>
          <w:pgSz w:w="11900" w:h="16838" w:orient="portrait"/>
          <w:cols w:equalWidth="0" w:num="1">
            <w:col w:w="10947"/>
          </w:cols>
          <w:pgMar w:left="653" w:top="337" w:right="299" w:bottom="1440" w:gutter="0" w:footer="0" w:header="0"/>
          <w:type w:val="continuous"/>
        </w:sectPr>
      </w:pPr>
    </w:p>
    <w:bookmarkStart w:id="89" w:name="page90"/>
    <w:bookmarkEnd w:id="89"/>
    <w:p>
      <w:pPr>
        <w:jc w:val="center"/>
        <w:ind w:right="15"/>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ind w:right="15"/>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ind w:left="385"/>
        <w:spacing w:after="0"/>
        <w:rPr>
          <w:sz w:val="20"/>
          <w:szCs w:val="20"/>
          <w:color w:val="auto"/>
        </w:rPr>
      </w:pPr>
      <w:r>
        <w:rPr>
          <w:rFonts w:ascii="Arial" w:cs="Arial" w:eastAsia="Arial" w:hAnsi="Arial"/>
          <w:sz w:val="18"/>
          <w:szCs w:val="18"/>
          <w:color w:val="auto"/>
        </w:rPr>
        <w:t>The change in deferred debt issuance costs related to the Company’s revolving credit facilities is as follows (in thousands):</w:t>
      </w:r>
    </w:p>
    <w:p>
      <w:pPr>
        <w:spacing w:after="0" w:line="375" w:lineRule="exact"/>
        <w:rPr>
          <w:sz w:val="20"/>
          <w:szCs w:val="20"/>
          <w:color w:val="auto"/>
        </w:rPr>
      </w:pPr>
    </w:p>
    <w:tbl>
      <w:tblPr>
        <w:tblLayout w:type="fixed"/>
        <w:tblInd w:w="385" w:type="dxa"/>
        <w:tblCellMar>
          <w:top w:w="0" w:type="dxa"/>
          <w:left w:w="0" w:type="dxa"/>
          <w:bottom w:w="0" w:type="dxa"/>
          <w:right w:w="0" w:type="dxa"/>
        </w:tblCellMar>
      </w:tblPr>
      <w:tr>
        <w:trPr>
          <w:trHeight w:val="270"/>
        </w:trPr>
        <w:tc>
          <w:tcPr>
            <w:tcW w:w="5640" w:type="dxa"/>
            <w:vAlign w:val="bottom"/>
            <w:shd w:val="clear" w:color="auto" w:fill="CCEEFF"/>
          </w:tcPr>
          <w:p>
            <w:pPr>
              <w:ind w:left="20"/>
              <w:spacing w:after="0"/>
              <w:rPr>
                <w:sz w:val="20"/>
                <w:szCs w:val="20"/>
                <w:color w:val="auto"/>
              </w:rPr>
            </w:pPr>
            <w:r>
              <w:rPr>
                <w:rFonts w:ascii="Arial" w:cs="Arial" w:eastAsia="Arial" w:hAnsi="Arial"/>
                <w:sz w:val="18"/>
                <w:szCs w:val="18"/>
                <w:color w:val="auto"/>
              </w:rPr>
              <w:t>At January 3, 2014</w:t>
            </w:r>
          </w:p>
        </w:tc>
        <w:tc>
          <w:tcPr>
            <w:tcW w:w="560" w:type="dxa"/>
            <w:vAlign w:val="bottom"/>
            <w:shd w:val="clear" w:color="auto" w:fill="CCEEFF"/>
          </w:tcPr>
          <w:p>
            <w:pPr>
              <w:jc w:val="right"/>
              <w:ind w:right="350"/>
              <w:spacing w:after="0"/>
              <w:rPr>
                <w:sz w:val="20"/>
                <w:szCs w:val="20"/>
                <w:color w:val="auto"/>
              </w:rPr>
            </w:pPr>
            <w:r>
              <w:rPr>
                <w:rFonts w:ascii="Arial" w:cs="Arial" w:eastAsia="Arial" w:hAnsi="Arial"/>
                <w:sz w:val="18"/>
                <w:szCs w:val="18"/>
                <w:color w:val="auto"/>
                <w:w w:val="99"/>
              </w:rPr>
              <w:t>$</w:t>
            </w:r>
          </w:p>
        </w:tc>
        <w:tc>
          <w:tcPr>
            <w:tcW w:w="9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2,786</w:t>
            </w:r>
          </w:p>
        </w:tc>
      </w:tr>
      <w:tr>
        <w:trPr>
          <w:trHeight w:val="243"/>
        </w:trPr>
        <w:tc>
          <w:tcPr>
            <w:tcW w:w="5640" w:type="dxa"/>
            <w:vAlign w:val="bottom"/>
          </w:tcPr>
          <w:p>
            <w:pPr>
              <w:ind w:left="260"/>
              <w:spacing w:after="0"/>
              <w:rPr>
                <w:sz w:val="20"/>
                <w:szCs w:val="20"/>
                <w:color w:val="auto"/>
              </w:rPr>
            </w:pPr>
            <w:r>
              <w:rPr>
                <w:rFonts w:ascii="Arial" w:cs="Arial" w:eastAsia="Arial" w:hAnsi="Arial"/>
                <w:sz w:val="18"/>
                <w:szCs w:val="18"/>
                <w:color w:val="auto"/>
              </w:rPr>
              <w:t>Amortization during the period</w:t>
            </w:r>
          </w:p>
        </w:tc>
        <w:tc>
          <w:tcPr>
            <w:tcW w:w="56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(586)</w:t>
            </w:r>
          </w:p>
        </w:tc>
      </w:tr>
      <w:tr>
        <w:trPr>
          <w:trHeight w:val="27"/>
        </w:trPr>
        <w:tc>
          <w:tcPr>
            <w:tcW w:w="5640" w:type="dxa"/>
            <w:vAlign w:val="bottom"/>
            <w:tcBorders>
              <w:bottom w:val="single" w:sz="8" w:color="CCEEFF"/>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44"/>
        </w:trPr>
        <w:tc>
          <w:tcPr>
            <w:tcW w:w="56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At January 2, 2015</w:t>
            </w:r>
          </w:p>
        </w:tc>
        <w:tc>
          <w:tcPr>
            <w:tcW w:w="56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2,200</w:t>
            </w:r>
          </w:p>
        </w:tc>
      </w:tr>
      <w:tr>
        <w:trPr>
          <w:trHeight w:val="243"/>
        </w:trPr>
        <w:tc>
          <w:tcPr>
            <w:tcW w:w="5640" w:type="dxa"/>
            <w:vAlign w:val="bottom"/>
          </w:tcPr>
          <w:p>
            <w:pPr>
              <w:ind w:left="260"/>
              <w:spacing w:after="0"/>
              <w:rPr>
                <w:sz w:val="20"/>
                <w:szCs w:val="20"/>
                <w:color w:val="auto"/>
              </w:rPr>
            </w:pPr>
            <w:r>
              <w:rPr>
                <w:rFonts w:ascii="Arial" w:cs="Arial" w:eastAsia="Arial" w:hAnsi="Arial"/>
                <w:sz w:val="18"/>
                <w:szCs w:val="18"/>
                <w:color w:val="auto"/>
              </w:rPr>
              <w:t>Financing costs deferred</w:t>
            </w:r>
          </w:p>
        </w:tc>
        <w:tc>
          <w:tcPr>
            <w:tcW w:w="56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4,152</w:t>
            </w:r>
          </w:p>
        </w:tc>
      </w:tr>
      <w:tr>
        <w:trPr>
          <w:trHeight w:val="27"/>
        </w:trPr>
        <w:tc>
          <w:tcPr>
            <w:tcW w:w="5640" w:type="dxa"/>
            <w:vAlign w:val="bottom"/>
          </w:tcPr>
          <w:p>
            <w:pPr>
              <w:spacing w:after="0"/>
              <w:rPr>
                <w:sz w:val="2"/>
                <w:szCs w:val="2"/>
                <w:color w:val="auto"/>
              </w:rPr>
            </w:pPr>
          </w:p>
        </w:tc>
        <w:tc>
          <w:tcPr>
            <w:tcW w:w="56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564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Write-off during the period</w:t>
            </w:r>
          </w:p>
        </w:tc>
        <w:tc>
          <w:tcPr>
            <w:tcW w:w="56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(907)</w:t>
            </w:r>
          </w:p>
        </w:tc>
      </w:tr>
      <w:tr>
        <w:trPr>
          <w:trHeight w:val="243"/>
        </w:trPr>
        <w:tc>
          <w:tcPr>
            <w:tcW w:w="5640" w:type="dxa"/>
            <w:vAlign w:val="bottom"/>
          </w:tcPr>
          <w:p>
            <w:pPr>
              <w:ind w:left="260"/>
              <w:spacing w:after="0"/>
              <w:rPr>
                <w:sz w:val="20"/>
                <w:szCs w:val="20"/>
                <w:color w:val="auto"/>
              </w:rPr>
            </w:pPr>
            <w:r>
              <w:rPr>
                <w:rFonts w:ascii="Arial" w:cs="Arial" w:eastAsia="Arial" w:hAnsi="Arial"/>
                <w:sz w:val="18"/>
                <w:szCs w:val="18"/>
                <w:color w:val="auto"/>
              </w:rPr>
              <w:t>Amortization during the period</w:t>
            </w:r>
          </w:p>
        </w:tc>
        <w:tc>
          <w:tcPr>
            <w:tcW w:w="56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(654)</w:t>
            </w:r>
          </w:p>
        </w:tc>
      </w:tr>
      <w:tr>
        <w:trPr>
          <w:trHeight w:val="27"/>
        </w:trPr>
        <w:tc>
          <w:tcPr>
            <w:tcW w:w="5640" w:type="dxa"/>
            <w:vAlign w:val="bottom"/>
            <w:tcBorders>
              <w:bottom w:val="single" w:sz="8" w:color="CCEEFF"/>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69"/>
        </w:trPr>
        <w:tc>
          <w:tcPr>
            <w:tcW w:w="56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At January 1, 2016</w:t>
            </w:r>
          </w:p>
        </w:tc>
        <w:tc>
          <w:tcPr>
            <w:tcW w:w="560" w:type="dxa"/>
            <w:vAlign w:val="bottom"/>
            <w:tcBorders>
              <w:bottom w:val="single" w:sz="8" w:color="CCEEFF"/>
            </w:tcBorders>
            <w:shd w:val="clear" w:color="auto" w:fill="CCEEFF"/>
          </w:tcPr>
          <w:p>
            <w:pPr>
              <w:jc w:val="right"/>
              <w:ind w:right="35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4,791</w:t>
            </w:r>
          </w:p>
        </w:tc>
      </w:tr>
      <w:tr>
        <w:trPr>
          <w:trHeight w:val="20"/>
        </w:trPr>
        <w:tc>
          <w:tcPr>
            <w:tcW w:w="5640" w:type="dxa"/>
            <w:vAlign w:val="bottom"/>
            <w:tcBorders>
              <w:top w:val="single" w:sz="8" w:color="CCEEFF"/>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385"/>
        <w:spacing w:after="0"/>
        <w:rPr>
          <w:sz w:val="20"/>
          <w:szCs w:val="20"/>
          <w:color w:val="auto"/>
        </w:rPr>
      </w:pPr>
      <w:r>
        <w:rPr>
          <w:rFonts w:ascii="Arial" w:cs="Arial" w:eastAsia="Arial" w:hAnsi="Arial"/>
          <w:sz w:val="17"/>
          <w:szCs w:val="17"/>
          <w:color w:val="auto"/>
        </w:rPr>
        <w:t>The change in unamortized discount and debt issuance costs related to the Term Loan Facilities and Senior Notes is as follows (in thousands):</w:t>
      </w:r>
    </w:p>
    <w:p>
      <w:pPr>
        <w:spacing w:after="0" w:line="162" w:lineRule="exact"/>
        <w:rPr>
          <w:sz w:val="20"/>
          <w:szCs w:val="20"/>
          <w:color w:val="auto"/>
        </w:rPr>
      </w:pPr>
    </w:p>
    <w:tbl>
      <w:tblPr>
        <w:tblLayout w:type="fixed"/>
        <w:tblInd w:w="385" w:type="dxa"/>
        <w:tblCellMar>
          <w:top w:w="0" w:type="dxa"/>
          <w:left w:w="0" w:type="dxa"/>
          <w:bottom w:w="0" w:type="dxa"/>
          <w:right w:w="0" w:type="dxa"/>
        </w:tblCellMar>
      </w:tblPr>
      <w:tr>
        <w:trPr>
          <w:trHeight w:val="161"/>
        </w:trPr>
        <w:tc>
          <w:tcPr>
            <w:tcW w:w="5620" w:type="dxa"/>
            <w:vAlign w:val="bottom"/>
            <w:shd w:val="clear" w:color="auto" w:fill="CCEEFF"/>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400" w:type="dxa"/>
            <w:vAlign w:val="bottom"/>
            <w:gridSpan w:val="2"/>
            <w:shd w:val="clear" w:color="auto" w:fill="CCEEFF"/>
          </w:tcPr>
          <w:p>
            <w:pPr>
              <w:jc w:val="center"/>
              <w:ind w:right="260"/>
              <w:spacing w:after="0"/>
              <w:rPr>
                <w:sz w:val="20"/>
                <w:szCs w:val="20"/>
                <w:color w:val="auto"/>
              </w:rPr>
            </w:pPr>
            <w:r>
              <w:rPr>
                <w:rFonts w:ascii="Arial" w:cs="Arial" w:eastAsia="Arial" w:hAnsi="Arial"/>
                <w:sz w:val="14"/>
                <w:szCs w:val="14"/>
                <w:b w:val="1"/>
                <w:bCs w:val="1"/>
                <w:color w:val="auto"/>
                <w:w w:val="96"/>
              </w:rPr>
              <w:t>Unamortized</w:t>
            </w:r>
          </w:p>
        </w:tc>
        <w:tc>
          <w:tcPr>
            <w:tcW w:w="320" w:type="dxa"/>
            <w:vAlign w:val="bottom"/>
            <w:shd w:val="clear" w:color="auto" w:fill="CCEEFF"/>
          </w:tcPr>
          <w:p>
            <w:pPr>
              <w:spacing w:after="0"/>
              <w:rPr>
                <w:sz w:val="14"/>
                <w:szCs w:val="14"/>
                <w:color w:val="auto"/>
              </w:rPr>
            </w:pPr>
          </w:p>
        </w:tc>
        <w:tc>
          <w:tcPr>
            <w:tcW w:w="11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5620" w:type="dxa"/>
            <w:vAlign w:val="bottom"/>
            <w:shd w:val="clear" w:color="auto" w:fill="CCEEFF"/>
          </w:tcPr>
          <w:p>
            <w:pPr>
              <w:spacing w:after="0"/>
              <w:rPr>
                <w:sz w:val="12"/>
                <w:szCs w:val="12"/>
                <w:color w:val="auto"/>
              </w:rPr>
            </w:pPr>
          </w:p>
        </w:tc>
        <w:tc>
          <w:tcPr>
            <w:tcW w:w="1420" w:type="dxa"/>
            <w:vAlign w:val="bottom"/>
            <w:gridSpan w:val="2"/>
            <w:vMerge w:val="restart"/>
            <w:shd w:val="clear" w:color="auto" w:fill="CCEEFF"/>
          </w:tcPr>
          <w:p>
            <w:pPr>
              <w:jc w:val="right"/>
              <w:ind w:right="10"/>
              <w:spacing w:after="0"/>
              <w:rPr>
                <w:sz w:val="20"/>
                <w:szCs w:val="20"/>
                <w:color w:val="auto"/>
              </w:rPr>
            </w:pPr>
            <w:r>
              <w:rPr>
                <w:rFonts w:ascii="Arial" w:cs="Arial" w:eastAsia="Arial" w:hAnsi="Arial"/>
                <w:sz w:val="14"/>
                <w:szCs w:val="14"/>
                <w:b w:val="1"/>
                <w:bCs w:val="1"/>
                <w:color w:val="auto"/>
                <w:w w:val="94"/>
              </w:rPr>
              <w:t>Debt Issuance Costs</w:t>
            </w:r>
          </w:p>
        </w:tc>
        <w:tc>
          <w:tcPr>
            <w:tcW w:w="120" w:type="dxa"/>
            <w:vAlign w:val="bottom"/>
            <w:vMerge w:val="restart"/>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400" w:type="dxa"/>
            <w:vAlign w:val="bottom"/>
            <w:gridSpan w:val="2"/>
            <w:shd w:val="clear" w:color="auto" w:fill="CCEEFF"/>
          </w:tcPr>
          <w:p>
            <w:pPr>
              <w:jc w:val="center"/>
              <w:ind w:right="260"/>
              <w:spacing w:after="0" w:line="149" w:lineRule="exact"/>
              <w:rPr>
                <w:sz w:val="20"/>
                <w:szCs w:val="20"/>
                <w:color w:val="auto"/>
              </w:rPr>
            </w:pPr>
            <w:r>
              <w:rPr>
                <w:rFonts w:ascii="Arial" w:cs="Arial" w:eastAsia="Arial" w:hAnsi="Arial"/>
                <w:sz w:val="14"/>
                <w:szCs w:val="14"/>
                <w:b w:val="1"/>
                <w:bCs w:val="1"/>
                <w:color w:val="auto"/>
                <w:w w:val="94"/>
              </w:rPr>
              <w:t>Discount on TLB</w:t>
            </w:r>
          </w:p>
        </w:tc>
        <w:tc>
          <w:tcPr>
            <w:tcW w:w="320" w:type="dxa"/>
            <w:vAlign w:val="bottom"/>
            <w:shd w:val="clear" w:color="auto" w:fill="CCEEFF"/>
          </w:tcPr>
          <w:p>
            <w:pPr>
              <w:spacing w:after="0"/>
              <w:rPr>
                <w:sz w:val="12"/>
                <w:szCs w:val="12"/>
                <w:color w:val="auto"/>
              </w:rPr>
            </w:pPr>
          </w:p>
        </w:tc>
        <w:tc>
          <w:tcPr>
            <w:tcW w:w="1100" w:type="dxa"/>
            <w:vAlign w:val="bottom"/>
            <w:vMerge w:val="restart"/>
            <w:shd w:val="clear" w:color="auto" w:fill="CCEEFF"/>
          </w:tcPr>
          <w:p>
            <w:pPr>
              <w:jc w:val="right"/>
              <w:ind w:right="472"/>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8"/>
        </w:trPr>
        <w:tc>
          <w:tcPr>
            <w:tcW w:w="5620" w:type="dxa"/>
            <w:vAlign w:val="bottom"/>
            <w:shd w:val="clear" w:color="auto" w:fill="CCEEFF"/>
          </w:tcPr>
          <w:p>
            <w:pPr>
              <w:spacing w:after="0"/>
              <w:rPr>
                <w:sz w:val="17"/>
                <w:szCs w:val="17"/>
                <w:color w:val="auto"/>
              </w:rPr>
            </w:pPr>
          </w:p>
        </w:tc>
        <w:tc>
          <w:tcPr>
            <w:tcW w:w="1420" w:type="dxa"/>
            <w:vAlign w:val="bottom"/>
            <w:tcBorders>
              <w:bottom w:val="single" w:sz="8" w:color="auto"/>
            </w:tcBorders>
            <w:gridSpan w:val="2"/>
            <w:vMerge w:val="continue"/>
            <w:shd w:val="clear" w:color="auto" w:fill="CCEEFF"/>
          </w:tcPr>
          <w:p>
            <w:pPr>
              <w:spacing w:after="0"/>
              <w:rPr>
                <w:sz w:val="17"/>
                <w:szCs w:val="17"/>
                <w:color w:val="auto"/>
              </w:rPr>
            </w:pPr>
          </w:p>
        </w:tc>
        <w:tc>
          <w:tcPr>
            <w:tcW w:w="120" w:type="dxa"/>
            <w:vAlign w:val="bottom"/>
            <w:vMerge w:val="continue"/>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1280" w:type="dxa"/>
            <w:vAlign w:val="bottom"/>
            <w:tcBorders>
              <w:bottom w:val="single" w:sz="8" w:color="auto"/>
            </w:tcBorders>
            <w:shd w:val="clear" w:color="auto" w:fill="CCEEFF"/>
          </w:tcPr>
          <w:p>
            <w:pPr>
              <w:jc w:val="center"/>
              <w:ind w:right="55"/>
              <w:spacing w:after="0"/>
              <w:rPr>
                <w:sz w:val="20"/>
                <w:szCs w:val="20"/>
                <w:color w:val="auto"/>
              </w:rPr>
            </w:pPr>
            <w:r>
              <w:rPr>
                <w:rFonts w:ascii="Arial" w:cs="Arial" w:eastAsia="Arial" w:hAnsi="Arial"/>
                <w:sz w:val="14"/>
                <w:szCs w:val="14"/>
                <w:b w:val="1"/>
                <w:bCs w:val="1"/>
                <w:color w:val="auto"/>
                <w:w w:val="95"/>
              </w:rPr>
              <w:t>Facility</w:t>
            </w:r>
          </w:p>
        </w:tc>
        <w:tc>
          <w:tcPr>
            <w:tcW w:w="120" w:type="dxa"/>
            <w:vAlign w:val="bottom"/>
            <w:shd w:val="clear" w:color="auto" w:fill="CCEEFF"/>
          </w:tcPr>
          <w:p>
            <w:pPr>
              <w:spacing w:after="0"/>
              <w:rPr>
                <w:sz w:val="17"/>
                <w:szCs w:val="17"/>
                <w:color w:val="auto"/>
              </w:rPr>
            </w:pPr>
          </w:p>
        </w:tc>
        <w:tc>
          <w:tcPr>
            <w:tcW w:w="320" w:type="dxa"/>
            <w:vAlign w:val="bottom"/>
            <w:tcBorders>
              <w:bottom w:val="single" w:sz="8" w:color="auto"/>
            </w:tcBorders>
            <w:shd w:val="clear" w:color="auto" w:fill="CCEEFF"/>
          </w:tcPr>
          <w:p>
            <w:pPr>
              <w:spacing w:after="0"/>
              <w:rPr>
                <w:sz w:val="17"/>
                <w:szCs w:val="17"/>
                <w:color w:val="auto"/>
              </w:rPr>
            </w:pPr>
          </w:p>
        </w:tc>
        <w:tc>
          <w:tcPr>
            <w:tcW w:w="1100" w:type="dxa"/>
            <w:vAlign w:val="bottom"/>
            <w:tcBorders>
              <w:bottom w:val="single" w:sz="8" w:color="auto"/>
            </w:tcBorders>
            <w:vMerge w:val="continue"/>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7"/>
        </w:trPr>
        <w:tc>
          <w:tcPr>
            <w:tcW w:w="5620" w:type="dxa"/>
            <w:vAlign w:val="bottom"/>
          </w:tcPr>
          <w:p>
            <w:pPr>
              <w:ind w:left="20"/>
              <w:spacing w:after="0"/>
              <w:rPr>
                <w:sz w:val="20"/>
                <w:szCs w:val="20"/>
                <w:color w:val="auto"/>
              </w:rPr>
            </w:pPr>
            <w:r>
              <w:rPr>
                <w:rFonts w:ascii="Arial" w:cs="Arial" w:eastAsia="Arial" w:hAnsi="Arial"/>
                <w:sz w:val="18"/>
                <w:szCs w:val="18"/>
                <w:color w:val="auto"/>
              </w:rPr>
              <w:t>At January 3, 2014</w:t>
            </w:r>
          </w:p>
        </w:tc>
        <w:tc>
          <w:tcPr>
            <w:tcW w:w="480" w:type="dxa"/>
            <w:vAlign w:val="bottom"/>
          </w:tcPr>
          <w:p>
            <w:pPr>
              <w:jc w:val="right"/>
              <w:ind w:right="296"/>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1,074</w:t>
            </w:r>
          </w:p>
        </w:tc>
        <w:tc>
          <w:tcPr>
            <w:tcW w:w="12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4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1100" w:type="dxa"/>
            <w:vAlign w:val="bottom"/>
          </w:tcPr>
          <w:p>
            <w:pPr>
              <w:jc w:val="right"/>
              <w:ind w:right="12"/>
              <w:spacing w:after="0"/>
              <w:rPr>
                <w:sz w:val="20"/>
                <w:szCs w:val="20"/>
                <w:color w:val="auto"/>
              </w:rPr>
            </w:pPr>
            <w:r>
              <w:rPr>
                <w:rFonts w:ascii="Arial" w:cs="Arial" w:eastAsia="Arial" w:hAnsi="Arial"/>
                <w:sz w:val="18"/>
                <w:szCs w:val="18"/>
                <w:color w:val="auto"/>
              </w:rPr>
              <w:t>1,074</w:t>
            </w:r>
          </w:p>
        </w:tc>
        <w:tc>
          <w:tcPr>
            <w:tcW w:w="0" w:type="dxa"/>
            <w:vAlign w:val="bottom"/>
          </w:tcPr>
          <w:p>
            <w:pPr>
              <w:spacing w:after="0"/>
              <w:rPr>
                <w:sz w:val="1"/>
                <w:szCs w:val="1"/>
                <w:color w:val="auto"/>
              </w:rPr>
            </w:pPr>
          </w:p>
        </w:tc>
      </w:tr>
      <w:tr>
        <w:trPr>
          <w:trHeight w:val="27"/>
        </w:trPr>
        <w:tc>
          <w:tcPr>
            <w:tcW w:w="5620" w:type="dxa"/>
            <w:vAlign w:val="bottom"/>
          </w:tcPr>
          <w:p>
            <w:pPr>
              <w:spacing w:after="0"/>
              <w:rPr>
                <w:sz w:val="2"/>
                <w:szCs w:val="2"/>
                <w:color w:val="auto"/>
              </w:rPr>
            </w:pPr>
          </w:p>
        </w:tc>
        <w:tc>
          <w:tcPr>
            <w:tcW w:w="48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6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Amortization during the period</w:t>
            </w:r>
          </w:p>
        </w:tc>
        <w:tc>
          <w:tcPr>
            <w:tcW w:w="48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(187)</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4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2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(187)</w:t>
            </w:r>
          </w:p>
        </w:tc>
        <w:tc>
          <w:tcPr>
            <w:tcW w:w="0" w:type="dxa"/>
            <w:vAlign w:val="bottom"/>
          </w:tcPr>
          <w:p>
            <w:pPr>
              <w:spacing w:after="0"/>
              <w:rPr>
                <w:sz w:val="1"/>
                <w:szCs w:val="1"/>
                <w:color w:val="auto"/>
              </w:rPr>
            </w:pPr>
          </w:p>
        </w:tc>
      </w:tr>
      <w:tr>
        <w:trPr>
          <w:trHeight w:val="237"/>
        </w:trPr>
        <w:tc>
          <w:tcPr>
            <w:tcW w:w="5620" w:type="dxa"/>
            <w:vAlign w:val="bottom"/>
          </w:tcPr>
          <w:p>
            <w:pPr>
              <w:ind w:left="20"/>
              <w:spacing w:after="0"/>
              <w:rPr>
                <w:sz w:val="20"/>
                <w:szCs w:val="20"/>
                <w:color w:val="auto"/>
              </w:rPr>
            </w:pPr>
            <w:r>
              <w:rPr>
                <w:rFonts w:ascii="Arial" w:cs="Arial" w:eastAsia="Arial" w:hAnsi="Arial"/>
                <w:sz w:val="18"/>
                <w:szCs w:val="18"/>
                <w:color w:val="auto"/>
              </w:rPr>
              <w:t>At January 2, 2015</w:t>
            </w:r>
          </w:p>
        </w:tc>
        <w:tc>
          <w:tcPr>
            <w:tcW w:w="48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887</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80" w:type="dxa"/>
            <w:vAlign w:val="bottom"/>
            <w:tcBorders>
              <w:top w:val="single" w:sz="8" w:color="auto"/>
            </w:tcBorders>
          </w:tcPr>
          <w:p>
            <w:pPr>
              <w:jc w:val="right"/>
              <w:ind w:right="15"/>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887</w:t>
            </w:r>
          </w:p>
        </w:tc>
        <w:tc>
          <w:tcPr>
            <w:tcW w:w="0" w:type="dxa"/>
            <w:vAlign w:val="bottom"/>
          </w:tcPr>
          <w:p>
            <w:pPr>
              <w:spacing w:after="0"/>
              <w:rPr>
                <w:sz w:val="1"/>
                <w:szCs w:val="1"/>
                <w:color w:val="auto"/>
              </w:rPr>
            </w:pPr>
          </w:p>
        </w:tc>
      </w:tr>
      <w:tr>
        <w:trPr>
          <w:trHeight w:val="27"/>
        </w:trPr>
        <w:tc>
          <w:tcPr>
            <w:tcW w:w="5620" w:type="dxa"/>
            <w:vAlign w:val="bottom"/>
          </w:tcPr>
          <w:p>
            <w:pPr>
              <w:spacing w:after="0"/>
              <w:rPr>
                <w:sz w:val="2"/>
                <w:szCs w:val="2"/>
                <w:color w:val="auto"/>
              </w:rPr>
            </w:pPr>
          </w:p>
        </w:tc>
        <w:tc>
          <w:tcPr>
            <w:tcW w:w="48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6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Financing costs incurred</w:t>
            </w:r>
          </w:p>
        </w:tc>
        <w:tc>
          <w:tcPr>
            <w:tcW w:w="4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41,781</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10,250</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52,031</w:t>
            </w:r>
          </w:p>
        </w:tc>
        <w:tc>
          <w:tcPr>
            <w:tcW w:w="0" w:type="dxa"/>
            <w:vAlign w:val="bottom"/>
          </w:tcPr>
          <w:p>
            <w:pPr>
              <w:spacing w:after="0"/>
              <w:rPr>
                <w:sz w:val="1"/>
                <w:szCs w:val="1"/>
                <w:color w:val="auto"/>
              </w:rPr>
            </w:pPr>
          </w:p>
        </w:tc>
      </w:tr>
      <w:tr>
        <w:trPr>
          <w:trHeight w:val="243"/>
        </w:trPr>
        <w:tc>
          <w:tcPr>
            <w:tcW w:w="5620" w:type="dxa"/>
            <w:vAlign w:val="bottom"/>
          </w:tcPr>
          <w:p>
            <w:pPr>
              <w:ind w:left="260"/>
              <w:spacing w:after="0"/>
              <w:rPr>
                <w:sz w:val="20"/>
                <w:szCs w:val="20"/>
                <w:color w:val="auto"/>
              </w:rPr>
            </w:pPr>
            <w:r>
              <w:rPr>
                <w:rFonts w:ascii="Arial" w:cs="Arial" w:eastAsia="Arial" w:hAnsi="Arial"/>
                <w:sz w:val="18"/>
                <w:szCs w:val="18"/>
                <w:color w:val="auto"/>
              </w:rPr>
              <w:t>Write-off during the period</w:t>
            </w:r>
          </w:p>
        </w:tc>
        <w:tc>
          <w:tcPr>
            <w:tcW w:w="48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(732)</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4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(732)</w:t>
            </w:r>
          </w:p>
        </w:tc>
        <w:tc>
          <w:tcPr>
            <w:tcW w:w="0" w:type="dxa"/>
            <w:vAlign w:val="bottom"/>
          </w:tcPr>
          <w:p>
            <w:pPr>
              <w:spacing w:after="0"/>
              <w:rPr>
                <w:sz w:val="1"/>
                <w:szCs w:val="1"/>
                <w:color w:val="auto"/>
              </w:rPr>
            </w:pPr>
          </w:p>
        </w:tc>
      </w:tr>
      <w:tr>
        <w:trPr>
          <w:trHeight w:val="27"/>
        </w:trPr>
        <w:tc>
          <w:tcPr>
            <w:tcW w:w="5620" w:type="dxa"/>
            <w:vAlign w:val="bottom"/>
          </w:tcPr>
          <w:p>
            <w:pPr>
              <w:spacing w:after="0"/>
              <w:rPr>
                <w:sz w:val="2"/>
                <w:szCs w:val="2"/>
                <w:color w:val="auto"/>
              </w:rPr>
            </w:pPr>
          </w:p>
        </w:tc>
        <w:tc>
          <w:tcPr>
            <w:tcW w:w="48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6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Amortization during the period</w:t>
            </w:r>
          </w:p>
        </w:tc>
        <w:tc>
          <w:tcPr>
            <w:tcW w:w="48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(6,028)</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(211)</w:t>
            </w:r>
          </w:p>
        </w:tc>
        <w:tc>
          <w:tcPr>
            <w:tcW w:w="12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(6,239)</w:t>
            </w:r>
          </w:p>
        </w:tc>
        <w:tc>
          <w:tcPr>
            <w:tcW w:w="0" w:type="dxa"/>
            <w:vAlign w:val="bottom"/>
          </w:tcPr>
          <w:p>
            <w:pPr>
              <w:spacing w:after="0"/>
              <w:rPr>
                <w:sz w:val="1"/>
                <w:szCs w:val="1"/>
                <w:color w:val="auto"/>
              </w:rPr>
            </w:pPr>
          </w:p>
        </w:tc>
      </w:tr>
      <w:tr>
        <w:trPr>
          <w:trHeight w:val="237"/>
        </w:trPr>
        <w:tc>
          <w:tcPr>
            <w:tcW w:w="5620" w:type="dxa"/>
            <w:vAlign w:val="bottom"/>
          </w:tcPr>
          <w:p>
            <w:pPr>
              <w:ind w:left="20"/>
              <w:spacing w:after="0"/>
              <w:rPr>
                <w:sz w:val="20"/>
                <w:szCs w:val="20"/>
                <w:color w:val="auto"/>
              </w:rPr>
            </w:pPr>
            <w:r>
              <w:rPr>
                <w:rFonts w:ascii="Arial" w:cs="Arial" w:eastAsia="Arial" w:hAnsi="Arial"/>
                <w:sz w:val="18"/>
                <w:szCs w:val="18"/>
                <w:color w:val="auto"/>
              </w:rPr>
              <w:t>At January 1, 2016</w:t>
            </w:r>
          </w:p>
        </w:tc>
        <w:tc>
          <w:tcPr>
            <w:tcW w:w="480" w:type="dxa"/>
            <w:vAlign w:val="bottom"/>
            <w:tcBorders>
              <w:top w:val="single" w:sz="8" w:color="auto"/>
            </w:tcBorders>
          </w:tcPr>
          <w:p>
            <w:pPr>
              <w:jc w:val="right"/>
              <w:ind w:right="296"/>
              <w:spacing w:after="0"/>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35,908</w:t>
            </w:r>
          </w:p>
        </w:tc>
        <w:tc>
          <w:tcPr>
            <w:tcW w:w="120" w:type="dxa"/>
            <w:vAlign w:val="bottom"/>
          </w:tcPr>
          <w:p>
            <w:pPr>
              <w:spacing w:after="0"/>
              <w:rPr>
                <w:sz w:val="20"/>
                <w:szCs w:val="20"/>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280" w:type="dxa"/>
            <w:vAlign w:val="bottom"/>
            <w:tcBorders>
              <w:top w:val="single" w:sz="8" w:color="auto"/>
            </w:tcBorders>
          </w:tcPr>
          <w:p>
            <w:pPr>
              <w:jc w:val="right"/>
              <w:ind w:right="15"/>
              <w:spacing w:after="0"/>
              <w:rPr>
                <w:sz w:val="20"/>
                <w:szCs w:val="20"/>
                <w:color w:val="auto"/>
              </w:rPr>
            </w:pPr>
            <w:r>
              <w:rPr>
                <w:rFonts w:ascii="Arial" w:cs="Arial" w:eastAsia="Arial" w:hAnsi="Arial"/>
                <w:sz w:val="18"/>
                <w:szCs w:val="18"/>
                <w:color w:val="auto"/>
              </w:rPr>
              <w:t>10,039</w:t>
            </w:r>
          </w:p>
        </w:tc>
        <w:tc>
          <w:tcPr>
            <w:tcW w:w="120" w:type="dxa"/>
            <w:vAlign w:val="bottom"/>
          </w:tcPr>
          <w:p>
            <w:pPr>
              <w:spacing w:after="0"/>
              <w:rPr>
                <w:sz w:val="20"/>
                <w:szCs w:val="20"/>
                <w:color w:val="auto"/>
              </w:rPr>
            </w:pPr>
          </w:p>
        </w:tc>
        <w:tc>
          <w:tcPr>
            <w:tcW w:w="32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79"/>
              </w:rPr>
              <w:t>$</w:t>
            </w:r>
          </w:p>
        </w:tc>
        <w:tc>
          <w:tcPr>
            <w:tcW w:w="110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45,947</w:t>
            </w:r>
          </w:p>
        </w:tc>
        <w:tc>
          <w:tcPr>
            <w:tcW w:w="0" w:type="dxa"/>
            <w:vAlign w:val="bottom"/>
          </w:tcPr>
          <w:p>
            <w:pPr>
              <w:spacing w:after="0"/>
              <w:rPr>
                <w:sz w:val="1"/>
                <w:szCs w:val="1"/>
                <w:color w:val="auto"/>
              </w:rPr>
            </w:pPr>
          </w:p>
        </w:tc>
      </w:tr>
      <w:tr>
        <w:trPr>
          <w:trHeight w:val="27"/>
        </w:trPr>
        <w:tc>
          <w:tcPr>
            <w:tcW w:w="562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62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385" w:right="280"/>
        <w:spacing w:after="0" w:line="308" w:lineRule="auto"/>
        <w:rPr>
          <w:sz w:val="20"/>
          <w:szCs w:val="20"/>
          <w:color w:val="auto"/>
        </w:rPr>
      </w:pPr>
      <w:r>
        <w:rPr>
          <w:rFonts w:ascii="Arial" w:cs="Arial" w:eastAsia="Arial" w:hAnsi="Arial"/>
          <w:sz w:val="17"/>
          <w:szCs w:val="17"/>
          <w:color w:val="auto"/>
        </w:rPr>
        <w:t>During 2015, the Company wrote off $1.6 million of debt issuance costs in connection with the extinguishment and modification of its term loan and revolving line of credit, respectively, which is included in Interest Expense on the Consolidated Statements of Operations.</w:t>
      </w:r>
    </w:p>
    <w:p>
      <w:pPr>
        <w:spacing w:after="0" w:line="305" w:lineRule="exact"/>
        <w:rPr>
          <w:sz w:val="20"/>
          <w:szCs w:val="20"/>
          <w:color w:val="auto"/>
        </w:rPr>
      </w:pPr>
    </w:p>
    <w:p>
      <w:pPr>
        <w:ind w:left="425" w:hanging="425"/>
        <w:spacing w:after="0"/>
        <w:tabs>
          <w:tab w:leader="none" w:pos="425" w:val="left"/>
        </w:tabs>
        <w:numPr>
          <w:ilvl w:val="0"/>
          <w:numId w:val="41"/>
        </w:numPr>
        <w:rPr>
          <w:rFonts w:ascii="Arial" w:cs="Arial" w:eastAsia="Arial" w:hAnsi="Arial"/>
          <w:sz w:val="18"/>
          <w:szCs w:val="18"/>
          <w:b w:val="1"/>
          <w:bCs w:val="1"/>
          <w:color w:val="auto"/>
        </w:rPr>
      </w:pPr>
      <w:r>
        <w:rPr>
          <w:rFonts w:ascii="Arial" w:cs="Arial" w:eastAsia="Arial" w:hAnsi="Arial"/>
          <w:sz w:val="18"/>
          <w:szCs w:val="18"/>
          <w:b w:val="1"/>
          <w:bCs w:val="1"/>
          <w:color w:val="auto"/>
        </w:rPr>
        <w:t>BENEFIT PLANS</w:t>
      </w:r>
    </w:p>
    <w:p>
      <w:pPr>
        <w:spacing w:after="0" w:line="148" w:lineRule="exact"/>
        <w:rPr>
          <w:sz w:val="20"/>
          <w:szCs w:val="20"/>
          <w:color w:val="auto"/>
        </w:rPr>
      </w:pPr>
    </w:p>
    <w:p>
      <w:pPr>
        <w:ind w:left="465" w:right="180"/>
        <w:spacing w:after="0" w:line="259" w:lineRule="auto"/>
        <w:rPr>
          <w:sz w:val="20"/>
          <w:szCs w:val="20"/>
          <w:color w:val="auto"/>
        </w:rPr>
      </w:pPr>
      <w:r>
        <w:rPr>
          <w:rFonts w:ascii="Arial" w:cs="Arial" w:eastAsia="Arial" w:hAnsi="Arial"/>
          <w:sz w:val="18"/>
          <w:szCs w:val="18"/>
          <w:b w:val="1"/>
          <w:bCs w:val="1"/>
          <w:i w:val="1"/>
          <w:iCs w:val="1"/>
          <w:color w:val="auto"/>
        </w:rPr>
        <w:t xml:space="preserve">Savings Plan </w:t>
      </w:r>
      <w:r>
        <w:rPr>
          <w:rFonts w:ascii="Arial" w:cs="Arial" w:eastAsia="Arial" w:hAnsi="Arial"/>
          <w:sz w:val="18"/>
          <w:szCs w:val="18"/>
          <w:color w:val="auto"/>
        </w:rPr>
        <w:t>– The Company sponsors a defined contribution 401(k) plan, for its U.S. based employees. The plan provides for the deferral of</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employee compensation under Section 401(k) and a discretionary Company match. In 2015, 2014, and 2013, this match was 35% per dollar of participant deferral, up to 6% of the total compensation for legacy Greatbatch associates. Net costs related to this defined contribution plan were $2.3 million in 2015, $2.2 million in 2014, and $2.0 million in 2013.</w:t>
      </w:r>
    </w:p>
    <w:p>
      <w:pPr>
        <w:spacing w:after="0" w:line="187" w:lineRule="exact"/>
        <w:rPr>
          <w:sz w:val="20"/>
          <w:szCs w:val="20"/>
          <w:color w:val="auto"/>
        </w:rPr>
      </w:pPr>
    </w:p>
    <w:p>
      <w:pPr>
        <w:ind w:left="465"/>
        <w:spacing w:after="0" w:line="302" w:lineRule="auto"/>
        <w:rPr>
          <w:sz w:val="20"/>
          <w:szCs w:val="20"/>
          <w:color w:val="auto"/>
        </w:rPr>
      </w:pPr>
      <w:r>
        <w:rPr>
          <w:rFonts w:ascii="Arial" w:cs="Arial" w:eastAsia="Arial" w:hAnsi="Arial"/>
          <w:sz w:val="16"/>
          <w:szCs w:val="16"/>
          <w:color w:val="auto"/>
        </w:rPr>
        <w:t>In addition to the above, under the terms of the 401(k) plan document there is an annual discretionary defined contribution of up to 4% of each legacy Greatbatch employee’s eligible compensation based upon the achievement of certain performance targets. This amount is contributed to the 401(k) plan in the form of Company stock. Compensation cost recognized related to the defined contribution plan was $0.0 million, $4.2 million, $4.8 million in 2015, 2014, and 2013, respectively. As of January 1, 2016, the 401(k) Plan held approximately 580,000 shares of Company stock.</w:t>
      </w:r>
    </w:p>
    <w:p>
      <w:pPr>
        <w:spacing w:after="0" w:line="154" w:lineRule="exact"/>
        <w:rPr>
          <w:sz w:val="20"/>
          <w:szCs w:val="20"/>
          <w:color w:val="auto"/>
        </w:rPr>
      </w:pPr>
    </w:p>
    <w:p>
      <w:pPr>
        <w:ind w:left="465" w:right="100"/>
        <w:spacing w:after="0" w:line="276" w:lineRule="auto"/>
        <w:rPr>
          <w:sz w:val="20"/>
          <w:szCs w:val="20"/>
          <w:color w:val="auto"/>
        </w:rPr>
      </w:pPr>
      <w:r>
        <w:rPr>
          <w:rFonts w:ascii="Arial" w:cs="Arial" w:eastAsia="Arial" w:hAnsi="Arial"/>
          <w:sz w:val="17"/>
          <w:szCs w:val="17"/>
          <w:color w:val="auto"/>
        </w:rPr>
        <w:t>Subsequent to the Lake Region Medical acquisition, the Company continued the 401(k) plan previously provided to Lake Region Medical employees. This plan is available to most Lake Region employees whereby employees are allowed to contribute up to 50% of gross salary. The Company matches 50% of an employee’s contributions for the first 6% of the employee’s gross salary at a maximum contribution rate per employee of 3% of the employee’s gross salary. The employee’s contributions vest immediately, while the Company’s contributions vest over a five-year period. Net costs related to this defined contribution plan since the date of acquisition was $0.8 million in 2015.</w:t>
      </w:r>
    </w:p>
    <w:p>
      <w:pPr>
        <w:spacing w:after="0" w:line="173" w:lineRule="exact"/>
        <w:rPr>
          <w:sz w:val="20"/>
          <w:szCs w:val="20"/>
          <w:color w:val="auto"/>
        </w:rPr>
      </w:pPr>
    </w:p>
    <w:p>
      <w:pPr>
        <w:ind w:left="465" w:right="120"/>
        <w:spacing w:after="0" w:line="297" w:lineRule="auto"/>
        <w:rPr>
          <w:sz w:val="20"/>
          <w:szCs w:val="20"/>
          <w:color w:val="auto"/>
        </w:rPr>
      </w:pPr>
      <w:r>
        <w:rPr>
          <w:rFonts w:ascii="Arial" w:cs="Arial" w:eastAsia="Arial" w:hAnsi="Arial"/>
          <w:sz w:val="16"/>
          <w:szCs w:val="16"/>
          <w:b w:val="1"/>
          <w:bCs w:val="1"/>
          <w:i w:val="1"/>
          <w:iCs w:val="1"/>
          <w:color w:val="auto"/>
        </w:rPr>
        <w:t xml:space="preserve">Defined Benefit Plans </w:t>
      </w:r>
      <w:r>
        <w:rPr>
          <w:rFonts w:ascii="Arial" w:cs="Arial" w:eastAsia="Arial" w:hAnsi="Arial"/>
          <w:sz w:val="16"/>
          <w:szCs w:val="16"/>
          <w:color w:val="auto"/>
        </w:rPr>
        <w:t>– The Company is required to provide its employees located in Switzerland, Mexico, France, and Germany certain statutorily</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mandated defined benefits. Under these plans, benefits accrue to employees based upon years of service, position, age and compensation. The defined benefit pension plan provided to the Company’s employees located in Switzerland is a funded contributory plan, while the plans that provide benefits to the Company’s employees located in Mexico, France, and Germany are unfunded and noncontributory. The liability and corresponding expense related to these benefit plans is based on actuarial computations of current and future benefits for employees.</w:t>
      </w:r>
    </w:p>
    <w:p>
      <w:pPr>
        <w:sectPr>
          <w:pgSz w:w="11900" w:h="16838" w:orient="portrait"/>
          <w:cols w:equalWidth="0" w:num="1">
            <w:col w:w="11385"/>
          </w:cols>
          <w:pgMar w:left="275" w:top="337" w:right="239" w:bottom="1440" w:gutter="0" w:footer="0" w:header="0"/>
        </w:sectPr>
      </w:pPr>
    </w:p>
    <w:p>
      <w:pPr>
        <w:spacing w:after="0" w:line="293" w:lineRule="exact"/>
        <w:rPr>
          <w:sz w:val="20"/>
          <w:szCs w:val="20"/>
          <w:color w:val="auto"/>
        </w:rPr>
      </w:pPr>
    </w:p>
    <w:p>
      <w:pPr>
        <w:jc w:val="center"/>
        <w:ind w:right="35"/>
        <w:spacing w:after="0"/>
        <w:rPr>
          <w:sz w:val="20"/>
          <w:szCs w:val="20"/>
          <w:color w:val="auto"/>
        </w:rPr>
      </w:pPr>
      <w:r>
        <w:rPr>
          <w:rFonts w:ascii="Arial" w:cs="Arial" w:eastAsia="Arial" w:hAnsi="Arial"/>
          <w:sz w:val="16"/>
          <w:szCs w:val="16"/>
          <w:color w:val="auto"/>
        </w:rPr>
        <w:t>- 89 -</w:t>
      </w:r>
    </w:p>
    <w:p>
      <w:pPr>
        <w:sectPr>
          <w:pgSz w:w="11900" w:h="16838" w:orient="portrait"/>
          <w:cols w:equalWidth="0" w:num="1">
            <w:col w:w="11385"/>
          </w:cols>
          <w:pgMar w:left="275" w:top="337" w:right="239" w:bottom="1440" w:gutter="0" w:footer="0" w:header="0"/>
          <w:type w:val="continuous"/>
        </w:sectPr>
      </w:pPr>
    </w:p>
    <w:bookmarkStart w:id="90" w:name="page91"/>
    <w:bookmarkEnd w:id="90"/>
    <w:p>
      <w:pPr>
        <w:jc w:val="center"/>
        <w:ind w:right="480"/>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ind w:right="48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right="20"/>
        <w:spacing w:after="0" w:line="273" w:lineRule="auto"/>
        <w:rPr>
          <w:sz w:val="20"/>
          <w:szCs w:val="20"/>
          <w:color w:val="auto"/>
        </w:rPr>
      </w:pPr>
      <w:r>
        <w:rPr>
          <w:rFonts w:ascii="Arial" w:cs="Arial" w:eastAsia="Arial" w:hAnsi="Arial"/>
          <w:sz w:val="17"/>
          <w:szCs w:val="17"/>
          <w:color w:val="auto"/>
        </w:rPr>
        <w:t>During 2012, the Company transferred most major functions performed at its facilities in Switzerland into other existing facilities. As a result, the Company curtailed its defined benefit plan provided to employees at those Swiss facilities during 2012. In accordance with ASC 715, this gain was recognized in Other Operating Expenses, Net as the related employees were terminated. Since Swiss plan assets were sufficient to cover all plan liabilities, during 2012 the plan assets were transferred into cash. During 2013, the plan assets that remained after settlement payments were made were transferred to an AA- rated insurance carrier who bears the pension risk and longevity risk, and will be used to cover the pension liability for the remaining retirees of the Swiss plan, as well as the remaining employees at that location.</w:t>
      </w:r>
    </w:p>
    <w:p>
      <w:pPr>
        <w:spacing w:after="0" w:line="178"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Information relating to the funding position of the Company’s defined benefit plans as of the plans measurement date of January 1, 2016 and January 2, 2015 were as follows (in thousands):</w:t>
      </w:r>
    </w:p>
    <w:p>
      <w:pPr>
        <w:spacing w:after="0" w:line="27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98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6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Year Ended</w:t>
            </w:r>
          </w:p>
        </w:tc>
        <w:tc>
          <w:tcPr>
            <w:tcW w:w="1040" w:type="dxa"/>
            <w:vAlign w:val="bottom"/>
            <w:tcBorders>
              <w:bottom w:val="single" w:sz="8" w:color="auto"/>
            </w:tcBorders>
          </w:tcPr>
          <w:p>
            <w:pPr>
              <w:spacing w:after="0"/>
              <w:rPr>
                <w:sz w:val="16"/>
                <w:szCs w:val="16"/>
                <w:color w:val="auto"/>
              </w:rPr>
            </w:pPr>
          </w:p>
        </w:tc>
      </w:tr>
      <w:tr>
        <w:trPr>
          <w:trHeight w:val="152"/>
        </w:trPr>
        <w:tc>
          <w:tcPr>
            <w:tcW w:w="69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80" w:type="dxa"/>
            <w:vAlign w:val="bottom"/>
            <w:gridSpan w:val="2"/>
          </w:tcPr>
          <w:p>
            <w:pPr>
              <w:jc w:val="center"/>
              <w:ind w:right="380"/>
              <w:spacing w:after="0" w:line="153" w:lineRule="exact"/>
              <w:rPr>
                <w:sz w:val="20"/>
                <w:szCs w:val="20"/>
                <w:color w:val="auto"/>
              </w:rPr>
            </w:pPr>
            <w:r>
              <w:rPr>
                <w:rFonts w:ascii="Arial" w:cs="Arial" w:eastAsia="Arial" w:hAnsi="Arial"/>
                <w:sz w:val="14"/>
                <w:szCs w:val="14"/>
                <w:b w:val="1"/>
                <w:bCs w:val="1"/>
                <w:color w:val="auto"/>
                <w:w w:val="95"/>
              </w:rPr>
              <w:t>January 1,</w:t>
            </w:r>
          </w:p>
        </w:tc>
        <w:tc>
          <w:tcPr>
            <w:tcW w:w="340" w:type="dxa"/>
            <w:vAlign w:val="bottom"/>
          </w:tcPr>
          <w:p>
            <w:pPr>
              <w:spacing w:after="0"/>
              <w:rPr>
                <w:sz w:val="13"/>
                <w:szCs w:val="13"/>
                <w:color w:val="auto"/>
              </w:rPr>
            </w:pPr>
          </w:p>
        </w:tc>
        <w:tc>
          <w:tcPr>
            <w:tcW w:w="1040" w:type="dxa"/>
            <w:vAlign w:val="bottom"/>
          </w:tcPr>
          <w:p>
            <w:pPr>
              <w:jc w:val="center"/>
              <w:ind w:right="292"/>
              <w:spacing w:after="0" w:line="153" w:lineRule="exact"/>
              <w:rPr>
                <w:sz w:val="20"/>
                <w:szCs w:val="20"/>
                <w:color w:val="auto"/>
              </w:rPr>
            </w:pPr>
            <w:r>
              <w:rPr>
                <w:rFonts w:ascii="Arial" w:cs="Arial" w:eastAsia="Arial" w:hAnsi="Arial"/>
                <w:sz w:val="14"/>
                <w:szCs w:val="14"/>
                <w:b w:val="1"/>
                <w:bCs w:val="1"/>
                <w:color w:val="auto"/>
                <w:w w:val="95"/>
              </w:rPr>
              <w:t>January 2,</w:t>
            </w:r>
          </w:p>
        </w:tc>
      </w:tr>
      <w:tr>
        <w:trPr>
          <w:trHeight w:val="192"/>
        </w:trPr>
        <w:tc>
          <w:tcPr>
            <w:tcW w:w="698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center"/>
              <w:ind w:right="133"/>
              <w:spacing w:after="0"/>
              <w:rPr>
                <w:sz w:val="20"/>
                <w:szCs w:val="20"/>
                <w:color w:val="auto"/>
              </w:rPr>
            </w:pPr>
            <w:r>
              <w:rPr>
                <w:rFonts w:ascii="Arial" w:cs="Arial" w:eastAsia="Arial" w:hAnsi="Arial"/>
                <w:sz w:val="14"/>
                <w:szCs w:val="14"/>
                <w:b w:val="1"/>
                <w:bCs w:val="1"/>
                <w:color w:val="auto"/>
                <w:w w:val="96"/>
              </w:rPr>
              <w:t>2016</w:t>
            </w:r>
          </w:p>
        </w:tc>
        <w:tc>
          <w:tcPr>
            <w:tcW w:w="12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center"/>
              <w:ind w:right="252"/>
              <w:spacing w:after="0"/>
              <w:rPr>
                <w:sz w:val="20"/>
                <w:szCs w:val="20"/>
                <w:color w:val="auto"/>
              </w:rPr>
            </w:pPr>
            <w:r>
              <w:rPr>
                <w:rFonts w:ascii="Arial" w:cs="Arial" w:eastAsia="Arial" w:hAnsi="Arial"/>
                <w:sz w:val="14"/>
                <w:szCs w:val="14"/>
                <w:b w:val="1"/>
                <w:bCs w:val="1"/>
                <w:color w:val="auto"/>
                <w:w w:val="96"/>
              </w:rPr>
              <w:t>2015</w:t>
            </w:r>
          </w:p>
        </w:tc>
      </w:tr>
      <w:tr>
        <w:trPr>
          <w:trHeight w:val="250"/>
        </w:trPr>
        <w:tc>
          <w:tcPr>
            <w:tcW w:w="6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Change in projected benefit obligation:</w:t>
            </w:r>
          </w:p>
        </w:tc>
        <w:tc>
          <w:tcPr>
            <w:tcW w:w="2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r>
      <w:tr>
        <w:trPr>
          <w:trHeight w:val="243"/>
        </w:trPr>
        <w:tc>
          <w:tcPr>
            <w:tcW w:w="6980" w:type="dxa"/>
            <w:vAlign w:val="bottom"/>
          </w:tcPr>
          <w:p>
            <w:pPr>
              <w:ind w:left="20"/>
              <w:spacing w:after="0"/>
              <w:rPr>
                <w:sz w:val="20"/>
                <w:szCs w:val="20"/>
                <w:color w:val="auto"/>
              </w:rPr>
            </w:pPr>
            <w:r>
              <w:rPr>
                <w:rFonts w:ascii="Arial" w:cs="Arial" w:eastAsia="Arial" w:hAnsi="Arial"/>
                <w:sz w:val="18"/>
                <w:szCs w:val="18"/>
                <w:color w:val="auto"/>
              </w:rPr>
              <w:t>Projected benefit obligation at beginning of year</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spacing w:after="0"/>
              <w:rPr>
                <w:sz w:val="20"/>
                <w:szCs w:val="20"/>
                <w:color w:val="auto"/>
              </w:rPr>
            </w:pPr>
            <w:r>
              <w:rPr>
                <w:rFonts w:ascii="Arial" w:cs="Arial" w:eastAsia="Arial" w:hAnsi="Arial"/>
                <w:sz w:val="18"/>
                <w:szCs w:val="18"/>
                <w:color w:val="auto"/>
              </w:rPr>
              <w:t>2,843</w:t>
            </w:r>
          </w:p>
        </w:tc>
        <w:tc>
          <w:tcPr>
            <w:tcW w:w="120" w:type="dxa"/>
            <w:vAlign w:val="bottom"/>
          </w:tcPr>
          <w:p>
            <w:pPr>
              <w:spacing w:after="0"/>
              <w:rPr>
                <w:sz w:val="21"/>
                <w:szCs w:val="21"/>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2,422</w:t>
            </w:r>
          </w:p>
        </w:tc>
      </w:tr>
      <w:tr>
        <w:trPr>
          <w:trHeight w:val="27"/>
        </w:trPr>
        <w:tc>
          <w:tcPr>
            <w:tcW w:w="6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6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Projected benefit obligation acquired</w:t>
            </w:r>
          </w:p>
        </w:tc>
        <w:tc>
          <w:tcPr>
            <w:tcW w:w="2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4,316</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43"/>
        </w:trPr>
        <w:tc>
          <w:tcPr>
            <w:tcW w:w="6980" w:type="dxa"/>
            <w:vAlign w:val="bottom"/>
          </w:tcPr>
          <w:p>
            <w:pPr>
              <w:ind w:left="20"/>
              <w:spacing w:after="0"/>
              <w:rPr>
                <w:sz w:val="20"/>
                <w:szCs w:val="20"/>
                <w:color w:val="auto"/>
              </w:rPr>
            </w:pPr>
            <w:r>
              <w:rPr>
                <w:rFonts w:ascii="Arial" w:cs="Arial" w:eastAsia="Arial" w:hAnsi="Arial"/>
                <w:sz w:val="18"/>
                <w:szCs w:val="18"/>
                <w:color w:val="auto"/>
              </w:rPr>
              <w:t>Service cost</w:t>
            </w:r>
          </w:p>
        </w:tc>
        <w:tc>
          <w:tcPr>
            <w:tcW w:w="22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439</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203</w:t>
            </w:r>
          </w:p>
        </w:tc>
      </w:tr>
      <w:tr>
        <w:trPr>
          <w:trHeight w:val="27"/>
        </w:trPr>
        <w:tc>
          <w:tcPr>
            <w:tcW w:w="6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6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Interest cost</w:t>
            </w:r>
          </w:p>
        </w:tc>
        <w:tc>
          <w:tcPr>
            <w:tcW w:w="2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165</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75</w:t>
            </w:r>
          </w:p>
        </w:tc>
      </w:tr>
      <w:tr>
        <w:trPr>
          <w:trHeight w:val="243"/>
        </w:trPr>
        <w:tc>
          <w:tcPr>
            <w:tcW w:w="6980" w:type="dxa"/>
            <w:vAlign w:val="bottom"/>
          </w:tcPr>
          <w:p>
            <w:pPr>
              <w:ind w:left="20"/>
              <w:spacing w:after="0"/>
              <w:rPr>
                <w:sz w:val="20"/>
                <w:szCs w:val="20"/>
                <w:color w:val="auto"/>
              </w:rPr>
            </w:pPr>
            <w:r>
              <w:rPr>
                <w:rFonts w:ascii="Arial" w:cs="Arial" w:eastAsia="Arial" w:hAnsi="Arial"/>
                <w:sz w:val="18"/>
                <w:szCs w:val="18"/>
                <w:color w:val="auto"/>
              </w:rPr>
              <w:t>Plan participants’ contribution</w:t>
            </w:r>
          </w:p>
        </w:tc>
        <w:tc>
          <w:tcPr>
            <w:tcW w:w="22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61</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36</w:t>
            </w:r>
          </w:p>
        </w:tc>
      </w:tr>
      <w:tr>
        <w:trPr>
          <w:trHeight w:val="27"/>
        </w:trPr>
        <w:tc>
          <w:tcPr>
            <w:tcW w:w="6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6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Actuarial loss</w:t>
            </w:r>
          </w:p>
        </w:tc>
        <w:tc>
          <w:tcPr>
            <w:tcW w:w="2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235</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630</w:t>
            </w:r>
          </w:p>
        </w:tc>
      </w:tr>
      <w:tr>
        <w:trPr>
          <w:trHeight w:val="243"/>
        </w:trPr>
        <w:tc>
          <w:tcPr>
            <w:tcW w:w="6980" w:type="dxa"/>
            <w:vAlign w:val="bottom"/>
          </w:tcPr>
          <w:p>
            <w:pPr>
              <w:ind w:left="20"/>
              <w:spacing w:after="0"/>
              <w:rPr>
                <w:sz w:val="20"/>
                <w:szCs w:val="20"/>
                <w:color w:val="auto"/>
              </w:rPr>
            </w:pPr>
            <w:r>
              <w:rPr>
                <w:rFonts w:ascii="Arial" w:cs="Arial" w:eastAsia="Arial" w:hAnsi="Arial"/>
                <w:sz w:val="18"/>
                <w:szCs w:val="18"/>
                <w:color w:val="auto"/>
              </w:rPr>
              <w:t>Benefits transferred in, net</w:t>
            </w:r>
          </w:p>
        </w:tc>
        <w:tc>
          <w:tcPr>
            <w:tcW w:w="22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258</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155</w:t>
            </w:r>
          </w:p>
        </w:tc>
      </w:tr>
      <w:tr>
        <w:trPr>
          <w:trHeight w:val="27"/>
        </w:trPr>
        <w:tc>
          <w:tcPr>
            <w:tcW w:w="6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6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Settlement/curtailment gain</w:t>
            </w:r>
          </w:p>
        </w:tc>
        <w:tc>
          <w:tcPr>
            <w:tcW w:w="2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(337)</w:t>
            </w:r>
          </w:p>
        </w:tc>
      </w:tr>
      <w:tr>
        <w:trPr>
          <w:trHeight w:val="243"/>
        </w:trPr>
        <w:tc>
          <w:tcPr>
            <w:tcW w:w="6980" w:type="dxa"/>
            <w:vAlign w:val="bottom"/>
          </w:tcPr>
          <w:p>
            <w:pPr>
              <w:ind w:left="20"/>
              <w:spacing w:after="0"/>
              <w:rPr>
                <w:sz w:val="20"/>
                <w:szCs w:val="20"/>
                <w:color w:val="auto"/>
              </w:rPr>
            </w:pPr>
            <w:r>
              <w:rPr>
                <w:rFonts w:ascii="Arial" w:cs="Arial" w:eastAsia="Arial" w:hAnsi="Arial"/>
                <w:sz w:val="18"/>
                <w:szCs w:val="18"/>
                <w:color w:val="auto"/>
              </w:rPr>
              <w:t>Foreign currency translation</w:t>
            </w:r>
          </w:p>
        </w:tc>
        <w:tc>
          <w:tcPr>
            <w:tcW w:w="22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(325)</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(341)</w:t>
            </w:r>
          </w:p>
        </w:tc>
      </w:tr>
      <w:tr>
        <w:trPr>
          <w:trHeight w:val="27"/>
        </w:trPr>
        <w:tc>
          <w:tcPr>
            <w:tcW w:w="69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64"/>
        </w:trPr>
        <w:tc>
          <w:tcPr>
            <w:tcW w:w="698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Projected benefit obligation at end of year</w:t>
            </w:r>
          </w:p>
        </w:tc>
        <w:tc>
          <w:tcPr>
            <w:tcW w:w="22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7,992</w:t>
            </w: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2,843</w:t>
            </w:r>
          </w:p>
        </w:tc>
      </w:tr>
      <w:tr>
        <w:trPr>
          <w:trHeight w:val="237"/>
        </w:trPr>
        <w:tc>
          <w:tcPr>
            <w:tcW w:w="6980" w:type="dxa"/>
            <w:vAlign w:val="bottom"/>
          </w:tcPr>
          <w:p>
            <w:pPr>
              <w:ind w:left="20"/>
              <w:spacing w:after="0"/>
              <w:rPr>
                <w:sz w:val="20"/>
                <w:szCs w:val="20"/>
                <w:color w:val="auto"/>
              </w:rPr>
            </w:pPr>
            <w:r>
              <w:rPr>
                <w:rFonts w:ascii="Arial" w:cs="Arial" w:eastAsia="Arial" w:hAnsi="Arial"/>
                <w:sz w:val="18"/>
                <w:szCs w:val="18"/>
                <w:b w:val="1"/>
                <w:bCs w:val="1"/>
                <w:color w:val="auto"/>
              </w:rPr>
              <w:t>Change in fair value of plan assets:</w:t>
            </w:r>
          </w:p>
        </w:tc>
        <w:tc>
          <w:tcPr>
            <w:tcW w:w="22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spacing w:after="0"/>
              <w:rPr>
                <w:sz w:val="20"/>
                <w:szCs w:val="20"/>
                <w:color w:val="auto"/>
              </w:rPr>
            </w:pPr>
          </w:p>
        </w:tc>
      </w:tr>
      <w:tr>
        <w:trPr>
          <w:trHeight w:val="27"/>
        </w:trPr>
        <w:tc>
          <w:tcPr>
            <w:tcW w:w="6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6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Fair value of plan assets at beginning of year</w:t>
            </w:r>
          </w:p>
        </w:tc>
        <w:tc>
          <w:tcPr>
            <w:tcW w:w="2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437</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731</w:t>
            </w:r>
          </w:p>
        </w:tc>
      </w:tr>
      <w:tr>
        <w:trPr>
          <w:trHeight w:val="243"/>
        </w:trPr>
        <w:tc>
          <w:tcPr>
            <w:tcW w:w="6980" w:type="dxa"/>
            <w:vAlign w:val="bottom"/>
          </w:tcPr>
          <w:p>
            <w:pPr>
              <w:ind w:left="20"/>
              <w:spacing w:after="0"/>
              <w:rPr>
                <w:sz w:val="20"/>
                <w:szCs w:val="20"/>
                <w:color w:val="auto"/>
              </w:rPr>
            </w:pPr>
            <w:r>
              <w:rPr>
                <w:rFonts w:ascii="Arial" w:cs="Arial" w:eastAsia="Arial" w:hAnsi="Arial"/>
                <w:sz w:val="18"/>
                <w:szCs w:val="18"/>
                <w:color w:val="auto"/>
              </w:rPr>
              <w:t>Employer contributions (refund)</w:t>
            </w:r>
          </w:p>
        </w:tc>
        <w:tc>
          <w:tcPr>
            <w:tcW w:w="22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69</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(39)</w:t>
            </w:r>
          </w:p>
        </w:tc>
      </w:tr>
      <w:tr>
        <w:trPr>
          <w:trHeight w:val="27"/>
        </w:trPr>
        <w:tc>
          <w:tcPr>
            <w:tcW w:w="6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6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Plan participants’ contributions</w:t>
            </w:r>
          </w:p>
        </w:tc>
        <w:tc>
          <w:tcPr>
            <w:tcW w:w="2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61</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w:t>
            </w:r>
          </w:p>
        </w:tc>
      </w:tr>
      <w:tr>
        <w:trPr>
          <w:trHeight w:val="243"/>
        </w:trPr>
        <w:tc>
          <w:tcPr>
            <w:tcW w:w="6980" w:type="dxa"/>
            <w:vAlign w:val="bottom"/>
          </w:tcPr>
          <w:p>
            <w:pPr>
              <w:ind w:left="20"/>
              <w:spacing w:after="0"/>
              <w:rPr>
                <w:sz w:val="20"/>
                <w:szCs w:val="20"/>
                <w:color w:val="auto"/>
              </w:rPr>
            </w:pPr>
            <w:r>
              <w:rPr>
                <w:rFonts w:ascii="Arial" w:cs="Arial" w:eastAsia="Arial" w:hAnsi="Arial"/>
                <w:sz w:val="18"/>
                <w:szCs w:val="18"/>
                <w:color w:val="auto"/>
              </w:rPr>
              <w:t>Actual loss on plan assets</w:t>
            </w:r>
          </w:p>
        </w:tc>
        <w:tc>
          <w:tcPr>
            <w:tcW w:w="22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(39)</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(101)</w:t>
            </w:r>
          </w:p>
        </w:tc>
      </w:tr>
      <w:tr>
        <w:trPr>
          <w:trHeight w:val="27"/>
        </w:trPr>
        <w:tc>
          <w:tcPr>
            <w:tcW w:w="6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6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Benefits transferred in, net</w:t>
            </w:r>
          </w:p>
        </w:tc>
        <w:tc>
          <w:tcPr>
            <w:tcW w:w="2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362</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198</w:t>
            </w:r>
          </w:p>
        </w:tc>
      </w:tr>
      <w:tr>
        <w:trPr>
          <w:trHeight w:val="243"/>
        </w:trPr>
        <w:tc>
          <w:tcPr>
            <w:tcW w:w="6980" w:type="dxa"/>
            <w:vAlign w:val="bottom"/>
          </w:tcPr>
          <w:p>
            <w:pPr>
              <w:ind w:left="20"/>
              <w:spacing w:after="0"/>
              <w:rPr>
                <w:sz w:val="20"/>
                <w:szCs w:val="20"/>
                <w:color w:val="auto"/>
              </w:rPr>
            </w:pPr>
            <w:r>
              <w:rPr>
                <w:rFonts w:ascii="Arial" w:cs="Arial" w:eastAsia="Arial" w:hAnsi="Arial"/>
                <w:sz w:val="18"/>
                <w:szCs w:val="18"/>
                <w:color w:val="auto"/>
              </w:rPr>
              <w:t>Settlements</w:t>
            </w:r>
          </w:p>
        </w:tc>
        <w:tc>
          <w:tcPr>
            <w:tcW w:w="220" w:type="dxa"/>
            <w:vAlign w:val="bottom"/>
          </w:tcPr>
          <w:p>
            <w:pPr>
              <w:spacing w:after="0"/>
              <w:rPr>
                <w:sz w:val="21"/>
                <w:szCs w:val="21"/>
                <w:color w:val="auto"/>
              </w:rPr>
            </w:pPr>
          </w:p>
        </w:tc>
        <w:tc>
          <w:tcPr>
            <w:tcW w:w="12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(337)</w:t>
            </w:r>
          </w:p>
        </w:tc>
      </w:tr>
      <w:tr>
        <w:trPr>
          <w:trHeight w:val="27"/>
        </w:trPr>
        <w:tc>
          <w:tcPr>
            <w:tcW w:w="6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70"/>
        </w:trPr>
        <w:tc>
          <w:tcPr>
            <w:tcW w:w="6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Foreign currency translation</w:t>
            </w:r>
          </w:p>
        </w:tc>
        <w:tc>
          <w:tcPr>
            <w:tcW w:w="22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w:t>
            </w:r>
          </w:p>
        </w:tc>
        <w:tc>
          <w:tcPr>
            <w:tcW w:w="1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(51)</w:t>
            </w:r>
          </w:p>
        </w:tc>
      </w:tr>
      <w:tr>
        <w:trPr>
          <w:trHeight w:val="237"/>
        </w:trPr>
        <w:tc>
          <w:tcPr>
            <w:tcW w:w="6980" w:type="dxa"/>
            <w:vAlign w:val="bottom"/>
          </w:tcPr>
          <w:p>
            <w:pPr>
              <w:ind w:left="260"/>
              <w:spacing w:after="0"/>
              <w:rPr>
                <w:sz w:val="20"/>
                <w:szCs w:val="20"/>
                <w:color w:val="auto"/>
              </w:rPr>
            </w:pPr>
            <w:r>
              <w:rPr>
                <w:rFonts w:ascii="Arial" w:cs="Arial" w:eastAsia="Arial" w:hAnsi="Arial"/>
                <w:sz w:val="18"/>
                <w:szCs w:val="18"/>
                <w:color w:val="auto"/>
              </w:rPr>
              <w:t>Fair value of plan assets at end of year</w:t>
            </w:r>
          </w:p>
        </w:tc>
        <w:tc>
          <w:tcPr>
            <w:tcW w:w="22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871</w:t>
            </w:r>
          </w:p>
        </w:tc>
        <w:tc>
          <w:tcPr>
            <w:tcW w:w="12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437</w:t>
            </w:r>
          </w:p>
        </w:tc>
      </w:tr>
      <w:tr>
        <w:trPr>
          <w:trHeight w:val="27"/>
        </w:trPr>
        <w:tc>
          <w:tcPr>
            <w:tcW w:w="69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57"/>
        </w:trPr>
        <w:tc>
          <w:tcPr>
            <w:tcW w:w="698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Projected benefit obligation in excess of plan assets at end of year</w:t>
            </w: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7,121</w:t>
            </w: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2,406</w:t>
            </w:r>
          </w:p>
        </w:tc>
      </w:tr>
      <w:tr>
        <w:trPr>
          <w:trHeight w:val="20"/>
        </w:trPr>
        <w:tc>
          <w:tcPr>
            <w:tcW w:w="69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r>
        <w:trPr>
          <w:trHeight w:val="291"/>
        </w:trPr>
        <w:tc>
          <w:tcPr>
            <w:tcW w:w="698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Defined benefit liability classified as other current liabilities</w:t>
            </w:r>
          </w:p>
        </w:tc>
        <w:tc>
          <w:tcPr>
            <w:tcW w:w="2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46</w:t>
            </w:r>
          </w:p>
        </w:tc>
        <w:tc>
          <w:tcPr>
            <w:tcW w:w="120" w:type="dxa"/>
            <w:vAlign w:val="bottom"/>
            <w:tcBorders>
              <w:bottom w:val="single" w:sz="8" w:color="CCEEFF"/>
            </w:tcBorders>
          </w:tcPr>
          <w:p>
            <w:pPr>
              <w:spacing w:after="0"/>
              <w:rPr>
                <w:sz w:val="24"/>
                <w:szCs w:val="24"/>
                <w:color w:val="auto"/>
              </w:rPr>
            </w:pPr>
          </w:p>
        </w:tc>
        <w:tc>
          <w:tcPr>
            <w:tcW w:w="34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w:t>
            </w:r>
          </w:p>
        </w:tc>
      </w:tr>
      <w:tr>
        <w:trPr>
          <w:trHeight w:val="251"/>
        </w:trPr>
        <w:tc>
          <w:tcPr>
            <w:tcW w:w="6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Defined benefit liability classified as long-term liabilities</w:t>
            </w: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7,075</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2,381</w:t>
            </w:r>
          </w:p>
        </w:tc>
      </w:tr>
      <w:tr>
        <w:trPr>
          <w:trHeight w:val="20"/>
        </w:trPr>
        <w:tc>
          <w:tcPr>
            <w:tcW w:w="69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r>
        <w:trPr>
          <w:trHeight w:val="251"/>
        </w:trPr>
        <w:tc>
          <w:tcPr>
            <w:tcW w:w="6980" w:type="dxa"/>
            <w:vAlign w:val="bottom"/>
          </w:tcPr>
          <w:p>
            <w:pPr>
              <w:ind w:left="20"/>
              <w:spacing w:after="0"/>
              <w:rPr>
                <w:sz w:val="20"/>
                <w:szCs w:val="20"/>
                <w:color w:val="auto"/>
              </w:rPr>
            </w:pPr>
            <w:r>
              <w:rPr>
                <w:rFonts w:ascii="Arial" w:cs="Arial" w:eastAsia="Arial" w:hAnsi="Arial"/>
                <w:sz w:val="18"/>
                <w:szCs w:val="18"/>
                <w:color w:val="auto"/>
              </w:rPr>
              <w:t>Accumulated benefit obligation at end of year</w:t>
            </w:r>
          </w:p>
        </w:tc>
        <w:tc>
          <w:tcPr>
            <w:tcW w:w="2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6,299</w:t>
            </w:r>
          </w:p>
        </w:tc>
        <w:tc>
          <w:tcPr>
            <w:tcW w:w="120" w:type="dxa"/>
            <w:vAlign w:val="bottom"/>
          </w:tcPr>
          <w:p>
            <w:pPr>
              <w:spacing w:after="0"/>
              <w:rPr>
                <w:sz w:val="21"/>
                <w:szCs w:val="21"/>
                <w:color w:val="auto"/>
              </w:rPr>
            </w:pPr>
          </w:p>
        </w:tc>
        <w:tc>
          <w:tcPr>
            <w:tcW w:w="34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1,938</w:t>
            </w:r>
          </w:p>
        </w:tc>
      </w:tr>
      <w:tr>
        <w:trPr>
          <w:trHeight w:val="20"/>
        </w:trPr>
        <w:tc>
          <w:tcPr>
            <w:tcW w:w="69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r>
        <w:trPr>
          <w:trHeight w:val="419"/>
        </w:trPr>
        <w:tc>
          <w:tcPr>
            <w:tcW w:w="7200" w:type="dxa"/>
            <w:vAlign w:val="bottom"/>
            <w:gridSpan w:val="2"/>
          </w:tcPr>
          <w:p>
            <w:pPr>
              <w:spacing w:after="0"/>
              <w:rPr>
                <w:sz w:val="20"/>
                <w:szCs w:val="20"/>
                <w:color w:val="auto"/>
              </w:rPr>
            </w:pPr>
            <w:r>
              <w:rPr>
                <w:rFonts w:ascii="Arial" w:cs="Arial" w:eastAsia="Arial" w:hAnsi="Arial"/>
                <w:sz w:val="18"/>
                <w:szCs w:val="18"/>
                <w:color w:val="auto"/>
                <w:w w:val="92"/>
              </w:rPr>
              <w:t>Amounts recognized in Accumulated Other Comprehensive Income are as follows (in thousands):</w:t>
            </w:r>
          </w:p>
        </w:tc>
        <w:tc>
          <w:tcPr>
            <w:tcW w:w="1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40" w:type="dxa"/>
            <w:vAlign w:val="bottom"/>
          </w:tcPr>
          <w:p>
            <w:pPr>
              <w:spacing w:after="0"/>
              <w:rPr>
                <w:sz w:val="24"/>
                <w:szCs w:val="24"/>
                <w:color w:val="auto"/>
              </w:rPr>
            </w:pPr>
          </w:p>
        </w:tc>
      </w:tr>
      <w:tr>
        <w:trPr>
          <w:trHeight w:val="332"/>
        </w:trPr>
        <w:tc>
          <w:tcPr>
            <w:tcW w:w="6980" w:type="dxa"/>
            <w:vAlign w:val="bottom"/>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6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Year Ended</w:t>
            </w:r>
          </w:p>
        </w:tc>
        <w:tc>
          <w:tcPr>
            <w:tcW w:w="1040" w:type="dxa"/>
            <w:vAlign w:val="bottom"/>
            <w:tcBorders>
              <w:bottom w:val="single" w:sz="8" w:color="auto"/>
            </w:tcBorders>
          </w:tcPr>
          <w:p>
            <w:pPr>
              <w:spacing w:after="0"/>
              <w:rPr>
                <w:sz w:val="24"/>
                <w:szCs w:val="24"/>
                <w:color w:val="auto"/>
              </w:rPr>
            </w:pPr>
          </w:p>
        </w:tc>
      </w:tr>
      <w:tr>
        <w:trPr>
          <w:trHeight w:val="152"/>
        </w:trPr>
        <w:tc>
          <w:tcPr>
            <w:tcW w:w="69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80" w:type="dxa"/>
            <w:vAlign w:val="bottom"/>
            <w:gridSpan w:val="2"/>
          </w:tcPr>
          <w:p>
            <w:pPr>
              <w:jc w:val="center"/>
              <w:ind w:right="380"/>
              <w:spacing w:after="0" w:line="153" w:lineRule="exact"/>
              <w:rPr>
                <w:sz w:val="20"/>
                <w:szCs w:val="20"/>
                <w:color w:val="auto"/>
              </w:rPr>
            </w:pPr>
            <w:r>
              <w:rPr>
                <w:rFonts w:ascii="Arial" w:cs="Arial" w:eastAsia="Arial" w:hAnsi="Arial"/>
                <w:sz w:val="14"/>
                <w:szCs w:val="14"/>
                <w:b w:val="1"/>
                <w:bCs w:val="1"/>
                <w:color w:val="auto"/>
                <w:w w:val="95"/>
              </w:rPr>
              <w:t>January 1,</w:t>
            </w:r>
          </w:p>
        </w:tc>
        <w:tc>
          <w:tcPr>
            <w:tcW w:w="340" w:type="dxa"/>
            <w:vAlign w:val="bottom"/>
          </w:tcPr>
          <w:p>
            <w:pPr>
              <w:spacing w:after="0"/>
              <w:rPr>
                <w:sz w:val="13"/>
                <w:szCs w:val="13"/>
                <w:color w:val="auto"/>
              </w:rPr>
            </w:pPr>
          </w:p>
        </w:tc>
        <w:tc>
          <w:tcPr>
            <w:tcW w:w="1040" w:type="dxa"/>
            <w:vAlign w:val="bottom"/>
          </w:tcPr>
          <w:p>
            <w:pPr>
              <w:jc w:val="center"/>
              <w:ind w:right="292"/>
              <w:spacing w:after="0" w:line="153" w:lineRule="exact"/>
              <w:rPr>
                <w:sz w:val="20"/>
                <w:szCs w:val="20"/>
                <w:color w:val="auto"/>
              </w:rPr>
            </w:pPr>
            <w:r>
              <w:rPr>
                <w:rFonts w:ascii="Arial" w:cs="Arial" w:eastAsia="Arial" w:hAnsi="Arial"/>
                <w:sz w:val="14"/>
                <w:szCs w:val="14"/>
                <w:b w:val="1"/>
                <w:bCs w:val="1"/>
                <w:color w:val="auto"/>
                <w:w w:val="95"/>
              </w:rPr>
              <w:t>January 2,</w:t>
            </w:r>
          </w:p>
        </w:tc>
      </w:tr>
      <w:tr>
        <w:trPr>
          <w:trHeight w:val="192"/>
        </w:trPr>
        <w:tc>
          <w:tcPr>
            <w:tcW w:w="698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center"/>
              <w:ind w:right="133"/>
              <w:spacing w:after="0"/>
              <w:rPr>
                <w:sz w:val="20"/>
                <w:szCs w:val="20"/>
                <w:color w:val="auto"/>
              </w:rPr>
            </w:pPr>
            <w:r>
              <w:rPr>
                <w:rFonts w:ascii="Arial" w:cs="Arial" w:eastAsia="Arial" w:hAnsi="Arial"/>
                <w:sz w:val="14"/>
                <w:szCs w:val="14"/>
                <w:b w:val="1"/>
                <w:bCs w:val="1"/>
                <w:color w:val="auto"/>
                <w:w w:val="96"/>
              </w:rPr>
              <w:t>2016</w:t>
            </w:r>
          </w:p>
        </w:tc>
        <w:tc>
          <w:tcPr>
            <w:tcW w:w="12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center"/>
              <w:ind w:right="252"/>
              <w:spacing w:after="0"/>
              <w:rPr>
                <w:sz w:val="20"/>
                <w:szCs w:val="20"/>
                <w:color w:val="auto"/>
              </w:rPr>
            </w:pPr>
            <w:r>
              <w:rPr>
                <w:rFonts w:ascii="Arial" w:cs="Arial" w:eastAsia="Arial" w:hAnsi="Arial"/>
                <w:sz w:val="14"/>
                <w:szCs w:val="14"/>
                <w:b w:val="1"/>
                <w:bCs w:val="1"/>
                <w:color w:val="auto"/>
                <w:w w:val="96"/>
              </w:rPr>
              <w:t>2015</w:t>
            </w:r>
          </w:p>
        </w:tc>
      </w:tr>
      <w:tr>
        <w:trPr>
          <w:trHeight w:val="250"/>
        </w:trPr>
        <w:tc>
          <w:tcPr>
            <w:tcW w:w="6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loss occurring during the year</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164</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736</w:t>
            </w:r>
          </w:p>
        </w:tc>
      </w:tr>
      <w:tr>
        <w:trPr>
          <w:trHeight w:val="243"/>
        </w:trPr>
        <w:tc>
          <w:tcPr>
            <w:tcW w:w="6980" w:type="dxa"/>
            <w:vAlign w:val="bottom"/>
          </w:tcPr>
          <w:p>
            <w:pPr>
              <w:ind w:left="20"/>
              <w:spacing w:after="0"/>
              <w:rPr>
                <w:sz w:val="20"/>
                <w:szCs w:val="20"/>
                <w:color w:val="auto"/>
              </w:rPr>
            </w:pPr>
            <w:r>
              <w:rPr>
                <w:rFonts w:ascii="Arial" w:cs="Arial" w:eastAsia="Arial" w:hAnsi="Arial"/>
                <w:sz w:val="18"/>
                <w:szCs w:val="18"/>
                <w:color w:val="auto"/>
              </w:rPr>
              <w:t>Amortization of losses</w:t>
            </w:r>
          </w:p>
        </w:tc>
        <w:tc>
          <w:tcPr>
            <w:tcW w:w="22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(156)</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(138)</w:t>
            </w:r>
          </w:p>
        </w:tc>
      </w:tr>
      <w:tr>
        <w:trPr>
          <w:trHeight w:val="27"/>
        </w:trPr>
        <w:tc>
          <w:tcPr>
            <w:tcW w:w="6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6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Prior service cost</w:t>
            </w:r>
          </w:p>
        </w:tc>
        <w:tc>
          <w:tcPr>
            <w:tcW w:w="2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w:t>
            </w:r>
          </w:p>
        </w:tc>
      </w:tr>
      <w:tr>
        <w:trPr>
          <w:trHeight w:val="243"/>
        </w:trPr>
        <w:tc>
          <w:tcPr>
            <w:tcW w:w="6980" w:type="dxa"/>
            <w:vAlign w:val="bottom"/>
          </w:tcPr>
          <w:p>
            <w:pPr>
              <w:ind w:left="20"/>
              <w:spacing w:after="0"/>
              <w:rPr>
                <w:sz w:val="20"/>
                <w:szCs w:val="20"/>
                <w:color w:val="auto"/>
              </w:rPr>
            </w:pPr>
            <w:r>
              <w:rPr>
                <w:rFonts w:ascii="Arial" w:cs="Arial" w:eastAsia="Arial" w:hAnsi="Arial"/>
                <w:sz w:val="18"/>
                <w:szCs w:val="18"/>
                <w:color w:val="auto"/>
              </w:rPr>
              <w:t>Amortization of prior service cost</w:t>
            </w:r>
          </w:p>
        </w:tc>
        <w:tc>
          <w:tcPr>
            <w:tcW w:w="22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(9)</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(11)</w:t>
            </w:r>
          </w:p>
        </w:tc>
      </w:tr>
      <w:tr>
        <w:trPr>
          <w:trHeight w:val="27"/>
        </w:trPr>
        <w:tc>
          <w:tcPr>
            <w:tcW w:w="6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gridSpan w:val="2"/>
          </w:tcPr>
          <w:p>
            <w:pPr>
              <w:spacing w:after="0"/>
              <w:rPr>
                <w:sz w:val="2"/>
                <w:szCs w:val="2"/>
                <w:color w:val="auto"/>
              </w:rPr>
            </w:pPr>
          </w:p>
        </w:tc>
        <w:tc>
          <w:tcPr>
            <w:tcW w:w="34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70"/>
        </w:trPr>
        <w:tc>
          <w:tcPr>
            <w:tcW w:w="6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Foreign currency translation</w:t>
            </w:r>
          </w:p>
        </w:tc>
        <w:tc>
          <w:tcPr>
            <w:tcW w:w="22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(76)</w:t>
            </w:r>
          </w:p>
        </w:tc>
      </w:tr>
      <w:tr>
        <w:trPr>
          <w:trHeight w:val="237"/>
        </w:trPr>
        <w:tc>
          <w:tcPr>
            <w:tcW w:w="6980" w:type="dxa"/>
            <w:vAlign w:val="bottom"/>
          </w:tcPr>
          <w:p>
            <w:pPr>
              <w:ind w:left="260"/>
              <w:spacing w:after="0"/>
              <w:rPr>
                <w:sz w:val="20"/>
                <w:szCs w:val="20"/>
                <w:color w:val="auto"/>
              </w:rPr>
            </w:pPr>
            <w:r>
              <w:rPr>
                <w:rFonts w:ascii="Arial" w:cs="Arial" w:eastAsia="Arial" w:hAnsi="Arial"/>
                <w:sz w:val="18"/>
                <w:szCs w:val="18"/>
                <w:color w:val="auto"/>
              </w:rPr>
              <w:t>Pre-tax adjustment</w:t>
            </w:r>
          </w:p>
        </w:tc>
        <w:tc>
          <w:tcPr>
            <w:tcW w:w="22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w:t>
            </w:r>
          </w:p>
        </w:tc>
        <w:tc>
          <w:tcPr>
            <w:tcW w:w="12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509</w:t>
            </w:r>
          </w:p>
        </w:tc>
      </w:tr>
      <w:tr>
        <w:trPr>
          <w:trHeight w:val="27"/>
        </w:trPr>
        <w:tc>
          <w:tcPr>
            <w:tcW w:w="6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70"/>
        </w:trPr>
        <w:tc>
          <w:tcPr>
            <w:tcW w:w="6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Taxes</w:t>
            </w:r>
          </w:p>
        </w:tc>
        <w:tc>
          <w:tcPr>
            <w:tcW w:w="22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w:t>
            </w:r>
          </w:p>
        </w:tc>
        <w:tc>
          <w:tcPr>
            <w:tcW w:w="1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(135)</w:t>
            </w:r>
          </w:p>
        </w:tc>
      </w:tr>
      <w:tr>
        <w:trPr>
          <w:trHeight w:val="257"/>
        </w:trPr>
        <w:tc>
          <w:tcPr>
            <w:tcW w:w="6980" w:type="dxa"/>
            <w:vAlign w:val="bottom"/>
          </w:tcPr>
          <w:p>
            <w:pPr>
              <w:ind w:left="260"/>
              <w:spacing w:after="0"/>
              <w:rPr>
                <w:sz w:val="20"/>
                <w:szCs w:val="20"/>
                <w:color w:val="auto"/>
              </w:rPr>
            </w:pPr>
            <w:r>
              <w:rPr>
                <w:rFonts w:ascii="Arial" w:cs="Arial" w:eastAsia="Arial" w:hAnsi="Arial"/>
                <w:sz w:val="18"/>
                <w:szCs w:val="18"/>
                <w:color w:val="auto"/>
              </w:rPr>
              <w:t>Net loss</w:t>
            </w: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w:t>
            </w:r>
          </w:p>
        </w:tc>
        <w:tc>
          <w:tcPr>
            <w:tcW w:w="120" w:type="dxa"/>
            <w:vAlign w:val="bottom"/>
          </w:tcPr>
          <w:p>
            <w:pPr>
              <w:spacing w:after="0"/>
              <w:rPr>
                <w:sz w:val="22"/>
                <w:szCs w:val="22"/>
                <w:color w:val="auto"/>
              </w:rPr>
            </w:pPr>
          </w:p>
        </w:tc>
        <w:tc>
          <w:tcPr>
            <w:tcW w:w="34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374</w:t>
            </w:r>
          </w:p>
        </w:tc>
      </w:tr>
      <w:tr>
        <w:trPr>
          <w:trHeight w:val="20"/>
        </w:trPr>
        <w:tc>
          <w:tcPr>
            <w:tcW w:w="69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0920"/>
          </w:cols>
          <w:pgMar w:left="740" w:top="337" w:right="239" w:bottom="1440" w:gutter="0" w:footer="0" w:header="0"/>
        </w:sectPr>
      </w:pPr>
    </w:p>
    <w:p>
      <w:pPr>
        <w:spacing w:after="0" w:line="137" w:lineRule="exact"/>
        <w:rPr>
          <w:sz w:val="20"/>
          <w:szCs w:val="20"/>
          <w:color w:val="auto"/>
        </w:rPr>
      </w:pPr>
    </w:p>
    <w:p>
      <w:pPr>
        <w:jc w:val="center"/>
        <w:ind w:right="500"/>
        <w:spacing w:after="0"/>
        <w:rPr>
          <w:sz w:val="20"/>
          <w:szCs w:val="20"/>
          <w:color w:val="auto"/>
        </w:rPr>
      </w:pPr>
      <w:r>
        <w:rPr>
          <w:rFonts w:ascii="Arial" w:cs="Arial" w:eastAsia="Arial" w:hAnsi="Arial"/>
          <w:sz w:val="16"/>
          <w:szCs w:val="16"/>
          <w:color w:val="auto"/>
        </w:rPr>
        <w:t>- 90 -</w:t>
      </w:r>
    </w:p>
    <w:p>
      <w:pPr>
        <w:sectPr>
          <w:pgSz w:w="11900" w:h="16838" w:orient="portrait"/>
          <w:cols w:equalWidth="0" w:num="1">
            <w:col w:w="10920"/>
          </w:cols>
          <w:pgMar w:left="740" w:top="337" w:right="239" w:bottom="1440" w:gutter="0" w:footer="0" w:header="0"/>
          <w:type w:val="continuous"/>
        </w:sectPr>
      </w:pPr>
    </w:p>
    <w:bookmarkStart w:id="91" w:name="page92"/>
    <w:bookmarkEnd w:id="91"/>
    <w:p>
      <w:pPr>
        <w:jc w:val="center"/>
        <w:ind w:right="400"/>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ind w:right="40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color w:val="auto"/>
        </w:rPr>
        <w:t>The amortization of amounts in Accumulated Other Comprehensive Income expected to be recognized as components of net periodic benefit expense during 2016 are as follows (in thousands):</w:t>
      </w:r>
    </w:p>
    <w:p>
      <w:pPr>
        <w:spacing w:after="0" w:line="11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980" w:type="dxa"/>
            <w:vAlign w:val="bottom"/>
          </w:tcPr>
          <w:p>
            <w:pPr>
              <w:ind w:left="20"/>
              <w:spacing w:after="0"/>
              <w:rPr>
                <w:sz w:val="20"/>
                <w:szCs w:val="20"/>
                <w:color w:val="auto"/>
              </w:rPr>
            </w:pPr>
            <w:r>
              <w:rPr>
                <w:rFonts w:ascii="Arial" w:cs="Arial" w:eastAsia="Arial" w:hAnsi="Arial"/>
                <w:sz w:val="18"/>
                <w:szCs w:val="18"/>
                <w:color w:val="auto"/>
              </w:rPr>
              <w:t>Amortization of net prior service cost</w:t>
            </w:r>
          </w:p>
        </w:tc>
        <w:tc>
          <w:tcPr>
            <w:tcW w:w="1260" w:type="dxa"/>
            <w:vAlign w:val="bottom"/>
            <w:gridSpan w:val="2"/>
          </w:tcPr>
          <w:p>
            <w:pPr>
              <w:jc w:val="right"/>
              <w:ind w:right="1014"/>
              <w:spacing w:after="0"/>
              <w:rPr>
                <w:sz w:val="20"/>
                <w:szCs w:val="20"/>
                <w:color w:val="auto"/>
              </w:rPr>
            </w:pPr>
            <w:r>
              <w:rPr>
                <w:rFonts w:ascii="Arial" w:cs="Arial" w:eastAsia="Arial" w:hAnsi="Arial"/>
                <w:sz w:val="18"/>
                <w:szCs w:val="18"/>
                <w:color w:val="auto"/>
              </w:rPr>
              <w:t>$</w:t>
            </w:r>
          </w:p>
        </w:tc>
        <w:tc>
          <w:tcPr>
            <w:tcW w:w="260" w:type="dxa"/>
            <w:vAlign w:val="bottom"/>
            <w:gridSpan w:val="3"/>
          </w:tcPr>
          <w:p>
            <w:pPr>
              <w:jc w:val="right"/>
              <w:spacing w:after="0"/>
              <w:rPr>
                <w:sz w:val="20"/>
                <w:szCs w:val="20"/>
                <w:color w:val="auto"/>
              </w:rPr>
            </w:pPr>
            <w:r>
              <w:rPr>
                <w:rFonts w:ascii="Arial" w:cs="Arial" w:eastAsia="Arial" w:hAnsi="Arial"/>
                <w:sz w:val="18"/>
                <w:szCs w:val="18"/>
                <w:color w:val="auto"/>
                <w:w w:val="79"/>
              </w:rPr>
              <w:t>10</w:t>
            </w:r>
          </w:p>
        </w:tc>
        <w:tc>
          <w:tcPr>
            <w:tcW w:w="1140" w:type="dxa"/>
            <w:vAlign w:val="bottom"/>
          </w:tcPr>
          <w:p>
            <w:pPr>
              <w:spacing w:after="0"/>
              <w:rPr>
                <w:sz w:val="20"/>
                <w:szCs w:val="20"/>
                <w:color w:val="auto"/>
              </w:rPr>
            </w:pPr>
          </w:p>
        </w:tc>
      </w:tr>
      <w:tr>
        <w:trPr>
          <w:trHeight w:val="27"/>
        </w:trPr>
        <w:tc>
          <w:tcPr>
            <w:tcW w:w="69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4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6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Amortization of net loss</w:t>
            </w:r>
          </w:p>
        </w:tc>
        <w:tc>
          <w:tcPr>
            <w:tcW w:w="14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gridSpan w:val="4"/>
            <w:shd w:val="clear" w:color="auto" w:fill="CCEEFF"/>
          </w:tcPr>
          <w:p>
            <w:pPr>
              <w:jc w:val="right"/>
              <w:spacing w:after="0"/>
              <w:rPr>
                <w:sz w:val="20"/>
                <w:szCs w:val="20"/>
                <w:color w:val="auto"/>
              </w:rPr>
            </w:pPr>
            <w:r>
              <w:rPr>
                <w:rFonts w:ascii="Arial" w:cs="Arial" w:eastAsia="Arial" w:hAnsi="Arial"/>
                <w:sz w:val="18"/>
                <w:szCs w:val="18"/>
                <w:color w:val="auto"/>
              </w:rPr>
              <w:t>172</w:t>
            </w:r>
          </w:p>
        </w:tc>
        <w:tc>
          <w:tcPr>
            <w:tcW w:w="1140" w:type="dxa"/>
            <w:vAlign w:val="bottom"/>
          </w:tcPr>
          <w:p>
            <w:pPr>
              <w:spacing w:after="0"/>
              <w:rPr>
                <w:sz w:val="21"/>
                <w:szCs w:val="21"/>
                <w:color w:val="auto"/>
              </w:rPr>
            </w:pPr>
          </w:p>
        </w:tc>
      </w:tr>
      <w:tr>
        <w:trPr>
          <w:trHeight w:val="432"/>
        </w:trPr>
        <w:tc>
          <w:tcPr>
            <w:tcW w:w="6980" w:type="dxa"/>
            <w:vAlign w:val="bottom"/>
          </w:tcPr>
          <w:p>
            <w:pPr>
              <w:spacing w:after="0"/>
              <w:rPr>
                <w:sz w:val="20"/>
                <w:szCs w:val="20"/>
                <w:color w:val="auto"/>
              </w:rPr>
            </w:pPr>
            <w:r>
              <w:rPr>
                <w:rFonts w:ascii="Arial" w:cs="Arial" w:eastAsia="Arial" w:hAnsi="Arial"/>
                <w:sz w:val="18"/>
                <w:szCs w:val="18"/>
                <w:color w:val="auto"/>
              </w:rPr>
              <w:t>Net pension cost is comprised of the following (in thousands):</w:t>
            </w:r>
          </w:p>
        </w:tc>
        <w:tc>
          <w:tcPr>
            <w:tcW w:w="1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40" w:type="dxa"/>
            <w:vAlign w:val="bottom"/>
          </w:tcPr>
          <w:p>
            <w:pPr>
              <w:spacing w:after="0"/>
              <w:rPr>
                <w:sz w:val="24"/>
                <w:szCs w:val="24"/>
                <w:color w:val="auto"/>
              </w:rPr>
            </w:pPr>
          </w:p>
        </w:tc>
      </w:tr>
      <w:tr>
        <w:trPr>
          <w:trHeight w:val="332"/>
        </w:trPr>
        <w:tc>
          <w:tcPr>
            <w:tcW w:w="698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gridSpan w:val="5"/>
          </w:tcPr>
          <w:p>
            <w:pPr>
              <w:jc w:val="right"/>
              <w:ind w:right="873"/>
              <w:spacing w:after="0"/>
              <w:rPr>
                <w:sz w:val="20"/>
                <w:szCs w:val="20"/>
                <w:color w:val="auto"/>
              </w:rPr>
            </w:pPr>
            <w:r>
              <w:rPr>
                <w:rFonts w:ascii="Arial" w:cs="Arial" w:eastAsia="Arial" w:hAnsi="Arial"/>
                <w:sz w:val="14"/>
                <w:szCs w:val="14"/>
                <w:b w:val="1"/>
                <w:bCs w:val="1"/>
                <w:color w:val="auto"/>
              </w:rPr>
              <w:t>Year Ended</w:t>
            </w:r>
          </w:p>
        </w:tc>
      </w:tr>
      <w:tr>
        <w:trPr>
          <w:trHeight w:val="264"/>
        </w:trPr>
        <w:tc>
          <w:tcPr>
            <w:tcW w:w="698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34"/>
              <w:spacing w:after="0"/>
              <w:rPr>
                <w:sz w:val="20"/>
                <w:szCs w:val="20"/>
                <w:color w:val="auto"/>
              </w:rPr>
            </w:pPr>
            <w:r>
              <w:rPr>
                <w:rFonts w:ascii="Arial" w:cs="Arial" w:eastAsia="Arial" w:hAnsi="Arial"/>
                <w:sz w:val="14"/>
                <w:szCs w:val="14"/>
                <w:b w:val="1"/>
                <w:bCs w:val="1"/>
                <w:color w:val="auto"/>
                <w:w w:val="93"/>
              </w:rPr>
              <w:t>January 1, 2016</w:t>
            </w:r>
          </w:p>
        </w:tc>
        <w:tc>
          <w:tcPr>
            <w:tcW w:w="2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3"/>
              <w:spacing w:after="0"/>
              <w:rPr>
                <w:sz w:val="20"/>
                <w:szCs w:val="20"/>
                <w:color w:val="auto"/>
              </w:rPr>
            </w:pPr>
            <w:r>
              <w:rPr>
                <w:rFonts w:ascii="Arial" w:cs="Arial" w:eastAsia="Arial" w:hAnsi="Arial"/>
                <w:sz w:val="14"/>
                <w:szCs w:val="14"/>
                <w:b w:val="1"/>
                <w:bCs w:val="1"/>
                <w:color w:val="auto"/>
                <w:w w:val="93"/>
              </w:rPr>
              <w:t>January 2, 2015</w:t>
            </w:r>
          </w:p>
        </w:tc>
      </w:tr>
      <w:tr>
        <w:trPr>
          <w:trHeight w:val="250"/>
        </w:trPr>
        <w:tc>
          <w:tcPr>
            <w:tcW w:w="6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Service cost</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439</w:t>
            </w:r>
          </w:p>
        </w:tc>
        <w:tc>
          <w:tcPr>
            <w:tcW w:w="26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203</w:t>
            </w:r>
          </w:p>
        </w:tc>
      </w:tr>
      <w:tr>
        <w:trPr>
          <w:trHeight w:val="243"/>
        </w:trPr>
        <w:tc>
          <w:tcPr>
            <w:tcW w:w="6980" w:type="dxa"/>
            <w:vAlign w:val="bottom"/>
          </w:tcPr>
          <w:p>
            <w:pPr>
              <w:ind w:left="20"/>
              <w:spacing w:after="0"/>
              <w:rPr>
                <w:sz w:val="20"/>
                <w:szCs w:val="20"/>
                <w:color w:val="auto"/>
              </w:rPr>
            </w:pPr>
            <w:r>
              <w:rPr>
                <w:rFonts w:ascii="Arial" w:cs="Arial" w:eastAsia="Arial" w:hAnsi="Arial"/>
                <w:sz w:val="18"/>
                <w:szCs w:val="18"/>
                <w:color w:val="auto"/>
              </w:rPr>
              <w:t>Interest cost</w:t>
            </w:r>
          </w:p>
        </w:tc>
        <w:tc>
          <w:tcPr>
            <w:tcW w:w="1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165</w:t>
            </w: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40" w:type="dxa"/>
            <w:vAlign w:val="bottom"/>
          </w:tcPr>
          <w:p>
            <w:pPr>
              <w:jc w:val="right"/>
              <w:ind w:right="13"/>
              <w:spacing w:after="0"/>
              <w:rPr>
                <w:sz w:val="20"/>
                <w:szCs w:val="20"/>
                <w:color w:val="auto"/>
              </w:rPr>
            </w:pPr>
            <w:r>
              <w:rPr>
                <w:rFonts w:ascii="Arial" w:cs="Arial" w:eastAsia="Arial" w:hAnsi="Arial"/>
                <w:sz w:val="18"/>
                <w:szCs w:val="18"/>
                <w:color w:val="auto"/>
              </w:rPr>
              <w:t>75</w:t>
            </w:r>
          </w:p>
        </w:tc>
      </w:tr>
      <w:tr>
        <w:trPr>
          <w:trHeight w:val="27"/>
        </w:trPr>
        <w:tc>
          <w:tcPr>
            <w:tcW w:w="69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6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Settlements loss</w:t>
            </w:r>
          </w:p>
        </w:tc>
        <w:tc>
          <w:tcPr>
            <w:tcW w:w="1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105</w:t>
            </w:r>
          </w:p>
        </w:tc>
      </w:tr>
      <w:tr>
        <w:trPr>
          <w:trHeight w:val="243"/>
        </w:trPr>
        <w:tc>
          <w:tcPr>
            <w:tcW w:w="6980" w:type="dxa"/>
            <w:vAlign w:val="bottom"/>
          </w:tcPr>
          <w:p>
            <w:pPr>
              <w:ind w:left="20"/>
              <w:spacing w:after="0"/>
              <w:rPr>
                <w:sz w:val="20"/>
                <w:szCs w:val="20"/>
                <w:color w:val="auto"/>
              </w:rPr>
            </w:pPr>
            <w:r>
              <w:rPr>
                <w:rFonts w:ascii="Arial" w:cs="Arial" w:eastAsia="Arial" w:hAnsi="Arial"/>
                <w:sz w:val="18"/>
                <w:szCs w:val="18"/>
                <w:color w:val="auto"/>
              </w:rPr>
              <w:t>Expected return on assets</w:t>
            </w:r>
          </w:p>
        </w:tc>
        <w:tc>
          <w:tcPr>
            <w:tcW w:w="1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(11)</w:t>
            </w: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(3)</w:t>
            </w:r>
          </w:p>
        </w:tc>
      </w:tr>
      <w:tr>
        <w:trPr>
          <w:trHeight w:val="27"/>
        </w:trPr>
        <w:tc>
          <w:tcPr>
            <w:tcW w:w="69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70"/>
        </w:trPr>
        <w:tc>
          <w:tcPr>
            <w:tcW w:w="6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Recognized net actuarial loss</w:t>
            </w:r>
          </w:p>
        </w:tc>
        <w:tc>
          <w:tcPr>
            <w:tcW w:w="1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164</w:t>
            </w:r>
          </w:p>
        </w:tc>
        <w:tc>
          <w:tcPr>
            <w:tcW w:w="2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45</w:t>
            </w:r>
          </w:p>
        </w:tc>
      </w:tr>
      <w:tr>
        <w:trPr>
          <w:trHeight w:val="257"/>
        </w:trPr>
        <w:tc>
          <w:tcPr>
            <w:tcW w:w="6980" w:type="dxa"/>
            <w:vAlign w:val="bottom"/>
          </w:tcPr>
          <w:p>
            <w:pPr>
              <w:ind w:left="260"/>
              <w:spacing w:after="0"/>
              <w:rPr>
                <w:sz w:val="20"/>
                <w:szCs w:val="20"/>
                <w:color w:val="auto"/>
              </w:rPr>
            </w:pPr>
            <w:r>
              <w:rPr>
                <w:rFonts w:ascii="Arial" w:cs="Arial" w:eastAsia="Arial" w:hAnsi="Arial"/>
                <w:sz w:val="18"/>
                <w:szCs w:val="18"/>
                <w:color w:val="auto"/>
              </w:rPr>
              <w:t>Net pension cost</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757</w:t>
            </w:r>
          </w:p>
        </w:tc>
        <w:tc>
          <w:tcPr>
            <w:tcW w:w="20" w:type="dxa"/>
            <w:vAlign w:val="bottom"/>
            <w:tcBorders>
              <w:top w:val="single" w:sz="8" w:color="auto"/>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bottom w:val="single" w:sz="8" w:color="auto"/>
            </w:tcBorders>
          </w:tcPr>
          <w:p>
            <w:pPr>
              <w:jc w:val="right"/>
              <w:ind w:right="13"/>
              <w:spacing w:after="0"/>
              <w:rPr>
                <w:sz w:val="20"/>
                <w:szCs w:val="20"/>
                <w:color w:val="auto"/>
              </w:rPr>
            </w:pPr>
            <w:r>
              <w:rPr>
                <w:rFonts w:ascii="Arial" w:cs="Arial" w:eastAsia="Arial" w:hAnsi="Arial"/>
                <w:sz w:val="18"/>
                <w:szCs w:val="18"/>
                <w:color w:val="auto"/>
              </w:rPr>
              <w:t>425</w:t>
            </w:r>
          </w:p>
        </w:tc>
      </w:tr>
      <w:tr>
        <w:trPr>
          <w:trHeight w:val="20"/>
        </w:trPr>
        <w:tc>
          <w:tcPr>
            <w:tcW w:w="69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The weighted-average rates used in the actuarial valuations were as follows: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960" w:type="dxa"/>
            <w:vAlign w:val="bottom"/>
          </w:tcPr>
          <w:p>
            <w:pPr>
              <w:spacing w:after="0"/>
              <w:rPr>
                <w:sz w:val="16"/>
                <w:szCs w:val="16"/>
                <w:color w:val="auto"/>
              </w:rPr>
            </w:pPr>
          </w:p>
        </w:tc>
        <w:tc>
          <w:tcPr>
            <w:tcW w:w="2500" w:type="dxa"/>
            <w:vAlign w:val="bottom"/>
            <w:tcBorders>
              <w:bottom w:val="single" w:sz="8" w:color="auto"/>
            </w:tcBorders>
            <w:gridSpan w:val="3"/>
          </w:tcPr>
          <w:p>
            <w:pPr>
              <w:jc w:val="right"/>
              <w:ind w:right="277"/>
              <w:spacing w:after="0"/>
              <w:rPr>
                <w:sz w:val="20"/>
                <w:szCs w:val="20"/>
                <w:color w:val="auto"/>
              </w:rPr>
            </w:pPr>
            <w:r>
              <w:rPr>
                <w:rFonts w:ascii="Arial" w:cs="Arial" w:eastAsia="Arial" w:hAnsi="Arial"/>
                <w:sz w:val="14"/>
                <w:szCs w:val="14"/>
                <w:b w:val="1"/>
                <w:bCs w:val="1"/>
                <w:color w:val="auto"/>
              </w:rPr>
              <w:t>Projected Benefit Obligation</w:t>
            </w:r>
          </w:p>
        </w:tc>
        <w:tc>
          <w:tcPr>
            <w:tcW w:w="120" w:type="dxa"/>
            <w:vAlign w:val="bottom"/>
          </w:tcPr>
          <w:p>
            <w:pPr>
              <w:spacing w:after="0"/>
              <w:rPr>
                <w:sz w:val="16"/>
                <w:szCs w:val="16"/>
                <w:color w:val="auto"/>
              </w:rPr>
            </w:pPr>
          </w:p>
        </w:tc>
        <w:tc>
          <w:tcPr>
            <w:tcW w:w="11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80" w:type="dxa"/>
            <w:vAlign w:val="bottom"/>
            <w:tcBorders>
              <w:bottom w:val="single" w:sz="8" w:color="auto"/>
            </w:tcBorders>
            <w:gridSpan w:val="2"/>
          </w:tcPr>
          <w:p>
            <w:pPr>
              <w:ind w:left="80"/>
              <w:spacing w:after="0"/>
              <w:rPr>
                <w:sz w:val="20"/>
                <w:szCs w:val="20"/>
                <w:color w:val="auto"/>
              </w:rPr>
            </w:pPr>
            <w:r>
              <w:rPr>
                <w:rFonts w:ascii="Arial" w:cs="Arial" w:eastAsia="Arial" w:hAnsi="Arial"/>
                <w:sz w:val="14"/>
                <w:szCs w:val="14"/>
                <w:b w:val="1"/>
                <w:bCs w:val="1"/>
                <w:color w:val="auto"/>
              </w:rPr>
              <w:t>Net Pension Cost</w:t>
            </w:r>
          </w:p>
        </w:tc>
        <w:tc>
          <w:tcPr>
            <w:tcW w:w="11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960" w:type="dxa"/>
            <w:vAlign w:val="bottom"/>
          </w:tcPr>
          <w:p>
            <w:pPr>
              <w:spacing w:after="0"/>
              <w:rPr>
                <w:sz w:val="13"/>
                <w:szCs w:val="13"/>
                <w:color w:val="auto"/>
              </w:rPr>
            </w:pPr>
          </w:p>
        </w:tc>
        <w:tc>
          <w:tcPr>
            <w:tcW w:w="1300" w:type="dxa"/>
            <w:vAlign w:val="bottom"/>
            <w:gridSpan w:val="2"/>
          </w:tcPr>
          <w:p>
            <w:pPr>
              <w:ind w:left="260"/>
              <w:spacing w:after="0" w:line="153" w:lineRule="exact"/>
              <w:rPr>
                <w:sz w:val="20"/>
                <w:szCs w:val="20"/>
                <w:color w:val="auto"/>
              </w:rPr>
            </w:pPr>
            <w:r>
              <w:rPr>
                <w:rFonts w:ascii="Arial" w:cs="Arial" w:eastAsia="Arial" w:hAnsi="Arial"/>
                <w:sz w:val="14"/>
                <w:szCs w:val="14"/>
                <w:b w:val="1"/>
                <w:bCs w:val="1"/>
                <w:color w:val="auto"/>
              </w:rPr>
              <w:t>January 1,</w:t>
            </w:r>
          </w:p>
        </w:tc>
        <w:tc>
          <w:tcPr>
            <w:tcW w:w="1320" w:type="dxa"/>
            <w:vAlign w:val="bottom"/>
            <w:gridSpan w:val="2"/>
          </w:tcPr>
          <w:p>
            <w:pPr>
              <w:ind w:left="260"/>
              <w:spacing w:after="0" w:line="153" w:lineRule="exact"/>
              <w:rPr>
                <w:sz w:val="20"/>
                <w:szCs w:val="20"/>
                <w:color w:val="auto"/>
              </w:rPr>
            </w:pPr>
            <w:r>
              <w:rPr>
                <w:rFonts w:ascii="Arial" w:cs="Arial" w:eastAsia="Arial" w:hAnsi="Arial"/>
                <w:sz w:val="14"/>
                <w:szCs w:val="14"/>
                <w:b w:val="1"/>
                <w:bCs w:val="1"/>
                <w:color w:val="auto"/>
              </w:rPr>
              <w:t>January 2,</w:t>
            </w:r>
          </w:p>
        </w:tc>
        <w:tc>
          <w:tcPr>
            <w:tcW w:w="1160" w:type="dxa"/>
            <w:vAlign w:val="bottom"/>
            <w:vMerge w:val="restart"/>
          </w:tcPr>
          <w:p>
            <w:pPr>
              <w:jc w:val="right"/>
              <w:ind w:right="354"/>
              <w:spacing w:after="0"/>
              <w:rPr>
                <w:sz w:val="20"/>
                <w:szCs w:val="20"/>
                <w:color w:val="auto"/>
              </w:rPr>
            </w:pPr>
            <w:r>
              <w:rPr>
                <w:rFonts w:ascii="Arial" w:cs="Arial" w:eastAsia="Arial" w:hAnsi="Arial"/>
                <w:sz w:val="14"/>
                <w:szCs w:val="14"/>
                <w:b w:val="1"/>
                <w:bCs w:val="1"/>
                <w:color w:val="auto"/>
              </w:rPr>
              <w:t>2015</w:t>
            </w:r>
          </w:p>
        </w:tc>
        <w:tc>
          <w:tcPr>
            <w:tcW w:w="120" w:type="dxa"/>
            <w:vAlign w:val="bottom"/>
          </w:tcPr>
          <w:p>
            <w:pPr>
              <w:spacing w:after="0"/>
              <w:rPr>
                <w:sz w:val="13"/>
                <w:szCs w:val="13"/>
                <w:color w:val="auto"/>
              </w:rPr>
            </w:pPr>
          </w:p>
        </w:tc>
        <w:tc>
          <w:tcPr>
            <w:tcW w:w="1160" w:type="dxa"/>
            <w:vAlign w:val="bottom"/>
            <w:vMerge w:val="restart"/>
          </w:tcPr>
          <w:p>
            <w:pPr>
              <w:jc w:val="right"/>
              <w:ind w:right="357"/>
              <w:spacing w:after="0"/>
              <w:rPr>
                <w:sz w:val="20"/>
                <w:szCs w:val="20"/>
                <w:color w:val="auto"/>
              </w:rPr>
            </w:pPr>
            <w:r>
              <w:rPr>
                <w:rFonts w:ascii="Arial" w:cs="Arial" w:eastAsia="Arial" w:hAnsi="Arial"/>
                <w:sz w:val="14"/>
                <w:szCs w:val="14"/>
                <w:b w:val="1"/>
                <w:bCs w:val="1"/>
                <w:color w:val="auto"/>
              </w:rPr>
              <w:t>2014</w:t>
            </w:r>
          </w:p>
        </w:tc>
        <w:tc>
          <w:tcPr>
            <w:tcW w:w="120" w:type="dxa"/>
            <w:vAlign w:val="bottom"/>
          </w:tcPr>
          <w:p>
            <w:pPr>
              <w:spacing w:after="0"/>
              <w:rPr>
                <w:sz w:val="13"/>
                <w:szCs w:val="13"/>
                <w:color w:val="auto"/>
              </w:rPr>
            </w:pPr>
          </w:p>
        </w:tc>
        <w:tc>
          <w:tcPr>
            <w:tcW w:w="1180" w:type="dxa"/>
            <w:vAlign w:val="bottom"/>
            <w:vMerge w:val="restart"/>
          </w:tcPr>
          <w:p>
            <w:pPr>
              <w:jc w:val="right"/>
              <w:ind w:right="374"/>
              <w:spacing w:after="0"/>
              <w:rPr>
                <w:sz w:val="20"/>
                <w:szCs w:val="20"/>
                <w:color w:val="auto"/>
              </w:rPr>
            </w:pPr>
            <w:r>
              <w:rPr>
                <w:rFonts w:ascii="Arial" w:cs="Arial" w:eastAsia="Arial" w:hAnsi="Arial"/>
                <w:sz w:val="14"/>
                <w:szCs w:val="14"/>
                <w:b w:val="1"/>
                <w:bCs w:val="1"/>
                <w:color w:val="auto"/>
              </w:rPr>
              <w:t>2013</w:t>
            </w:r>
          </w:p>
        </w:tc>
        <w:tc>
          <w:tcPr>
            <w:tcW w:w="0" w:type="dxa"/>
            <w:vAlign w:val="bottom"/>
          </w:tcPr>
          <w:p>
            <w:pPr>
              <w:spacing w:after="0"/>
              <w:rPr>
                <w:sz w:val="1"/>
                <w:szCs w:val="1"/>
                <w:color w:val="auto"/>
              </w:rPr>
            </w:pPr>
          </w:p>
        </w:tc>
      </w:tr>
      <w:tr>
        <w:trPr>
          <w:trHeight w:val="192"/>
        </w:trPr>
        <w:tc>
          <w:tcPr>
            <w:tcW w:w="3960" w:type="dxa"/>
            <w:vAlign w:val="bottom"/>
            <w:tcBorders>
              <w:bottom w:val="single" w:sz="8" w:color="CCEEFF"/>
            </w:tcBorders>
          </w:tcPr>
          <w:p>
            <w:pPr>
              <w:spacing w:after="0"/>
              <w:rPr>
                <w:sz w:val="16"/>
                <w:szCs w:val="16"/>
                <w:color w:val="auto"/>
              </w:rPr>
            </w:pPr>
          </w:p>
        </w:tc>
        <w:tc>
          <w:tcPr>
            <w:tcW w:w="1200" w:type="dxa"/>
            <w:vAlign w:val="bottom"/>
            <w:tcBorders>
              <w:bottom w:val="single" w:sz="8" w:color="auto"/>
            </w:tcBorders>
          </w:tcPr>
          <w:p>
            <w:pPr>
              <w:jc w:val="right"/>
              <w:ind w:right="379"/>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16"/>
                <w:szCs w:val="16"/>
                <w:color w:val="auto"/>
              </w:rPr>
            </w:pPr>
          </w:p>
        </w:tc>
        <w:tc>
          <w:tcPr>
            <w:tcW w:w="1200" w:type="dxa"/>
            <w:vAlign w:val="bottom"/>
            <w:tcBorders>
              <w:bottom w:val="single" w:sz="8" w:color="auto"/>
            </w:tcBorders>
          </w:tcPr>
          <w:p>
            <w:pPr>
              <w:jc w:val="right"/>
              <w:ind w:right="377"/>
              <w:spacing w:after="0"/>
              <w:rPr>
                <w:sz w:val="20"/>
                <w:szCs w:val="20"/>
                <w:color w:val="auto"/>
              </w:rPr>
            </w:pPr>
            <w:r>
              <w:rPr>
                <w:rFonts w:ascii="Arial" w:cs="Arial" w:eastAsia="Arial" w:hAnsi="Arial"/>
                <w:sz w:val="14"/>
                <w:szCs w:val="14"/>
                <w:b w:val="1"/>
                <w:bCs w:val="1"/>
                <w:color w:val="auto"/>
              </w:rPr>
              <w:t>2015</w:t>
            </w:r>
          </w:p>
        </w:tc>
        <w:tc>
          <w:tcPr>
            <w:tcW w:w="120" w:type="dxa"/>
            <w:vAlign w:val="bottom"/>
            <w:tcBorders>
              <w:bottom w:val="single" w:sz="8" w:color="CCEEFF"/>
            </w:tcBorders>
          </w:tcPr>
          <w:p>
            <w:pPr>
              <w:spacing w:after="0"/>
              <w:rPr>
                <w:sz w:val="16"/>
                <w:szCs w:val="16"/>
                <w:color w:val="auto"/>
              </w:rPr>
            </w:pPr>
          </w:p>
        </w:tc>
        <w:tc>
          <w:tcPr>
            <w:tcW w:w="116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16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18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39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Discount rate</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w:t>
            </w:r>
          </w:p>
        </w:tc>
        <w:tc>
          <w:tcPr>
            <w:tcW w:w="1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w:t>
            </w:r>
          </w:p>
        </w:tc>
        <w:tc>
          <w:tcPr>
            <w:tcW w:w="1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w:t>
            </w:r>
          </w:p>
        </w:tc>
        <w:tc>
          <w:tcPr>
            <w:tcW w:w="1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w:t>
            </w:r>
          </w:p>
        </w:tc>
        <w:tc>
          <w:tcPr>
            <w:tcW w:w="1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43"/>
        </w:trPr>
        <w:tc>
          <w:tcPr>
            <w:tcW w:w="3960" w:type="dxa"/>
            <w:vAlign w:val="bottom"/>
          </w:tcPr>
          <w:p>
            <w:pPr>
              <w:ind w:left="20"/>
              <w:spacing w:after="0"/>
              <w:rPr>
                <w:sz w:val="20"/>
                <w:szCs w:val="20"/>
                <w:color w:val="auto"/>
              </w:rPr>
            </w:pPr>
            <w:r>
              <w:rPr>
                <w:rFonts w:ascii="Arial" w:cs="Arial" w:eastAsia="Arial" w:hAnsi="Arial"/>
                <w:sz w:val="18"/>
                <w:szCs w:val="18"/>
                <w:color w:val="auto"/>
              </w:rPr>
              <w:t>Salary growth</w:t>
            </w:r>
          </w:p>
        </w:tc>
        <w:tc>
          <w:tcPr>
            <w:tcW w:w="1200" w:type="dxa"/>
            <w:vAlign w:val="bottom"/>
          </w:tcPr>
          <w:p>
            <w:pPr>
              <w:jc w:val="right"/>
              <w:spacing w:after="0"/>
              <w:rPr>
                <w:sz w:val="20"/>
                <w:szCs w:val="20"/>
                <w:color w:val="auto"/>
              </w:rPr>
            </w:pPr>
            <w:r>
              <w:rPr>
                <w:rFonts w:ascii="Arial" w:cs="Arial" w:eastAsia="Arial" w:hAnsi="Arial"/>
                <w:sz w:val="18"/>
                <w:szCs w:val="18"/>
                <w:color w:val="auto"/>
              </w:rPr>
              <w:t>2.9%</w:t>
            </w:r>
          </w:p>
        </w:tc>
        <w:tc>
          <w:tcPr>
            <w:tcW w:w="10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3.0%</w:t>
            </w:r>
          </w:p>
        </w:tc>
        <w:tc>
          <w:tcPr>
            <w:tcW w:w="12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3.0%</w:t>
            </w:r>
          </w:p>
        </w:tc>
        <w:tc>
          <w:tcPr>
            <w:tcW w:w="12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3.1%</w:t>
            </w:r>
          </w:p>
        </w:tc>
        <w:tc>
          <w:tcPr>
            <w:tcW w:w="12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2.4%</w:t>
            </w:r>
          </w:p>
        </w:tc>
        <w:tc>
          <w:tcPr>
            <w:tcW w:w="0" w:type="dxa"/>
            <w:vAlign w:val="bottom"/>
          </w:tcPr>
          <w:p>
            <w:pPr>
              <w:spacing w:after="0"/>
              <w:rPr>
                <w:sz w:val="1"/>
                <w:szCs w:val="1"/>
                <w:color w:val="auto"/>
              </w:rPr>
            </w:pPr>
          </w:p>
        </w:tc>
      </w:tr>
      <w:tr>
        <w:trPr>
          <w:trHeight w:val="27"/>
        </w:trPr>
        <w:tc>
          <w:tcPr>
            <w:tcW w:w="39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3"/>
        </w:trPr>
        <w:tc>
          <w:tcPr>
            <w:tcW w:w="3960" w:type="dxa"/>
            <w:vAlign w:val="bottom"/>
            <w:shd w:val="clear" w:color="auto" w:fill="CCEEFF"/>
          </w:tcPr>
          <w:p>
            <w:pPr>
              <w:ind w:left="20"/>
              <w:spacing w:after="0"/>
              <w:rPr>
                <w:sz w:val="20"/>
                <w:szCs w:val="20"/>
                <w:color w:val="auto"/>
              </w:rPr>
            </w:pPr>
            <w:r>
              <w:rPr>
                <w:rFonts w:ascii="Arial" w:cs="Arial" w:eastAsia="Arial" w:hAnsi="Arial"/>
                <w:sz w:val="18"/>
                <w:szCs w:val="18"/>
                <w:color w:val="auto"/>
              </w:rPr>
              <w:t>Expected rate of return on assets</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w:t>
            </w:r>
          </w:p>
        </w:tc>
        <w:tc>
          <w:tcPr>
            <w:tcW w:w="100" w:type="dxa"/>
            <w:vAlign w:val="bottom"/>
            <w:shd w:val="clear" w:color="auto" w:fill="CCEEFF"/>
          </w:tcPr>
          <w:p>
            <w:pPr>
              <w:spacing w:after="0"/>
              <w:rPr>
                <w:sz w:val="21"/>
                <w:szCs w:val="21"/>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w:t>
            </w:r>
          </w:p>
        </w:tc>
        <w:tc>
          <w:tcPr>
            <w:tcW w:w="120" w:type="dxa"/>
            <w:vAlign w:val="bottom"/>
            <w:shd w:val="clear" w:color="auto" w:fill="CCEEFF"/>
          </w:tcPr>
          <w:p>
            <w:pPr>
              <w:spacing w:after="0"/>
              <w:rPr>
                <w:sz w:val="21"/>
                <w:szCs w:val="21"/>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w:t>
            </w:r>
          </w:p>
        </w:tc>
        <w:tc>
          <w:tcPr>
            <w:tcW w:w="120" w:type="dxa"/>
            <w:vAlign w:val="bottom"/>
            <w:shd w:val="clear" w:color="auto" w:fill="CCEEFF"/>
          </w:tcPr>
          <w:p>
            <w:pPr>
              <w:spacing w:after="0"/>
              <w:rPr>
                <w:sz w:val="21"/>
                <w:szCs w:val="21"/>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120" w:type="dxa"/>
            <w:vAlign w:val="bottom"/>
            <w:shd w:val="clear" w:color="auto" w:fill="CCEEFF"/>
          </w:tcPr>
          <w:p>
            <w:pPr>
              <w:spacing w:after="0"/>
              <w:rPr>
                <w:sz w:val="21"/>
                <w:szCs w:val="21"/>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3960" w:type="dxa"/>
            <w:vAlign w:val="bottom"/>
            <w:shd w:val="clear" w:color="auto" w:fill="CCEEFF"/>
          </w:tcPr>
          <w:p>
            <w:pPr>
              <w:spacing w:after="0"/>
              <w:rPr>
                <w:sz w:val="2"/>
                <w:szCs w:val="2"/>
                <w:color w:val="auto"/>
              </w:rPr>
            </w:pPr>
          </w:p>
        </w:tc>
        <w:tc>
          <w:tcPr>
            <w:tcW w:w="12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2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16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16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18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line="342" w:lineRule="auto"/>
        <w:rPr>
          <w:sz w:val="20"/>
          <w:szCs w:val="20"/>
          <w:color w:val="auto"/>
        </w:rPr>
      </w:pPr>
      <w:r>
        <w:rPr>
          <w:rFonts w:ascii="Arial" w:cs="Arial" w:eastAsia="Arial" w:hAnsi="Arial"/>
          <w:sz w:val="16"/>
          <w:szCs w:val="16"/>
          <w:color w:val="auto"/>
        </w:rPr>
        <w:t>The discount rate used is based on the yields of AA bonds with a duration matching the duration of the liabilities plus approximately 50 basis points to reflect the risk of investing in corporate bonds. The expected rate of return on plan assets reflects earnings expectations on existing plan assets.</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color w:val="auto"/>
        </w:rPr>
        <w:t>Plan assets were comprised of the following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5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2000" w:type="dxa"/>
            <w:vAlign w:val="bottom"/>
            <w:tcBorders>
              <w:bottom w:val="single" w:sz="8" w:color="auto"/>
            </w:tcBorders>
            <w:gridSpan w:val="9"/>
          </w:tcPr>
          <w:p>
            <w:pPr>
              <w:jc w:val="center"/>
              <w:spacing w:after="0"/>
              <w:rPr>
                <w:sz w:val="20"/>
                <w:szCs w:val="20"/>
                <w:color w:val="auto"/>
              </w:rPr>
            </w:pPr>
            <w:r>
              <w:rPr>
                <w:rFonts w:ascii="Arial" w:cs="Arial" w:eastAsia="Arial" w:hAnsi="Arial"/>
                <w:sz w:val="14"/>
                <w:szCs w:val="14"/>
                <w:b w:val="1"/>
                <w:bCs w:val="1"/>
                <w:color w:val="auto"/>
                <w:w w:val="92"/>
              </w:rPr>
              <w:t>Fair Value Measurements Using</w:t>
            </w:r>
          </w:p>
        </w:tc>
        <w:tc>
          <w:tcPr>
            <w:tcW w:w="12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45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60" w:type="dxa"/>
            <w:vAlign w:val="bottom"/>
          </w:tcPr>
          <w:p>
            <w:pPr>
              <w:jc w:val="center"/>
              <w:ind w:left="244"/>
              <w:spacing w:after="0" w:line="153" w:lineRule="exact"/>
              <w:rPr>
                <w:sz w:val="20"/>
                <w:szCs w:val="20"/>
                <w:color w:val="auto"/>
              </w:rPr>
            </w:pPr>
            <w:r>
              <w:rPr>
                <w:rFonts w:ascii="Arial" w:cs="Arial" w:eastAsia="Arial" w:hAnsi="Arial"/>
                <w:sz w:val="14"/>
                <w:szCs w:val="14"/>
                <w:b w:val="1"/>
                <w:bCs w:val="1"/>
                <w:color w:val="auto"/>
                <w:w w:val="93"/>
              </w:rPr>
              <w:t>Quoted</w:t>
            </w:r>
          </w:p>
        </w:tc>
        <w:tc>
          <w:tcPr>
            <w:tcW w:w="2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45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60" w:type="dxa"/>
            <w:vAlign w:val="bottom"/>
          </w:tcPr>
          <w:p>
            <w:pPr>
              <w:jc w:val="center"/>
              <w:ind w:left="244"/>
              <w:spacing w:after="0" w:line="149" w:lineRule="exact"/>
              <w:rPr>
                <w:sz w:val="20"/>
                <w:szCs w:val="20"/>
                <w:color w:val="auto"/>
              </w:rPr>
            </w:pPr>
            <w:r>
              <w:rPr>
                <w:rFonts w:ascii="Arial" w:cs="Arial" w:eastAsia="Arial" w:hAnsi="Arial"/>
                <w:sz w:val="14"/>
                <w:szCs w:val="14"/>
                <w:b w:val="1"/>
                <w:bCs w:val="1"/>
                <w:color w:val="auto"/>
                <w:w w:val="92"/>
              </w:rPr>
              <w:t>Prices in</w:t>
            </w: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60" w:type="dxa"/>
            <w:vAlign w:val="bottom"/>
            <w:gridSpan w:val="3"/>
            <w:vMerge w:val="restart"/>
          </w:tcPr>
          <w:p>
            <w:pPr>
              <w:jc w:val="center"/>
              <w:ind w:right="320"/>
              <w:spacing w:after="0"/>
              <w:rPr>
                <w:sz w:val="20"/>
                <w:szCs w:val="20"/>
                <w:color w:val="auto"/>
              </w:rPr>
            </w:pPr>
            <w:r>
              <w:rPr>
                <w:rFonts w:ascii="Arial" w:cs="Arial" w:eastAsia="Arial" w:hAnsi="Arial"/>
                <w:sz w:val="14"/>
                <w:szCs w:val="14"/>
                <w:b w:val="1"/>
                <w:bCs w:val="1"/>
                <w:color w:val="auto"/>
                <w:w w:val="92"/>
              </w:rPr>
              <w:t>Significant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5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60" w:type="dxa"/>
            <w:vAlign w:val="bottom"/>
          </w:tcPr>
          <w:p>
            <w:pPr>
              <w:jc w:val="center"/>
              <w:ind w:left="224"/>
              <w:spacing w:after="0" w:line="149" w:lineRule="exact"/>
              <w:rPr>
                <w:sz w:val="20"/>
                <w:szCs w:val="20"/>
                <w:color w:val="auto"/>
              </w:rPr>
            </w:pPr>
            <w:r>
              <w:rPr>
                <w:rFonts w:ascii="Arial" w:cs="Arial" w:eastAsia="Arial" w:hAnsi="Arial"/>
                <w:sz w:val="14"/>
                <w:szCs w:val="14"/>
                <w:b w:val="1"/>
                <w:bCs w:val="1"/>
                <w:color w:val="auto"/>
                <w:w w:val="95"/>
              </w:rPr>
              <w:t>Active</w:t>
            </w: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60" w:type="dxa"/>
            <w:vAlign w:val="bottom"/>
            <w:gridSpan w:val="3"/>
            <w:vMerge w:val="continue"/>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20" w:type="dxa"/>
            <w:vAlign w:val="bottom"/>
            <w:vMerge w:val="restart"/>
          </w:tcPr>
          <w:p>
            <w:pPr>
              <w:jc w:val="center"/>
              <w:ind w:right="242"/>
              <w:spacing w:after="0"/>
              <w:rPr>
                <w:sz w:val="20"/>
                <w:szCs w:val="20"/>
                <w:color w:val="auto"/>
              </w:rPr>
            </w:pPr>
            <w:r>
              <w:rPr>
                <w:rFonts w:ascii="Arial" w:cs="Arial" w:eastAsia="Arial" w:hAnsi="Arial"/>
                <w:sz w:val="14"/>
                <w:szCs w:val="14"/>
                <w:b w:val="1"/>
                <w:bCs w:val="1"/>
                <w:color w:val="auto"/>
                <w:w w:val="92"/>
              </w:rPr>
              <w:t>Significant</w:t>
            </w:r>
          </w:p>
        </w:tc>
        <w:tc>
          <w:tcPr>
            <w:tcW w:w="0" w:type="dxa"/>
            <w:vAlign w:val="bottom"/>
          </w:tcPr>
          <w:p>
            <w:pPr>
              <w:spacing w:after="0"/>
              <w:rPr>
                <w:sz w:val="1"/>
                <w:szCs w:val="1"/>
                <w:color w:val="auto"/>
              </w:rPr>
            </w:pPr>
          </w:p>
        </w:tc>
      </w:tr>
      <w:tr>
        <w:trPr>
          <w:trHeight w:val="149"/>
        </w:trPr>
        <w:tc>
          <w:tcPr>
            <w:tcW w:w="45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60" w:type="dxa"/>
            <w:vAlign w:val="bottom"/>
          </w:tcPr>
          <w:p>
            <w:pPr>
              <w:jc w:val="center"/>
              <w:ind w:left="244"/>
              <w:spacing w:after="0" w:line="149" w:lineRule="exact"/>
              <w:rPr>
                <w:sz w:val="20"/>
                <w:szCs w:val="20"/>
                <w:color w:val="auto"/>
              </w:rPr>
            </w:pPr>
            <w:r>
              <w:rPr>
                <w:rFonts w:ascii="Arial" w:cs="Arial" w:eastAsia="Arial" w:hAnsi="Arial"/>
                <w:sz w:val="14"/>
                <w:szCs w:val="14"/>
                <w:b w:val="1"/>
                <w:bCs w:val="1"/>
                <w:color w:val="auto"/>
                <w:w w:val="98"/>
              </w:rPr>
              <w:t>Markets for</w:t>
            </w: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60" w:type="dxa"/>
            <w:vAlign w:val="bottom"/>
            <w:gridSpan w:val="3"/>
          </w:tcPr>
          <w:p>
            <w:pPr>
              <w:jc w:val="center"/>
              <w:ind w:right="340"/>
              <w:spacing w:after="0" w:line="149" w:lineRule="exact"/>
              <w:rPr>
                <w:sz w:val="20"/>
                <w:szCs w:val="20"/>
                <w:color w:val="auto"/>
              </w:rPr>
            </w:pPr>
            <w:r>
              <w:rPr>
                <w:rFonts w:ascii="Arial" w:cs="Arial" w:eastAsia="Arial" w:hAnsi="Arial"/>
                <w:sz w:val="14"/>
                <w:szCs w:val="14"/>
                <w:b w:val="1"/>
                <w:bCs w:val="1"/>
                <w:color w:val="auto"/>
                <w:w w:val="96"/>
              </w:rPr>
              <w:t>Other</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5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60" w:type="dxa"/>
            <w:vAlign w:val="bottom"/>
          </w:tcPr>
          <w:p>
            <w:pPr>
              <w:jc w:val="center"/>
              <w:ind w:left="244"/>
              <w:spacing w:after="0" w:line="149" w:lineRule="exact"/>
              <w:rPr>
                <w:sz w:val="20"/>
                <w:szCs w:val="20"/>
                <w:color w:val="auto"/>
              </w:rPr>
            </w:pPr>
            <w:r>
              <w:rPr>
                <w:rFonts w:ascii="Arial" w:cs="Arial" w:eastAsia="Arial" w:hAnsi="Arial"/>
                <w:sz w:val="14"/>
                <w:szCs w:val="14"/>
                <w:b w:val="1"/>
                <w:bCs w:val="1"/>
                <w:color w:val="auto"/>
                <w:w w:val="94"/>
              </w:rPr>
              <w:t>Identical</w:t>
            </w: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60" w:type="dxa"/>
            <w:vAlign w:val="bottom"/>
            <w:gridSpan w:val="3"/>
          </w:tcPr>
          <w:p>
            <w:pPr>
              <w:jc w:val="center"/>
              <w:ind w:right="320"/>
              <w:spacing w:after="0" w:line="149" w:lineRule="exact"/>
              <w:rPr>
                <w:sz w:val="20"/>
                <w:szCs w:val="20"/>
                <w:color w:val="auto"/>
              </w:rPr>
            </w:pPr>
            <w:r>
              <w:rPr>
                <w:rFonts w:ascii="Arial" w:cs="Arial" w:eastAsia="Arial" w:hAnsi="Arial"/>
                <w:sz w:val="14"/>
                <w:szCs w:val="14"/>
                <w:b w:val="1"/>
                <w:bCs w:val="1"/>
                <w:color w:val="auto"/>
                <w:w w:val="91"/>
              </w:rPr>
              <w:t>Observable</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20" w:type="dxa"/>
            <w:vAlign w:val="bottom"/>
          </w:tcPr>
          <w:p>
            <w:pPr>
              <w:jc w:val="center"/>
              <w:ind w:right="262"/>
              <w:spacing w:after="0" w:line="149" w:lineRule="exact"/>
              <w:rPr>
                <w:sz w:val="20"/>
                <w:szCs w:val="20"/>
                <w:color w:val="auto"/>
              </w:rPr>
            </w:pPr>
            <w:r>
              <w:rPr>
                <w:rFonts w:ascii="Arial" w:cs="Arial" w:eastAsia="Arial" w:hAnsi="Arial"/>
                <w:sz w:val="14"/>
                <w:szCs w:val="14"/>
                <w:b w:val="1"/>
                <w:bCs w:val="1"/>
                <w:color w:val="auto"/>
                <w:w w:val="90"/>
              </w:rPr>
              <w:t>Unobservable</w:t>
            </w:r>
          </w:p>
        </w:tc>
        <w:tc>
          <w:tcPr>
            <w:tcW w:w="0" w:type="dxa"/>
            <w:vAlign w:val="bottom"/>
          </w:tcPr>
          <w:p>
            <w:pPr>
              <w:spacing w:after="0"/>
              <w:rPr>
                <w:sz w:val="1"/>
                <w:szCs w:val="1"/>
                <w:color w:val="auto"/>
              </w:rPr>
            </w:pPr>
          </w:p>
        </w:tc>
      </w:tr>
      <w:tr>
        <w:trPr>
          <w:trHeight w:val="149"/>
        </w:trPr>
        <w:tc>
          <w:tcPr>
            <w:tcW w:w="45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vMerge w:val="restart"/>
          </w:tcPr>
          <w:p>
            <w:pPr>
              <w:jc w:val="center"/>
              <w:ind w:right="38"/>
              <w:spacing w:after="0"/>
              <w:rPr>
                <w:sz w:val="20"/>
                <w:szCs w:val="20"/>
                <w:color w:val="auto"/>
              </w:rPr>
            </w:pPr>
            <w:r>
              <w:rPr>
                <w:rFonts w:ascii="Arial" w:cs="Arial" w:eastAsia="Arial" w:hAnsi="Arial"/>
                <w:sz w:val="14"/>
                <w:szCs w:val="14"/>
                <w:b w:val="1"/>
                <w:bCs w:val="1"/>
                <w:color w:val="auto"/>
                <w:w w:val="92"/>
              </w:rPr>
              <w:t>January 1, 2016</w:t>
            </w:r>
          </w:p>
        </w:tc>
        <w:tc>
          <w:tcPr>
            <w:tcW w:w="100" w:type="dxa"/>
            <w:vAlign w:val="bottom"/>
            <w:vMerge w:val="restart"/>
          </w:tcPr>
          <w:p>
            <w:pPr>
              <w:spacing w:after="0"/>
              <w:rPr>
                <w:sz w:val="12"/>
                <w:szCs w:val="12"/>
                <w:color w:val="auto"/>
              </w:rPr>
            </w:pPr>
          </w:p>
        </w:tc>
        <w:tc>
          <w:tcPr>
            <w:tcW w:w="1060" w:type="dxa"/>
            <w:vAlign w:val="bottom"/>
          </w:tcPr>
          <w:p>
            <w:pPr>
              <w:jc w:val="center"/>
              <w:ind w:left="244"/>
              <w:spacing w:after="0" w:line="149" w:lineRule="exact"/>
              <w:rPr>
                <w:sz w:val="20"/>
                <w:szCs w:val="20"/>
                <w:color w:val="auto"/>
              </w:rPr>
            </w:pPr>
            <w:r>
              <w:rPr>
                <w:rFonts w:ascii="Arial" w:cs="Arial" w:eastAsia="Arial" w:hAnsi="Arial"/>
                <w:sz w:val="14"/>
                <w:szCs w:val="14"/>
                <w:b w:val="1"/>
                <w:bCs w:val="1"/>
                <w:color w:val="auto"/>
                <w:w w:val="82"/>
              </w:rPr>
              <w:t>Assets</w:t>
            </w: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60" w:type="dxa"/>
            <w:vAlign w:val="bottom"/>
            <w:gridSpan w:val="3"/>
          </w:tcPr>
          <w:p>
            <w:pPr>
              <w:jc w:val="center"/>
              <w:ind w:right="340"/>
              <w:spacing w:after="0" w:line="149" w:lineRule="exact"/>
              <w:rPr>
                <w:sz w:val="20"/>
                <w:szCs w:val="20"/>
                <w:color w:val="auto"/>
              </w:rPr>
            </w:pPr>
            <w:r>
              <w:rPr>
                <w:rFonts w:ascii="Arial" w:cs="Arial" w:eastAsia="Arial" w:hAnsi="Arial"/>
                <w:sz w:val="14"/>
                <w:szCs w:val="14"/>
                <w:b w:val="1"/>
                <w:bCs w:val="1"/>
                <w:color w:val="auto"/>
                <w:w w:val="95"/>
              </w:rPr>
              <w:t>Inputs</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20" w:type="dxa"/>
            <w:vAlign w:val="bottom"/>
          </w:tcPr>
          <w:p>
            <w:pPr>
              <w:jc w:val="center"/>
              <w:ind w:right="262"/>
              <w:spacing w:after="0" w:line="149" w:lineRule="exact"/>
              <w:rPr>
                <w:sz w:val="20"/>
                <w:szCs w:val="20"/>
                <w:color w:val="auto"/>
              </w:rPr>
            </w:pPr>
            <w:r>
              <w:rPr>
                <w:rFonts w:ascii="Arial" w:cs="Arial" w:eastAsia="Arial" w:hAnsi="Arial"/>
                <w:sz w:val="14"/>
                <w:szCs w:val="14"/>
                <w:b w:val="1"/>
                <w:bCs w:val="1"/>
                <w:color w:val="auto"/>
                <w:w w:val="95"/>
              </w:rPr>
              <w:t>Inputs</w:t>
            </w:r>
          </w:p>
        </w:tc>
        <w:tc>
          <w:tcPr>
            <w:tcW w:w="0" w:type="dxa"/>
            <w:vAlign w:val="bottom"/>
          </w:tcPr>
          <w:p>
            <w:pPr>
              <w:spacing w:after="0"/>
              <w:rPr>
                <w:sz w:val="1"/>
                <w:szCs w:val="1"/>
                <w:color w:val="auto"/>
              </w:rPr>
            </w:pPr>
          </w:p>
        </w:tc>
      </w:tr>
      <w:tr>
        <w:trPr>
          <w:trHeight w:val="192"/>
        </w:trPr>
        <w:tc>
          <w:tcPr>
            <w:tcW w:w="45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060" w:type="dxa"/>
            <w:vAlign w:val="bottom"/>
            <w:tcBorders>
              <w:bottom w:val="single" w:sz="8" w:color="auto"/>
            </w:tcBorders>
          </w:tcPr>
          <w:p>
            <w:pPr>
              <w:jc w:val="center"/>
              <w:ind w:left="244"/>
              <w:spacing w:after="0"/>
              <w:rPr>
                <w:sz w:val="20"/>
                <w:szCs w:val="20"/>
                <w:color w:val="auto"/>
              </w:rPr>
            </w:pPr>
            <w:r>
              <w:rPr>
                <w:rFonts w:ascii="Arial" w:cs="Arial" w:eastAsia="Arial" w:hAnsi="Arial"/>
                <w:sz w:val="14"/>
                <w:szCs w:val="14"/>
                <w:b w:val="1"/>
                <w:bCs w:val="1"/>
                <w:color w:val="auto"/>
                <w:w w:val="94"/>
              </w:rPr>
              <w:t>(Level 1)</w:t>
            </w:r>
          </w:p>
        </w:tc>
        <w:tc>
          <w:tcPr>
            <w:tcW w:w="2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center"/>
              <w:ind w:right="123"/>
              <w:spacing w:after="0"/>
              <w:rPr>
                <w:sz w:val="20"/>
                <w:szCs w:val="20"/>
                <w:color w:val="auto"/>
              </w:rPr>
            </w:pPr>
            <w:r>
              <w:rPr>
                <w:rFonts w:ascii="Arial" w:cs="Arial" w:eastAsia="Arial" w:hAnsi="Arial"/>
                <w:sz w:val="14"/>
                <w:szCs w:val="14"/>
                <w:b w:val="1"/>
                <w:bCs w:val="1"/>
                <w:color w:val="auto"/>
                <w:w w:val="94"/>
              </w:rPr>
              <w:t>(Level 2)</w:t>
            </w:r>
          </w:p>
        </w:tc>
        <w:tc>
          <w:tcPr>
            <w:tcW w:w="100" w:type="dxa"/>
            <w:vAlign w:val="bottom"/>
            <w:tcBorders>
              <w:bottom w:val="single" w:sz="8" w:color="CCEEFF"/>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jc w:val="center"/>
              <w:ind w:right="242"/>
              <w:spacing w:after="0"/>
              <w:rPr>
                <w:sz w:val="20"/>
                <w:szCs w:val="20"/>
                <w:color w:val="auto"/>
              </w:rPr>
            </w:pPr>
            <w:r>
              <w:rPr>
                <w:rFonts w:ascii="Arial" w:cs="Arial" w:eastAsia="Arial" w:hAnsi="Arial"/>
                <w:sz w:val="14"/>
                <w:szCs w:val="14"/>
                <w:b w:val="1"/>
                <w:bCs w:val="1"/>
                <w:color w:val="auto"/>
                <w:w w:val="94"/>
              </w:rPr>
              <w:t>(Level 3)</w:t>
            </w:r>
          </w:p>
        </w:tc>
        <w:tc>
          <w:tcPr>
            <w:tcW w:w="0" w:type="dxa"/>
            <w:vAlign w:val="bottom"/>
          </w:tcPr>
          <w:p>
            <w:pPr>
              <w:spacing w:after="0"/>
              <w:rPr>
                <w:sz w:val="1"/>
                <w:szCs w:val="1"/>
                <w:color w:val="auto"/>
              </w:rPr>
            </w:pPr>
          </w:p>
        </w:tc>
      </w:tr>
      <w:tr>
        <w:trPr>
          <w:trHeight w:val="270"/>
        </w:trPr>
        <w:tc>
          <w:tcPr>
            <w:tcW w:w="45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Insurance contract</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871</w:t>
            </w:r>
          </w:p>
        </w:tc>
        <w:tc>
          <w:tcPr>
            <w:tcW w:w="10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864"/>
              <w:spacing w:after="0"/>
              <w:rPr>
                <w:sz w:val="20"/>
                <w:szCs w:val="20"/>
                <w:color w:val="auto"/>
              </w:rPr>
            </w:pPr>
            <w:r>
              <w:rPr>
                <w:rFonts w:ascii="Arial" w:cs="Arial" w:eastAsia="Arial" w:hAnsi="Arial"/>
                <w:sz w:val="18"/>
                <w:szCs w:val="18"/>
                <w:color w:val="auto"/>
                <w:w w:val="99"/>
              </w:rPr>
              <w:t>$</w:t>
            </w:r>
          </w:p>
        </w:tc>
        <w:tc>
          <w:tcPr>
            <w:tcW w:w="2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w w:val="88"/>
              </w:rPr>
              <w:t>—</w:t>
            </w:r>
          </w:p>
        </w:tc>
        <w:tc>
          <w:tcPr>
            <w:tcW w:w="420" w:type="dxa"/>
            <w:vAlign w:val="bottom"/>
            <w:tcBorders>
              <w:bottom w:val="single" w:sz="8" w:color="CCEEFF"/>
            </w:tcBorders>
            <w:gridSpan w:val="3"/>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CCEEFF"/>
            </w:tcBorders>
            <w:shd w:val="clear" w:color="auto" w:fill="CCEEFF"/>
          </w:tcPr>
          <w:p>
            <w:pPr>
              <w:jc w:val="right"/>
              <w:ind w:right="23"/>
              <w:spacing w:after="0"/>
              <w:rPr>
                <w:sz w:val="20"/>
                <w:szCs w:val="20"/>
                <w:color w:val="auto"/>
              </w:rPr>
            </w:pPr>
            <w:r>
              <w:rPr>
                <w:rFonts w:ascii="Arial" w:cs="Arial" w:eastAsia="Arial" w:hAnsi="Arial"/>
                <w:sz w:val="18"/>
                <w:szCs w:val="18"/>
                <w:color w:val="auto"/>
              </w:rPr>
              <w:t>871</w:t>
            </w:r>
          </w:p>
        </w:tc>
        <w:tc>
          <w:tcPr>
            <w:tcW w:w="10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79"/>
              </w:rPr>
              <w:t>$</w:t>
            </w: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ind w:left="9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57"/>
        </w:trPr>
        <w:tc>
          <w:tcPr>
            <w:tcW w:w="4520" w:type="dxa"/>
            <w:vAlign w:val="bottom"/>
          </w:tcPr>
          <w:p>
            <w:pPr>
              <w:ind w:left="380"/>
              <w:spacing w:after="0"/>
              <w:rPr>
                <w:sz w:val="20"/>
                <w:szCs w:val="20"/>
                <w:color w:val="auto"/>
              </w:rPr>
            </w:pPr>
            <w:r>
              <w:rPr>
                <w:rFonts w:ascii="Arial" w:cs="Arial" w:eastAsia="Arial" w:hAnsi="Arial"/>
                <w:sz w:val="18"/>
                <w:szCs w:val="18"/>
                <w:color w:val="auto"/>
              </w:rPr>
              <w:t>Total</w:t>
            </w: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ind w:right="18"/>
              <w:spacing w:after="0"/>
              <w:rPr>
                <w:sz w:val="20"/>
                <w:szCs w:val="20"/>
                <w:color w:val="auto"/>
              </w:rPr>
            </w:pPr>
            <w:r>
              <w:rPr>
                <w:rFonts w:ascii="Arial" w:cs="Arial" w:eastAsia="Arial" w:hAnsi="Arial"/>
                <w:sz w:val="18"/>
                <w:szCs w:val="18"/>
                <w:color w:val="auto"/>
              </w:rPr>
              <w:t>871</w:t>
            </w:r>
          </w:p>
        </w:tc>
        <w:tc>
          <w:tcPr>
            <w:tcW w:w="100" w:type="dxa"/>
            <w:vAlign w:val="bottom"/>
          </w:tcPr>
          <w:p>
            <w:pPr>
              <w:spacing w:after="0"/>
              <w:rPr>
                <w:sz w:val="22"/>
                <w:szCs w:val="22"/>
                <w:color w:val="auto"/>
              </w:rPr>
            </w:pPr>
          </w:p>
        </w:tc>
        <w:tc>
          <w:tcPr>
            <w:tcW w:w="1060" w:type="dxa"/>
            <w:vAlign w:val="bottom"/>
            <w:tcBorders>
              <w:top w:val="single" w:sz="8" w:color="auto"/>
              <w:bottom w:val="single" w:sz="8" w:color="auto"/>
            </w:tcBorders>
          </w:tcPr>
          <w:p>
            <w:pPr>
              <w:jc w:val="right"/>
              <w:ind w:right="864"/>
              <w:spacing w:after="0"/>
              <w:rPr>
                <w:sz w:val="20"/>
                <w:szCs w:val="20"/>
                <w:color w:val="auto"/>
              </w:rPr>
            </w:pPr>
            <w:r>
              <w:rPr>
                <w:rFonts w:ascii="Arial" w:cs="Arial" w:eastAsia="Arial" w:hAnsi="Arial"/>
                <w:sz w:val="18"/>
                <w:szCs w:val="18"/>
                <w:color w:val="auto"/>
                <w:w w:val="99"/>
              </w:rPr>
              <w:t>$</w:t>
            </w:r>
          </w:p>
        </w:tc>
        <w:tc>
          <w:tcPr>
            <w:tcW w:w="20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8"/>
                <w:szCs w:val="18"/>
                <w:color w:val="auto"/>
                <w:w w:val="88"/>
              </w:rPr>
              <w:t>—</w:t>
            </w:r>
          </w:p>
        </w:tc>
        <w:tc>
          <w:tcPr>
            <w:tcW w:w="100" w:type="dxa"/>
            <w:vAlign w:val="bottom"/>
            <w:tcBorders>
              <w:top w:val="single" w:sz="8" w:color="auto"/>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bottom w:val="single" w:sz="8" w:color="auto"/>
            </w:tcBorders>
          </w:tcPr>
          <w:p>
            <w:pPr>
              <w:jc w:val="right"/>
              <w:ind w:right="23"/>
              <w:spacing w:after="0"/>
              <w:rPr>
                <w:sz w:val="20"/>
                <w:szCs w:val="20"/>
                <w:color w:val="auto"/>
              </w:rPr>
            </w:pPr>
            <w:r>
              <w:rPr>
                <w:rFonts w:ascii="Arial" w:cs="Arial" w:eastAsia="Arial" w:hAnsi="Arial"/>
                <w:sz w:val="18"/>
                <w:szCs w:val="18"/>
                <w:color w:val="auto"/>
              </w:rPr>
              <w:t>871</w:t>
            </w:r>
          </w:p>
        </w:tc>
        <w:tc>
          <w:tcPr>
            <w:tcW w:w="100" w:type="dxa"/>
            <w:vAlign w:val="bottom"/>
          </w:tcPr>
          <w:p>
            <w:pPr>
              <w:spacing w:after="0"/>
              <w:rPr>
                <w:sz w:val="22"/>
                <w:szCs w:val="22"/>
                <w:color w:val="auto"/>
              </w:rPr>
            </w:pPr>
          </w:p>
        </w:tc>
        <w:tc>
          <w:tcPr>
            <w:tcW w:w="20" w:type="dxa"/>
            <w:vAlign w:val="bottom"/>
            <w:tcBorders>
              <w:top w:val="single" w:sz="8" w:color="auto"/>
              <w:bottom w:val="single" w:sz="8" w:color="auto"/>
            </w:tcBorders>
          </w:tcPr>
          <w:p>
            <w:pPr>
              <w:spacing w:after="0"/>
              <w:rPr>
                <w:sz w:val="22"/>
                <w:szCs w:val="22"/>
                <w:color w:val="auto"/>
              </w:rPr>
            </w:pPr>
          </w:p>
        </w:tc>
        <w:tc>
          <w:tcPr>
            <w:tcW w:w="180" w:type="dxa"/>
            <w:vAlign w:val="bottom"/>
            <w:tcBorders>
              <w:top w:val="single" w:sz="8" w:color="auto"/>
              <w:bottom w:val="single" w:sz="8" w:color="auto"/>
            </w:tcBorders>
            <w:gridSpan w:val="2"/>
          </w:tcPr>
          <w:p>
            <w:pPr>
              <w:jc w:val="right"/>
              <w:ind w:right="80"/>
              <w:spacing w:after="0"/>
              <w:rPr>
                <w:sz w:val="20"/>
                <w:szCs w:val="20"/>
                <w:color w:val="auto"/>
              </w:rPr>
            </w:pPr>
            <w:r>
              <w:rPr>
                <w:rFonts w:ascii="Arial" w:cs="Arial" w:eastAsia="Arial" w:hAnsi="Arial"/>
                <w:sz w:val="18"/>
                <w:szCs w:val="18"/>
                <w:color w:val="auto"/>
                <w:w w:val="79"/>
              </w:rPr>
              <w:t>$</w:t>
            </w:r>
          </w:p>
        </w:tc>
        <w:tc>
          <w:tcPr>
            <w:tcW w:w="140" w:type="dxa"/>
            <w:vAlign w:val="bottom"/>
            <w:tcBorders>
              <w:top w:val="single" w:sz="8" w:color="auto"/>
              <w:bottom w:val="single" w:sz="8" w:color="auto"/>
            </w:tcBorders>
          </w:tcPr>
          <w:p>
            <w:pPr>
              <w:spacing w:after="0"/>
              <w:rPr>
                <w:sz w:val="22"/>
                <w:szCs w:val="22"/>
                <w:color w:val="auto"/>
              </w:rPr>
            </w:pPr>
          </w:p>
        </w:tc>
        <w:tc>
          <w:tcPr>
            <w:tcW w:w="1220" w:type="dxa"/>
            <w:vAlign w:val="bottom"/>
            <w:tcBorders>
              <w:top w:val="single" w:sz="8" w:color="auto"/>
              <w:bottom w:val="single" w:sz="8" w:color="auto"/>
            </w:tcBorders>
          </w:tcPr>
          <w:p>
            <w:pPr>
              <w:ind w:left="9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45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6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gridSpan w:val="2"/>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48"/>
        </w:trPr>
        <w:tc>
          <w:tcPr>
            <w:tcW w:w="45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000" w:type="dxa"/>
            <w:vAlign w:val="bottom"/>
            <w:tcBorders>
              <w:bottom w:val="single" w:sz="8" w:color="auto"/>
            </w:tcBorders>
            <w:gridSpan w:val="9"/>
          </w:tcPr>
          <w:p>
            <w:pPr>
              <w:jc w:val="center"/>
              <w:spacing w:after="0"/>
              <w:rPr>
                <w:sz w:val="20"/>
                <w:szCs w:val="20"/>
                <w:color w:val="auto"/>
              </w:rPr>
            </w:pPr>
            <w:r>
              <w:rPr>
                <w:rFonts w:ascii="Arial" w:cs="Arial" w:eastAsia="Arial" w:hAnsi="Arial"/>
                <w:sz w:val="14"/>
                <w:szCs w:val="14"/>
                <w:b w:val="1"/>
                <w:bCs w:val="1"/>
                <w:color w:val="auto"/>
                <w:w w:val="92"/>
              </w:rPr>
              <w:t>Fair Value Measurements Using</w:t>
            </w:r>
          </w:p>
        </w:tc>
        <w:tc>
          <w:tcPr>
            <w:tcW w:w="12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2"/>
        </w:trPr>
        <w:tc>
          <w:tcPr>
            <w:tcW w:w="45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60" w:type="dxa"/>
            <w:vAlign w:val="bottom"/>
          </w:tcPr>
          <w:p>
            <w:pPr>
              <w:jc w:val="center"/>
              <w:ind w:left="244"/>
              <w:spacing w:after="0" w:line="153" w:lineRule="exact"/>
              <w:rPr>
                <w:sz w:val="20"/>
                <w:szCs w:val="20"/>
                <w:color w:val="auto"/>
              </w:rPr>
            </w:pPr>
            <w:r>
              <w:rPr>
                <w:rFonts w:ascii="Arial" w:cs="Arial" w:eastAsia="Arial" w:hAnsi="Arial"/>
                <w:sz w:val="14"/>
                <w:szCs w:val="14"/>
                <w:b w:val="1"/>
                <w:bCs w:val="1"/>
                <w:color w:val="auto"/>
                <w:w w:val="93"/>
              </w:rPr>
              <w:t>Quoted</w:t>
            </w:r>
          </w:p>
        </w:tc>
        <w:tc>
          <w:tcPr>
            <w:tcW w:w="2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45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60" w:type="dxa"/>
            <w:vAlign w:val="bottom"/>
          </w:tcPr>
          <w:p>
            <w:pPr>
              <w:jc w:val="center"/>
              <w:ind w:left="244"/>
              <w:spacing w:after="0" w:line="149" w:lineRule="exact"/>
              <w:rPr>
                <w:sz w:val="20"/>
                <w:szCs w:val="20"/>
                <w:color w:val="auto"/>
              </w:rPr>
            </w:pPr>
            <w:r>
              <w:rPr>
                <w:rFonts w:ascii="Arial" w:cs="Arial" w:eastAsia="Arial" w:hAnsi="Arial"/>
                <w:sz w:val="14"/>
                <w:szCs w:val="14"/>
                <w:b w:val="1"/>
                <w:bCs w:val="1"/>
                <w:color w:val="auto"/>
                <w:w w:val="92"/>
              </w:rPr>
              <w:t>Prices in</w:t>
            </w: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60" w:type="dxa"/>
            <w:vAlign w:val="bottom"/>
            <w:gridSpan w:val="3"/>
            <w:vMerge w:val="restart"/>
          </w:tcPr>
          <w:p>
            <w:pPr>
              <w:jc w:val="center"/>
              <w:ind w:right="120"/>
              <w:spacing w:after="0"/>
              <w:rPr>
                <w:sz w:val="20"/>
                <w:szCs w:val="20"/>
                <w:color w:val="auto"/>
              </w:rPr>
            </w:pPr>
            <w:r>
              <w:rPr>
                <w:rFonts w:ascii="Arial" w:cs="Arial" w:eastAsia="Arial" w:hAnsi="Arial"/>
                <w:sz w:val="14"/>
                <w:szCs w:val="14"/>
                <w:b w:val="1"/>
                <w:bCs w:val="1"/>
                <w:color w:val="auto"/>
                <w:w w:val="92"/>
              </w:rPr>
              <w:t>Significant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5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60" w:type="dxa"/>
            <w:vAlign w:val="bottom"/>
          </w:tcPr>
          <w:p>
            <w:pPr>
              <w:jc w:val="center"/>
              <w:ind w:left="224"/>
              <w:spacing w:after="0" w:line="149" w:lineRule="exact"/>
              <w:rPr>
                <w:sz w:val="20"/>
                <w:szCs w:val="20"/>
                <w:color w:val="auto"/>
              </w:rPr>
            </w:pPr>
            <w:r>
              <w:rPr>
                <w:rFonts w:ascii="Arial" w:cs="Arial" w:eastAsia="Arial" w:hAnsi="Arial"/>
                <w:sz w:val="14"/>
                <w:szCs w:val="14"/>
                <w:b w:val="1"/>
                <w:bCs w:val="1"/>
                <w:color w:val="auto"/>
                <w:w w:val="95"/>
              </w:rPr>
              <w:t>Active</w:t>
            </w: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60" w:type="dxa"/>
            <w:vAlign w:val="bottom"/>
            <w:gridSpan w:val="3"/>
            <w:vMerge w:val="continue"/>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20" w:type="dxa"/>
            <w:vAlign w:val="bottom"/>
            <w:vMerge w:val="restart"/>
          </w:tcPr>
          <w:p>
            <w:pPr>
              <w:jc w:val="center"/>
              <w:ind w:right="42"/>
              <w:spacing w:after="0"/>
              <w:rPr>
                <w:sz w:val="20"/>
                <w:szCs w:val="20"/>
                <w:color w:val="auto"/>
              </w:rPr>
            </w:pPr>
            <w:r>
              <w:rPr>
                <w:rFonts w:ascii="Arial" w:cs="Arial" w:eastAsia="Arial" w:hAnsi="Arial"/>
                <w:sz w:val="14"/>
                <w:szCs w:val="14"/>
                <w:b w:val="1"/>
                <w:bCs w:val="1"/>
                <w:color w:val="auto"/>
                <w:w w:val="92"/>
              </w:rPr>
              <w:t>Significant</w:t>
            </w:r>
          </w:p>
        </w:tc>
        <w:tc>
          <w:tcPr>
            <w:tcW w:w="0" w:type="dxa"/>
            <w:vAlign w:val="bottom"/>
          </w:tcPr>
          <w:p>
            <w:pPr>
              <w:spacing w:after="0"/>
              <w:rPr>
                <w:sz w:val="1"/>
                <w:szCs w:val="1"/>
                <w:color w:val="auto"/>
              </w:rPr>
            </w:pPr>
          </w:p>
        </w:tc>
      </w:tr>
      <w:tr>
        <w:trPr>
          <w:trHeight w:val="149"/>
        </w:trPr>
        <w:tc>
          <w:tcPr>
            <w:tcW w:w="45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60" w:type="dxa"/>
            <w:vAlign w:val="bottom"/>
          </w:tcPr>
          <w:p>
            <w:pPr>
              <w:jc w:val="center"/>
              <w:ind w:left="244"/>
              <w:spacing w:after="0" w:line="149" w:lineRule="exact"/>
              <w:rPr>
                <w:sz w:val="20"/>
                <w:szCs w:val="20"/>
                <w:color w:val="auto"/>
              </w:rPr>
            </w:pPr>
            <w:r>
              <w:rPr>
                <w:rFonts w:ascii="Arial" w:cs="Arial" w:eastAsia="Arial" w:hAnsi="Arial"/>
                <w:sz w:val="14"/>
                <w:szCs w:val="14"/>
                <w:b w:val="1"/>
                <w:bCs w:val="1"/>
                <w:color w:val="auto"/>
                <w:w w:val="98"/>
              </w:rPr>
              <w:t>Markets for</w:t>
            </w: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60" w:type="dxa"/>
            <w:vAlign w:val="bottom"/>
            <w:gridSpan w:val="3"/>
          </w:tcPr>
          <w:p>
            <w:pPr>
              <w:jc w:val="center"/>
              <w:ind w:right="140"/>
              <w:spacing w:after="0" w:line="149" w:lineRule="exact"/>
              <w:rPr>
                <w:sz w:val="20"/>
                <w:szCs w:val="20"/>
                <w:color w:val="auto"/>
              </w:rPr>
            </w:pPr>
            <w:r>
              <w:rPr>
                <w:rFonts w:ascii="Arial" w:cs="Arial" w:eastAsia="Arial" w:hAnsi="Arial"/>
                <w:sz w:val="14"/>
                <w:szCs w:val="14"/>
                <w:b w:val="1"/>
                <w:bCs w:val="1"/>
                <w:color w:val="auto"/>
                <w:w w:val="96"/>
              </w:rPr>
              <w:t>Other</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5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2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2"/>
              </w:rPr>
              <w:t>January 2,</w:t>
            </w:r>
          </w:p>
        </w:tc>
        <w:tc>
          <w:tcPr>
            <w:tcW w:w="1060" w:type="dxa"/>
            <w:vAlign w:val="bottom"/>
          </w:tcPr>
          <w:p>
            <w:pPr>
              <w:jc w:val="center"/>
              <w:ind w:left="244"/>
              <w:spacing w:after="0" w:line="149" w:lineRule="exact"/>
              <w:rPr>
                <w:sz w:val="20"/>
                <w:szCs w:val="20"/>
                <w:color w:val="auto"/>
              </w:rPr>
            </w:pPr>
            <w:r>
              <w:rPr>
                <w:rFonts w:ascii="Arial" w:cs="Arial" w:eastAsia="Arial" w:hAnsi="Arial"/>
                <w:sz w:val="14"/>
                <w:szCs w:val="14"/>
                <w:b w:val="1"/>
                <w:bCs w:val="1"/>
                <w:color w:val="auto"/>
                <w:w w:val="94"/>
              </w:rPr>
              <w:t>Identical</w:t>
            </w: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60" w:type="dxa"/>
            <w:vAlign w:val="bottom"/>
            <w:gridSpan w:val="3"/>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Observable</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20" w:type="dxa"/>
            <w:vAlign w:val="bottom"/>
          </w:tcPr>
          <w:p>
            <w:pPr>
              <w:jc w:val="center"/>
              <w:ind w:right="62"/>
              <w:spacing w:after="0" w:line="149" w:lineRule="exact"/>
              <w:rPr>
                <w:sz w:val="20"/>
                <w:szCs w:val="20"/>
                <w:color w:val="auto"/>
              </w:rPr>
            </w:pPr>
            <w:r>
              <w:rPr>
                <w:rFonts w:ascii="Arial" w:cs="Arial" w:eastAsia="Arial" w:hAnsi="Arial"/>
                <w:sz w:val="14"/>
                <w:szCs w:val="14"/>
                <w:b w:val="1"/>
                <w:bCs w:val="1"/>
                <w:color w:val="auto"/>
                <w:w w:val="90"/>
              </w:rPr>
              <w:t>Unobservable</w:t>
            </w:r>
          </w:p>
        </w:tc>
        <w:tc>
          <w:tcPr>
            <w:tcW w:w="0" w:type="dxa"/>
            <w:vAlign w:val="bottom"/>
          </w:tcPr>
          <w:p>
            <w:pPr>
              <w:spacing w:after="0"/>
              <w:rPr>
                <w:sz w:val="1"/>
                <w:szCs w:val="1"/>
                <w:color w:val="auto"/>
              </w:rPr>
            </w:pPr>
          </w:p>
        </w:tc>
      </w:tr>
      <w:tr>
        <w:trPr>
          <w:trHeight w:val="149"/>
        </w:trPr>
        <w:tc>
          <w:tcPr>
            <w:tcW w:w="45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20" w:type="dxa"/>
            <w:vAlign w:val="bottom"/>
            <w:gridSpan w:val="2"/>
            <w:vMerge w:val="continue"/>
          </w:tcPr>
          <w:p>
            <w:pPr>
              <w:spacing w:after="0"/>
              <w:rPr>
                <w:sz w:val="12"/>
                <w:szCs w:val="12"/>
                <w:color w:val="auto"/>
              </w:rPr>
            </w:pPr>
          </w:p>
        </w:tc>
        <w:tc>
          <w:tcPr>
            <w:tcW w:w="1060" w:type="dxa"/>
            <w:vAlign w:val="bottom"/>
          </w:tcPr>
          <w:p>
            <w:pPr>
              <w:jc w:val="center"/>
              <w:ind w:left="244"/>
              <w:spacing w:after="0" w:line="149" w:lineRule="exact"/>
              <w:rPr>
                <w:sz w:val="20"/>
                <w:szCs w:val="20"/>
                <w:color w:val="auto"/>
              </w:rPr>
            </w:pPr>
            <w:r>
              <w:rPr>
                <w:rFonts w:ascii="Arial" w:cs="Arial" w:eastAsia="Arial" w:hAnsi="Arial"/>
                <w:sz w:val="14"/>
                <w:szCs w:val="14"/>
                <w:b w:val="1"/>
                <w:bCs w:val="1"/>
                <w:color w:val="auto"/>
                <w:w w:val="82"/>
              </w:rPr>
              <w:t>Assets</w:t>
            </w: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60" w:type="dxa"/>
            <w:vAlign w:val="bottom"/>
            <w:gridSpan w:val="3"/>
          </w:tcPr>
          <w:p>
            <w:pPr>
              <w:jc w:val="center"/>
              <w:ind w:right="140"/>
              <w:spacing w:after="0" w:line="149" w:lineRule="exact"/>
              <w:rPr>
                <w:sz w:val="20"/>
                <w:szCs w:val="20"/>
                <w:color w:val="auto"/>
              </w:rPr>
            </w:pPr>
            <w:r>
              <w:rPr>
                <w:rFonts w:ascii="Arial" w:cs="Arial" w:eastAsia="Arial" w:hAnsi="Arial"/>
                <w:sz w:val="14"/>
                <w:szCs w:val="14"/>
                <w:b w:val="1"/>
                <w:bCs w:val="1"/>
                <w:color w:val="auto"/>
                <w:w w:val="95"/>
              </w:rPr>
              <w:t>Inputs</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20" w:type="dxa"/>
            <w:vAlign w:val="bottom"/>
          </w:tcPr>
          <w:p>
            <w:pPr>
              <w:jc w:val="center"/>
              <w:ind w:right="62"/>
              <w:spacing w:after="0" w:line="149" w:lineRule="exact"/>
              <w:rPr>
                <w:sz w:val="20"/>
                <w:szCs w:val="20"/>
                <w:color w:val="auto"/>
              </w:rPr>
            </w:pPr>
            <w:r>
              <w:rPr>
                <w:rFonts w:ascii="Arial" w:cs="Arial" w:eastAsia="Arial" w:hAnsi="Arial"/>
                <w:sz w:val="14"/>
                <w:szCs w:val="14"/>
                <w:b w:val="1"/>
                <w:bCs w:val="1"/>
                <w:color w:val="auto"/>
                <w:w w:val="95"/>
              </w:rPr>
              <w:t>Inputs</w:t>
            </w:r>
          </w:p>
        </w:tc>
        <w:tc>
          <w:tcPr>
            <w:tcW w:w="0" w:type="dxa"/>
            <w:vAlign w:val="bottom"/>
          </w:tcPr>
          <w:p>
            <w:pPr>
              <w:spacing w:after="0"/>
              <w:rPr>
                <w:sz w:val="1"/>
                <w:szCs w:val="1"/>
                <w:color w:val="auto"/>
              </w:rPr>
            </w:pPr>
          </w:p>
        </w:tc>
      </w:tr>
      <w:tr>
        <w:trPr>
          <w:trHeight w:val="192"/>
        </w:trPr>
        <w:tc>
          <w:tcPr>
            <w:tcW w:w="45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center"/>
              <w:ind w:right="38"/>
              <w:spacing w:after="0"/>
              <w:rPr>
                <w:sz w:val="20"/>
                <w:szCs w:val="20"/>
                <w:color w:val="auto"/>
              </w:rPr>
            </w:pPr>
            <w:r>
              <w:rPr>
                <w:rFonts w:ascii="Arial" w:cs="Arial" w:eastAsia="Arial" w:hAnsi="Arial"/>
                <w:sz w:val="14"/>
                <w:szCs w:val="14"/>
                <w:b w:val="1"/>
                <w:bCs w:val="1"/>
                <w:color w:val="auto"/>
                <w:w w:val="89"/>
              </w:rPr>
              <w:t>2015</w:t>
            </w:r>
          </w:p>
        </w:tc>
        <w:tc>
          <w:tcPr>
            <w:tcW w:w="100" w:type="dxa"/>
            <w:vAlign w:val="bottom"/>
            <w:tcBorders>
              <w:bottom w:val="single" w:sz="8" w:color="CCEEFF"/>
            </w:tcBorders>
          </w:tcPr>
          <w:p>
            <w:pPr>
              <w:spacing w:after="0"/>
              <w:rPr>
                <w:sz w:val="16"/>
                <w:szCs w:val="16"/>
                <w:color w:val="auto"/>
              </w:rPr>
            </w:pPr>
          </w:p>
        </w:tc>
        <w:tc>
          <w:tcPr>
            <w:tcW w:w="1060" w:type="dxa"/>
            <w:vAlign w:val="bottom"/>
            <w:tcBorders>
              <w:bottom w:val="single" w:sz="8" w:color="auto"/>
            </w:tcBorders>
          </w:tcPr>
          <w:p>
            <w:pPr>
              <w:jc w:val="center"/>
              <w:ind w:left="244"/>
              <w:spacing w:after="0"/>
              <w:rPr>
                <w:sz w:val="20"/>
                <w:szCs w:val="20"/>
                <w:color w:val="auto"/>
              </w:rPr>
            </w:pPr>
            <w:r>
              <w:rPr>
                <w:rFonts w:ascii="Arial" w:cs="Arial" w:eastAsia="Arial" w:hAnsi="Arial"/>
                <w:sz w:val="14"/>
                <w:szCs w:val="14"/>
                <w:b w:val="1"/>
                <w:bCs w:val="1"/>
                <w:color w:val="auto"/>
                <w:w w:val="94"/>
              </w:rPr>
              <w:t>(Level 1)</w:t>
            </w:r>
          </w:p>
        </w:tc>
        <w:tc>
          <w:tcPr>
            <w:tcW w:w="2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gridSpan w:val="3"/>
          </w:tcPr>
          <w:p>
            <w:pPr>
              <w:jc w:val="center"/>
              <w:ind w:right="120"/>
              <w:spacing w:after="0"/>
              <w:rPr>
                <w:sz w:val="20"/>
                <w:szCs w:val="20"/>
                <w:color w:val="auto"/>
              </w:rPr>
            </w:pPr>
            <w:r>
              <w:rPr>
                <w:rFonts w:ascii="Arial" w:cs="Arial" w:eastAsia="Arial" w:hAnsi="Arial"/>
                <w:sz w:val="14"/>
                <w:szCs w:val="14"/>
                <w:b w:val="1"/>
                <w:bCs w:val="1"/>
                <w:color w:val="auto"/>
                <w:w w:val="94"/>
              </w:rPr>
              <w:t>(Level 2)</w:t>
            </w:r>
          </w:p>
        </w:tc>
        <w:tc>
          <w:tcPr>
            <w:tcW w:w="8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jc w:val="center"/>
              <w:ind w:right="42"/>
              <w:spacing w:after="0"/>
              <w:rPr>
                <w:sz w:val="20"/>
                <w:szCs w:val="20"/>
                <w:color w:val="auto"/>
              </w:rPr>
            </w:pPr>
            <w:r>
              <w:rPr>
                <w:rFonts w:ascii="Arial" w:cs="Arial" w:eastAsia="Arial" w:hAnsi="Arial"/>
                <w:sz w:val="14"/>
                <w:szCs w:val="14"/>
                <w:b w:val="1"/>
                <w:bCs w:val="1"/>
                <w:color w:val="auto"/>
                <w:w w:val="94"/>
              </w:rPr>
              <w:t>(Level 3)</w:t>
            </w:r>
          </w:p>
        </w:tc>
        <w:tc>
          <w:tcPr>
            <w:tcW w:w="0" w:type="dxa"/>
            <w:vAlign w:val="bottom"/>
          </w:tcPr>
          <w:p>
            <w:pPr>
              <w:spacing w:after="0"/>
              <w:rPr>
                <w:sz w:val="1"/>
                <w:szCs w:val="1"/>
                <w:color w:val="auto"/>
              </w:rPr>
            </w:pPr>
          </w:p>
        </w:tc>
      </w:tr>
      <w:tr>
        <w:trPr>
          <w:trHeight w:val="270"/>
        </w:trPr>
        <w:tc>
          <w:tcPr>
            <w:tcW w:w="45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Insurance contract</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437</w:t>
            </w:r>
          </w:p>
        </w:tc>
        <w:tc>
          <w:tcPr>
            <w:tcW w:w="10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864"/>
              <w:spacing w:after="0"/>
              <w:rPr>
                <w:sz w:val="20"/>
                <w:szCs w:val="20"/>
                <w:color w:val="auto"/>
              </w:rPr>
            </w:pPr>
            <w:r>
              <w:rPr>
                <w:rFonts w:ascii="Arial" w:cs="Arial" w:eastAsia="Arial" w:hAnsi="Arial"/>
                <w:sz w:val="18"/>
                <w:szCs w:val="18"/>
                <w:color w:val="auto"/>
                <w:w w:val="99"/>
              </w:rPr>
              <w:t>$</w:t>
            </w:r>
          </w:p>
        </w:tc>
        <w:tc>
          <w:tcPr>
            <w:tcW w:w="2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w w:val="88"/>
              </w:rPr>
              <w:t>—</w:t>
            </w:r>
          </w:p>
        </w:tc>
        <w:tc>
          <w:tcPr>
            <w:tcW w:w="420" w:type="dxa"/>
            <w:vAlign w:val="bottom"/>
            <w:tcBorders>
              <w:bottom w:val="single" w:sz="8" w:color="CCEEFF"/>
            </w:tcBorders>
            <w:gridSpan w:val="3"/>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437</w:t>
            </w:r>
          </w:p>
        </w:tc>
        <w:tc>
          <w:tcPr>
            <w:tcW w:w="32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CCEEFF"/>
            </w:tcBorders>
            <w:shd w:val="clear" w:color="auto" w:fill="CCEEFF"/>
          </w:tcPr>
          <w:p>
            <w:pPr>
              <w:ind w:left="9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57"/>
        </w:trPr>
        <w:tc>
          <w:tcPr>
            <w:tcW w:w="4520" w:type="dxa"/>
            <w:vAlign w:val="bottom"/>
          </w:tcPr>
          <w:p>
            <w:pPr>
              <w:ind w:left="380"/>
              <w:spacing w:after="0"/>
              <w:rPr>
                <w:sz w:val="20"/>
                <w:szCs w:val="20"/>
                <w:color w:val="auto"/>
              </w:rPr>
            </w:pPr>
            <w:r>
              <w:rPr>
                <w:rFonts w:ascii="Arial" w:cs="Arial" w:eastAsia="Arial" w:hAnsi="Arial"/>
                <w:sz w:val="18"/>
                <w:szCs w:val="18"/>
                <w:color w:val="auto"/>
              </w:rPr>
              <w:t>Total</w:t>
            </w: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ind w:right="18"/>
              <w:spacing w:after="0"/>
              <w:rPr>
                <w:sz w:val="20"/>
                <w:szCs w:val="20"/>
                <w:color w:val="auto"/>
              </w:rPr>
            </w:pPr>
            <w:r>
              <w:rPr>
                <w:rFonts w:ascii="Arial" w:cs="Arial" w:eastAsia="Arial" w:hAnsi="Arial"/>
                <w:sz w:val="18"/>
                <w:szCs w:val="18"/>
                <w:color w:val="auto"/>
              </w:rPr>
              <w:t>437</w:t>
            </w:r>
          </w:p>
        </w:tc>
        <w:tc>
          <w:tcPr>
            <w:tcW w:w="100" w:type="dxa"/>
            <w:vAlign w:val="bottom"/>
          </w:tcPr>
          <w:p>
            <w:pPr>
              <w:spacing w:after="0"/>
              <w:rPr>
                <w:sz w:val="22"/>
                <w:szCs w:val="22"/>
                <w:color w:val="auto"/>
              </w:rPr>
            </w:pPr>
          </w:p>
        </w:tc>
        <w:tc>
          <w:tcPr>
            <w:tcW w:w="1060" w:type="dxa"/>
            <w:vAlign w:val="bottom"/>
            <w:tcBorders>
              <w:top w:val="single" w:sz="8" w:color="auto"/>
              <w:bottom w:val="single" w:sz="8" w:color="auto"/>
            </w:tcBorders>
          </w:tcPr>
          <w:p>
            <w:pPr>
              <w:jc w:val="right"/>
              <w:ind w:right="864"/>
              <w:spacing w:after="0"/>
              <w:rPr>
                <w:sz w:val="20"/>
                <w:szCs w:val="20"/>
                <w:color w:val="auto"/>
              </w:rPr>
            </w:pPr>
            <w:r>
              <w:rPr>
                <w:rFonts w:ascii="Arial" w:cs="Arial" w:eastAsia="Arial" w:hAnsi="Arial"/>
                <w:sz w:val="18"/>
                <w:szCs w:val="18"/>
                <w:color w:val="auto"/>
                <w:w w:val="99"/>
              </w:rPr>
              <w:t>$</w:t>
            </w:r>
          </w:p>
        </w:tc>
        <w:tc>
          <w:tcPr>
            <w:tcW w:w="20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8"/>
                <w:szCs w:val="18"/>
                <w:color w:val="auto"/>
                <w:w w:val="88"/>
              </w:rPr>
              <w:t>—</w:t>
            </w:r>
          </w:p>
        </w:tc>
        <w:tc>
          <w:tcPr>
            <w:tcW w:w="100" w:type="dxa"/>
            <w:vAlign w:val="bottom"/>
            <w:tcBorders>
              <w:top w:val="single" w:sz="8" w:color="auto"/>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bottom w:val="single" w:sz="8" w:color="auto"/>
            </w:tcBorders>
            <w:gridSpan w:val="3"/>
          </w:tcPr>
          <w:p>
            <w:pPr>
              <w:jc w:val="right"/>
              <w:ind w:right="20"/>
              <w:spacing w:after="0"/>
              <w:rPr>
                <w:sz w:val="20"/>
                <w:szCs w:val="20"/>
                <w:color w:val="auto"/>
              </w:rPr>
            </w:pPr>
            <w:r>
              <w:rPr>
                <w:rFonts w:ascii="Arial" w:cs="Arial" w:eastAsia="Arial" w:hAnsi="Arial"/>
                <w:sz w:val="18"/>
                <w:szCs w:val="18"/>
                <w:color w:val="auto"/>
              </w:rPr>
              <w:t>437</w:t>
            </w:r>
          </w:p>
        </w:tc>
        <w:tc>
          <w:tcPr>
            <w:tcW w:w="80" w:type="dxa"/>
            <w:vAlign w:val="bottom"/>
            <w:tcBorders>
              <w:top w:val="single" w:sz="8" w:color="auto"/>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bottom w:val="single" w:sz="8" w:color="auto"/>
            </w:tcBorders>
          </w:tcPr>
          <w:p>
            <w:pPr>
              <w:ind w:left="9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45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right="360"/>
        <w:spacing w:after="0" w:line="264" w:lineRule="auto"/>
        <w:rPr>
          <w:sz w:val="20"/>
          <w:szCs w:val="20"/>
          <w:color w:val="auto"/>
        </w:rPr>
      </w:pPr>
      <w:r>
        <w:rPr>
          <w:rFonts w:ascii="Arial" w:cs="Arial" w:eastAsia="Arial" w:hAnsi="Arial"/>
          <w:sz w:val="18"/>
          <w:szCs w:val="18"/>
          <w:color w:val="auto"/>
        </w:rPr>
        <w:t>The fair value of Level 2 plan assets are obtained from quoted market prices in inactive markets or valuation models with observable market data inputs to estimate fair value. These observable market data inputs include benchmark yields, reported trades, broker/dealer quotes, issuer spreads, benchmark securities, bids, offers and reference data.</w:t>
      </w:r>
    </w:p>
    <w:p>
      <w:pPr>
        <w:sectPr>
          <w:pgSz w:w="11900" w:h="16838" w:orient="portrait"/>
          <w:cols w:equalWidth="0" w:num="1">
            <w:col w:w="10840"/>
          </w:cols>
          <w:pgMar w:left="740" w:top="337" w:right="319" w:bottom="1440" w:gutter="0" w:footer="0" w:header="0"/>
        </w:sectPr>
      </w:pPr>
    </w:p>
    <w:p>
      <w:pPr>
        <w:spacing w:after="0" w:line="330" w:lineRule="exact"/>
        <w:rPr>
          <w:sz w:val="20"/>
          <w:szCs w:val="20"/>
          <w:color w:val="auto"/>
        </w:rPr>
      </w:pPr>
    </w:p>
    <w:p>
      <w:pPr>
        <w:jc w:val="center"/>
        <w:ind w:right="420"/>
        <w:spacing w:after="0"/>
        <w:rPr>
          <w:sz w:val="20"/>
          <w:szCs w:val="20"/>
          <w:color w:val="auto"/>
        </w:rPr>
      </w:pPr>
      <w:r>
        <w:rPr>
          <w:rFonts w:ascii="Arial" w:cs="Arial" w:eastAsia="Arial" w:hAnsi="Arial"/>
          <w:sz w:val="16"/>
          <w:szCs w:val="16"/>
          <w:color w:val="auto"/>
        </w:rPr>
        <w:t>- 91 -</w:t>
      </w:r>
    </w:p>
    <w:p>
      <w:pPr>
        <w:sectPr>
          <w:pgSz w:w="11900" w:h="16838" w:orient="portrait"/>
          <w:cols w:equalWidth="0" w:num="1">
            <w:col w:w="10840"/>
          </w:cols>
          <w:pgMar w:left="740" w:top="337" w:right="319" w:bottom="1440" w:gutter="0" w:footer="0" w:header="0"/>
          <w:type w:val="continuous"/>
        </w:sectPr>
      </w:pPr>
    </w:p>
    <w:bookmarkStart w:id="92" w:name="page93"/>
    <w:bookmarkEnd w:id="92"/>
    <w:p>
      <w:pPr>
        <w:jc w:val="center"/>
        <w:ind w:right="-4"/>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ind w:right="-4"/>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left="465"/>
        <w:spacing w:after="0"/>
        <w:rPr>
          <w:sz w:val="20"/>
          <w:szCs w:val="20"/>
          <w:color w:val="auto"/>
        </w:rPr>
      </w:pPr>
      <w:r>
        <w:rPr>
          <w:rFonts w:ascii="Arial" w:cs="Arial" w:eastAsia="Arial" w:hAnsi="Arial"/>
          <w:sz w:val="18"/>
          <w:szCs w:val="18"/>
          <w:color w:val="auto"/>
        </w:rPr>
        <w:t>Estimated benefit payments over the next ten years are as follows (in thousands):</w:t>
      </w:r>
    </w:p>
    <w:p>
      <w:pPr>
        <w:spacing w:after="0" w:line="158" w:lineRule="exact"/>
        <w:rPr>
          <w:sz w:val="20"/>
          <w:szCs w:val="20"/>
          <w:color w:val="auto"/>
        </w:rPr>
      </w:pPr>
    </w:p>
    <w:tbl>
      <w:tblPr>
        <w:tblLayout w:type="fixed"/>
        <w:tblInd w:w="465" w:type="dxa"/>
        <w:tblCellMar>
          <w:top w:w="0" w:type="dxa"/>
          <w:left w:w="0" w:type="dxa"/>
          <w:bottom w:w="0" w:type="dxa"/>
          <w:right w:w="0" w:type="dxa"/>
        </w:tblCellMar>
      </w:tblPr>
      <w:tr>
        <w:trPr>
          <w:trHeight w:val="270"/>
        </w:trPr>
        <w:tc>
          <w:tcPr>
            <w:tcW w:w="3180" w:type="dxa"/>
            <w:vAlign w:val="bottom"/>
            <w:shd w:val="clear" w:color="auto" w:fill="CCEEFF"/>
          </w:tcPr>
          <w:p>
            <w:pPr>
              <w:ind w:left="20"/>
              <w:spacing w:after="0"/>
              <w:rPr>
                <w:sz w:val="20"/>
                <w:szCs w:val="20"/>
                <w:color w:val="auto"/>
              </w:rPr>
            </w:pPr>
            <w:r>
              <w:rPr>
                <w:rFonts w:ascii="Arial" w:cs="Arial" w:eastAsia="Arial" w:hAnsi="Arial"/>
                <w:sz w:val="18"/>
                <w:szCs w:val="18"/>
                <w:color w:val="auto"/>
              </w:rPr>
              <w:t>2016</w:t>
            </w:r>
          </w:p>
        </w:tc>
        <w:tc>
          <w:tcPr>
            <w:tcW w:w="2900" w:type="dxa"/>
            <w:vAlign w:val="bottom"/>
            <w:shd w:val="clear" w:color="auto" w:fill="CCEEFF"/>
          </w:tcPr>
          <w:p>
            <w:pPr>
              <w:jc w:val="right"/>
              <w:ind w:right="350"/>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166</w:t>
            </w:r>
          </w:p>
        </w:tc>
      </w:tr>
      <w:tr>
        <w:trPr>
          <w:trHeight w:val="243"/>
        </w:trPr>
        <w:tc>
          <w:tcPr>
            <w:tcW w:w="3180" w:type="dxa"/>
            <w:vAlign w:val="bottom"/>
          </w:tcPr>
          <w:p>
            <w:pPr>
              <w:ind w:left="20"/>
              <w:spacing w:after="0"/>
              <w:rPr>
                <w:sz w:val="20"/>
                <w:szCs w:val="20"/>
                <w:color w:val="auto"/>
              </w:rPr>
            </w:pPr>
            <w:r>
              <w:rPr>
                <w:rFonts w:ascii="Arial" w:cs="Arial" w:eastAsia="Arial" w:hAnsi="Arial"/>
                <w:sz w:val="18"/>
                <w:szCs w:val="18"/>
                <w:color w:val="auto"/>
              </w:rPr>
              <w:t>2017</w:t>
            </w:r>
          </w:p>
        </w:tc>
        <w:tc>
          <w:tcPr>
            <w:tcW w:w="290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205</w:t>
            </w:r>
          </w:p>
        </w:tc>
      </w:tr>
      <w:tr>
        <w:trPr>
          <w:trHeight w:val="27"/>
        </w:trPr>
        <w:tc>
          <w:tcPr>
            <w:tcW w:w="3180" w:type="dxa"/>
            <w:vAlign w:val="bottom"/>
          </w:tcPr>
          <w:p>
            <w:pPr>
              <w:spacing w:after="0"/>
              <w:rPr>
                <w:sz w:val="2"/>
                <w:szCs w:val="2"/>
                <w:color w:val="auto"/>
              </w:rPr>
            </w:pPr>
          </w:p>
        </w:tc>
        <w:tc>
          <w:tcPr>
            <w:tcW w:w="2900" w:type="dxa"/>
            <w:vAlign w:val="bottom"/>
          </w:tcPr>
          <w:p>
            <w:pPr>
              <w:spacing w:after="0"/>
              <w:rPr>
                <w:sz w:val="2"/>
                <w:szCs w:val="2"/>
                <w:color w:val="auto"/>
              </w:rPr>
            </w:pPr>
          </w:p>
        </w:tc>
        <w:tc>
          <w:tcPr>
            <w:tcW w:w="900" w:type="dxa"/>
            <w:vAlign w:val="bottom"/>
          </w:tcPr>
          <w:p>
            <w:pPr>
              <w:spacing w:after="0"/>
              <w:rPr>
                <w:sz w:val="2"/>
                <w:szCs w:val="2"/>
                <w:color w:val="auto"/>
              </w:rPr>
            </w:pPr>
          </w:p>
        </w:tc>
      </w:tr>
      <w:tr>
        <w:trPr>
          <w:trHeight w:val="250"/>
        </w:trPr>
        <w:tc>
          <w:tcPr>
            <w:tcW w:w="31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2018</w:t>
            </w:r>
          </w:p>
        </w:tc>
        <w:tc>
          <w:tcPr>
            <w:tcW w:w="29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225</w:t>
            </w:r>
          </w:p>
        </w:tc>
      </w:tr>
      <w:tr>
        <w:trPr>
          <w:trHeight w:val="243"/>
        </w:trPr>
        <w:tc>
          <w:tcPr>
            <w:tcW w:w="3180" w:type="dxa"/>
            <w:vAlign w:val="bottom"/>
          </w:tcPr>
          <w:p>
            <w:pPr>
              <w:ind w:left="20"/>
              <w:spacing w:after="0"/>
              <w:rPr>
                <w:sz w:val="20"/>
                <w:szCs w:val="20"/>
                <w:color w:val="auto"/>
              </w:rPr>
            </w:pPr>
            <w:r>
              <w:rPr>
                <w:rFonts w:ascii="Arial" w:cs="Arial" w:eastAsia="Arial" w:hAnsi="Arial"/>
                <w:sz w:val="18"/>
                <w:szCs w:val="18"/>
                <w:color w:val="auto"/>
              </w:rPr>
              <w:t>2019</w:t>
            </w:r>
          </w:p>
        </w:tc>
        <w:tc>
          <w:tcPr>
            <w:tcW w:w="290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277</w:t>
            </w:r>
          </w:p>
        </w:tc>
      </w:tr>
      <w:tr>
        <w:trPr>
          <w:trHeight w:val="27"/>
        </w:trPr>
        <w:tc>
          <w:tcPr>
            <w:tcW w:w="3180" w:type="dxa"/>
            <w:vAlign w:val="bottom"/>
          </w:tcPr>
          <w:p>
            <w:pPr>
              <w:spacing w:after="0"/>
              <w:rPr>
                <w:sz w:val="2"/>
                <w:szCs w:val="2"/>
                <w:color w:val="auto"/>
              </w:rPr>
            </w:pPr>
          </w:p>
        </w:tc>
        <w:tc>
          <w:tcPr>
            <w:tcW w:w="2900" w:type="dxa"/>
            <w:vAlign w:val="bottom"/>
          </w:tcPr>
          <w:p>
            <w:pPr>
              <w:spacing w:after="0"/>
              <w:rPr>
                <w:sz w:val="2"/>
                <w:szCs w:val="2"/>
                <w:color w:val="auto"/>
              </w:rPr>
            </w:pPr>
          </w:p>
        </w:tc>
        <w:tc>
          <w:tcPr>
            <w:tcW w:w="900" w:type="dxa"/>
            <w:vAlign w:val="bottom"/>
          </w:tcPr>
          <w:p>
            <w:pPr>
              <w:spacing w:after="0"/>
              <w:rPr>
                <w:sz w:val="2"/>
                <w:szCs w:val="2"/>
                <w:color w:val="auto"/>
              </w:rPr>
            </w:pPr>
          </w:p>
        </w:tc>
      </w:tr>
      <w:tr>
        <w:trPr>
          <w:trHeight w:val="250"/>
        </w:trPr>
        <w:tc>
          <w:tcPr>
            <w:tcW w:w="31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2020</w:t>
            </w:r>
          </w:p>
        </w:tc>
        <w:tc>
          <w:tcPr>
            <w:tcW w:w="29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265</w:t>
            </w:r>
          </w:p>
        </w:tc>
      </w:tr>
      <w:tr>
        <w:trPr>
          <w:trHeight w:val="243"/>
        </w:trPr>
        <w:tc>
          <w:tcPr>
            <w:tcW w:w="3180" w:type="dxa"/>
            <w:vAlign w:val="bottom"/>
          </w:tcPr>
          <w:p>
            <w:pPr>
              <w:ind w:left="20"/>
              <w:spacing w:after="0"/>
              <w:rPr>
                <w:sz w:val="20"/>
                <w:szCs w:val="20"/>
                <w:color w:val="auto"/>
              </w:rPr>
            </w:pPr>
            <w:r>
              <w:rPr>
                <w:rFonts w:ascii="Arial" w:cs="Arial" w:eastAsia="Arial" w:hAnsi="Arial"/>
                <w:sz w:val="18"/>
                <w:szCs w:val="18"/>
                <w:color w:val="auto"/>
              </w:rPr>
              <w:t>2020-2024</w:t>
            </w:r>
          </w:p>
        </w:tc>
        <w:tc>
          <w:tcPr>
            <w:tcW w:w="290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1,619</w:t>
            </w:r>
          </w:p>
        </w:tc>
      </w:tr>
    </w:tbl>
    <w:p>
      <w:pPr>
        <w:spacing w:after="0" w:line="279" w:lineRule="exact"/>
        <w:rPr>
          <w:sz w:val="20"/>
          <w:szCs w:val="20"/>
          <w:color w:val="auto"/>
        </w:rPr>
      </w:pPr>
    </w:p>
    <w:p>
      <w:pPr>
        <w:ind w:left="425" w:hanging="425"/>
        <w:spacing w:after="0"/>
        <w:tabs>
          <w:tab w:leader="none" w:pos="425" w:val="left"/>
        </w:tabs>
        <w:numPr>
          <w:ilvl w:val="0"/>
          <w:numId w:val="42"/>
        </w:numPr>
        <w:rPr>
          <w:rFonts w:ascii="Arial" w:cs="Arial" w:eastAsia="Arial" w:hAnsi="Arial"/>
          <w:sz w:val="18"/>
          <w:szCs w:val="18"/>
          <w:b w:val="1"/>
          <w:bCs w:val="1"/>
          <w:color w:val="auto"/>
        </w:rPr>
      </w:pPr>
      <w:r>
        <w:rPr>
          <w:rFonts w:ascii="Arial" w:cs="Arial" w:eastAsia="Arial" w:hAnsi="Arial"/>
          <w:sz w:val="18"/>
          <w:szCs w:val="18"/>
          <w:b w:val="1"/>
          <w:bCs w:val="1"/>
          <w:color w:val="auto"/>
        </w:rPr>
        <w:t>STOCK-BASED COMPENSATION</w:t>
      </w:r>
    </w:p>
    <w:p>
      <w:pPr>
        <w:spacing w:after="0" w:line="148" w:lineRule="exact"/>
        <w:rPr>
          <w:sz w:val="20"/>
          <w:szCs w:val="20"/>
          <w:color w:val="auto"/>
        </w:rPr>
      </w:pPr>
    </w:p>
    <w:p>
      <w:pPr>
        <w:ind w:left="465"/>
        <w:spacing w:after="0"/>
        <w:rPr>
          <w:sz w:val="20"/>
          <w:szCs w:val="20"/>
          <w:color w:val="auto"/>
        </w:rPr>
      </w:pPr>
      <w:r>
        <w:rPr>
          <w:rFonts w:ascii="Arial" w:cs="Arial" w:eastAsia="Arial" w:hAnsi="Arial"/>
          <w:sz w:val="18"/>
          <w:szCs w:val="18"/>
          <w:color w:val="auto"/>
        </w:rPr>
        <w:t>The components and classification of stock-based compensation expense were as follows (in thousands):</w:t>
      </w:r>
    </w:p>
    <w:p>
      <w:pPr>
        <w:spacing w:after="0" w:line="163" w:lineRule="exact"/>
        <w:rPr>
          <w:sz w:val="20"/>
          <w:szCs w:val="20"/>
          <w:color w:val="auto"/>
        </w:rPr>
      </w:pPr>
    </w:p>
    <w:tbl>
      <w:tblPr>
        <w:tblLayout w:type="fixed"/>
        <w:tblInd w:w="465" w:type="dxa"/>
        <w:tblCellMar>
          <w:top w:w="0" w:type="dxa"/>
          <w:left w:w="0" w:type="dxa"/>
          <w:bottom w:w="0" w:type="dxa"/>
          <w:right w:w="0" w:type="dxa"/>
        </w:tblCellMar>
      </w:tblPr>
      <w:tr>
        <w:trPr>
          <w:trHeight w:val="192"/>
        </w:trPr>
        <w:tc>
          <w:tcPr>
            <w:tcW w:w="608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gridSpan w:val="2"/>
          </w:tcPr>
          <w:p>
            <w:pPr>
              <w:ind w:left="100"/>
              <w:spacing w:after="0"/>
              <w:rPr>
                <w:sz w:val="20"/>
                <w:szCs w:val="20"/>
                <w:color w:val="auto"/>
              </w:rPr>
            </w:pPr>
            <w:r>
              <w:rPr>
                <w:rFonts w:ascii="Arial" w:cs="Arial" w:eastAsia="Arial" w:hAnsi="Arial"/>
                <w:sz w:val="14"/>
                <w:szCs w:val="14"/>
                <w:b w:val="1"/>
                <w:bCs w:val="1"/>
                <w:color w:val="auto"/>
              </w:rPr>
              <w:t>Year Ended</w:t>
            </w:r>
          </w:p>
        </w:tc>
        <w:tc>
          <w:tcPr>
            <w:tcW w:w="2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r>
      <w:tr>
        <w:trPr>
          <w:trHeight w:val="152"/>
        </w:trPr>
        <w:tc>
          <w:tcPr>
            <w:tcW w:w="60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40" w:type="dxa"/>
            <w:vAlign w:val="bottom"/>
            <w:gridSpan w:val="2"/>
          </w:tcPr>
          <w:p>
            <w:pPr>
              <w:ind w:left="100"/>
              <w:spacing w:after="0" w:line="153" w:lineRule="exact"/>
              <w:rPr>
                <w:sz w:val="20"/>
                <w:szCs w:val="20"/>
                <w:color w:val="auto"/>
              </w:rPr>
            </w:pPr>
            <w:r>
              <w:rPr>
                <w:rFonts w:ascii="Arial" w:cs="Arial" w:eastAsia="Arial" w:hAnsi="Arial"/>
                <w:sz w:val="14"/>
                <w:szCs w:val="14"/>
                <w:b w:val="1"/>
                <w:bCs w:val="1"/>
                <w:color w:val="auto"/>
              </w:rPr>
              <w:t>January 1,</w:t>
            </w:r>
          </w:p>
        </w:tc>
        <w:tc>
          <w:tcPr>
            <w:tcW w:w="220" w:type="dxa"/>
            <w:vAlign w:val="bottom"/>
          </w:tcPr>
          <w:p>
            <w:pPr>
              <w:spacing w:after="0"/>
              <w:rPr>
                <w:sz w:val="13"/>
                <w:szCs w:val="13"/>
                <w:color w:val="auto"/>
              </w:rPr>
            </w:pPr>
          </w:p>
        </w:tc>
        <w:tc>
          <w:tcPr>
            <w:tcW w:w="1220" w:type="dxa"/>
            <w:vAlign w:val="bottom"/>
            <w:gridSpan w:val="2"/>
          </w:tcPr>
          <w:p>
            <w:pPr>
              <w:ind w:left="100"/>
              <w:spacing w:after="0" w:line="153" w:lineRule="exact"/>
              <w:rPr>
                <w:sz w:val="20"/>
                <w:szCs w:val="20"/>
                <w:color w:val="auto"/>
              </w:rPr>
            </w:pPr>
            <w:r>
              <w:rPr>
                <w:rFonts w:ascii="Arial" w:cs="Arial" w:eastAsia="Arial" w:hAnsi="Arial"/>
                <w:sz w:val="14"/>
                <w:szCs w:val="14"/>
                <w:b w:val="1"/>
                <w:bCs w:val="1"/>
                <w:color w:val="auto"/>
              </w:rPr>
              <w:t>January 2,</w:t>
            </w:r>
          </w:p>
        </w:tc>
        <w:tc>
          <w:tcPr>
            <w:tcW w:w="240" w:type="dxa"/>
            <w:vAlign w:val="bottom"/>
          </w:tcPr>
          <w:p>
            <w:pPr>
              <w:spacing w:after="0"/>
              <w:rPr>
                <w:sz w:val="13"/>
                <w:szCs w:val="13"/>
                <w:color w:val="auto"/>
              </w:rPr>
            </w:pPr>
          </w:p>
        </w:tc>
        <w:tc>
          <w:tcPr>
            <w:tcW w:w="1120" w:type="dxa"/>
            <w:vAlign w:val="bottom"/>
          </w:tcPr>
          <w:p>
            <w:pPr>
              <w:jc w:val="right"/>
              <w:ind w:right="273"/>
              <w:spacing w:after="0" w:line="153" w:lineRule="exact"/>
              <w:rPr>
                <w:sz w:val="20"/>
                <w:szCs w:val="20"/>
                <w:color w:val="auto"/>
              </w:rPr>
            </w:pPr>
            <w:r>
              <w:rPr>
                <w:rFonts w:ascii="Arial" w:cs="Arial" w:eastAsia="Arial" w:hAnsi="Arial"/>
                <w:sz w:val="14"/>
                <w:szCs w:val="14"/>
                <w:b w:val="1"/>
                <w:bCs w:val="1"/>
                <w:color w:val="auto"/>
              </w:rPr>
              <w:t>January 3,</w:t>
            </w:r>
          </w:p>
        </w:tc>
      </w:tr>
      <w:tr>
        <w:trPr>
          <w:trHeight w:val="192"/>
        </w:trPr>
        <w:tc>
          <w:tcPr>
            <w:tcW w:w="608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33"/>
              <w:spacing w:after="0"/>
              <w:rPr>
                <w:sz w:val="20"/>
                <w:szCs w:val="20"/>
                <w:color w:val="auto"/>
              </w:rPr>
            </w:pPr>
            <w:r>
              <w:rPr>
                <w:rFonts w:ascii="Arial" w:cs="Arial" w:eastAsia="Arial" w:hAnsi="Arial"/>
                <w:sz w:val="14"/>
                <w:szCs w:val="14"/>
                <w:b w:val="1"/>
                <w:bCs w:val="1"/>
                <w:color w:val="auto"/>
              </w:rPr>
              <w:t>2016</w:t>
            </w:r>
          </w:p>
        </w:tc>
        <w:tc>
          <w:tcPr>
            <w:tcW w:w="12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54"/>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53"/>
              <w:spacing w:after="0"/>
              <w:rPr>
                <w:sz w:val="20"/>
                <w:szCs w:val="20"/>
                <w:color w:val="auto"/>
              </w:rPr>
            </w:pPr>
            <w:r>
              <w:rPr>
                <w:rFonts w:ascii="Arial" w:cs="Arial" w:eastAsia="Arial" w:hAnsi="Arial"/>
                <w:sz w:val="14"/>
                <w:szCs w:val="14"/>
                <w:b w:val="1"/>
                <w:bCs w:val="1"/>
                <w:color w:val="auto"/>
              </w:rPr>
              <w:t>2014</w:t>
            </w:r>
          </w:p>
        </w:tc>
      </w:tr>
      <w:tr>
        <w:trPr>
          <w:trHeight w:val="250"/>
        </w:trPr>
        <w:tc>
          <w:tcPr>
            <w:tcW w:w="60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Stock options</w:t>
            </w: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2,708</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2,523</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3,490</w:t>
            </w:r>
          </w:p>
        </w:tc>
      </w:tr>
      <w:tr>
        <w:trPr>
          <w:trHeight w:val="243"/>
        </w:trPr>
        <w:tc>
          <w:tcPr>
            <w:tcW w:w="6080" w:type="dxa"/>
            <w:vAlign w:val="bottom"/>
          </w:tcPr>
          <w:p>
            <w:pPr>
              <w:ind w:left="20"/>
              <w:spacing w:after="0"/>
              <w:rPr>
                <w:sz w:val="20"/>
                <w:szCs w:val="20"/>
                <w:color w:val="auto"/>
              </w:rPr>
            </w:pPr>
            <w:r>
              <w:rPr>
                <w:rFonts w:ascii="Arial" w:cs="Arial" w:eastAsia="Arial" w:hAnsi="Arial"/>
                <w:sz w:val="18"/>
                <w:szCs w:val="18"/>
                <w:color w:val="auto"/>
              </w:rPr>
              <w:t>Restricted stock and units</w:t>
            </w:r>
          </w:p>
        </w:tc>
        <w:tc>
          <w:tcPr>
            <w:tcW w:w="220" w:type="dxa"/>
            <w:vAlign w:val="bottom"/>
          </w:tcPr>
          <w:p>
            <w:pPr>
              <w:spacing w:after="0"/>
              <w:rPr>
                <w:sz w:val="21"/>
                <w:szCs w:val="21"/>
                <w:color w:val="auto"/>
              </w:rPr>
            </w:pPr>
          </w:p>
        </w:tc>
        <w:tc>
          <w:tcPr>
            <w:tcW w:w="1120" w:type="dxa"/>
            <w:vAlign w:val="bottom"/>
          </w:tcPr>
          <w:p>
            <w:pPr>
              <w:jc w:val="right"/>
              <w:ind w:right="13"/>
              <w:spacing w:after="0"/>
              <w:rPr>
                <w:sz w:val="20"/>
                <w:szCs w:val="20"/>
                <w:color w:val="auto"/>
              </w:rPr>
            </w:pPr>
            <w:r>
              <w:rPr>
                <w:rFonts w:ascii="Arial" w:cs="Arial" w:eastAsia="Arial" w:hAnsi="Arial"/>
                <w:sz w:val="18"/>
                <w:szCs w:val="18"/>
                <w:color w:val="auto"/>
              </w:rPr>
              <w:t>6,668</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6,417</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20" w:type="dxa"/>
            <w:vAlign w:val="bottom"/>
          </w:tcPr>
          <w:p>
            <w:pPr>
              <w:jc w:val="right"/>
              <w:ind w:right="13"/>
              <w:spacing w:after="0"/>
              <w:rPr>
                <w:sz w:val="20"/>
                <w:szCs w:val="20"/>
                <w:color w:val="auto"/>
              </w:rPr>
            </w:pPr>
            <w:r>
              <w:rPr>
                <w:rFonts w:ascii="Arial" w:cs="Arial" w:eastAsia="Arial" w:hAnsi="Arial"/>
                <w:sz w:val="18"/>
                <w:szCs w:val="18"/>
                <w:color w:val="auto"/>
              </w:rPr>
              <w:t>5,843</w:t>
            </w:r>
          </w:p>
        </w:tc>
      </w:tr>
      <w:tr>
        <w:trPr>
          <w:trHeight w:val="27"/>
        </w:trPr>
        <w:tc>
          <w:tcPr>
            <w:tcW w:w="6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60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401(k) stock contribution</w:t>
            </w:r>
          </w:p>
        </w:tc>
        <w:tc>
          <w:tcPr>
            <w:tcW w:w="22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4,246</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4,768</w:t>
            </w:r>
          </w:p>
        </w:tc>
      </w:tr>
      <w:tr>
        <w:trPr>
          <w:trHeight w:val="297"/>
        </w:trPr>
        <w:tc>
          <w:tcPr>
            <w:tcW w:w="6080" w:type="dxa"/>
            <w:vAlign w:val="bottom"/>
            <w:tcBorders>
              <w:bottom w:val="single" w:sz="8" w:color="CCEEFF"/>
            </w:tcBorders>
          </w:tcPr>
          <w:p>
            <w:pPr>
              <w:ind w:left="260"/>
              <w:spacing w:after="0"/>
              <w:rPr>
                <w:sz w:val="20"/>
                <w:szCs w:val="20"/>
                <w:color w:val="auto"/>
              </w:rPr>
            </w:pPr>
            <w:r>
              <w:rPr>
                <w:rFonts w:ascii="Arial" w:cs="Arial" w:eastAsia="Arial" w:hAnsi="Arial"/>
                <w:sz w:val="18"/>
                <w:szCs w:val="18"/>
                <w:color w:val="auto"/>
              </w:rPr>
              <w:t>Total stock-based compensation expense</w:t>
            </w: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tcBorders>
              <w:top w:val="single" w:sz="8" w:color="auto"/>
              <w:bottom w:val="single" w:sz="8" w:color="auto"/>
            </w:tcBorders>
          </w:tcPr>
          <w:p>
            <w:pPr>
              <w:jc w:val="right"/>
              <w:ind w:right="13"/>
              <w:spacing w:after="0"/>
              <w:rPr>
                <w:sz w:val="20"/>
                <w:szCs w:val="20"/>
                <w:color w:val="auto"/>
              </w:rPr>
            </w:pPr>
            <w:r>
              <w:rPr>
                <w:rFonts w:ascii="Arial" w:cs="Arial" w:eastAsia="Arial" w:hAnsi="Arial"/>
                <w:sz w:val="18"/>
                <w:szCs w:val="18"/>
                <w:color w:val="auto"/>
              </w:rPr>
              <w:t>9,376</w:t>
            </w:r>
          </w:p>
        </w:tc>
        <w:tc>
          <w:tcPr>
            <w:tcW w:w="120" w:type="dxa"/>
            <w:vAlign w:val="bottom"/>
            <w:tcBorders>
              <w:bottom w:val="single" w:sz="8" w:color="CCEEFF"/>
            </w:tcBorders>
          </w:tcPr>
          <w:p>
            <w:pPr>
              <w:spacing w:after="0"/>
              <w:rPr>
                <w:sz w:val="24"/>
                <w:szCs w:val="24"/>
                <w:color w:val="auto"/>
              </w:rPr>
            </w:pP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color w:val="auto"/>
              </w:rPr>
              <w:t>13,186</w:t>
            </w:r>
          </w:p>
        </w:tc>
        <w:tc>
          <w:tcPr>
            <w:tcW w:w="100" w:type="dxa"/>
            <w:vAlign w:val="bottom"/>
            <w:tcBorders>
              <w:bottom w:val="single" w:sz="8" w:color="CCEEFF"/>
            </w:tcBorders>
          </w:tcPr>
          <w:p>
            <w:pPr>
              <w:spacing w:after="0"/>
              <w:rPr>
                <w:sz w:val="24"/>
                <w:szCs w:val="24"/>
                <w:color w:val="auto"/>
              </w:rPr>
            </w:pP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ind w:right="13"/>
              <w:spacing w:after="0"/>
              <w:rPr>
                <w:sz w:val="20"/>
                <w:szCs w:val="20"/>
                <w:color w:val="auto"/>
              </w:rPr>
            </w:pPr>
            <w:r>
              <w:rPr>
                <w:rFonts w:ascii="Arial" w:cs="Arial" w:eastAsia="Arial" w:hAnsi="Arial"/>
                <w:sz w:val="18"/>
                <w:szCs w:val="18"/>
                <w:color w:val="auto"/>
              </w:rPr>
              <w:t>14,101</w:t>
            </w:r>
          </w:p>
        </w:tc>
      </w:tr>
      <w:tr>
        <w:trPr>
          <w:trHeight w:val="311"/>
        </w:trPr>
        <w:tc>
          <w:tcPr>
            <w:tcW w:w="608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r>
      <w:tr>
        <w:trPr>
          <w:trHeight w:val="243"/>
        </w:trPr>
        <w:tc>
          <w:tcPr>
            <w:tcW w:w="6080" w:type="dxa"/>
            <w:vAlign w:val="bottom"/>
          </w:tcPr>
          <w:p>
            <w:pPr>
              <w:ind w:left="20"/>
              <w:spacing w:after="0"/>
              <w:rPr>
                <w:sz w:val="20"/>
                <w:szCs w:val="20"/>
                <w:color w:val="auto"/>
              </w:rPr>
            </w:pPr>
            <w:r>
              <w:rPr>
                <w:rFonts w:ascii="Arial" w:cs="Arial" w:eastAsia="Arial" w:hAnsi="Arial"/>
                <w:sz w:val="18"/>
                <w:szCs w:val="18"/>
                <w:color w:val="auto"/>
              </w:rPr>
              <w:t>Cost of sales</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tcPr>
          <w:p>
            <w:pPr>
              <w:jc w:val="right"/>
              <w:ind w:right="13"/>
              <w:spacing w:after="0"/>
              <w:rPr>
                <w:sz w:val="20"/>
                <w:szCs w:val="20"/>
                <w:color w:val="auto"/>
              </w:rPr>
            </w:pPr>
            <w:r>
              <w:rPr>
                <w:rFonts w:ascii="Arial" w:cs="Arial" w:eastAsia="Arial" w:hAnsi="Arial"/>
                <w:sz w:val="18"/>
                <w:szCs w:val="18"/>
                <w:color w:val="auto"/>
              </w:rPr>
              <w:t>795</w:t>
            </w:r>
          </w:p>
        </w:tc>
        <w:tc>
          <w:tcPr>
            <w:tcW w:w="120" w:type="dxa"/>
            <w:vAlign w:val="bottom"/>
          </w:tcPr>
          <w:p>
            <w:pPr>
              <w:spacing w:after="0"/>
              <w:rPr>
                <w:sz w:val="21"/>
                <w:szCs w:val="21"/>
                <w:color w:val="auto"/>
              </w:rPr>
            </w:pP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3,530</w:t>
            </w:r>
          </w:p>
        </w:tc>
        <w:tc>
          <w:tcPr>
            <w:tcW w:w="10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3"/>
              <w:spacing w:after="0"/>
              <w:rPr>
                <w:sz w:val="20"/>
                <w:szCs w:val="20"/>
                <w:color w:val="auto"/>
              </w:rPr>
            </w:pPr>
            <w:r>
              <w:rPr>
                <w:rFonts w:ascii="Arial" w:cs="Arial" w:eastAsia="Arial" w:hAnsi="Arial"/>
                <w:sz w:val="18"/>
                <w:szCs w:val="18"/>
                <w:color w:val="auto"/>
              </w:rPr>
              <w:t>3,864</w:t>
            </w:r>
          </w:p>
        </w:tc>
      </w:tr>
      <w:tr>
        <w:trPr>
          <w:trHeight w:val="27"/>
        </w:trPr>
        <w:tc>
          <w:tcPr>
            <w:tcW w:w="6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0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Selling, general and administrative expenses</w:t>
            </w: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7,510</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7,923</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7,907</w:t>
            </w:r>
          </w:p>
        </w:tc>
      </w:tr>
      <w:tr>
        <w:trPr>
          <w:trHeight w:val="243"/>
        </w:trPr>
        <w:tc>
          <w:tcPr>
            <w:tcW w:w="6080" w:type="dxa"/>
            <w:vAlign w:val="bottom"/>
          </w:tcPr>
          <w:p>
            <w:pPr>
              <w:ind w:left="20"/>
              <w:spacing w:after="0"/>
              <w:rPr>
                <w:sz w:val="20"/>
                <w:szCs w:val="20"/>
                <w:color w:val="auto"/>
              </w:rPr>
            </w:pPr>
            <w:r>
              <w:rPr>
                <w:rFonts w:ascii="Arial" w:cs="Arial" w:eastAsia="Arial" w:hAnsi="Arial"/>
                <w:sz w:val="18"/>
                <w:szCs w:val="18"/>
                <w:color w:val="auto"/>
              </w:rPr>
              <w:t>Research, development and engineering costs, net</w:t>
            </w:r>
          </w:p>
        </w:tc>
        <w:tc>
          <w:tcPr>
            <w:tcW w:w="220" w:type="dxa"/>
            <w:vAlign w:val="bottom"/>
          </w:tcPr>
          <w:p>
            <w:pPr>
              <w:spacing w:after="0"/>
              <w:rPr>
                <w:sz w:val="21"/>
                <w:szCs w:val="21"/>
                <w:color w:val="auto"/>
              </w:rPr>
            </w:pPr>
          </w:p>
        </w:tc>
        <w:tc>
          <w:tcPr>
            <w:tcW w:w="1120" w:type="dxa"/>
            <w:vAlign w:val="bottom"/>
          </w:tcPr>
          <w:p>
            <w:pPr>
              <w:jc w:val="right"/>
              <w:ind w:right="13"/>
              <w:spacing w:after="0"/>
              <w:rPr>
                <w:sz w:val="20"/>
                <w:szCs w:val="20"/>
                <w:color w:val="auto"/>
              </w:rPr>
            </w:pPr>
            <w:r>
              <w:rPr>
                <w:rFonts w:ascii="Arial" w:cs="Arial" w:eastAsia="Arial" w:hAnsi="Arial"/>
                <w:sz w:val="18"/>
                <w:szCs w:val="18"/>
                <w:color w:val="auto"/>
              </w:rPr>
              <w:t>982</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1,440</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20" w:type="dxa"/>
            <w:vAlign w:val="bottom"/>
          </w:tcPr>
          <w:p>
            <w:pPr>
              <w:jc w:val="right"/>
              <w:ind w:right="13"/>
              <w:spacing w:after="0"/>
              <w:rPr>
                <w:sz w:val="20"/>
                <w:szCs w:val="20"/>
                <w:color w:val="auto"/>
              </w:rPr>
            </w:pPr>
            <w:r>
              <w:rPr>
                <w:rFonts w:ascii="Arial" w:cs="Arial" w:eastAsia="Arial" w:hAnsi="Arial"/>
                <w:sz w:val="18"/>
                <w:szCs w:val="18"/>
                <w:color w:val="auto"/>
              </w:rPr>
              <w:t>1,194</w:t>
            </w:r>
          </w:p>
        </w:tc>
      </w:tr>
      <w:tr>
        <w:trPr>
          <w:trHeight w:val="27"/>
        </w:trPr>
        <w:tc>
          <w:tcPr>
            <w:tcW w:w="6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60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Other operating expenses, net (Note 13)</w:t>
            </w:r>
          </w:p>
        </w:tc>
        <w:tc>
          <w:tcPr>
            <w:tcW w:w="22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89</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293</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1,136</w:t>
            </w:r>
          </w:p>
        </w:tc>
      </w:tr>
      <w:tr>
        <w:trPr>
          <w:trHeight w:val="257"/>
        </w:trPr>
        <w:tc>
          <w:tcPr>
            <w:tcW w:w="6080" w:type="dxa"/>
            <w:vAlign w:val="bottom"/>
          </w:tcPr>
          <w:p>
            <w:pPr>
              <w:ind w:left="260"/>
              <w:spacing w:after="0"/>
              <w:rPr>
                <w:sz w:val="20"/>
                <w:szCs w:val="20"/>
                <w:color w:val="auto"/>
              </w:rPr>
            </w:pPr>
            <w:r>
              <w:rPr>
                <w:rFonts w:ascii="Arial" w:cs="Arial" w:eastAsia="Arial" w:hAnsi="Arial"/>
                <w:sz w:val="18"/>
                <w:szCs w:val="18"/>
                <w:color w:val="auto"/>
              </w:rPr>
              <w:t>Total stock-based compensation expense</w:t>
            </w: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tcBorders>
              <w:top w:val="single" w:sz="8" w:color="auto"/>
              <w:bottom w:val="single" w:sz="8" w:color="auto"/>
            </w:tcBorders>
          </w:tcPr>
          <w:p>
            <w:pPr>
              <w:jc w:val="right"/>
              <w:ind w:right="13"/>
              <w:spacing w:after="0"/>
              <w:rPr>
                <w:sz w:val="20"/>
                <w:szCs w:val="20"/>
                <w:color w:val="auto"/>
              </w:rPr>
            </w:pPr>
            <w:r>
              <w:rPr>
                <w:rFonts w:ascii="Arial" w:cs="Arial" w:eastAsia="Arial" w:hAnsi="Arial"/>
                <w:sz w:val="18"/>
                <w:szCs w:val="18"/>
                <w:color w:val="auto"/>
              </w:rPr>
              <w:t>9,376</w:t>
            </w:r>
          </w:p>
        </w:tc>
        <w:tc>
          <w:tcPr>
            <w:tcW w:w="120" w:type="dxa"/>
            <w:vAlign w:val="bottom"/>
          </w:tcPr>
          <w:p>
            <w:pPr>
              <w:spacing w:after="0"/>
              <w:rPr>
                <w:sz w:val="22"/>
                <w:szCs w:val="22"/>
                <w:color w:val="auto"/>
              </w:rPr>
            </w:pP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color w:val="auto"/>
              </w:rPr>
              <w:t>13,186</w:t>
            </w:r>
          </w:p>
        </w:tc>
        <w:tc>
          <w:tcPr>
            <w:tcW w:w="100" w:type="dxa"/>
            <w:vAlign w:val="bottom"/>
          </w:tcPr>
          <w:p>
            <w:pPr>
              <w:spacing w:after="0"/>
              <w:rPr>
                <w:sz w:val="22"/>
                <w:szCs w:val="22"/>
                <w:color w:val="auto"/>
              </w:rPr>
            </w:pP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ind w:right="13"/>
              <w:spacing w:after="0"/>
              <w:rPr>
                <w:sz w:val="20"/>
                <w:szCs w:val="20"/>
                <w:color w:val="auto"/>
              </w:rPr>
            </w:pPr>
            <w:r>
              <w:rPr>
                <w:rFonts w:ascii="Arial" w:cs="Arial" w:eastAsia="Arial" w:hAnsi="Arial"/>
                <w:sz w:val="18"/>
                <w:szCs w:val="18"/>
                <w:color w:val="auto"/>
              </w:rPr>
              <w:t>14,101</w:t>
            </w:r>
          </w:p>
        </w:tc>
      </w:tr>
      <w:tr>
        <w:trPr>
          <w:trHeight w:val="20"/>
        </w:trPr>
        <w:tc>
          <w:tcPr>
            <w:tcW w:w="60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ind w:left="465" w:right="420"/>
        <w:spacing w:after="0" w:line="264" w:lineRule="auto"/>
        <w:rPr>
          <w:sz w:val="20"/>
          <w:szCs w:val="20"/>
          <w:color w:val="auto"/>
        </w:rPr>
      </w:pPr>
      <w:r>
        <w:rPr>
          <w:rFonts w:ascii="Arial" w:cs="Arial" w:eastAsia="Arial" w:hAnsi="Arial"/>
          <w:sz w:val="18"/>
          <w:szCs w:val="18"/>
          <w:color w:val="auto"/>
        </w:rPr>
        <w:t>During 2014 and 2013, the Company recorded stock modification expense related to employee separation costs incurred during 2014 and 2013 in connection with realignment initiatives. This modification expense was included within Other Operating Expenses, Net. Refer to Note 13 “Other Operating Expenses, Net” for further discussion of these initiatives.</w:t>
      </w:r>
    </w:p>
    <w:p>
      <w:pPr>
        <w:spacing w:after="0" w:line="181" w:lineRule="exact"/>
        <w:rPr>
          <w:sz w:val="20"/>
          <w:szCs w:val="20"/>
          <w:color w:val="auto"/>
        </w:rPr>
      </w:pPr>
    </w:p>
    <w:p>
      <w:pPr>
        <w:ind w:left="465"/>
        <w:spacing w:after="0"/>
        <w:rPr>
          <w:sz w:val="20"/>
          <w:szCs w:val="20"/>
          <w:color w:val="auto"/>
        </w:rPr>
      </w:pPr>
      <w:r>
        <w:rPr>
          <w:rFonts w:ascii="Arial" w:cs="Arial" w:eastAsia="Arial" w:hAnsi="Arial"/>
          <w:sz w:val="18"/>
          <w:szCs w:val="18"/>
          <w:b w:val="1"/>
          <w:bCs w:val="1"/>
          <w:i w:val="1"/>
          <w:iCs w:val="1"/>
          <w:color w:val="auto"/>
        </w:rPr>
        <w:t>Summary of Plans</w:t>
      </w:r>
    </w:p>
    <w:p>
      <w:pPr>
        <w:spacing w:after="0" w:line="225" w:lineRule="exact"/>
        <w:rPr>
          <w:sz w:val="20"/>
          <w:szCs w:val="20"/>
          <w:color w:val="auto"/>
        </w:rPr>
      </w:pPr>
    </w:p>
    <w:p>
      <w:pPr>
        <w:ind w:left="465" w:right="280"/>
        <w:spacing w:after="0" w:line="277" w:lineRule="auto"/>
        <w:rPr>
          <w:sz w:val="20"/>
          <w:szCs w:val="20"/>
          <w:color w:val="auto"/>
        </w:rPr>
      </w:pPr>
      <w:r>
        <w:rPr>
          <w:rFonts w:ascii="Arial" w:cs="Arial" w:eastAsia="Arial" w:hAnsi="Arial"/>
          <w:sz w:val="18"/>
          <w:szCs w:val="18"/>
          <w:color w:val="auto"/>
        </w:rPr>
        <w:t>The Company’s 2005 Stock Incentive Plan (“2005 Plan”) has been frozen to any new award issuances. Stock options remain outstanding under this plan.</w:t>
      </w:r>
    </w:p>
    <w:p>
      <w:pPr>
        <w:spacing w:after="0" w:line="170" w:lineRule="exact"/>
        <w:rPr>
          <w:sz w:val="20"/>
          <w:szCs w:val="20"/>
          <w:color w:val="auto"/>
        </w:rPr>
      </w:pPr>
    </w:p>
    <w:p>
      <w:pPr>
        <w:ind w:left="465" w:right="100"/>
        <w:spacing w:after="0" w:line="259" w:lineRule="auto"/>
        <w:rPr>
          <w:sz w:val="20"/>
          <w:szCs w:val="20"/>
          <w:color w:val="auto"/>
        </w:rPr>
      </w:pPr>
      <w:r>
        <w:rPr>
          <w:rFonts w:ascii="Arial" w:cs="Arial" w:eastAsia="Arial" w:hAnsi="Arial"/>
          <w:sz w:val="18"/>
          <w:szCs w:val="18"/>
          <w:color w:val="auto"/>
        </w:rPr>
        <w:t>The Company’s 2009 Stock Incentive Plan (“2009 Plan”) authorizes the issuance of up to 1,350,000 shares of equity incentive awards including nonqualified and incentive stock options, restricted stock, restricted stock units, stock bonuses and stock appreciation rights subject to the terms of the 2009 Plan. The 2009 Plan limits the amount of restricted stock, restricted stock units and stock bonuses that may be awarded in the aggregate to 200,000 shares of the 1,350,000 shares authorized.</w:t>
      </w:r>
    </w:p>
    <w:p>
      <w:pPr>
        <w:spacing w:after="0" w:line="187" w:lineRule="exact"/>
        <w:rPr>
          <w:sz w:val="20"/>
          <w:szCs w:val="20"/>
          <w:color w:val="auto"/>
        </w:rPr>
      </w:pPr>
    </w:p>
    <w:p>
      <w:pPr>
        <w:jc w:val="both"/>
        <w:ind w:left="465" w:right="240"/>
        <w:spacing w:after="0" w:line="312" w:lineRule="auto"/>
        <w:rPr>
          <w:sz w:val="20"/>
          <w:szCs w:val="20"/>
          <w:color w:val="auto"/>
        </w:rPr>
      </w:pPr>
      <w:r>
        <w:rPr>
          <w:rFonts w:ascii="Arial" w:cs="Arial" w:eastAsia="Arial" w:hAnsi="Arial"/>
          <w:sz w:val="16"/>
          <w:szCs w:val="16"/>
          <w:color w:val="auto"/>
        </w:rPr>
        <w:t>The Company’s 2011 Stock Incentive Plan (“2011 Plan”), as amended, authorizes the issuance of up to 1,350,000 shares of equity incentive awards including nonqualified and incentive stock options, restricted stock, restricted stock units, stock bonuses and stock appreciation rights, subject to the terms of the 2011 Plan. The 2011 Plan does not limit the amount of restricted stock, restricted stock units or stock bonuses that may be awarded.</w:t>
      </w:r>
    </w:p>
    <w:p>
      <w:pPr>
        <w:spacing w:after="0" w:line="147" w:lineRule="exact"/>
        <w:rPr>
          <w:sz w:val="20"/>
          <w:szCs w:val="20"/>
          <w:color w:val="auto"/>
        </w:rPr>
      </w:pPr>
    </w:p>
    <w:p>
      <w:pPr>
        <w:ind w:left="465"/>
        <w:spacing w:after="0" w:line="264" w:lineRule="auto"/>
        <w:rPr>
          <w:sz w:val="20"/>
          <w:szCs w:val="20"/>
          <w:color w:val="auto"/>
        </w:rPr>
      </w:pPr>
      <w:r>
        <w:rPr>
          <w:rFonts w:ascii="Arial" w:cs="Arial" w:eastAsia="Arial" w:hAnsi="Arial"/>
          <w:sz w:val="18"/>
          <w:szCs w:val="18"/>
          <w:color w:val="auto"/>
        </w:rPr>
        <w:t>As of January 1, 2016, there were 289,734 and 75,361 shares available for future grants under the 2011 Plan and 2009 Plan, respectively. Due to plan sub-limits, of the shares available for grant, only 9,728 shares may be awarded under the 2009 Plan in the form of restricted stock, restricted stock units or stock bonuses.</w:t>
      </w:r>
    </w:p>
    <w:p>
      <w:pPr>
        <w:spacing w:after="0" w:line="181" w:lineRule="exact"/>
        <w:rPr>
          <w:sz w:val="20"/>
          <w:szCs w:val="20"/>
          <w:color w:val="auto"/>
        </w:rPr>
      </w:pPr>
    </w:p>
    <w:p>
      <w:pPr>
        <w:ind w:left="465"/>
        <w:spacing w:after="0"/>
        <w:rPr>
          <w:sz w:val="20"/>
          <w:szCs w:val="20"/>
          <w:color w:val="auto"/>
        </w:rPr>
      </w:pPr>
      <w:r>
        <w:rPr>
          <w:rFonts w:ascii="Arial" w:cs="Arial" w:eastAsia="Arial" w:hAnsi="Arial"/>
          <w:sz w:val="18"/>
          <w:szCs w:val="18"/>
          <w:b w:val="1"/>
          <w:bCs w:val="1"/>
          <w:i w:val="1"/>
          <w:iCs w:val="1"/>
          <w:color w:val="auto"/>
        </w:rPr>
        <w:t>Stock Options</w:t>
      </w:r>
    </w:p>
    <w:p>
      <w:pPr>
        <w:spacing w:after="0" w:line="225" w:lineRule="exact"/>
        <w:rPr>
          <w:sz w:val="20"/>
          <w:szCs w:val="20"/>
          <w:color w:val="auto"/>
        </w:rPr>
      </w:pPr>
    </w:p>
    <w:p>
      <w:pPr>
        <w:ind w:left="465" w:right="220"/>
        <w:spacing w:after="0" w:line="342" w:lineRule="auto"/>
        <w:rPr>
          <w:sz w:val="20"/>
          <w:szCs w:val="20"/>
          <w:color w:val="auto"/>
        </w:rPr>
      </w:pPr>
      <w:r>
        <w:rPr>
          <w:rFonts w:ascii="Arial" w:cs="Arial" w:eastAsia="Arial" w:hAnsi="Arial"/>
          <w:sz w:val="16"/>
          <w:szCs w:val="16"/>
          <w:color w:val="auto"/>
        </w:rPr>
        <w:t>Stock options granted generally vest over a three year period, expire 10 years from the date of grant, and are granted at exercise prices equal to or greater than the fair value of the Company’s common stock on the date of grant. Performance-based stock options have not been granted since 2010.</w:t>
      </w:r>
    </w:p>
    <w:p>
      <w:pPr>
        <w:spacing w:after="0" w:line="124" w:lineRule="exact"/>
        <w:rPr>
          <w:sz w:val="20"/>
          <w:szCs w:val="20"/>
          <w:color w:val="auto"/>
        </w:rPr>
      </w:pPr>
    </w:p>
    <w:p>
      <w:pPr>
        <w:ind w:left="465" w:right="280"/>
        <w:spacing w:after="0" w:line="277" w:lineRule="auto"/>
        <w:rPr>
          <w:sz w:val="20"/>
          <w:szCs w:val="20"/>
          <w:color w:val="auto"/>
        </w:rPr>
      </w:pPr>
      <w:r>
        <w:rPr>
          <w:rFonts w:ascii="Arial" w:cs="Arial" w:eastAsia="Arial" w:hAnsi="Arial"/>
          <w:sz w:val="18"/>
          <w:szCs w:val="18"/>
          <w:color w:val="auto"/>
        </w:rPr>
        <w:t>The Company utilizes the Black-Scholes option pricing model to determine the fair value of stock options. Management is required to make certain assumptions with respect to selected model inputs. Expected volatility is based on the</w:t>
      </w:r>
    </w:p>
    <w:p>
      <w:pPr>
        <w:sectPr>
          <w:pgSz w:w="11900" w:h="16838" w:orient="portrait"/>
          <w:cols w:equalWidth="0" w:num="1">
            <w:col w:w="11365"/>
          </w:cols>
          <w:pgMar w:left="275" w:top="337" w:right="259" w:bottom="1440" w:gutter="0" w:footer="0" w:header="0"/>
        </w:sectPr>
      </w:pPr>
    </w:p>
    <w:p>
      <w:pPr>
        <w:spacing w:after="0" w:line="306" w:lineRule="exact"/>
        <w:rPr>
          <w:sz w:val="20"/>
          <w:szCs w:val="20"/>
          <w:color w:val="auto"/>
        </w:rPr>
      </w:pPr>
    </w:p>
    <w:p>
      <w:pPr>
        <w:jc w:val="center"/>
        <w:ind w:right="15"/>
        <w:spacing w:after="0"/>
        <w:rPr>
          <w:sz w:val="20"/>
          <w:szCs w:val="20"/>
          <w:color w:val="auto"/>
        </w:rPr>
      </w:pPr>
      <w:r>
        <w:rPr>
          <w:rFonts w:ascii="Arial" w:cs="Arial" w:eastAsia="Arial" w:hAnsi="Arial"/>
          <w:sz w:val="16"/>
          <w:szCs w:val="16"/>
          <w:color w:val="auto"/>
        </w:rPr>
        <w:t>- 92 -</w:t>
      </w:r>
    </w:p>
    <w:p>
      <w:pPr>
        <w:sectPr>
          <w:pgSz w:w="11900" w:h="16838" w:orient="portrait"/>
          <w:cols w:equalWidth="0" w:num="1">
            <w:col w:w="11365"/>
          </w:cols>
          <w:pgMar w:left="275" w:top="337" w:right="259" w:bottom="1440" w:gutter="0" w:footer="0" w:header="0"/>
          <w:type w:val="continuous"/>
        </w:sectPr>
      </w:pPr>
    </w:p>
    <w:bookmarkStart w:id="93" w:name="page94"/>
    <w:bookmarkEnd w:id="93"/>
    <w:p>
      <w:pPr>
        <w:jc w:val="center"/>
        <w:ind w:right="440"/>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ind w:right="44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spacing w:after="0" w:line="271" w:lineRule="auto"/>
        <w:rPr>
          <w:sz w:val="20"/>
          <w:szCs w:val="20"/>
          <w:color w:val="auto"/>
        </w:rPr>
      </w:pPr>
      <w:r>
        <w:rPr>
          <w:rFonts w:ascii="Arial" w:cs="Arial" w:eastAsia="Arial" w:hAnsi="Arial"/>
          <w:sz w:val="17"/>
          <w:szCs w:val="17"/>
          <w:color w:val="auto"/>
        </w:rPr>
        <w:t>historical volatility of the Company’s stock over the most recent period commensurate with the estimated expected life of the stock options. The expected life of stock options, which represents the period of time that the stock options are expected to be outstanding, is based on historical data. The expected dividend yield is based on the Company’s history and expectation of future dividend payouts. The risk-free interest rate is based on the U.S. Treasury yield curve in effect at the time of grant for a period commensurate with the estimated expected life. If factors change and result in different assumptions, the stock option expense that the Company records for future grants may differ significantly from what the Company recorded in the current period. Stock-based compensation expense is only recorded for those awards that are expected to vest. Pre-vesting forfeiture estimates for determining appropriate stock-based compensation expense are estimated at the time of grant based on historical experience. Revisions are made to those estimates in subsequent periods if actual forfeitures differ from estimated forfeitures.</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color w:val="auto"/>
        </w:rPr>
        <w:t>The weighted-average fair value and assumptions used are as follows:</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4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gridSpan w:val="2"/>
          </w:tcPr>
          <w:p>
            <w:pPr>
              <w:ind w:left="120"/>
              <w:spacing w:after="0"/>
              <w:rPr>
                <w:sz w:val="20"/>
                <w:szCs w:val="20"/>
                <w:color w:val="auto"/>
              </w:rPr>
            </w:pPr>
            <w:r>
              <w:rPr>
                <w:rFonts w:ascii="Arial" w:cs="Arial" w:eastAsia="Arial" w:hAnsi="Arial"/>
                <w:sz w:val="14"/>
                <w:szCs w:val="14"/>
                <w:b w:val="1"/>
                <w:bCs w:val="1"/>
                <w:color w:val="auto"/>
              </w:rPr>
              <w:t>Year Ended</w:t>
            </w:r>
          </w:p>
        </w:tc>
        <w:tc>
          <w:tcPr>
            <w:tcW w:w="24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spacing w:after="0"/>
              <w:rPr>
                <w:sz w:val="16"/>
                <w:szCs w:val="16"/>
                <w:color w:val="auto"/>
              </w:rPr>
            </w:pPr>
          </w:p>
        </w:tc>
      </w:tr>
      <w:tr>
        <w:trPr>
          <w:trHeight w:val="152"/>
        </w:trPr>
        <w:tc>
          <w:tcPr>
            <w:tcW w:w="51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300" w:type="dxa"/>
            <w:vAlign w:val="bottom"/>
            <w:gridSpan w:val="2"/>
          </w:tcPr>
          <w:p>
            <w:pPr>
              <w:ind w:left="120"/>
              <w:spacing w:after="0" w:line="153" w:lineRule="exact"/>
              <w:rPr>
                <w:sz w:val="20"/>
                <w:szCs w:val="20"/>
                <w:color w:val="auto"/>
              </w:rPr>
            </w:pPr>
            <w:r>
              <w:rPr>
                <w:rFonts w:ascii="Arial" w:cs="Arial" w:eastAsia="Arial" w:hAnsi="Arial"/>
                <w:sz w:val="14"/>
                <w:szCs w:val="14"/>
                <w:b w:val="1"/>
                <w:bCs w:val="1"/>
                <w:color w:val="auto"/>
              </w:rPr>
              <w:t>January 1,</w:t>
            </w:r>
          </w:p>
        </w:tc>
        <w:tc>
          <w:tcPr>
            <w:tcW w:w="240" w:type="dxa"/>
            <w:vAlign w:val="bottom"/>
          </w:tcPr>
          <w:p>
            <w:pPr>
              <w:spacing w:after="0"/>
              <w:rPr>
                <w:sz w:val="13"/>
                <w:szCs w:val="13"/>
                <w:color w:val="auto"/>
              </w:rPr>
            </w:pPr>
          </w:p>
        </w:tc>
        <w:tc>
          <w:tcPr>
            <w:tcW w:w="1300" w:type="dxa"/>
            <w:vAlign w:val="bottom"/>
            <w:gridSpan w:val="2"/>
          </w:tcPr>
          <w:p>
            <w:pPr>
              <w:ind w:left="120"/>
              <w:spacing w:after="0" w:line="153" w:lineRule="exact"/>
              <w:rPr>
                <w:sz w:val="20"/>
                <w:szCs w:val="20"/>
                <w:color w:val="auto"/>
              </w:rPr>
            </w:pPr>
            <w:r>
              <w:rPr>
                <w:rFonts w:ascii="Arial" w:cs="Arial" w:eastAsia="Arial" w:hAnsi="Arial"/>
                <w:sz w:val="14"/>
                <w:szCs w:val="14"/>
                <w:b w:val="1"/>
                <w:bCs w:val="1"/>
                <w:color w:val="auto"/>
              </w:rPr>
              <w:t>January 2,</w:t>
            </w:r>
          </w:p>
        </w:tc>
        <w:tc>
          <w:tcPr>
            <w:tcW w:w="240" w:type="dxa"/>
            <w:vAlign w:val="bottom"/>
          </w:tcPr>
          <w:p>
            <w:pPr>
              <w:spacing w:after="0"/>
              <w:rPr>
                <w:sz w:val="13"/>
                <w:szCs w:val="13"/>
                <w:color w:val="auto"/>
              </w:rPr>
            </w:pPr>
          </w:p>
        </w:tc>
        <w:tc>
          <w:tcPr>
            <w:tcW w:w="1200" w:type="dxa"/>
            <w:vAlign w:val="bottom"/>
          </w:tcPr>
          <w:p>
            <w:pPr>
              <w:jc w:val="right"/>
              <w:ind w:right="334"/>
              <w:spacing w:after="0" w:line="153" w:lineRule="exact"/>
              <w:rPr>
                <w:sz w:val="20"/>
                <w:szCs w:val="20"/>
                <w:color w:val="auto"/>
              </w:rPr>
            </w:pPr>
            <w:r>
              <w:rPr>
                <w:rFonts w:ascii="Arial" w:cs="Arial" w:eastAsia="Arial" w:hAnsi="Arial"/>
                <w:sz w:val="14"/>
                <w:szCs w:val="14"/>
                <w:b w:val="1"/>
                <w:bCs w:val="1"/>
                <w:color w:val="auto"/>
              </w:rPr>
              <w:t>January 3,</w:t>
            </w:r>
          </w:p>
        </w:tc>
      </w:tr>
      <w:tr>
        <w:trPr>
          <w:trHeight w:val="192"/>
        </w:trPr>
        <w:tc>
          <w:tcPr>
            <w:tcW w:w="514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494"/>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496"/>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494"/>
              <w:spacing w:after="0"/>
              <w:rPr>
                <w:sz w:val="20"/>
                <w:szCs w:val="20"/>
                <w:color w:val="auto"/>
              </w:rPr>
            </w:pPr>
            <w:r>
              <w:rPr>
                <w:rFonts w:ascii="Arial" w:cs="Arial" w:eastAsia="Arial" w:hAnsi="Arial"/>
                <w:sz w:val="14"/>
                <w:szCs w:val="14"/>
                <w:b w:val="1"/>
                <w:bCs w:val="1"/>
                <w:color w:val="auto"/>
              </w:rPr>
              <w:t>2014</w:t>
            </w:r>
          </w:p>
        </w:tc>
      </w:tr>
      <w:tr>
        <w:trPr>
          <w:trHeight w:val="250"/>
        </w:trPr>
        <w:tc>
          <w:tcPr>
            <w:tcW w:w="5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Weighted average grant date fair value</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14"/>
              <w:spacing w:after="0"/>
              <w:rPr>
                <w:sz w:val="20"/>
                <w:szCs w:val="20"/>
                <w:color w:val="auto"/>
              </w:rPr>
            </w:pPr>
            <w:r>
              <w:rPr>
                <w:rFonts w:ascii="Arial" w:cs="Arial" w:eastAsia="Arial" w:hAnsi="Arial"/>
                <w:sz w:val="18"/>
                <w:szCs w:val="18"/>
                <w:color w:val="auto"/>
              </w:rPr>
              <w:t>12.18</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16"/>
              <w:spacing w:after="0"/>
              <w:rPr>
                <w:sz w:val="20"/>
                <w:szCs w:val="20"/>
                <w:color w:val="auto"/>
              </w:rPr>
            </w:pPr>
            <w:r>
              <w:rPr>
                <w:rFonts w:ascii="Arial" w:cs="Arial" w:eastAsia="Arial" w:hAnsi="Arial"/>
                <w:sz w:val="18"/>
                <w:szCs w:val="18"/>
                <w:color w:val="auto"/>
              </w:rPr>
              <w:t>16.43</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14"/>
              <w:spacing w:after="0"/>
              <w:rPr>
                <w:sz w:val="20"/>
                <w:szCs w:val="20"/>
                <w:color w:val="auto"/>
              </w:rPr>
            </w:pPr>
            <w:r>
              <w:rPr>
                <w:rFonts w:ascii="Arial" w:cs="Arial" w:eastAsia="Arial" w:hAnsi="Arial"/>
                <w:sz w:val="18"/>
                <w:szCs w:val="18"/>
                <w:color w:val="auto"/>
              </w:rPr>
              <w:t>8.38</w:t>
            </w:r>
          </w:p>
        </w:tc>
      </w:tr>
      <w:tr>
        <w:trPr>
          <w:trHeight w:val="243"/>
        </w:trPr>
        <w:tc>
          <w:tcPr>
            <w:tcW w:w="5140" w:type="dxa"/>
            <w:vAlign w:val="bottom"/>
          </w:tcPr>
          <w:p>
            <w:pPr>
              <w:ind w:left="20"/>
              <w:spacing w:after="0"/>
              <w:rPr>
                <w:sz w:val="20"/>
                <w:szCs w:val="20"/>
                <w:color w:val="auto"/>
              </w:rPr>
            </w:pPr>
            <w:r>
              <w:rPr>
                <w:rFonts w:ascii="Arial" w:cs="Arial" w:eastAsia="Arial" w:hAnsi="Arial"/>
                <w:sz w:val="18"/>
                <w:szCs w:val="18"/>
                <w:color w:val="auto"/>
              </w:rPr>
              <w:t>Risk-free interest rate</w:t>
            </w:r>
          </w:p>
        </w:tc>
        <w:tc>
          <w:tcPr>
            <w:tcW w:w="24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1.55%</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1.73%</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0.73%</w:t>
            </w:r>
          </w:p>
        </w:tc>
      </w:tr>
      <w:tr>
        <w:trPr>
          <w:trHeight w:val="27"/>
        </w:trPr>
        <w:tc>
          <w:tcPr>
            <w:tcW w:w="51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5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Expected volatility</w:t>
            </w:r>
          </w:p>
        </w:tc>
        <w:tc>
          <w:tcPr>
            <w:tcW w:w="24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w:t>
            </w:r>
          </w:p>
        </w:tc>
      </w:tr>
      <w:tr>
        <w:trPr>
          <w:trHeight w:val="243"/>
        </w:trPr>
        <w:tc>
          <w:tcPr>
            <w:tcW w:w="5140" w:type="dxa"/>
            <w:vAlign w:val="bottom"/>
          </w:tcPr>
          <w:p>
            <w:pPr>
              <w:ind w:left="20"/>
              <w:spacing w:after="0"/>
              <w:rPr>
                <w:sz w:val="20"/>
                <w:szCs w:val="20"/>
                <w:color w:val="auto"/>
              </w:rPr>
            </w:pPr>
            <w:r>
              <w:rPr>
                <w:rFonts w:ascii="Arial" w:cs="Arial" w:eastAsia="Arial" w:hAnsi="Arial"/>
                <w:sz w:val="18"/>
                <w:szCs w:val="18"/>
                <w:color w:val="auto"/>
              </w:rPr>
              <w:t>Expected life (in years)</w:t>
            </w:r>
          </w:p>
        </w:tc>
        <w:tc>
          <w:tcPr>
            <w:tcW w:w="240" w:type="dxa"/>
            <w:vAlign w:val="bottom"/>
          </w:tcPr>
          <w:p>
            <w:pPr>
              <w:spacing w:after="0"/>
              <w:rPr>
                <w:sz w:val="21"/>
                <w:szCs w:val="21"/>
                <w:color w:val="auto"/>
              </w:rPr>
            </w:pPr>
          </w:p>
        </w:tc>
        <w:tc>
          <w:tcPr>
            <w:tcW w:w="1200" w:type="dxa"/>
            <w:vAlign w:val="bottom"/>
          </w:tcPr>
          <w:p>
            <w:pPr>
              <w:jc w:val="right"/>
              <w:ind w:right="114"/>
              <w:spacing w:after="0"/>
              <w:rPr>
                <w:sz w:val="20"/>
                <w:szCs w:val="20"/>
                <w:color w:val="auto"/>
              </w:rPr>
            </w:pPr>
            <w:r>
              <w:rPr>
                <w:rFonts w:ascii="Arial" w:cs="Arial" w:eastAsia="Arial" w:hAnsi="Arial"/>
                <w:sz w:val="18"/>
                <w:szCs w:val="18"/>
                <w:color w:val="auto"/>
              </w:rPr>
              <w:t>4.7</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00" w:type="dxa"/>
            <w:vAlign w:val="bottom"/>
          </w:tcPr>
          <w:p>
            <w:pPr>
              <w:jc w:val="right"/>
              <w:ind w:right="116"/>
              <w:spacing w:after="0"/>
              <w:rPr>
                <w:sz w:val="20"/>
                <w:szCs w:val="20"/>
                <w:color w:val="auto"/>
              </w:rPr>
            </w:pPr>
            <w:r>
              <w:rPr>
                <w:rFonts w:ascii="Arial" w:cs="Arial" w:eastAsia="Arial" w:hAnsi="Arial"/>
                <w:sz w:val="18"/>
                <w:szCs w:val="18"/>
                <w:color w:val="auto"/>
              </w:rPr>
              <w:t>5.3</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00" w:type="dxa"/>
            <w:vAlign w:val="bottom"/>
          </w:tcPr>
          <w:p>
            <w:pPr>
              <w:jc w:val="right"/>
              <w:ind w:right="114"/>
              <w:spacing w:after="0"/>
              <w:rPr>
                <w:sz w:val="20"/>
                <w:szCs w:val="20"/>
                <w:color w:val="auto"/>
              </w:rPr>
            </w:pPr>
            <w:r>
              <w:rPr>
                <w:rFonts w:ascii="Arial" w:cs="Arial" w:eastAsia="Arial" w:hAnsi="Arial"/>
                <w:sz w:val="18"/>
                <w:szCs w:val="18"/>
                <w:color w:val="auto"/>
              </w:rPr>
              <w:t>5.3</w:t>
            </w:r>
          </w:p>
        </w:tc>
      </w:tr>
      <w:tr>
        <w:trPr>
          <w:trHeight w:val="27"/>
        </w:trPr>
        <w:tc>
          <w:tcPr>
            <w:tcW w:w="51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5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Expected dividend yield</w:t>
            </w:r>
          </w:p>
        </w:tc>
        <w:tc>
          <w:tcPr>
            <w:tcW w:w="24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w:t>
            </w:r>
          </w:p>
        </w:tc>
      </w:tr>
      <w:tr>
        <w:trPr>
          <w:trHeight w:val="243"/>
        </w:trPr>
        <w:tc>
          <w:tcPr>
            <w:tcW w:w="5140" w:type="dxa"/>
            <w:vAlign w:val="bottom"/>
          </w:tcPr>
          <w:p>
            <w:pPr>
              <w:ind w:left="20"/>
              <w:spacing w:after="0"/>
              <w:rPr>
                <w:sz w:val="20"/>
                <w:szCs w:val="20"/>
                <w:color w:val="auto"/>
              </w:rPr>
            </w:pPr>
            <w:r>
              <w:rPr>
                <w:rFonts w:ascii="Arial" w:cs="Arial" w:eastAsia="Arial" w:hAnsi="Arial"/>
                <w:sz w:val="18"/>
                <w:szCs w:val="18"/>
                <w:color w:val="auto"/>
              </w:rPr>
              <w:t>Annual prevesting forfeiture rate</w:t>
            </w:r>
          </w:p>
        </w:tc>
        <w:tc>
          <w:tcPr>
            <w:tcW w:w="24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9%</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9%</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9%</w:t>
            </w:r>
          </w:p>
        </w:tc>
      </w:tr>
    </w:tbl>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summarizes time and performance-vested stock option activity:</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02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8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1"/>
              </w:rPr>
              <w:t>Weighted</w:t>
            </w:r>
          </w:p>
        </w:tc>
        <w:tc>
          <w:tcPr>
            <w:tcW w:w="22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402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260" w:type="dxa"/>
            <w:vAlign w:val="bottom"/>
            <w:gridSpan w:val="2"/>
            <w:vMerge w:val="restart"/>
          </w:tcPr>
          <w:p>
            <w:pPr>
              <w:jc w:val="center"/>
              <w:ind w:right="360"/>
              <w:spacing w:after="0"/>
              <w:rPr>
                <w:sz w:val="20"/>
                <w:szCs w:val="20"/>
                <w:color w:val="auto"/>
              </w:rPr>
            </w:pPr>
            <w:r>
              <w:rPr>
                <w:rFonts w:ascii="Arial" w:cs="Arial" w:eastAsia="Arial" w:hAnsi="Arial"/>
                <w:sz w:val="14"/>
                <w:szCs w:val="14"/>
                <w:b w:val="1"/>
                <w:bCs w:val="1"/>
                <w:color w:val="auto"/>
                <w:w w:val="91"/>
              </w:rPr>
              <w:t>Weighted</w:t>
            </w:r>
          </w:p>
        </w:tc>
        <w:tc>
          <w:tcPr>
            <w:tcW w:w="14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0"/>
              </w:rPr>
              <w:t>Average</w:t>
            </w:r>
          </w:p>
        </w:tc>
        <w:tc>
          <w:tcPr>
            <w:tcW w:w="220" w:type="dxa"/>
            <w:vAlign w:val="bottom"/>
          </w:tcPr>
          <w:p>
            <w:pPr>
              <w:spacing w:after="0"/>
              <w:rPr>
                <w:sz w:val="12"/>
                <w:szCs w:val="12"/>
                <w:color w:val="auto"/>
              </w:rPr>
            </w:pPr>
          </w:p>
        </w:tc>
        <w:tc>
          <w:tcPr>
            <w:tcW w:w="1180" w:type="dxa"/>
            <w:vAlign w:val="bottom"/>
            <w:vMerge w:val="restart"/>
          </w:tcPr>
          <w:p>
            <w:pPr>
              <w:jc w:val="center"/>
              <w:ind w:right="120"/>
              <w:spacing w:after="0"/>
              <w:rPr>
                <w:sz w:val="20"/>
                <w:szCs w:val="20"/>
                <w:color w:val="auto"/>
              </w:rPr>
            </w:pPr>
            <w:r>
              <w:rPr>
                <w:rFonts w:ascii="Arial" w:cs="Arial" w:eastAsia="Arial" w:hAnsi="Arial"/>
                <w:sz w:val="14"/>
                <w:szCs w:val="14"/>
                <w:b w:val="1"/>
                <w:bCs w:val="1"/>
                <w:color w:val="auto"/>
                <w:w w:val="89"/>
              </w:rPr>
              <w:t>Aggregate</w:t>
            </w:r>
          </w:p>
        </w:tc>
        <w:tc>
          <w:tcPr>
            <w:tcW w:w="0" w:type="dxa"/>
            <w:vAlign w:val="bottom"/>
          </w:tcPr>
          <w:p>
            <w:pPr>
              <w:spacing w:after="0"/>
              <w:rPr>
                <w:sz w:val="1"/>
                <w:szCs w:val="1"/>
                <w:color w:val="auto"/>
              </w:rPr>
            </w:pPr>
          </w:p>
        </w:tc>
      </w:tr>
      <w:tr>
        <w:trPr>
          <w:trHeight w:val="149"/>
        </w:trPr>
        <w:tc>
          <w:tcPr>
            <w:tcW w:w="4020" w:type="dxa"/>
            <w:vAlign w:val="bottom"/>
          </w:tcPr>
          <w:p>
            <w:pPr>
              <w:spacing w:after="0"/>
              <w:rPr>
                <w:sz w:val="12"/>
                <w:szCs w:val="12"/>
                <w:color w:val="auto"/>
              </w:rPr>
            </w:pPr>
          </w:p>
        </w:tc>
        <w:tc>
          <w:tcPr>
            <w:tcW w:w="148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4"/>
              </w:rPr>
              <w:t>Number of</w:t>
            </w:r>
          </w:p>
        </w:tc>
        <w:tc>
          <w:tcPr>
            <w:tcW w:w="260" w:type="dxa"/>
            <w:vAlign w:val="bottom"/>
          </w:tcPr>
          <w:p>
            <w:pPr>
              <w:spacing w:after="0"/>
              <w:rPr>
                <w:sz w:val="12"/>
                <w:szCs w:val="12"/>
                <w:color w:val="auto"/>
              </w:rPr>
            </w:pPr>
          </w:p>
        </w:tc>
        <w:tc>
          <w:tcPr>
            <w:tcW w:w="1260" w:type="dxa"/>
            <w:vAlign w:val="bottom"/>
            <w:gridSpan w:val="2"/>
            <w:vMerge w:val="continue"/>
          </w:tcPr>
          <w:p>
            <w:pPr>
              <w:spacing w:after="0"/>
              <w:rPr>
                <w:sz w:val="12"/>
                <w:szCs w:val="12"/>
                <w:color w:val="auto"/>
              </w:rPr>
            </w:pPr>
          </w:p>
        </w:tc>
        <w:tc>
          <w:tcPr>
            <w:tcW w:w="14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2"/>
              </w:rPr>
              <w:t>Remaining</w:t>
            </w:r>
          </w:p>
        </w:tc>
        <w:tc>
          <w:tcPr>
            <w:tcW w:w="220" w:type="dxa"/>
            <w:vAlign w:val="bottom"/>
          </w:tcPr>
          <w:p>
            <w:pPr>
              <w:spacing w:after="0"/>
              <w:rPr>
                <w:sz w:val="12"/>
                <w:szCs w:val="12"/>
                <w:color w:val="auto"/>
              </w:rPr>
            </w:pPr>
          </w:p>
        </w:tc>
        <w:tc>
          <w:tcPr>
            <w:tcW w:w="11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020" w:type="dxa"/>
            <w:vAlign w:val="bottom"/>
          </w:tcPr>
          <w:p>
            <w:pPr>
              <w:spacing w:after="0"/>
              <w:rPr>
                <w:sz w:val="12"/>
                <w:szCs w:val="12"/>
                <w:color w:val="auto"/>
              </w:rPr>
            </w:pPr>
          </w:p>
        </w:tc>
        <w:tc>
          <w:tcPr>
            <w:tcW w:w="1480" w:type="dxa"/>
            <w:vAlign w:val="bottom"/>
            <w:gridSpan w:val="2"/>
            <w:vMerge w:val="continue"/>
          </w:tcPr>
          <w:p>
            <w:pPr>
              <w:spacing w:after="0"/>
              <w:rPr>
                <w:sz w:val="12"/>
                <w:szCs w:val="12"/>
                <w:color w:val="auto"/>
              </w:rPr>
            </w:pPr>
          </w:p>
        </w:tc>
        <w:tc>
          <w:tcPr>
            <w:tcW w:w="260" w:type="dxa"/>
            <w:vAlign w:val="bottom"/>
          </w:tcPr>
          <w:p>
            <w:pPr>
              <w:spacing w:after="0"/>
              <w:rPr>
                <w:sz w:val="12"/>
                <w:szCs w:val="12"/>
                <w:color w:val="auto"/>
              </w:rPr>
            </w:pPr>
          </w:p>
        </w:tc>
        <w:tc>
          <w:tcPr>
            <w:tcW w:w="126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0"/>
              </w:rPr>
              <w:t>Average</w:t>
            </w:r>
          </w:p>
        </w:tc>
        <w:tc>
          <w:tcPr>
            <w:tcW w:w="14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5"/>
              </w:rPr>
              <w:t>Contractual</w:t>
            </w:r>
          </w:p>
        </w:tc>
        <w:tc>
          <w:tcPr>
            <w:tcW w:w="220" w:type="dxa"/>
            <w:vAlign w:val="bottom"/>
          </w:tcPr>
          <w:p>
            <w:pPr>
              <w:spacing w:after="0"/>
              <w:rPr>
                <w:sz w:val="12"/>
                <w:szCs w:val="12"/>
                <w:color w:val="auto"/>
              </w:rPr>
            </w:pPr>
          </w:p>
        </w:tc>
        <w:tc>
          <w:tcPr>
            <w:tcW w:w="1180" w:type="dxa"/>
            <w:vAlign w:val="bottom"/>
          </w:tcPr>
          <w:p>
            <w:pPr>
              <w:jc w:val="center"/>
              <w:ind w:right="140"/>
              <w:spacing w:after="0" w:line="149" w:lineRule="exact"/>
              <w:rPr>
                <w:sz w:val="20"/>
                <w:szCs w:val="20"/>
                <w:color w:val="auto"/>
              </w:rPr>
            </w:pPr>
            <w:r>
              <w:rPr>
                <w:rFonts w:ascii="Arial" w:cs="Arial" w:eastAsia="Arial" w:hAnsi="Arial"/>
                <w:sz w:val="14"/>
                <w:szCs w:val="14"/>
                <w:b w:val="1"/>
                <w:bCs w:val="1"/>
                <w:color w:val="auto"/>
                <w:w w:val="95"/>
              </w:rPr>
              <w:t>Intrinsic</w:t>
            </w:r>
          </w:p>
        </w:tc>
        <w:tc>
          <w:tcPr>
            <w:tcW w:w="0" w:type="dxa"/>
            <w:vAlign w:val="bottom"/>
          </w:tcPr>
          <w:p>
            <w:pPr>
              <w:spacing w:after="0"/>
              <w:rPr>
                <w:sz w:val="1"/>
                <w:szCs w:val="1"/>
                <w:color w:val="auto"/>
              </w:rPr>
            </w:pPr>
          </w:p>
        </w:tc>
      </w:tr>
      <w:tr>
        <w:trPr>
          <w:trHeight w:val="149"/>
        </w:trPr>
        <w:tc>
          <w:tcPr>
            <w:tcW w:w="4020" w:type="dxa"/>
            <w:vAlign w:val="bottom"/>
          </w:tcPr>
          <w:p>
            <w:pPr>
              <w:spacing w:after="0"/>
              <w:rPr>
                <w:sz w:val="12"/>
                <w:szCs w:val="12"/>
                <w:color w:val="auto"/>
              </w:rPr>
            </w:pPr>
          </w:p>
        </w:tc>
        <w:tc>
          <w:tcPr>
            <w:tcW w:w="14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9"/>
              </w:rPr>
              <w:t>Stock</w:t>
            </w:r>
          </w:p>
        </w:tc>
        <w:tc>
          <w:tcPr>
            <w:tcW w:w="260" w:type="dxa"/>
            <w:vAlign w:val="bottom"/>
          </w:tcPr>
          <w:p>
            <w:pPr>
              <w:spacing w:after="0"/>
              <w:rPr>
                <w:sz w:val="12"/>
                <w:szCs w:val="12"/>
                <w:color w:val="auto"/>
              </w:rPr>
            </w:pPr>
          </w:p>
        </w:tc>
        <w:tc>
          <w:tcPr>
            <w:tcW w:w="126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90"/>
              </w:rPr>
              <w:t>Exercise</w:t>
            </w:r>
          </w:p>
        </w:tc>
        <w:tc>
          <w:tcPr>
            <w:tcW w:w="14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6"/>
              </w:rPr>
              <w:t>Life</w:t>
            </w:r>
          </w:p>
        </w:tc>
        <w:tc>
          <w:tcPr>
            <w:tcW w:w="220" w:type="dxa"/>
            <w:vAlign w:val="bottom"/>
          </w:tcPr>
          <w:p>
            <w:pPr>
              <w:spacing w:after="0"/>
              <w:rPr>
                <w:sz w:val="12"/>
                <w:szCs w:val="12"/>
                <w:color w:val="auto"/>
              </w:rPr>
            </w:pPr>
          </w:p>
        </w:tc>
        <w:tc>
          <w:tcPr>
            <w:tcW w:w="1180" w:type="dxa"/>
            <w:vAlign w:val="bottom"/>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Value</w:t>
            </w:r>
          </w:p>
        </w:tc>
        <w:tc>
          <w:tcPr>
            <w:tcW w:w="0" w:type="dxa"/>
            <w:vAlign w:val="bottom"/>
          </w:tcPr>
          <w:p>
            <w:pPr>
              <w:spacing w:after="0"/>
              <w:rPr>
                <w:sz w:val="1"/>
                <w:szCs w:val="1"/>
                <w:color w:val="auto"/>
              </w:rPr>
            </w:pPr>
          </w:p>
        </w:tc>
      </w:tr>
      <w:tr>
        <w:trPr>
          <w:trHeight w:val="192"/>
        </w:trPr>
        <w:tc>
          <w:tcPr>
            <w:tcW w:w="4020" w:type="dxa"/>
            <w:vAlign w:val="bottom"/>
          </w:tcPr>
          <w:p>
            <w:pPr>
              <w:spacing w:after="0"/>
              <w:rPr>
                <w:sz w:val="16"/>
                <w:szCs w:val="16"/>
                <w:color w:val="auto"/>
              </w:rPr>
            </w:pPr>
          </w:p>
        </w:tc>
        <w:tc>
          <w:tcPr>
            <w:tcW w:w="148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4"/>
              </w:rPr>
              <w:t>Options</w:t>
            </w:r>
          </w:p>
        </w:tc>
        <w:tc>
          <w:tcPr>
            <w:tcW w:w="260" w:type="dxa"/>
            <w:vAlign w:val="bottom"/>
          </w:tcPr>
          <w:p>
            <w:pPr>
              <w:spacing w:after="0"/>
              <w:rPr>
                <w:sz w:val="16"/>
                <w:szCs w:val="16"/>
                <w:color w:val="auto"/>
              </w:rPr>
            </w:pPr>
          </w:p>
        </w:tc>
        <w:tc>
          <w:tcPr>
            <w:tcW w:w="126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3"/>
              </w:rPr>
              <w:t>Price</w:t>
            </w:r>
          </w:p>
        </w:tc>
        <w:tc>
          <w:tcPr>
            <w:tcW w:w="148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7"/>
              </w:rPr>
              <w:t>(In Years)</w:t>
            </w:r>
          </w:p>
        </w:tc>
        <w:tc>
          <w:tcPr>
            <w:tcW w:w="220" w:type="dxa"/>
            <w:vAlign w:val="bottom"/>
          </w:tcPr>
          <w:p>
            <w:pPr>
              <w:spacing w:after="0"/>
              <w:rPr>
                <w:sz w:val="16"/>
                <w:szCs w:val="16"/>
                <w:color w:val="auto"/>
              </w:rPr>
            </w:pPr>
          </w:p>
        </w:tc>
        <w:tc>
          <w:tcPr>
            <w:tcW w:w="1180" w:type="dxa"/>
            <w:vAlign w:val="bottom"/>
          </w:tcPr>
          <w:p>
            <w:pPr>
              <w:jc w:val="center"/>
              <w:ind w:right="120"/>
              <w:spacing w:after="0"/>
              <w:rPr>
                <w:sz w:val="20"/>
                <w:szCs w:val="20"/>
                <w:color w:val="auto"/>
              </w:rPr>
            </w:pPr>
            <w:r>
              <w:rPr>
                <w:rFonts w:ascii="Arial" w:cs="Arial" w:eastAsia="Arial" w:hAnsi="Arial"/>
                <w:sz w:val="14"/>
                <w:szCs w:val="14"/>
                <w:b w:val="1"/>
                <w:bCs w:val="1"/>
                <w:color w:val="auto"/>
              </w:rPr>
              <w:t>(In Millions)</w:t>
            </w:r>
          </w:p>
        </w:tc>
        <w:tc>
          <w:tcPr>
            <w:tcW w:w="0" w:type="dxa"/>
            <w:vAlign w:val="bottom"/>
          </w:tcPr>
          <w:p>
            <w:pPr>
              <w:spacing w:after="0"/>
              <w:rPr>
                <w:sz w:val="1"/>
                <w:szCs w:val="1"/>
                <w:color w:val="auto"/>
              </w:rPr>
            </w:pPr>
          </w:p>
        </w:tc>
      </w:tr>
      <w:tr>
        <w:trPr>
          <w:trHeight w:val="250"/>
        </w:trPr>
        <w:tc>
          <w:tcPr>
            <w:tcW w:w="402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Outstanding at December 28, 2012</w:t>
            </w:r>
          </w:p>
        </w:tc>
        <w:tc>
          <w:tcPr>
            <w:tcW w:w="1380" w:type="dxa"/>
            <w:vAlign w:val="bottom"/>
            <w:tcBorders>
              <w:top w:val="single" w:sz="8" w:color="auto"/>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2,060,772</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23.18</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3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CCEEFF"/>
            </w:tcBorders>
            <w:shd w:val="clear" w:color="auto" w:fill="CCEEFF"/>
          </w:tcPr>
          <w:p>
            <w:pPr>
              <w:spacing w:after="0"/>
              <w:rPr>
                <w:sz w:val="21"/>
                <w:szCs w:val="21"/>
                <w:color w:val="auto"/>
              </w:rPr>
            </w:pPr>
          </w:p>
        </w:tc>
        <w:tc>
          <w:tcPr>
            <w:tcW w:w="118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020" w:type="dxa"/>
            <w:vAlign w:val="bottom"/>
          </w:tcPr>
          <w:p>
            <w:pPr>
              <w:ind w:left="380"/>
              <w:spacing w:after="0"/>
              <w:rPr>
                <w:sz w:val="20"/>
                <w:szCs w:val="20"/>
                <w:color w:val="auto"/>
              </w:rPr>
            </w:pPr>
            <w:r>
              <w:rPr>
                <w:rFonts w:ascii="Arial" w:cs="Arial" w:eastAsia="Arial" w:hAnsi="Arial"/>
                <w:sz w:val="18"/>
                <w:szCs w:val="18"/>
                <w:color w:val="auto"/>
              </w:rPr>
              <w:t>Granted</w:t>
            </w:r>
          </w:p>
        </w:tc>
        <w:tc>
          <w:tcPr>
            <w:tcW w:w="1380" w:type="dxa"/>
            <w:vAlign w:val="bottom"/>
          </w:tcPr>
          <w:p>
            <w:pPr>
              <w:jc w:val="right"/>
              <w:ind w:right="13"/>
              <w:spacing w:after="0"/>
              <w:rPr>
                <w:sz w:val="20"/>
                <w:szCs w:val="20"/>
                <w:color w:val="auto"/>
              </w:rPr>
            </w:pPr>
            <w:r>
              <w:rPr>
                <w:rFonts w:ascii="Arial" w:cs="Arial" w:eastAsia="Arial" w:hAnsi="Arial"/>
                <w:sz w:val="18"/>
                <w:szCs w:val="18"/>
                <w:color w:val="auto"/>
              </w:rPr>
              <w:t>372,676</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23.33</w:t>
            </w:r>
          </w:p>
        </w:tc>
        <w:tc>
          <w:tcPr>
            <w:tcW w:w="12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40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0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Exercised</w:t>
            </w: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(551,092)</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23.24</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020" w:type="dxa"/>
            <w:vAlign w:val="bottom"/>
          </w:tcPr>
          <w:p>
            <w:pPr>
              <w:ind w:left="380"/>
              <w:spacing w:after="0"/>
              <w:rPr>
                <w:sz w:val="20"/>
                <w:szCs w:val="20"/>
                <w:color w:val="auto"/>
              </w:rPr>
            </w:pPr>
            <w:r>
              <w:rPr>
                <w:rFonts w:ascii="Arial" w:cs="Arial" w:eastAsia="Arial" w:hAnsi="Arial"/>
                <w:sz w:val="18"/>
                <w:szCs w:val="18"/>
                <w:color w:val="auto"/>
              </w:rPr>
              <w:t>Forfeited or expired</w:t>
            </w:r>
          </w:p>
        </w:tc>
        <w:tc>
          <w:tcPr>
            <w:tcW w:w="1380" w:type="dxa"/>
            <w:vAlign w:val="bottom"/>
          </w:tcPr>
          <w:p>
            <w:pPr>
              <w:jc w:val="right"/>
              <w:spacing w:after="0"/>
              <w:rPr>
                <w:sz w:val="20"/>
                <w:szCs w:val="20"/>
                <w:color w:val="auto"/>
              </w:rPr>
            </w:pPr>
            <w:r>
              <w:rPr>
                <w:rFonts w:ascii="Arial" w:cs="Arial" w:eastAsia="Arial" w:hAnsi="Arial"/>
                <w:sz w:val="18"/>
                <w:szCs w:val="18"/>
                <w:color w:val="auto"/>
              </w:rPr>
              <w:t>(88,686)</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28.05</w:t>
            </w:r>
          </w:p>
        </w:tc>
        <w:tc>
          <w:tcPr>
            <w:tcW w:w="12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4020" w:type="dxa"/>
            <w:vAlign w:val="bottom"/>
            <w:tcBorders>
              <w:bottom w:val="single" w:sz="8" w:color="CCEEFF"/>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CCEEFF"/>
            </w:tcBorders>
          </w:tcPr>
          <w:p>
            <w:pPr>
              <w:spacing w:after="0"/>
              <w:rPr>
                <w:sz w:val="2"/>
                <w:szCs w:val="2"/>
                <w:color w:val="auto"/>
              </w:rPr>
            </w:pPr>
          </w:p>
        </w:tc>
        <w:tc>
          <w:tcPr>
            <w:tcW w:w="114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8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118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Outstanding at January 3, 2014</w:t>
            </w:r>
          </w:p>
        </w:tc>
        <w:tc>
          <w:tcPr>
            <w:tcW w:w="13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1,793,670</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22.96</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020" w:type="dxa"/>
            <w:vAlign w:val="bottom"/>
          </w:tcPr>
          <w:p>
            <w:pPr>
              <w:ind w:left="380"/>
              <w:spacing w:after="0"/>
              <w:rPr>
                <w:sz w:val="20"/>
                <w:szCs w:val="20"/>
                <w:color w:val="auto"/>
              </w:rPr>
            </w:pPr>
            <w:r>
              <w:rPr>
                <w:rFonts w:ascii="Arial" w:cs="Arial" w:eastAsia="Arial" w:hAnsi="Arial"/>
                <w:sz w:val="18"/>
                <w:szCs w:val="18"/>
                <w:color w:val="auto"/>
              </w:rPr>
              <w:t>Granted</w:t>
            </w:r>
          </w:p>
        </w:tc>
        <w:tc>
          <w:tcPr>
            <w:tcW w:w="1380" w:type="dxa"/>
            <w:vAlign w:val="bottom"/>
          </w:tcPr>
          <w:p>
            <w:pPr>
              <w:jc w:val="right"/>
              <w:ind w:right="13"/>
              <w:spacing w:after="0"/>
              <w:rPr>
                <w:sz w:val="20"/>
                <w:szCs w:val="20"/>
                <w:color w:val="auto"/>
              </w:rPr>
            </w:pPr>
            <w:r>
              <w:rPr>
                <w:rFonts w:ascii="Arial" w:cs="Arial" w:eastAsia="Arial" w:hAnsi="Arial"/>
                <w:sz w:val="18"/>
                <w:szCs w:val="18"/>
                <w:color w:val="auto"/>
              </w:rPr>
              <w:t>183,571</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43.84</w:t>
            </w:r>
          </w:p>
        </w:tc>
        <w:tc>
          <w:tcPr>
            <w:tcW w:w="12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40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0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Exercised</w:t>
            </w: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(353,625)</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23.41</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020" w:type="dxa"/>
            <w:vAlign w:val="bottom"/>
          </w:tcPr>
          <w:p>
            <w:pPr>
              <w:ind w:left="380"/>
              <w:spacing w:after="0"/>
              <w:rPr>
                <w:sz w:val="20"/>
                <w:szCs w:val="20"/>
                <w:color w:val="auto"/>
              </w:rPr>
            </w:pPr>
            <w:r>
              <w:rPr>
                <w:rFonts w:ascii="Arial" w:cs="Arial" w:eastAsia="Arial" w:hAnsi="Arial"/>
                <w:sz w:val="18"/>
                <w:szCs w:val="18"/>
                <w:color w:val="auto"/>
              </w:rPr>
              <w:t>Forfeited or expired</w:t>
            </w:r>
          </w:p>
        </w:tc>
        <w:tc>
          <w:tcPr>
            <w:tcW w:w="1380" w:type="dxa"/>
            <w:vAlign w:val="bottom"/>
          </w:tcPr>
          <w:p>
            <w:pPr>
              <w:jc w:val="right"/>
              <w:spacing w:after="0"/>
              <w:rPr>
                <w:sz w:val="20"/>
                <w:szCs w:val="20"/>
                <w:color w:val="auto"/>
              </w:rPr>
            </w:pPr>
            <w:r>
              <w:rPr>
                <w:rFonts w:ascii="Arial" w:cs="Arial" w:eastAsia="Arial" w:hAnsi="Arial"/>
                <w:sz w:val="18"/>
                <w:szCs w:val="18"/>
                <w:color w:val="auto"/>
              </w:rPr>
              <w:t>(33,279)</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27.82</w:t>
            </w:r>
          </w:p>
        </w:tc>
        <w:tc>
          <w:tcPr>
            <w:tcW w:w="12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4020" w:type="dxa"/>
            <w:vAlign w:val="bottom"/>
            <w:tcBorders>
              <w:bottom w:val="single" w:sz="8" w:color="CCEEFF"/>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CCEEFF"/>
            </w:tcBorders>
          </w:tcPr>
          <w:p>
            <w:pPr>
              <w:spacing w:after="0"/>
              <w:rPr>
                <w:sz w:val="2"/>
                <w:szCs w:val="2"/>
                <w:color w:val="auto"/>
              </w:rPr>
            </w:pPr>
          </w:p>
        </w:tc>
        <w:tc>
          <w:tcPr>
            <w:tcW w:w="114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8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118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Outstanding at January 2, 2015</w:t>
            </w:r>
          </w:p>
        </w:tc>
        <w:tc>
          <w:tcPr>
            <w:tcW w:w="13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1,590,337</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25.17</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020" w:type="dxa"/>
            <w:vAlign w:val="bottom"/>
          </w:tcPr>
          <w:p>
            <w:pPr>
              <w:ind w:left="380"/>
              <w:spacing w:after="0"/>
              <w:rPr>
                <w:sz w:val="20"/>
                <w:szCs w:val="20"/>
                <w:color w:val="auto"/>
              </w:rPr>
            </w:pPr>
            <w:r>
              <w:rPr>
                <w:rFonts w:ascii="Arial" w:cs="Arial" w:eastAsia="Arial" w:hAnsi="Arial"/>
                <w:sz w:val="18"/>
                <w:szCs w:val="18"/>
                <w:color w:val="auto"/>
              </w:rPr>
              <w:t>Granted</w:t>
            </w:r>
          </w:p>
        </w:tc>
        <w:tc>
          <w:tcPr>
            <w:tcW w:w="1380" w:type="dxa"/>
            <w:vAlign w:val="bottom"/>
          </w:tcPr>
          <w:p>
            <w:pPr>
              <w:jc w:val="right"/>
              <w:ind w:right="13"/>
              <w:spacing w:after="0"/>
              <w:rPr>
                <w:sz w:val="20"/>
                <w:szCs w:val="20"/>
                <w:color w:val="auto"/>
              </w:rPr>
            </w:pPr>
            <w:r>
              <w:rPr>
                <w:rFonts w:ascii="Arial" w:cs="Arial" w:eastAsia="Arial" w:hAnsi="Arial"/>
                <w:sz w:val="18"/>
                <w:szCs w:val="18"/>
                <w:color w:val="auto"/>
              </w:rPr>
              <w:t>301,547</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49.20</w:t>
            </w:r>
          </w:p>
        </w:tc>
        <w:tc>
          <w:tcPr>
            <w:tcW w:w="12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40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4020" w:type="dxa"/>
            <w:vAlign w:val="bottom"/>
            <w:shd w:val="clear" w:color="auto" w:fill="CCEEFF"/>
          </w:tcPr>
          <w:p>
            <w:pPr>
              <w:ind w:left="380"/>
              <w:spacing w:after="0"/>
              <w:rPr>
                <w:sz w:val="20"/>
                <w:szCs w:val="20"/>
                <w:color w:val="auto"/>
              </w:rPr>
            </w:pPr>
            <w:r>
              <w:rPr>
                <w:rFonts w:ascii="Arial" w:cs="Arial" w:eastAsia="Arial" w:hAnsi="Arial"/>
                <w:sz w:val="18"/>
                <w:szCs w:val="18"/>
                <w:color w:val="auto"/>
                <w:w w:val="94"/>
              </w:rPr>
              <w:t>Replacement options granted in connection with</w:t>
            </w:r>
          </w:p>
        </w:tc>
        <w:tc>
          <w:tcPr>
            <w:tcW w:w="13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3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40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the Lake Region Medical acquisition</w:t>
            </w:r>
          </w:p>
        </w:tc>
        <w:tc>
          <w:tcPr>
            <w:tcW w:w="13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119,900</w:t>
            </w: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12.41</w:t>
            </w:r>
          </w:p>
        </w:tc>
        <w:tc>
          <w:tcPr>
            <w:tcW w:w="120" w:type="dxa"/>
            <w:vAlign w:val="bottom"/>
            <w:tcBorders>
              <w:bottom w:val="single" w:sz="8" w:color="CCEEFF"/>
            </w:tcBorders>
            <w:shd w:val="clear" w:color="auto" w:fill="CCEEFF"/>
          </w:tcPr>
          <w:p>
            <w:pPr>
              <w:spacing w:after="0"/>
              <w:rPr>
                <w:sz w:val="20"/>
                <w:szCs w:val="20"/>
                <w:color w:val="auto"/>
              </w:rPr>
            </w:pPr>
          </w:p>
        </w:tc>
        <w:tc>
          <w:tcPr>
            <w:tcW w:w="138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4020" w:type="dxa"/>
            <w:vAlign w:val="bottom"/>
          </w:tcPr>
          <w:p>
            <w:pPr>
              <w:ind w:left="380"/>
              <w:spacing w:after="0"/>
              <w:rPr>
                <w:sz w:val="20"/>
                <w:szCs w:val="20"/>
                <w:color w:val="auto"/>
              </w:rPr>
            </w:pPr>
            <w:r>
              <w:rPr>
                <w:rFonts w:ascii="Arial" w:cs="Arial" w:eastAsia="Arial" w:hAnsi="Arial"/>
                <w:sz w:val="18"/>
                <w:szCs w:val="18"/>
                <w:color w:val="auto"/>
              </w:rPr>
              <w:t>Exercised</w:t>
            </w:r>
          </w:p>
        </w:tc>
        <w:tc>
          <w:tcPr>
            <w:tcW w:w="1380" w:type="dxa"/>
            <w:vAlign w:val="bottom"/>
          </w:tcPr>
          <w:p>
            <w:pPr>
              <w:jc w:val="right"/>
              <w:spacing w:after="0"/>
              <w:rPr>
                <w:sz w:val="20"/>
                <w:szCs w:val="20"/>
                <w:color w:val="auto"/>
              </w:rPr>
            </w:pPr>
            <w:r>
              <w:rPr>
                <w:rFonts w:ascii="Arial" w:cs="Arial" w:eastAsia="Arial" w:hAnsi="Arial"/>
                <w:sz w:val="18"/>
                <w:szCs w:val="18"/>
                <w:color w:val="auto"/>
              </w:rPr>
              <w:t>(280,701)</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23.45</w:t>
            </w:r>
          </w:p>
        </w:tc>
        <w:tc>
          <w:tcPr>
            <w:tcW w:w="12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40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0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Forfeited or expired</w:t>
            </w: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(52,183)</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42.45</w:t>
            </w:r>
          </w:p>
        </w:tc>
        <w:tc>
          <w:tcPr>
            <w:tcW w:w="120" w:type="dxa"/>
            <w:vAlign w:val="bottom"/>
            <w:tcBorders>
              <w:bottom w:val="single" w:sz="8" w:color="CCEEFF"/>
            </w:tcBorders>
            <w:shd w:val="clear" w:color="auto" w:fill="CCEEFF"/>
          </w:tcPr>
          <w:p>
            <w:pPr>
              <w:spacing w:after="0"/>
              <w:rPr>
                <w:sz w:val="23"/>
                <w:szCs w:val="23"/>
                <w:color w:val="auto"/>
              </w:rPr>
            </w:pPr>
          </w:p>
        </w:tc>
        <w:tc>
          <w:tcPr>
            <w:tcW w:w="138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97"/>
        </w:trPr>
        <w:tc>
          <w:tcPr>
            <w:tcW w:w="402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Outstanding at January 1, 2016</w:t>
            </w:r>
          </w:p>
        </w:tc>
        <w:tc>
          <w:tcPr>
            <w:tcW w:w="1380" w:type="dxa"/>
            <w:vAlign w:val="bottom"/>
            <w:tcBorders>
              <w:top w:val="single" w:sz="8" w:color="auto"/>
              <w:bottom w:val="single" w:sz="8" w:color="auto"/>
            </w:tcBorders>
          </w:tcPr>
          <w:p>
            <w:pPr>
              <w:jc w:val="right"/>
              <w:ind w:right="13"/>
              <w:spacing w:after="0"/>
              <w:rPr>
                <w:sz w:val="20"/>
                <w:szCs w:val="20"/>
                <w:color w:val="auto"/>
              </w:rPr>
            </w:pPr>
            <w:r>
              <w:rPr>
                <w:rFonts w:ascii="Arial" w:cs="Arial" w:eastAsia="Arial" w:hAnsi="Arial"/>
                <w:sz w:val="18"/>
                <w:szCs w:val="18"/>
                <w:color w:val="auto"/>
              </w:rPr>
              <w:t>1,678,900</w:t>
            </w:r>
          </w:p>
        </w:tc>
        <w:tc>
          <w:tcPr>
            <w:tcW w:w="100" w:type="dxa"/>
            <w:vAlign w:val="bottom"/>
            <w:tcBorders>
              <w:bottom w:val="single" w:sz="8" w:color="CCEEFF"/>
            </w:tcBorders>
          </w:tcPr>
          <w:p>
            <w:pPr>
              <w:spacing w:after="0"/>
              <w:rPr>
                <w:sz w:val="24"/>
                <w:szCs w:val="24"/>
                <w:color w:val="auto"/>
              </w:rPr>
            </w:pPr>
          </w:p>
        </w:tc>
        <w:tc>
          <w:tcPr>
            <w:tcW w:w="26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28.32</w:t>
            </w:r>
          </w:p>
        </w:tc>
        <w:tc>
          <w:tcPr>
            <w:tcW w:w="120" w:type="dxa"/>
            <w:vAlign w:val="bottom"/>
            <w:tcBorders>
              <w:bottom w:val="single" w:sz="8" w:color="CCEEFF"/>
            </w:tcBorders>
          </w:tcPr>
          <w:p>
            <w:pPr>
              <w:spacing w:after="0"/>
              <w:rPr>
                <w:sz w:val="24"/>
                <w:szCs w:val="24"/>
                <w:color w:val="auto"/>
              </w:rPr>
            </w:pP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6.1</w:t>
            </w:r>
          </w:p>
        </w:tc>
        <w:tc>
          <w:tcPr>
            <w:tcW w:w="10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40.6</w:t>
            </w:r>
          </w:p>
        </w:tc>
        <w:tc>
          <w:tcPr>
            <w:tcW w:w="0" w:type="dxa"/>
            <w:vAlign w:val="bottom"/>
          </w:tcPr>
          <w:p>
            <w:pPr>
              <w:spacing w:after="0"/>
              <w:rPr>
                <w:sz w:val="1"/>
                <w:szCs w:val="1"/>
                <w:color w:val="auto"/>
              </w:rPr>
            </w:pPr>
          </w:p>
        </w:tc>
      </w:tr>
      <w:tr>
        <w:trPr>
          <w:trHeight w:val="251"/>
        </w:trPr>
        <w:tc>
          <w:tcPr>
            <w:tcW w:w="4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Expected to vest at January 1, 2016</w:t>
            </w:r>
          </w:p>
        </w:tc>
        <w:tc>
          <w:tcPr>
            <w:tcW w:w="138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1,643,386</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27.90</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6.1</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40.4</w:t>
            </w:r>
          </w:p>
        </w:tc>
        <w:tc>
          <w:tcPr>
            <w:tcW w:w="0" w:type="dxa"/>
            <w:vAlign w:val="bottom"/>
          </w:tcPr>
          <w:p>
            <w:pPr>
              <w:spacing w:after="0"/>
              <w:rPr>
                <w:sz w:val="1"/>
                <w:szCs w:val="1"/>
                <w:color w:val="auto"/>
              </w:rPr>
            </w:pPr>
          </w:p>
        </w:tc>
      </w:tr>
      <w:tr>
        <w:trPr>
          <w:trHeight w:val="20"/>
        </w:trPr>
        <w:tc>
          <w:tcPr>
            <w:tcW w:w="4020" w:type="dxa"/>
            <w:vAlign w:val="bottom"/>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1"/>
        </w:trPr>
        <w:tc>
          <w:tcPr>
            <w:tcW w:w="4020" w:type="dxa"/>
            <w:vAlign w:val="bottom"/>
          </w:tcPr>
          <w:p>
            <w:pPr>
              <w:ind w:left="20"/>
              <w:spacing w:after="0"/>
              <w:rPr>
                <w:sz w:val="20"/>
                <w:szCs w:val="20"/>
                <w:color w:val="auto"/>
              </w:rPr>
            </w:pPr>
            <w:r>
              <w:rPr>
                <w:rFonts w:ascii="Arial" w:cs="Arial" w:eastAsia="Arial" w:hAnsi="Arial"/>
                <w:sz w:val="18"/>
                <w:szCs w:val="18"/>
                <w:color w:val="auto"/>
              </w:rPr>
              <w:t>Exercisable at January 1, 2016</w:t>
            </w:r>
          </w:p>
        </w:tc>
        <w:tc>
          <w:tcPr>
            <w:tcW w:w="1380" w:type="dxa"/>
            <w:vAlign w:val="bottom"/>
            <w:tcBorders>
              <w:bottom w:val="single" w:sz="8" w:color="auto"/>
            </w:tcBorders>
          </w:tcPr>
          <w:p>
            <w:pPr>
              <w:jc w:val="right"/>
              <w:ind w:right="13"/>
              <w:spacing w:after="0"/>
              <w:rPr>
                <w:sz w:val="20"/>
                <w:szCs w:val="20"/>
                <w:color w:val="auto"/>
              </w:rPr>
            </w:pPr>
            <w:r>
              <w:rPr>
                <w:rFonts w:ascii="Arial" w:cs="Arial" w:eastAsia="Arial" w:hAnsi="Arial"/>
                <w:sz w:val="18"/>
                <w:szCs w:val="18"/>
                <w:color w:val="auto"/>
              </w:rPr>
              <w:t>1,467,256</w:t>
            </w:r>
          </w:p>
        </w:tc>
        <w:tc>
          <w:tcPr>
            <w:tcW w:w="100" w:type="dxa"/>
            <w:vAlign w:val="bottom"/>
          </w:tcPr>
          <w:p>
            <w:pPr>
              <w:spacing w:after="0"/>
              <w:rPr>
                <w:sz w:val="21"/>
                <w:szCs w:val="21"/>
                <w:color w:val="auto"/>
              </w:rPr>
            </w:pPr>
          </w:p>
        </w:tc>
        <w:tc>
          <w:tcPr>
            <w:tcW w:w="26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25.50</w:t>
            </w:r>
          </w:p>
        </w:tc>
        <w:tc>
          <w:tcPr>
            <w:tcW w:w="120" w:type="dxa"/>
            <w:vAlign w:val="bottom"/>
          </w:tcPr>
          <w:p>
            <w:pPr>
              <w:spacing w:after="0"/>
              <w:rPr>
                <w:sz w:val="21"/>
                <w:szCs w:val="21"/>
                <w:color w:val="auto"/>
              </w:rPr>
            </w:pP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5.8</w:t>
            </w:r>
          </w:p>
        </w:tc>
        <w:tc>
          <w:tcPr>
            <w:tcW w:w="100" w:type="dxa"/>
            <w:vAlign w:val="bottom"/>
          </w:tcPr>
          <w:p>
            <w:pPr>
              <w:spacing w:after="0"/>
              <w:rPr>
                <w:sz w:val="21"/>
                <w:szCs w:val="21"/>
                <w:color w:val="auto"/>
              </w:rPr>
            </w:pPr>
          </w:p>
        </w:tc>
        <w:tc>
          <w:tcPr>
            <w:tcW w:w="2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39.6</w:t>
            </w:r>
          </w:p>
        </w:tc>
        <w:tc>
          <w:tcPr>
            <w:tcW w:w="0" w:type="dxa"/>
            <w:vAlign w:val="bottom"/>
          </w:tcPr>
          <w:p>
            <w:pPr>
              <w:spacing w:after="0"/>
              <w:rPr>
                <w:sz w:val="1"/>
                <w:szCs w:val="1"/>
                <w:color w:val="auto"/>
              </w:rPr>
            </w:pPr>
          </w:p>
        </w:tc>
      </w:tr>
      <w:tr>
        <w:trPr>
          <w:trHeight w:val="20"/>
        </w:trPr>
        <w:tc>
          <w:tcPr>
            <w:tcW w:w="4020" w:type="dxa"/>
            <w:vAlign w:val="bottom"/>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right="100"/>
        <w:spacing w:after="0" w:line="257" w:lineRule="auto"/>
        <w:rPr>
          <w:sz w:val="20"/>
          <w:szCs w:val="20"/>
          <w:color w:val="auto"/>
        </w:rPr>
      </w:pPr>
      <w:r>
        <w:rPr>
          <w:rFonts w:ascii="Arial" w:cs="Arial" w:eastAsia="Arial" w:hAnsi="Arial"/>
          <w:sz w:val="18"/>
          <w:szCs w:val="18"/>
          <w:color w:val="auto"/>
        </w:rPr>
        <w:t>Intrinsic value is calculated for in-the-money options (exercise price less than market price) as the difference between the market price of the Company’s common shares as of January 1, 2016 ($52.50) and the weighted average exercise price of the underlying stock options, multiplied by the number of options outstanding and/or exercisable. As of January 1, 2016, $2.3 million of unrecognized compensation cost related to non-vested stock options is expected to be recognized over a weighted-average period of approximately 2 years. Shares are distributed from the Company’s authorized but</w:t>
      </w:r>
    </w:p>
    <w:p>
      <w:pPr>
        <w:sectPr>
          <w:pgSz w:w="11900" w:h="16838" w:orient="portrait"/>
          <w:cols w:equalWidth="0" w:num="1">
            <w:col w:w="10880"/>
          </w:cols>
          <w:pgMar w:left="740" w:top="337" w:right="279" w:bottom="1440" w:gutter="0" w:footer="0" w:header="0"/>
        </w:sectPr>
      </w:pPr>
    </w:p>
    <w:p>
      <w:pPr>
        <w:spacing w:after="0" w:line="323" w:lineRule="exact"/>
        <w:rPr>
          <w:sz w:val="20"/>
          <w:szCs w:val="20"/>
          <w:color w:val="auto"/>
        </w:rPr>
      </w:pPr>
    </w:p>
    <w:p>
      <w:pPr>
        <w:jc w:val="center"/>
        <w:ind w:right="460"/>
        <w:spacing w:after="0"/>
        <w:rPr>
          <w:sz w:val="20"/>
          <w:szCs w:val="20"/>
          <w:color w:val="auto"/>
        </w:rPr>
      </w:pPr>
      <w:r>
        <w:rPr>
          <w:rFonts w:ascii="Arial" w:cs="Arial" w:eastAsia="Arial" w:hAnsi="Arial"/>
          <w:sz w:val="16"/>
          <w:szCs w:val="16"/>
          <w:color w:val="auto"/>
        </w:rPr>
        <w:t>- 93 -</w:t>
      </w:r>
    </w:p>
    <w:p>
      <w:pPr>
        <w:sectPr>
          <w:pgSz w:w="11900" w:h="16838" w:orient="portrait"/>
          <w:cols w:equalWidth="0" w:num="1">
            <w:col w:w="10880"/>
          </w:cols>
          <w:pgMar w:left="740" w:top="337" w:right="279" w:bottom="1440" w:gutter="0" w:footer="0" w:header="0"/>
          <w:type w:val="continuous"/>
        </w:sectPr>
      </w:pPr>
    </w:p>
    <w:bookmarkStart w:id="94" w:name="page95"/>
    <w:bookmarkEnd w:id="94"/>
    <w:p>
      <w:pPr>
        <w:jc w:val="center"/>
        <w:ind w:right="420"/>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ind w:right="42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unissued reserve upon the exercise of stock options or treasury stock if available. The Company does not intend to purchase treasury shares to fund the future exercises of stock options.</w:t>
      </w:r>
    </w:p>
    <w:p>
      <w:pPr>
        <w:spacing w:after="0" w:line="170"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Proceeds from the exercise of stock options are credited to common stock at par value and the excess is credited to additional paid-in capital. A small portion of the options outstanding qualify as incentive stock options (“ISO”) for income tax purposes. As such, a tax benefit is not recorded at the time the compensation cost related to the stock options is recorded for book purposes due to the fact that an ISO does not ordinarily result in a tax benefit unless there is a disqualifying disposition. Stock option grants of non-qualified stock options result in the creation of a deferred tax asset, which is a temporary difference, until the time that the option is exercised.</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provides certain information relating to the exercise of stock options (in thousands):</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50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gridSpan w:val="2"/>
          </w:tcPr>
          <w:p>
            <w:pPr>
              <w:ind w:left="120"/>
              <w:spacing w:after="0"/>
              <w:rPr>
                <w:sz w:val="20"/>
                <w:szCs w:val="20"/>
                <w:color w:val="auto"/>
              </w:rPr>
            </w:pPr>
            <w:r>
              <w:rPr>
                <w:rFonts w:ascii="Arial" w:cs="Arial" w:eastAsia="Arial" w:hAnsi="Arial"/>
                <w:sz w:val="14"/>
                <w:szCs w:val="14"/>
                <w:b w:val="1"/>
                <w:bCs w:val="1"/>
                <w:color w:val="auto"/>
              </w:rPr>
              <w:t>Year Ended</w:t>
            </w:r>
          </w:p>
        </w:tc>
        <w:tc>
          <w:tcPr>
            <w:tcW w:w="24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spacing w:after="0"/>
              <w:rPr>
                <w:sz w:val="16"/>
                <w:szCs w:val="16"/>
                <w:color w:val="auto"/>
              </w:rPr>
            </w:pPr>
          </w:p>
        </w:tc>
      </w:tr>
      <w:tr>
        <w:trPr>
          <w:trHeight w:val="152"/>
        </w:trPr>
        <w:tc>
          <w:tcPr>
            <w:tcW w:w="55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260" w:type="dxa"/>
            <w:vAlign w:val="bottom"/>
            <w:gridSpan w:val="2"/>
          </w:tcPr>
          <w:p>
            <w:pPr>
              <w:ind w:left="120"/>
              <w:spacing w:after="0" w:line="153" w:lineRule="exact"/>
              <w:rPr>
                <w:sz w:val="20"/>
                <w:szCs w:val="20"/>
                <w:color w:val="auto"/>
              </w:rPr>
            </w:pPr>
            <w:r>
              <w:rPr>
                <w:rFonts w:ascii="Arial" w:cs="Arial" w:eastAsia="Arial" w:hAnsi="Arial"/>
                <w:sz w:val="14"/>
                <w:szCs w:val="14"/>
                <w:b w:val="1"/>
                <w:bCs w:val="1"/>
                <w:color w:val="auto"/>
              </w:rPr>
              <w:t>January 1,</w:t>
            </w:r>
          </w:p>
        </w:tc>
        <w:tc>
          <w:tcPr>
            <w:tcW w:w="240" w:type="dxa"/>
            <w:vAlign w:val="bottom"/>
          </w:tcPr>
          <w:p>
            <w:pPr>
              <w:spacing w:after="0"/>
              <w:rPr>
                <w:sz w:val="13"/>
                <w:szCs w:val="13"/>
                <w:color w:val="auto"/>
              </w:rPr>
            </w:pPr>
          </w:p>
        </w:tc>
        <w:tc>
          <w:tcPr>
            <w:tcW w:w="1260" w:type="dxa"/>
            <w:vAlign w:val="bottom"/>
            <w:gridSpan w:val="2"/>
          </w:tcPr>
          <w:p>
            <w:pPr>
              <w:ind w:left="120"/>
              <w:spacing w:after="0" w:line="153" w:lineRule="exact"/>
              <w:rPr>
                <w:sz w:val="20"/>
                <w:szCs w:val="20"/>
                <w:color w:val="auto"/>
              </w:rPr>
            </w:pPr>
            <w:r>
              <w:rPr>
                <w:rFonts w:ascii="Arial" w:cs="Arial" w:eastAsia="Arial" w:hAnsi="Arial"/>
                <w:sz w:val="14"/>
                <w:szCs w:val="14"/>
                <w:b w:val="1"/>
                <w:bCs w:val="1"/>
                <w:color w:val="auto"/>
              </w:rPr>
              <w:t>January 2,</w:t>
            </w:r>
          </w:p>
        </w:tc>
        <w:tc>
          <w:tcPr>
            <w:tcW w:w="240" w:type="dxa"/>
            <w:vAlign w:val="bottom"/>
          </w:tcPr>
          <w:p>
            <w:pPr>
              <w:spacing w:after="0"/>
              <w:rPr>
                <w:sz w:val="13"/>
                <w:szCs w:val="13"/>
                <w:color w:val="auto"/>
              </w:rPr>
            </w:pPr>
          </w:p>
        </w:tc>
        <w:tc>
          <w:tcPr>
            <w:tcW w:w="1160" w:type="dxa"/>
            <w:vAlign w:val="bottom"/>
          </w:tcPr>
          <w:p>
            <w:pPr>
              <w:jc w:val="right"/>
              <w:ind w:right="317"/>
              <w:spacing w:after="0" w:line="153" w:lineRule="exact"/>
              <w:rPr>
                <w:sz w:val="20"/>
                <w:szCs w:val="20"/>
                <w:color w:val="auto"/>
              </w:rPr>
            </w:pPr>
            <w:r>
              <w:rPr>
                <w:rFonts w:ascii="Arial" w:cs="Arial" w:eastAsia="Arial" w:hAnsi="Arial"/>
                <w:sz w:val="14"/>
                <w:szCs w:val="14"/>
                <w:b w:val="1"/>
                <w:bCs w:val="1"/>
                <w:color w:val="auto"/>
              </w:rPr>
              <w:t>January 3,</w:t>
            </w:r>
          </w:p>
        </w:tc>
      </w:tr>
      <w:tr>
        <w:trPr>
          <w:trHeight w:val="192"/>
        </w:trPr>
        <w:tc>
          <w:tcPr>
            <w:tcW w:w="550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right"/>
              <w:ind w:right="477"/>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right"/>
              <w:ind w:right="479"/>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right"/>
              <w:ind w:right="477"/>
              <w:spacing w:after="0"/>
              <w:rPr>
                <w:sz w:val="20"/>
                <w:szCs w:val="20"/>
                <w:color w:val="auto"/>
              </w:rPr>
            </w:pPr>
            <w:r>
              <w:rPr>
                <w:rFonts w:ascii="Arial" w:cs="Arial" w:eastAsia="Arial" w:hAnsi="Arial"/>
                <w:sz w:val="14"/>
                <w:szCs w:val="14"/>
                <w:b w:val="1"/>
                <w:bCs w:val="1"/>
                <w:color w:val="auto"/>
              </w:rPr>
              <w:t>2014</w:t>
            </w:r>
          </w:p>
        </w:tc>
      </w:tr>
      <w:tr>
        <w:trPr>
          <w:trHeight w:val="250"/>
        </w:trPr>
        <w:tc>
          <w:tcPr>
            <w:tcW w:w="55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Intrinsic value</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8,231</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7,997</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6,807</w:t>
            </w:r>
          </w:p>
        </w:tc>
      </w:tr>
      <w:tr>
        <w:trPr>
          <w:trHeight w:val="243"/>
        </w:trPr>
        <w:tc>
          <w:tcPr>
            <w:tcW w:w="5500" w:type="dxa"/>
            <w:vAlign w:val="bottom"/>
          </w:tcPr>
          <w:p>
            <w:pPr>
              <w:ind w:left="20"/>
              <w:spacing w:after="0"/>
              <w:rPr>
                <w:sz w:val="20"/>
                <w:szCs w:val="20"/>
                <w:color w:val="auto"/>
              </w:rPr>
            </w:pPr>
            <w:r>
              <w:rPr>
                <w:rFonts w:ascii="Arial" w:cs="Arial" w:eastAsia="Arial" w:hAnsi="Arial"/>
                <w:sz w:val="18"/>
                <w:szCs w:val="18"/>
                <w:color w:val="auto"/>
              </w:rPr>
              <w:t>Cash received</w:t>
            </w:r>
          </w:p>
        </w:tc>
        <w:tc>
          <w:tcPr>
            <w:tcW w:w="240" w:type="dxa"/>
            <w:vAlign w:val="bottom"/>
          </w:tcPr>
          <w:p>
            <w:pPr>
              <w:spacing w:after="0"/>
              <w:rPr>
                <w:sz w:val="21"/>
                <w:szCs w:val="21"/>
                <w:color w:val="auto"/>
              </w:rPr>
            </w:pPr>
          </w:p>
        </w:tc>
        <w:tc>
          <w:tcPr>
            <w:tcW w:w="1160" w:type="dxa"/>
            <w:vAlign w:val="bottom"/>
          </w:tcPr>
          <w:p>
            <w:pPr>
              <w:jc w:val="right"/>
              <w:ind w:right="17"/>
              <w:spacing w:after="0"/>
              <w:rPr>
                <w:sz w:val="20"/>
                <w:szCs w:val="20"/>
                <w:color w:val="auto"/>
              </w:rPr>
            </w:pPr>
            <w:r>
              <w:rPr>
                <w:rFonts w:ascii="Arial" w:cs="Arial" w:eastAsia="Arial" w:hAnsi="Arial"/>
                <w:sz w:val="18"/>
                <w:szCs w:val="18"/>
                <w:color w:val="auto"/>
              </w:rPr>
              <w:t>6,583</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60" w:type="dxa"/>
            <w:vAlign w:val="bottom"/>
          </w:tcPr>
          <w:p>
            <w:pPr>
              <w:jc w:val="right"/>
              <w:ind w:right="19"/>
              <w:spacing w:after="0"/>
              <w:rPr>
                <w:sz w:val="20"/>
                <w:szCs w:val="20"/>
                <w:color w:val="auto"/>
              </w:rPr>
            </w:pPr>
            <w:r>
              <w:rPr>
                <w:rFonts w:ascii="Arial" w:cs="Arial" w:eastAsia="Arial" w:hAnsi="Arial"/>
                <w:sz w:val="18"/>
                <w:szCs w:val="18"/>
                <w:color w:val="auto"/>
              </w:rPr>
              <w:t>8,278</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60" w:type="dxa"/>
            <w:vAlign w:val="bottom"/>
          </w:tcPr>
          <w:p>
            <w:pPr>
              <w:jc w:val="right"/>
              <w:ind w:right="17"/>
              <w:spacing w:after="0"/>
              <w:rPr>
                <w:sz w:val="20"/>
                <w:szCs w:val="20"/>
                <w:color w:val="auto"/>
              </w:rPr>
            </w:pPr>
            <w:r>
              <w:rPr>
                <w:rFonts w:ascii="Arial" w:cs="Arial" w:eastAsia="Arial" w:hAnsi="Arial"/>
                <w:sz w:val="18"/>
                <w:szCs w:val="18"/>
                <w:color w:val="auto"/>
              </w:rPr>
              <w:t>12,807</w:t>
            </w:r>
          </w:p>
        </w:tc>
      </w:tr>
      <w:tr>
        <w:trPr>
          <w:trHeight w:val="27"/>
        </w:trPr>
        <w:tc>
          <w:tcPr>
            <w:tcW w:w="55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43"/>
        </w:trPr>
        <w:tc>
          <w:tcPr>
            <w:tcW w:w="5500" w:type="dxa"/>
            <w:vAlign w:val="bottom"/>
            <w:shd w:val="clear" w:color="auto" w:fill="CCEEFF"/>
          </w:tcPr>
          <w:p>
            <w:pPr>
              <w:ind w:left="20"/>
              <w:spacing w:after="0"/>
              <w:rPr>
                <w:sz w:val="20"/>
                <w:szCs w:val="20"/>
                <w:color w:val="auto"/>
              </w:rPr>
            </w:pPr>
            <w:r>
              <w:rPr>
                <w:rFonts w:ascii="Arial" w:cs="Arial" w:eastAsia="Arial" w:hAnsi="Arial"/>
                <w:sz w:val="18"/>
                <w:szCs w:val="18"/>
                <w:color w:val="auto"/>
              </w:rPr>
              <w:t>Tax benefit realized</w:t>
            </w:r>
          </w:p>
        </w:tc>
        <w:tc>
          <w:tcPr>
            <w:tcW w:w="240" w:type="dxa"/>
            <w:vAlign w:val="bottom"/>
            <w:shd w:val="clear" w:color="auto" w:fill="CCEEFF"/>
          </w:tcPr>
          <w:p>
            <w:pPr>
              <w:spacing w:after="0"/>
              <w:rPr>
                <w:sz w:val="21"/>
                <w:szCs w:val="21"/>
                <w:color w:val="auto"/>
              </w:rPr>
            </w:pPr>
          </w:p>
        </w:tc>
        <w:tc>
          <w:tcPr>
            <w:tcW w:w="116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rPr>
              <w:t>1,954</w:t>
            </w:r>
          </w:p>
        </w:tc>
        <w:tc>
          <w:tcPr>
            <w:tcW w:w="100" w:type="dxa"/>
            <w:vAlign w:val="bottom"/>
            <w:shd w:val="clear" w:color="auto" w:fill="CCEEFF"/>
          </w:tcPr>
          <w:p>
            <w:pPr>
              <w:spacing w:after="0"/>
              <w:rPr>
                <w:sz w:val="21"/>
                <w:szCs w:val="21"/>
                <w:color w:val="auto"/>
              </w:rPr>
            </w:pPr>
          </w:p>
        </w:tc>
        <w:tc>
          <w:tcPr>
            <w:tcW w:w="240" w:type="dxa"/>
            <w:vAlign w:val="bottom"/>
            <w:shd w:val="clear" w:color="auto" w:fill="CCEEFF"/>
          </w:tcPr>
          <w:p>
            <w:pPr>
              <w:spacing w:after="0"/>
              <w:rPr>
                <w:sz w:val="21"/>
                <w:szCs w:val="21"/>
                <w:color w:val="auto"/>
              </w:rPr>
            </w:pPr>
          </w:p>
        </w:tc>
        <w:tc>
          <w:tcPr>
            <w:tcW w:w="1160" w:type="dxa"/>
            <w:vAlign w:val="bottom"/>
            <w:shd w:val="clear" w:color="auto" w:fill="CCEEFF"/>
          </w:tcPr>
          <w:p>
            <w:pPr>
              <w:jc w:val="right"/>
              <w:ind w:right="19"/>
              <w:spacing w:after="0"/>
              <w:rPr>
                <w:sz w:val="20"/>
                <w:szCs w:val="20"/>
                <w:color w:val="auto"/>
              </w:rPr>
            </w:pPr>
            <w:r>
              <w:rPr>
                <w:rFonts w:ascii="Arial" w:cs="Arial" w:eastAsia="Arial" w:hAnsi="Arial"/>
                <w:sz w:val="18"/>
                <w:szCs w:val="18"/>
                <w:color w:val="auto"/>
              </w:rPr>
              <w:t>1,704</w:t>
            </w:r>
          </w:p>
        </w:tc>
        <w:tc>
          <w:tcPr>
            <w:tcW w:w="100" w:type="dxa"/>
            <w:vAlign w:val="bottom"/>
            <w:shd w:val="clear" w:color="auto" w:fill="CCEEFF"/>
          </w:tcPr>
          <w:p>
            <w:pPr>
              <w:spacing w:after="0"/>
              <w:rPr>
                <w:sz w:val="21"/>
                <w:szCs w:val="21"/>
                <w:color w:val="auto"/>
              </w:rPr>
            </w:pPr>
          </w:p>
        </w:tc>
        <w:tc>
          <w:tcPr>
            <w:tcW w:w="240" w:type="dxa"/>
            <w:vAlign w:val="bottom"/>
            <w:shd w:val="clear" w:color="auto" w:fill="CCEEFF"/>
          </w:tcPr>
          <w:p>
            <w:pPr>
              <w:spacing w:after="0"/>
              <w:rPr>
                <w:sz w:val="21"/>
                <w:szCs w:val="21"/>
                <w:color w:val="auto"/>
              </w:rPr>
            </w:pPr>
          </w:p>
        </w:tc>
        <w:tc>
          <w:tcPr>
            <w:tcW w:w="116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rPr>
              <w:t>727</w:t>
            </w:r>
          </w:p>
        </w:tc>
      </w:tr>
      <w:tr>
        <w:trPr>
          <w:trHeight w:val="27"/>
        </w:trPr>
        <w:tc>
          <w:tcPr>
            <w:tcW w:w="5500" w:type="dxa"/>
            <w:vAlign w:val="bottom"/>
            <w:shd w:val="clear" w:color="auto" w:fill="CCEEFF"/>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11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11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1160" w:type="dxa"/>
            <w:vAlign w:val="bottom"/>
            <w:shd w:val="clear" w:color="auto" w:fill="CCEEFF"/>
          </w:tcPr>
          <w:p>
            <w:pPr>
              <w:spacing w:after="0"/>
              <w:rPr>
                <w:sz w:val="2"/>
                <w:szCs w:val="2"/>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Restricted Stock and Restricted Stock Units</w:t>
      </w:r>
    </w:p>
    <w:p>
      <w:pPr>
        <w:spacing w:after="0" w:line="225" w:lineRule="exact"/>
        <w:rPr>
          <w:sz w:val="20"/>
          <w:szCs w:val="20"/>
          <w:color w:val="auto"/>
        </w:rPr>
      </w:pPr>
    </w:p>
    <w:p>
      <w:pPr>
        <w:ind w:right="200"/>
        <w:spacing w:after="0" w:line="286" w:lineRule="auto"/>
        <w:rPr>
          <w:sz w:val="20"/>
          <w:szCs w:val="20"/>
          <w:color w:val="auto"/>
        </w:rPr>
      </w:pPr>
      <w:r>
        <w:rPr>
          <w:rFonts w:ascii="Arial" w:cs="Arial" w:eastAsia="Arial" w:hAnsi="Arial"/>
          <w:sz w:val="17"/>
          <w:szCs w:val="17"/>
          <w:color w:val="auto"/>
        </w:rPr>
        <w:t>Time-vested restricted stock and restricted stock unit awards granted typically vest in equal annual installments over a three or four year period. The fair value of time-based as well as nonmarket-based performance restricted stock and restricted stock unit awards is equal to the fair value of the Company’s stock on the date of grant. The following table summarizes time-vested restricted stock and unit activity:</w:t>
      </w:r>
    </w:p>
    <w:p>
      <w:pPr>
        <w:spacing w:after="0" w:line="9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080" w:type="dxa"/>
            <w:vAlign w:val="bottom"/>
          </w:tcPr>
          <w:p>
            <w:pPr>
              <w:spacing w:after="0"/>
              <w:rPr>
                <w:sz w:val="14"/>
                <w:szCs w:val="14"/>
                <w:color w:val="auto"/>
              </w:rPr>
            </w:pPr>
          </w:p>
        </w:tc>
        <w:tc>
          <w:tcPr>
            <w:tcW w:w="1360" w:type="dxa"/>
            <w:vAlign w:val="bottom"/>
            <w:vMerge w:val="restart"/>
          </w:tcPr>
          <w:p>
            <w:pPr>
              <w:jc w:val="right"/>
              <w:ind w:right="212"/>
              <w:spacing w:after="0"/>
              <w:rPr>
                <w:sz w:val="20"/>
                <w:szCs w:val="20"/>
                <w:color w:val="auto"/>
              </w:rPr>
            </w:pPr>
            <w:r>
              <w:rPr>
                <w:rFonts w:ascii="Arial" w:cs="Arial" w:eastAsia="Arial" w:hAnsi="Arial"/>
                <w:sz w:val="14"/>
                <w:szCs w:val="14"/>
                <w:b w:val="1"/>
                <w:bCs w:val="1"/>
                <w:color w:val="auto"/>
              </w:rPr>
              <w:t>Time-Vested</w:t>
            </w:r>
          </w:p>
        </w:tc>
        <w:tc>
          <w:tcPr>
            <w:tcW w:w="1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160" w:type="dxa"/>
            <w:vAlign w:val="bottom"/>
          </w:tcPr>
          <w:p>
            <w:pPr>
              <w:jc w:val="center"/>
              <w:ind w:right="153"/>
              <w:spacing w:after="0"/>
              <w:rPr>
                <w:sz w:val="20"/>
                <w:szCs w:val="20"/>
                <w:color w:val="auto"/>
              </w:rPr>
            </w:pPr>
            <w:r>
              <w:rPr>
                <w:rFonts w:ascii="Arial" w:cs="Arial" w:eastAsia="Arial" w:hAnsi="Arial"/>
                <w:sz w:val="14"/>
                <w:szCs w:val="14"/>
                <w:b w:val="1"/>
                <w:bCs w:val="1"/>
                <w:color w:val="auto"/>
                <w:w w:val="95"/>
              </w:rPr>
              <w:t>Weighted</w:t>
            </w:r>
          </w:p>
        </w:tc>
        <w:tc>
          <w:tcPr>
            <w:tcW w:w="0" w:type="dxa"/>
            <w:vAlign w:val="bottom"/>
          </w:tcPr>
          <w:p>
            <w:pPr>
              <w:spacing w:after="0"/>
              <w:rPr>
                <w:sz w:val="1"/>
                <w:szCs w:val="1"/>
                <w:color w:val="auto"/>
              </w:rPr>
            </w:pPr>
          </w:p>
        </w:tc>
      </w:tr>
      <w:tr>
        <w:trPr>
          <w:trHeight w:val="149"/>
        </w:trPr>
        <w:tc>
          <w:tcPr>
            <w:tcW w:w="7080" w:type="dxa"/>
            <w:vAlign w:val="bottom"/>
          </w:tcPr>
          <w:p>
            <w:pPr>
              <w:spacing w:after="0"/>
              <w:rPr>
                <w:sz w:val="12"/>
                <w:szCs w:val="12"/>
                <w:color w:val="auto"/>
              </w:rPr>
            </w:pPr>
          </w:p>
        </w:tc>
        <w:tc>
          <w:tcPr>
            <w:tcW w:w="136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160" w:type="dxa"/>
            <w:vAlign w:val="bottom"/>
          </w:tcPr>
          <w:p>
            <w:pPr>
              <w:jc w:val="center"/>
              <w:ind w:right="173"/>
              <w:spacing w:after="0" w:line="149"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92"/>
        </w:trPr>
        <w:tc>
          <w:tcPr>
            <w:tcW w:w="7080" w:type="dxa"/>
            <w:vAlign w:val="bottom"/>
            <w:tcBorders>
              <w:bottom w:val="single" w:sz="8" w:color="CCEEFF"/>
            </w:tcBorders>
          </w:tcPr>
          <w:p>
            <w:pPr>
              <w:spacing w:after="0"/>
              <w:rPr>
                <w:sz w:val="16"/>
                <w:szCs w:val="16"/>
                <w:color w:val="auto"/>
              </w:rPr>
            </w:pPr>
          </w:p>
        </w:tc>
        <w:tc>
          <w:tcPr>
            <w:tcW w:w="1360" w:type="dxa"/>
            <w:vAlign w:val="bottom"/>
            <w:tcBorders>
              <w:bottom w:val="single" w:sz="8" w:color="auto"/>
            </w:tcBorders>
          </w:tcPr>
          <w:p>
            <w:pPr>
              <w:jc w:val="right"/>
              <w:ind w:right="352"/>
              <w:spacing w:after="0"/>
              <w:rPr>
                <w:sz w:val="20"/>
                <w:szCs w:val="20"/>
                <w:color w:val="auto"/>
              </w:rPr>
            </w:pPr>
            <w:r>
              <w:rPr>
                <w:rFonts w:ascii="Arial" w:cs="Arial" w:eastAsia="Arial" w:hAnsi="Arial"/>
                <w:sz w:val="14"/>
                <w:szCs w:val="14"/>
                <w:b w:val="1"/>
                <w:bCs w:val="1"/>
                <w:color w:val="auto"/>
              </w:rPr>
              <w:t>Activity</w:t>
            </w:r>
          </w:p>
        </w:tc>
        <w:tc>
          <w:tcPr>
            <w:tcW w:w="12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center"/>
              <w:ind w:right="153"/>
              <w:spacing w:after="0"/>
              <w:rPr>
                <w:sz w:val="20"/>
                <w:szCs w:val="20"/>
                <w:color w:val="auto"/>
              </w:rPr>
            </w:pPr>
            <w:r>
              <w:rPr>
                <w:rFonts w:ascii="Arial" w:cs="Arial" w:eastAsia="Arial" w:hAnsi="Arial"/>
                <w:sz w:val="14"/>
                <w:szCs w:val="14"/>
                <w:b w:val="1"/>
                <w:bCs w:val="1"/>
                <w:color w:val="auto"/>
                <w:w w:val="95"/>
              </w:rPr>
              <w:t>Fair Value</w:t>
            </w:r>
          </w:p>
        </w:tc>
        <w:tc>
          <w:tcPr>
            <w:tcW w:w="0" w:type="dxa"/>
            <w:vAlign w:val="bottom"/>
          </w:tcPr>
          <w:p>
            <w:pPr>
              <w:spacing w:after="0"/>
              <w:rPr>
                <w:sz w:val="1"/>
                <w:szCs w:val="1"/>
                <w:color w:val="auto"/>
              </w:rPr>
            </w:pPr>
          </w:p>
        </w:tc>
      </w:tr>
      <w:tr>
        <w:trPr>
          <w:trHeight w:val="250"/>
        </w:trPr>
        <w:tc>
          <w:tcPr>
            <w:tcW w:w="70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Nonvested at December 28, 2012</w:t>
            </w: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80,269</w:t>
            </w:r>
          </w:p>
        </w:tc>
        <w:tc>
          <w:tcPr>
            <w:tcW w:w="36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1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23.48</w:t>
            </w:r>
          </w:p>
        </w:tc>
        <w:tc>
          <w:tcPr>
            <w:tcW w:w="0" w:type="dxa"/>
            <w:vAlign w:val="bottom"/>
          </w:tcPr>
          <w:p>
            <w:pPr>
              <w:spacing w:after="0"/>
              <w:rPr>
                <w:sz w:val="1"/>
                <w:szCs w:val="1"/>
                <w:color w:val="auto"/>
              </w:rPr>
            </w:pPr>
          </w:p>
        </w:tc>
      </w:tr>
      <w:tr>
        <w:trPr>
          <w:trHeight w:val="243"/>
        </w:trPr>
        <w:tc>
          <w:tcPr>
            <w:tcW w:w="7080" w:type="dxa"/>
            <w:vAlign w:val="bottom"/>
          </w:tcPr>
          <w:p>
            <w:pPr>
              <w:ind w:left="380"/>
              <w:spacing w:after="0"/>
              <w:rPr>
                <w:sz w:val="20"/>
                <w:szCs w:val="20"/>
                <w:color w:val="auto"/>
              </w:rPr>
            </w:pPr>
            <w:r>
              <w:rPr>
                <w:rFonts w:ascii="Arial" w:cs="Arial" w:eastAsia="Arial" w:hAnsi="Arial"/>
                <w:sz w:val="18"/>
                <w:szCs w:val="18"/>
                <w:color w:val="auto"/>
              </w:rPr>
              <w:t>Granted</w:t>
            </w:r>
          </w:p>
        </w:tc>
        <w:tc>
          <w:tcPr>
            <w:tcW w:w="1360" w:type="dxa"/>
            <w:vAlign w:val="bottom"/>
          </w:tcPr>
          <w:p>
            <w:pPr>
              <w:jc w:val="right"/>
              <w:spacing w:after="0"/>
              <w:rPr>
                <w:sz w:val="20"/>
                <w:szCs w:val="20"/>
                <w:color w:val="auto"/>
              </w:rPr>
            </w:pPr>
            <w:r>
              <w:rPr>
                <w:rFonts w:ascii="Arial" w:cs="Arial" w:eastAsia="Arial" w:hAnsi="Arial"/>
                <w:sz w:val="18"/>
                <w:szCs w:val="18"/>
                <w:color w:val="auto"/>
              </w:rPr>
              <w:t>67,230</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60" w:type="dxa"/>
            <w:vAlign w:val="bottom"/>
          </w:tcPr>
          <w:p>
            <w:pPr>
              <w:jc w:val="right"/>
              <w:ind w:right="13"/>
              <w:spacing w:after="0"/>
              <w:rPr>
                <w:sz w:val="20"/>
                <w:szCs w:val="20"/>
                <w:color w:val="auto"/>
              </w:rPr>
            </w:pPr>
            <w:r>
              <w:rPr>
                <w:rFonts w:ascii="Arial" w:cs="Arial" w:eastAsia="Arial" w:hAnsi="Arial"/>
                <w:sz w:val="18"/>
                <w:szCs w:val="18"/>
                <w:color w:val="auto"/>
              </w:rPr>
              <w:t>26.76</w:t>
            </w:r>
          </w:p>
        </w:tc>
        <w:tc>
          <w:tcPr>
            <w:tcW w:w="0" w:type="dxa"/>
            <w:vAlign w:val="bottom"/>
          </w:tcPr>
          <w:p>
            <w:pPr>
              <w:spacing w:after="0"/>
              <w:rPr>
                <w:sz w:val="1"/>
                <w:szCs w:val="1"/>
                <w:color w:val="auto"/>
              </w:rPr>
            </w:pPr>
          </w:p>
        </w:tc>
      </w:tr>
      <w:tr>
        <w:trPr>
          <w:trHeight w:val="27"/>
        </w:trPr>
        <w:tc>
          <w:tcPr>
            <w:tcW w:w="708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0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Vested</w:t>
            </w: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(74,062)</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23.93</w:t>
            </w:r>
          </w:p>
        </w:tc>
        <w:tc>
          <w:tcPr>
            <w:tcW w:w="0" w:type="dxa"/>
            <w:vAlign w:val="bottom"/>
          </w:tcPr>
          <w:p>
            <w:pPr>
              <w:spacing w:after="0"/>
              <w:rPr>
                <w:sz w:val="1"/>
                <w:szCs w:val="1"/>
                <w:color w:val="auto"/>
              </w:rPr>
            </w:pPr>
          </w:p>
        </w:tc>
      </w:tr>
      <w:tr>
        <w:trPr>
          <w:trHeight w:val="243"/>
        </w:trPr>
        <w:tc>
          <w:tcPr>
            <w:tcW w:w="7080" w:type="dxa"/>
            <w:vAlign w:val="bottom"/>
          </w:tcPr>
          <w:p>
            <w:pPr>
              <w:ind w:left="380"/>
              <w:spacing w:after="0"/>
              <w:rPr>
                <w:sz w:val="20"/>
                <w:szCs w:val="20"/>
                <w:color w:val="auto"/>
              </w:rPr>
            </w:pPr>
            <w:r>
              <w:rPr>
                <w:rFonts w:ascii="Arial" w:cs="Arial" w:eastAsia="Arial" w:hAnsi="Arial"/>
                <w:sz w:val="18"/>
                <w:szCs w:val="18"/>
                <w:color w:val="auto"/>
              </w:rPr>
              <w:t>Forfeited</w:t>
            </w:r>
          </w:p>
        </w:tc>
        <w:tc>
          <w:tcPr>
            <w:tcW w:w="1360" w:type="dxa"/>
            <w:vAlign w:val="bottom"/>
          </w:tcPr>
          <w:p>
            <w:pPr>
              <w:jc w:val="right"/>
              <w:spacing w:after="0"/>
              <w:rPr>
                <w:sz w:val="20"/>
                <w:szCs w:val="20"/>
                <w:color w:val="auto"/>
              </w:rPr>
            </w:pPr>
            <w:r>
              <w:rPr>
                <w:rFonts w:ascii="Arial" w:cs="Arial" w:eastAsia="Arial" w:hAnsi="Arial"/>
                <w:sz w:val="18"/>
                <w:szCs w:val="18"/>
                <w:color w:val="auto"/>
              </w:rPr>
              <w:t>(5,862)</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60" w:type="dxa"/>
            <w:vAlign w:val="bottom"/>
          </w:tcPr>
          <w:p>
            <w:pPr>
              <w:jc w:val="right"/>
              <w:ind w:right="13"/>
              <w:spacing w:after="0"/>
              <w:rPr>
                <w:sz w:val="20"/>
                <w:szCs w:val="20"/>
                <w:color w:val="auto"/>
              </w:rPr>
            </w:pPr>
            <w:r>
              <w:rPr>
                <w:rFonts w:ascii="Arial" w:cs="Arial" w:eastAsia="Arial" w:hAnsi="Arial"/>
                <w:sz w:val="18"/>
                <w:szCs w:val="18"/>
                <w:color w:val="auto"/>
              </w:rPr>
              <w:t>22.26</w:t>
            </w:r>
          </w:p>
        </w:tc>
        <w:tc>
          <w:tcPr>
            <w:tcW w:w="0" w:type="dxa"/>
            <w:vAlign w:val="bottom"/>
          </w:tcPr>
          <w:p>
            <w:pPr>
              <w:spacing w:after="0"/>
              <w:rPr>
                <w:sz w:val="1"/>
                <w:szCs w:val="1"/>
                <w:color w:val="auto"/>
              </w:rPr>
            </w:pPr>
          </w:p>
        </w:tc>
      </w:tr>
      <w:tr>
        <w:trPr>
          <w:trHeight w:val="27"/>
        </w:trPr>
        <w:tc>
          <w:tcPr>
            <w:tcW w:w="708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CCEEFF"/>
            </w:tcBorders>
          </w:tcPr>
          <w:p>
            <w:pPr>
              <w:spacing w:after="0"/>
              <w:rPr>
                <w:sz w:val="2"/>
                <w:szCs w:val="2"/>
                <w:color w:val="auto"/>
              </w:rPr>
            </w:pPr>
          </w:p>
        </w:tc>
        <w:tc>
          <w:tcPr>
            <w:tcW w:w="116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70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Nonvested at January 3, 2014</w:t>
            </w: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67,575</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26.37</w:t>
            </w:r>
          </w:p>
        </w:tc>
        <w:tc>
          <w:tcPr>
            <w:tcW w:w="0" w:type="dxa"/>
            <w:vAlign w:val="bottom"/>
          </w:tcPr>
          <w:p>
            <w:pPr>
              <w:spacing w:after="0"/>
              <w:rPr>
                <w:sz w:val="1"/>
                <w:szCs w:val="1"/>
                <w:color w:val="auto"/>
              </w:rPr>
            </w:pPr>
          </w:p>
        </w:tc>
      </w:tr>
      <w:tr>
        <w:trPr>
          <w:trHeight w:val="243"/>
        </w:trPr>
        <w:tc>
          <w:tcPr>
            <w:tcW w:w="7080" w:type="dxa"/>
            <w:vAlign w:val="bottom"/>
          </w:tcPr>
          <w:p>
            <w:pPr>
              <w:ind w:left="380"/>
              <w:spacing w:after="0"/>
              <w:rPr>
                <w:sz w:val="20"/>
                <w:szCs w:val="20"/>
                <w:color w:val="auto"/>
              </w:rPr>
            </w:pPr>
            <w:r>
              <w:rPr>
                <w:rFonts w:ascii="Arial" w:cs="Arial" w:eastAsia="Arial" w:hAnsi="Arial"/>
                <w:sz w:val="18"/>
                <w:szCs w:val="18"/>
                <w:color w:val="auto"/>
              </w:rPr>
              <w:t>Granted</w:t>
            </w:r>
          </w:p>
        </w:tc>
        <w:tc>
          <w:tcPr>
            <w:tcW w:w="1360" w:type="dxa"/>
            <w:vAlign w:val="bottom"/>
          </w:tcPr>
          <w:p>
            <w:pPr>
              <w:jc w:val="right"/>
              <w:spacing w:after="0"/>
              <w:rPr>
                <w:sz w:val="20"/>
                <w:szCs w:val="20"/>
                <w:color w:val="auto"/>
              </w:rPr>
            </w:pPr>
            <w:r>
              <w:rPr>
                <w:rFonts w:ascii="Arial" w:cs="Arial" w:eastAsia="Arial" w:hAnsi="Arial"/>
                <w:sz w:val="18"/>
                <w:szCs w:val="18"/>
                <w:color w:val="auto"/>
              </w:rPr>
              <w:t>63,817</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60" w:type="dxa"/>
            <w:vAlign w:val="bottom"/>
          </w:tcPr>
          <w:p>
            <w:pPr>
              <w:jc w:val="right"/>
              <w:ind w:right="13"/>
              <w:spacing w:after="0"/>
              <w:rPr>
                <w:sz w:val="20"/>
                <w:szCs w:val="20"/>
                <w:color w:val="auto"/>
              </w:rPr>
            </w:pPr>
            <w:r>
              <w:rPr>
                <w:rFonts w:ascii="Arial" w:cs="Arial" w:eastAsia="Arial" w:hAnsi="Arial"/>
                <w:sz w:val="18"/>
                <w:szCs w:val="18"/>
                <w:color w:val="auto"/>
              </w:rPr>
              <w:t>44.78</w:t>
            </w:r>
          </w:p>
        </w:tc>
        <w:tc>
          <w:tcPr>
            <w:tcW w:w="0" w:type="dxa"/>
            <w:vAlign w:val="bottom"/>
          </w:tcPr>
          <w:p>
            <w:pPr>
              <w:spacing w:after="0"/>
              <w:rPr>
                <w:sz w:val="1"/>
                <w:szCs w:val="1"/>
                <w:color w:val="auto"/>
              </w:rPr>
            </w:pPr>
          </w:p>
        </w:tc>
      </w:tr>
      <w:tr>
        <w:trPr>
          <w:trHeight w:val="27"/>
        </w:trPr>
        <w:tc>
          <w:tcPr>
            <w:tcW w:w="708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0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Vested</w:t>
            </w: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(53,568)</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34.16</w:t>
            </w:r>
          </w:p>
        </w:tc>
        <w:tc>
          <w:tcPr>
            <w:tcW w:w="0" w:type="dxa"/>
            <w:vAlign w:val="bottom"/>
          </w:tcPr>
          <w:p>
            <w:pPr>
              <w:spacing w:after="0"/>
              <w:rPr>
                <w:sz w:val="1"/>
                <w:szCs w:val="1"/>
                <w:color w:val="auto"/>
              </w:rPr>
            </w:pPr>
          </w:p>
        </w:tc>
      </w:tr>
      <w:tr>
        <w:trPr>
          <w:trHeight w:val="243"/>
        </w:trPr>
        <w:tc>
          <w:tcPr>
            <w:tcW w:w="7080" w:type="dxa"/>
            <w:vAlign w:val="bottom"/>
          </w:tcPr>
          <w:p>
            <w:pPr>
              <w:ind w:left="380"/>
              <w:spacing w:after="0"/>
              <w:rPr>
                <w:sz w:val="20"/>
                <w:szCs w:val="20"/>
                <w:color w:val="auto"/>
              </w:rPr>
            </w:pPr>
            <w:r>
              <w:rPr>
                <w:rFonts w:ascii="Arial" w:cs="Arial" w:eastAsia="Arial" w:hAnsi="Arial"/>
                <w:sz w:val="18"/>
                <w:szCs w:val="18"/>
                <w:color w:val="auto"/>
              </w:rPr>
              <w:t>Forfeited</w:t>
            </w:r>
          </w:p>
        </w:tc>
        <w:tc>
          <w:tcPr>
            <w:tcW w:w="1360" w:type="dxa"/>
            <w:vAlign w:val="bottom"/>
          </w:tcPr>
          <w:p>
            <w:pPr>
              <w:jc w:val="right"/>
              <w:spacing w:after="0"/>
              <w:rPr>
                <w:sz w:val="20"/>
                <w:szCs w:val="20"/>
                <w:color w:val="auto"/>
              </w:rPr>
            </w:pPr>
            <w:r>
              <w:rPr>
                <w:rFonts w:ascii="Arial" w:cs="Arial" w:eastAsia="Arial" w:hAnsi="Arial"/>
                <w:sz w:val="18"/>
                <w:szCs w:val="18"/>
                <w:color w:val="auto"/>
              </w:rPr>
              <w:t>(9,992)</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60" w:type="dxa"/>
            <w:vAlign w:val="bottom"/>
          </w:tcPr>
          <w:p>
            <w:pPr>
              <w:jc w:val="right"/>
              <w:ind w:right="13"/>
              <w:spacing w:after="0"/>
              <w:rPr>
                <w:sz w:val="20"/>
                <w:szCs w:val="20"/>
                <w:color w:val="auto"/>
              </w:rPr>
            </w:pPr>
            <w:r>
              <w:rPr>
                <w:rFonts w:ascii="Arial" w:cs="Arial" w:eastAsia="Arial" w:hAnsi="Arial"/>
                <w:sz w:val="18"/>
                <w:szCs w:val="18"/>
                <w:color w:val="auto"/>
              </w:rPr>
              <w:t>35.30</w:t>
            </w:r>
          </w:p>
        </w:tc>
        <w:tc>
          <w:tcPr>
            <w:tcW w:w="0" w:type="dxa"/>
            <w:vAlign w:val="bottom"/>
          </w:tcPr>
          <w:p>
            <w:pPr>
              <w:spacing w:after="0"/>
              <w:rPr>
                <w:sz w:val="1"/>
                <w:szCs w:val="1"/>
                <w:color w:val="auto"/>
              </w:rPr>
            </w:pPr>
          </w:p>
        </w:tc>
      </w:tr>
      <w:tr>
        <w:trPr>
          <w:trHeight w:val="27"/>
        </w:trPr>
        <w:tc>
          <w:tcPr>
            <w:tcW w:w="708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CCEEFF"/>
            </w:tcBorders>
          </w:tcPr>
          <w:p>
            <w:pPr>
              <w:spacing w:after="0"/>
              <w:rPr>
                <w:sz w:val="2"/>
                <w:szCs w:val="2"/>
                <w:color w:val="auto"/>
              </w:rPr>
            </w:pPr>
          </w:p>
        </w:tc>
        <w:tc>
          <w:tcPr>
            <w:tcW w:w="116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70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Nonvested at January 2, 2015</w:t>
            </w: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67,832</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36.22</w:t>
            </w:r>
          </w:p>
        </w:tc>
        <w:tc>
          <w:tcPr>
            <w:tcW w:w="0" w:type="dxa"/>
            <w:vAlign w:val="bottom"/>
          </w:tcPr>
          <w:p>
            <w:pPr>
              <w:spacing w:after="0"/>
              <w:rPr>
                <w:sz w:val="1"/>
                <w:szCs w:val="1"/>
                <w:color w:val="auto"/>
              </w:rPr>
            </w:pPr>
          </w:p>
        </w:tc>
      </w:tr>
      <w:tr>
        <w:trPr>
          <w:trHeight w:val="243"/>
        </w:trPr>
        <w:tc>
          <w:tcPr>
            <w:tcW w:w="7080" w:type="dxa"/>
            <w:vAlign w:val="bottom"/>
          </w:tcPr>
          <w:p>
            <w:pPr>
              <w:ind w:left="380"/>
              <w:spacing w:after="0"/>
              <w:rPr>
                <w:sz w:val="20"/>
                <w:szCs w:val="20"/>
                <w:color w:val="auto"/>
              </w:rPr>
            </w:pPr>
            <w:r>
              <w:rPr>
                <w:rFonts w:ascii="Arial" w:cs="Arial" w:eastAsia="Arial" w:hAnsi="Arial"/>
                <w:sz w:val="18"/>
                <w:szCs w:val="18"/>
                <w:color w:val="auto"/>
              </w:rPr>
              <w:t>Granted</w:t>
            </w:r>
          </w:p>
        </w:tc>
        <w:tc>
          <w:tcPr>
            <w:tcW w:w="1360" w:type="dxa"/>
            <w:vAlign w:val="bottom"/>
          </w:tcPr>
          <w:p>
            <w:pPr>
              <w:jc w:val="right"/>
              <w:spacing w:after="0"/>
              <w:rPr>
                <w:sz w:val="20"/>
                <w:szCs w:val="20"/>
                <w:color w:val="auto"/>
              </w:rPr>
            </w:pPr>
            <w:r>
              <w:rPr>
                <w:rFonts w:ascii="Arial" w:cs="Arial" w:eastAsia="Arial" w:hAnsi="Arial"/>
                <w:sz w:val="18"/>
                <w:szCs w:val="18"/>
                <w:color w:val="auto"/>
              </w:rPr>
              <w:t>44,629</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60" w:type="dxa"/>
            <w:vAlign w:val="bottom"/>
          </w:tcPr>
          <w:p>
            <w:pPr>
              <w:jc w:val="right"/>
              <w:ind w:right="13"/>
              <w:spacing w:after="0"/>
              <w:rPr>
                <w:sz w:val="20"/>
                <w:szCs w:val="20"/>
                <w:color w:val="auto"/>
              </w:rPr>
            </w:pPr>
            <w:r>
              <w:rPr>
                <w:rFonts w:ascii="Arial" w:cs="Arial" w:eastAsia="Arial" w:hAnsi="Arial"/>
                <w:sz w:val="18"/>
                <w:szCs w:val="18"/>
                <w:color w:val="auto"/>
              </w:rPr>
              <w:t>49.84</w:t>
            </w:r>
          </w:p>
        </w:tc>
        <w:tc>
          <w:tcPr>
            <w:tcW w:w="0" w:type="dxa"/>
            <w:vAlign w:val="bottom"/>
          </w:tcPr>
          <w:p>
            <w:pPr>
              <w:spacing w:after="0"/>
              <w:rPr>
                <w:sz w:val="1"/>
                <w:szCs w:val="1"/>
                <w:color w:val="auto"/>
              </w:rPr>
            </w:pPr>
          </w:p>
        </w:tc>
      </w:tr>
      <w:tr>
        <w:trPr>
          <w:trHeight w:val="27"/>
        </w:trPr>
        <w:tc>
          <w:tcPr>
            <w:tcW w:w="708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0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Vested</w:t>
            </w: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(56,119)</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37.93</w:t>
            </w:r>
          </w:p>
        </w:tc>
        <w:tc>
          <w:tcPr>
            <w:tcW w:w="0" w:type="dxa"/>
            <w:vAlign w:val="bottom"/>
          </w:tcPr>
          <w:p>
            <w:pPr>
              <w:spacing w:after="0"/>
              <w:rPr>
                <w:sz w:val="1"/>
                <w:szCs w:val="1"/>
                <w:color w:val="auto"/>
              </w:rPr>
            </w:pPr>
          </w:p>
        </w:tc>
      </w:tr>
      <w:tr>
        <w:trPr>
          <w:trHeight w:val="243"/>
        </w:trPr>
        <w:tc>
          <w:tcPr>
            <w:tcW w:w="7080" w:type="dxa"/>
            <w:vAlign w:val="bottom"/>
          </w:tcPr>
          <w:p>
            <w:pPr>
              <w:ind w:left="380"/>
              <w:spacing w:after="0"/>
              <w:rPr>
                <w:sz w:val="20"/>
                <w:szCs w:val="20"/>
                <w:color w:val="auto"/>
              </w:rPr>
            </w:pPr>
            <w:r>
              <w:rPr>
                <w:rFonts w:ascii="Arial" w:cs="Arial" w:eastAsia="Arial" w:hAnsi="Arial"/>
                <w:sz w:val="18"/>
                <w:szCs w:val="18"/>
                <w:color w:val="auto"/>
              </w:rPr>
              <w:t>Forfeited</w:t>
            </w:r>
          </w:p>
        </w:tc>
        <w:tc>
          <w:tcPr>
            <w:tcW w:w="1360" w:type="dxa"/>
            <w:vAlign w:val="bottom"/>
          </w:tcPr>
          <w:p>
            <w:pPr>
              <w:jc w:val="right"/>
              <w:spacing w:after="0"/>
              <w:rPr>
                <w:sz w:val="20"/>
                <w:szCs w:val="20"/>
                <w:color w:val="auto"/>
              </w:rPr>
            </w:pPr>
            <w:r>
              <w:rPr>
                <w:rFonts w:ascii="Arial" w:cs="Arial" w:eastAsia="Arial" w:hAnsi="Arial"/>
                <w:sz w:val="18"/>
                <w:szCs w:val="18"/>
                <w:color w:val="auto"/>
              </w:rPr>
              <w:t>(17,107)</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60" w:type="dxa"/>
            <w:vAlign w:val="bottom"/>
          </w:tcPr>
          <w:p>
            <w:pPr>
              <w:jc w:val="right"/>
              <w:ind w:right="13"/>
              <w:spacing w:after="0"/>
              <w:rPr>
                <w:sz w:val="20"/>
                <w:szCs w:val="20"/>
                <w:color w:val="auto"/>
              </w:rPr>
            </w:pPr>
            <w:r>
              <w:rPr>
                <w:rFonts w:ascii="Arial" w:cs="Arial" w:eastAsia="Arial" w:hAnsi="Arial"/>
                <w:sz w:val="18"/>
                <w:szCs w:val="18"/>
                <w:color w:val="auto"/>
              </w:rPr>
              <w:t>40.48</w:t>
            </w:r>
          </w:p>
        </w:tc>
        <w:tc>
          <w:tcPr>
            <w:tcW w:w="0" w:type="dxa"/>
            <w:vAlign w:val="bottom"/>
          </w:tcPr>
          <w:p>
            <w:pPr>
              <w:spacing w:after="0"/>
              <w:rPr>
                <w:sz w:val="1"/>
                <w:szCs w:val="1"/>
                <w:color w:val="auto"/>
              </w:rPr>
            </w:pPr>
          </w:p>
        </w:tc>
      </w:tr>
      <w:tr>
        <w:trPr>
          <w:trHeight w:val="27"/>
        </w:trPr>
        <w:tc>
          <w:tcPr>
            <w:tcW w:w="708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CCEEFF"/>
            </w:tcBorders>
          </w:tcPr>
          <w:p>
            <w:pPr>
              <w:spacing w:after="0"/>
              <w:rPr>
                <w:sz w:val="2"/>
                <w:szCs w:val="2"/>
                <w:color w:val="auto"/>
              </w:rPr>
            </w:pPr>
          </w:p>
        </w:tc>
        <w:tc>
          <w:tcPr>
            <w:tcW w:w="116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70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Nonvested at January 1, 2016</w:t>
            </w: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39,235</w:t>
            </w:r>
          </w:p>
        </w:tc>
        <w:tc>
          <w:tcPr>
            <w:tcW w:w="36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1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47.40</w:t>
            </w:r>
          </w:p>
        </w:tc>
        <w:tc>
          <w:tcPr>
            <w:tcW w:w="0" w:type="dxa"/>
            <w:vAlign w:val="bottom"/>
          </w:tcPr>
          <w:p>
            <w:pPr>
              <w:spacing w:after="0"/>
              <w:rPr>
                <w:sz w:val="1"/>
                <w:szCs w:val="1"/>
                <w:color w:val="auto"/>
              </w:rPr>
            </w:pPr>
          </w:p>
        </w:tc>
      </w:tr>
      <w:tr>
        <w:trPr>
          <w:trHeight w:val="20"/>
        </w:trPr>
        <w:tc>
          <w:tcPr>
            <w:tcW w:w="708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Performance-based restricted stock units granted only vest if certain market-based performance metrics are achieved. The amount of shares that ultimately vest range from 0 shares to 577,825 shares based upon the total shareholder return of the Company relative to the Company’s compensation peer group over a three year performance period beginning in the year of grant. The fair value of the restricted stock units were determined by utilizing a Monte Carlo simulation model, which projects the value of Greatbatch stock versus the peer group under numerous scenarios and determines the value of the award based upon the present value of these projected outcomes. The following table summarizes performance-vested restricted stock and stock unit activity related to the Company’s plans:</w:t>
      </w:r>
    </w:p>
    <w:p>
      <w:pPr>
        <w:spacing w:after="0" w:line="328" w:lineRule="exact"/>
        <w:rPr>
          <w:sz w:val="20"/>
          <w:szCs w:val="20"/>
          <w:color w:val="auto"/>
        </w:rPr>
      </w:pPr>
    </w:p>
    <w:p>
      <w:pPr>
        <w:jc w:val="center"/>
        <w:ind w:right="420"/>
        <w:spacing w:after="0"/>
        <w:rPr>
          <w:sz w:val="20"/>
          <w:szCs w:val="20"/>
          <w:color w:val="auto"/>
        </w:rPr>
      </w:pPr>
      <w:r>
        <w:rPr>
          <w:rFonts w:ascii="Arial" w:cs="Arial" w:eastAsia="Arial" w:hAnsi="Arial"/>
          <w:sz w:val="18"/>
          <w:szCs w:val="18"/>
          <w:color w:val="auto"/>
        </w:rPr>
        <w:t>- 94 -</w:t>
      </w:r>
    </w:p>
    <w:p>
      <w:pPr>
        <w:sectPr>
          <w:pgSz w:w="11900" w:h="16838" w:orient="portrait"/>
          <w:cols w:equalWidth="0" w:num="1">
            <w:col w:w="10860"/>
          </w:cols>
          <w:pgMar w:left="740" w:top="337" w:right="299" w:bottom="1440" w:gutter="0" w:footer="0" w:header="0"/>
        </w:sectPr>
      </w:pPr>
    </w:p>
    <w:bookmarkStart w:id="95" w:name="page96"/>
    <w:bookmarkEnd w:id="95"/>
    <w:p>
      <w:pPr>
        <w:jc w:val="center"/>
        <w:ind w:right="-224"/>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ind w:right="-224"/>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tbl>
      <w:tblPr>
        <w:tblLayout w:type="fixed"/>
        <w:tblInd w:w="465" w:type="dxa"/>
        <w:tblCellMar>
          <w:top w:w="0" w:type="dxa"/>
          <w:left w:w="0" w:type="dxa"/>
          <w:bottom w:w="0" w:type="dxa"/>
          <w:right w:w="0" w:type="dxa"/>
        </w:tblCellMar>
      </w:tblPr>
      <w:tr>
        <w:trPr>
          <w:trHeight w:val="161"/>
        </w:trPr>
        <w:tc>
          <w:tcPr>
            <w:tcW w:w="7140" w:type="dxa"/>
            <w:vAlign w:val="bottom"/>
          </w:tcPr>
          <w:p>
            <w:pPr>
              <w:spacing w:after="0"/>
              <w:rPr>
                <w:sz w:val="14"/>
                <w:szCs w:val="14"/>
                <w:color w:val="auto"/>
              </w:rPr>
            </w:pPr>
          </w:p>
        </w:tc>
        <w:tc>
          <w:tcPr>
            <w:tcW w:w="1380" w:type="dxa"/>
            <w:vAlign w:val="bottom"/>
          </w:tcPr>
          <w:p>
            <w:pPr>
              <w:jc w:val="center"/>
              <w:spacing w:after="0"/>
              <w:rPr>
                <w:sz w:val="20"/>
                <w:szCs w:val="20"/>
                <w:color w:val="auto"/>
              </w:rPr>
            </w:pPr>
            <w:r>
              <w:rPr>
                <w:rFonts w:ascii="Arial" w:cs="Arial" w:eastAsia="Arial" w:hAnsi="Arial"/>
                <w:sz w:val="14"/>
                <w:szCs w:val="14"/>
                <w:b w:val="1"/>
                <w:bCs w:val="1"/>
                <w:color w:val="auto"/>
                <w:w w:val="93"/>
              </w:rPr>
              <w:t>Performance-</w:t>
            </w:r>
          </w:p>
        </w:tc>
        <w:tc>
          <w:tcPr>
            <w:tcW w:w="1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60" w:type="dxa"/>
            <w:vAlign w:val="bottom"/>
          </w:tcPr>
          <w:p>
            <w:pPr>
              <w:jc w:val="center"/>
              <w:ind w:right="173"/>
              <w:spacing w:after="0"/>
              <w:rPr>
                <w:sz w:val="20"/>
                <w:szCs w:val="20"/>
                <w:color w:val="auto"/>
              </w:rPr>
            </w:pPr>
            <w:r>
              <w:rPr>
                <w:rFonts w:ascii="Arial" w:cs="Arial" w:eastAsia="Arial" w:hAnsi="Arial"/>
                <w:sz w:val="14"/>
                <w:szCs w:val="14"/>
                <w:b w:val="1"/>
                <w:bCs w:val="1"/>
                <w:color w:val="auto"/>
                <w:w w:val="91"/>
              </w:rPr>
              <w:t>Weighted</w:t>
            </w:r>
          </w:p>
        </w:tc>
      </w:tr>
      <w:tr>
        <w:trPr>
          <w:trHeight w:val="149"/>
        </w:trPr>
        <w:tc>
          <w:tcPr>
            <w:tcW w:w="7140" w:type="dxa"/>
            <w:vAlign w:val="bottom"/>
          </w:tcPr>
          <w:p>
            <w:pPr>
              <w:spacing w:after="0"/>
              <w:rPr>
                <w:sz w:val="12"/>
                <w:szCs w:val="12"/>
                <w:color w:val="auto"/>
              </w:rPr>
            </w:pPr>
          </w:p>
        </w:tc>
        <w:tc>
          <w:tcPr>
            <w:tcW w:w="13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Vested</w:t>
            </w:r>
          </w:p>
        </w:tc>
        <w:tc>
          <w:tcPr>
            <w:tcW w:w="1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160" w:type="dxa"/>
            <w:vAlign w:val="bottom"/>
          </w:tcPr>
          <w:p>
            <w:pPr>
              <w:jc w:val="center"/>
              <w:ind w:right="173"/>
              <w:spacing w:after="0" w:line="149" w:lineRule="exact"/>
              <w:rPr>
                <w:sz w:val="20"/>
                <w:szCs w:val="20"/>
                <w:color w:val="auto"/>
              </w:rPr>
            </w:pPr>
            <w:r>
              <w:rPr>
                <w:rFonts w:ascii="Arial" w:cs="Arial" w:eastAsia="Arial" w:hAnsi="Arial"/>
                <w:sz w:val="14"/>
                <w:szCs w:val="14"/>
                <w:b w:val="1"/>
                <w:bCs w:val="1"/>
                <w:color w:val="auto"/>
                <w:w w:val="90"/>
              </w:rPr>
              <w:t>Average</w:t>
            </w:r>
          </w:p>
        </w:tc>
      </w:tr>
      <w:tr>
        <w:trPr>
          <w:trHeight w:val="192"/>
        </w:trPr>
        <w:tc>
          <w:tcPr>
            <w:tcW w:w="7140" w:type="dxa"/>
            <w:vAlign w:val="bottom"/>
            <w:tcBorders>
              <w:bottom w:val="single" w:sz="8" w:color="CCEEFF"/>
            </w:tcBorders>
          </w:tcPr>
          <w:p>
            <w:pPr>
              <w:spacing w:after="0"/>
              <w:rPr>
                <w:sz w:val="16"/>
                <w:szCs w:val="16"/>
                <w:color w:val="auto"/>
              </w:rPr>
            </w:pPr>
          </w:p>
        </w:tc>
        <w:tc>
          <w:tcPr>
            <w:tcW w:w="13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Activity</w:t>
            </w:r>
          </w:p>
        </w:tc>
        <w:tc>
          <w:tcPr>
            <w:tcW w:w="12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center"/>
              <w:ind w:right="193"/>
              <w:spacing w:after="0"/>
              <w:rPr>
                <w:sz w:val="20"/>
                <w:szCs w:val="20"/>
                <w:color w:val="auto"/>
              </w:rPr>
            </w:pPr>
            <w:r>
              <w:rPr>
                <w:rFonts w:ascii="Arial" w:cs="Arial" w:eastAsia="Arial" w:hAnsi="Arial"/>
                <w:sz w:val="14"/>
                <w:szCs w:val="14"/>
                <w:b w:val="1"/>
                <w:bCs w:val="1"/>
                <w:color w:val="auto"/>
                <w:w w:val="95"/>
              </w:rPr>
              <w:t>Fair Value</w:t>
            </w:r>
          </w:p>
        </w:tc>
      </w:tr>
      <w:tr>
        <w:trPr>
          <w:trHeight w:val="250"/>
        </w:trPr>
        <w:tc>
          <w:tcPr>
            <w:tcW w:w="7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Nonvested at December 28, 2012</w:t>
            </w: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782,446</w:t>
            </w:r>
          </w:p>
        </w:tc>
        <w:tc>
          <w:tcPr>
            <w:tcW w:w="38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1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16.02</w:t>
            </w:r>
          </w:p>
        </w:tc>
      </w:tr>
      <w:tr>
        <w:trPr>
          <w:trHeight w:val="243"/>
        </w:trPr>
        <w:tc>
          <w:tcPr>
            <w:tcW w:w="7140" w:type="dxa"/>
            <w:vAlign w:val="bottom"/>
          </w:tcPr>
          <w:p>
            <w:pPr>
              <w:ind w:left="380"/>
              <w:spacing w:after="0"/>
              <w:rPr>
                <w:sz w:val="20"/>
                <w:szCs w:val="20"/>
                <w:color w:val="auto"/>
              </w:rPr>
            </w:pPr>
            <w:r>
              <w:rPr>
                <w:rFonts w:ascii="Arial" w:cs="Arial" w:eastAsia="Arial" w:hAnsi="Arial"/>
                <w:sz w:val="18"/>
                <w:szCs w:val="18"/>
                <w:color w:val="auto"/>
              </w:rPr>
              <w:t>Granted</w:t>
            </w:r>
          </w:p>
        </w:tc>
        <w:tc>
          <w:tcPr>
            <w:tcW w:w="1380" w:type="dxa"/>
            <w:vAlign w:val="bottom"/>
          </w:tcPr>
          <w:p>
            <w:pPr>
              <w:jc w:val="right"/>
              <w:spacing w:after="0"/>
              <w:rPr>
                <w:sz w:val="20"/>
                <w:szCs w:val="20"/>
                <w:color w:val="auto"/>
              </w:rPr>
            </w:pPr>
            <w:r>
              <w:rPr>
                <w:rFonts w:ascii="Arial" w:cs="Arial" w:eastAsia="Arial" w:hAnsi="Arial"/>
                <w:sz w:val="18"/>
                <w:szCs w:val="18"/>
                <w:color w:val="auto"/>
              </w:rPr>
              <w:t>318,169</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60" w:type="dxa"/>
            <w:vAlign w:val="bottom"/>
          </w:tcPr>
          <w:p>
            <w:pPr>
              <w:jc w:val="right"/>
              <w:ind w:right="13"/>
              <w:spacing w:after="0"/>
              <w:rPr>
                <w:sz w:val="20"/>
                <w:szCs w:val="20"/>
                <w:color w:val="auto"/>
              </w:rPr>
            </w:pPr>
            <w:r>
              <w:rPr>
                <w:rFonts w:ascii="Arial" w:cs="Arial" w:eastAsia="Arial" w:hAnsi="Arial"/>
                <w:sz w:val="18"/>
                <w:szCs w:val="18"/>
                <w:color w:val="auto"/>
              </w:rPr>
              <w:t>15.86</w:t>
            </w:r>
          </w:p>
        </w:tc>
      </w:tr>
      <w:tr>
        <w:trPr>
          <w:trHeight w:val="27"/>
        </w:trPr>
        <w:tc>
          <w:tcPr>
            <w:tcW w:w="71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71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Vested</w:t>
            </w: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(49,139)</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14.68</w:t>
            </w:r>
          </w:p>
        </w:tc>
      </w:tr>
      <w:tr>
        <w:trPr>
          <w:trHeight w:val="243"/>
        </w:trPr>
        <w:tc>
          <w:tcPr>
            <w:tcW w:w="7140" w:type="dxa"/>
            <w:vAlign w:val="bottom"/>
          </w:tcPr>
          <w:p>
            <w:pPr>
              <w:ind w:left="380"/>
              <w:spacing w:after="0"/>
              <w:rPr>
                <w:sz w:val="20"/>
                <w:szCs w:val="20"/>
                <w:color w:val="auto"/>
              </w:rPr>
            </w:pPr>
            <w:r>
              <w:rPr>
                <w:rFonts w:ascii="Arial" w:cs="Arial" w:eastAsia="Arial" w:hAnsi="Arial"/>
                <w:sz w:val="18"/>
                <w:szCs w:val="18"/>
                <w:color w:val="auto"/>
              </w:rPr>
              <w:t>Forfeited</w:t>
            </w:r>
          </w:p>
        </w:tc>
        <w:tc>
          <w:tcPr>
            <w:tcW w:w="1380" w:type="dxa"/>
            <w:vAlign w:val="bottom"/>
          </w:tcPr>
          <w:p>
            <w:pPr>
              <w:jc w:val="right"/>
              <w:spacing w:after="0"/>
              <w:rPr>
                <w:sz w:val="20"/>
                <w:szCs w:val="20"/>
                <w:color w:val="auto"/>
              </w:rPr>
            </w:pPr>
            <w:r>
              <w:rPr>
                <w:rFonts w:ascii="Arial" w:cs="Arial" w:eastAsia="Arial" w:hAnsi="Arial"/>
                <w:sz w:val="18"/>
                <w:szCs w:val="18"/>
                <w:color w:val="auto"/>
              </w:rPr>
              <w:t>(271,798)</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60" w:type="dxa"/>
            <w:vAlign w:val="bottom"/>
          </w:tcPr>
          <w:p>
            <w:pPr>
              <w:jc w:val="right"/>
              <w:ind w:right="13"/>
              <w:spacing w:after="0"/>
              <w:rPr>
                <w:sz w:val="20"/>
                <w:szCs w:val="20"/>
                <w:color w:val="auto"/>
              </w:rPr>
            </w:pPr>
            <w:r>
              <w:rPr>
                <w:rFonts w:ascii="Arial" w:cs="Arial" w:eastAsia="Arial" w:hAnsi="Arial"/>
                <w:sz w:val="18"/>
                <w:szCs w:val="18"/>
                <w:color w:val="auto"/>
              </w:rPr>
              <w:t>14.94</w:t>
            </w:r>
          </w:p>
        </w:tc>
      </w:tr>
      <w:tr>
        <w:trPr>
          <w:trHeight w:val="27"/>
        </w:trPr>
        <w:tc>
          <w:tcPr>
            <w:tcW w:w="7140" w:type="dxa"/>
            <w:vAlign w:val="bottom"/>
            <w:tcBorders>
              <w:bottom w:val="single" w:sz="8" w:color="CCEEFF"/>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CCEEFF"/>
            </w:tcBorders>
          </w:tcPr>
          <w:p>
            <w:pPr>
              <w:spacing w:after="0"/>
              <w:rPr>
                <w:sz w:val="2"/>
                <w:szCs w:val="2"/>
                <w:color w:val="auto"/>
              </w:rPr>
            </w:pPr>
          </w:p>
        </w:tc>
        <w:tc>
          <w:tcPr>
            <w:tcW w:w="1160" w:type="dxa"/>
            <w:vAlign w:val="bottom"/>
            <w:tcBorders>
              <w:bottom w:val="single" w:sz="8" w:color="CCEEFF"/>
            </w:tcBorders>
          </w:tcPr>
          <w:p>
            <w:pPr>
              <w:spacing w:after="0"/>
              <w:rPr>
                <w:sz w:val="2"/>
                <w:szCs w:val="2"/>
                <w:color w:val="auto"/>
              </w:rPr>
            </w:pPr>
          </w:p>
        </w:tc>
      </w:tr>
      <w:tr>
        <w:trPr>
          <w:trHeight w:val="244"/>
        </w:trPr>
        <w:tc>
          <w:tcPr>
            <w:tcW w:w="7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Nonvested at January 3, 2014</w:t>
            </w: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779,678</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16.41</w:t>
            </w:r>
          </w:p>
        </w:tc>
      </w:tr>
      <w:tr>
        <w:trPr>
          <w:trHeight w:val="243"/>
        </w:trPr>
        <w:tc>
          <w:tcPr>
            <w:tcW w:w="7140" w:type="dxa"/>
            <w:vAlign w:val="bottom"/>
          </w:tcPr>
          <w:p>
            <w:pPr>
              <w:ind w:left="380"/>
              <w:spacing w:after="0"/>
              <w:rPr>
                <w:sz w:val="20"/>
                <w:szCs w:val="20"/>
                <w:color w:val="auto"/>
              </w:rPr>
            </w:pPr>
            <w:r>
              <w:rPr>
                <w:rFonts w:ascii="Arial" w:cs="Arial" w:eastAsia="Arial" w:hAnsi="Arial"/>
                <w:sz w:val="18"/>
                <w:szCs w:val="18"/>
                <w:color w:val="auto"/>
              </w:rPr>
              <w:t>Granted</w:t>
            </w:r>
          </w:p>
        </w:tc>
        <w:tc>
          <w:tcPr>
            <w:tcW w:w="1380" w:type="dxa"/>
            <w:vAlign w:val="bottom"/>
          </w:tcPr>
          <w:p>
            <w:pPr>
              <w:jc w:val="right"/>
              <w:spacing w:after="0"/>
              <w:rPr>
                <w:sz w:val="20"/>
                <w:szCs w:val="20"/>
                <w:color w:val="auto"/>
              </w:rPr>
            </w:pPr>
            <w:r>
              <w:rPr>
                <w:rFonts w:ascii="Arial" w:cs="Arial" w:eastAsia="Arial" w:hAnsi="Arial"/>
                <w:sz w:val="18"/>
                <w:szCs w:val="18"/>
                <w:color w:val="auto"/>
              </w:rPr>
              <w:t>186,825</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60" w:type="dxa"/>
            <w:vAlign w:val="bottom"/>
          </w:tcPr>
          <w:p>
            <w:pPr>
              <w:jc w:val="right"/>
              <w:ind w:right="13"/>
              <w:spacing w:after="0"/>
              <w:rPr>
                <w:sz w:val="20"/>
                <w:szCs w:val="20"/>
                <w:color w:val="auto"/>
              </w:rPr>
            </w:pPr>
            <w:r>
              <w:rPr>
                <w:rFonts w:ascii="Arial" w:cs="Arial" w:eastAsia="Arial" w:hAnsi="Arial"/>
                <w:sz w:val="18"/>
                <w:szCs w:val="18"/>
                <w:color w:val="auto"/>
              </w:rPr>
              <w:t>31.33</w:t>
            </w:r>
          </w:p>
        </w:tc>
      </w:tr>
      <w:tr>
        <w:trPr>
          <w:trHeight w:val="27"/>
        </w:trPr>
        <w:tc>
          <w:tcPr>
            <w:tcW w:w="71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71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Vested</w:t>
            </w: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(221,470)</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18.51</w:t>
            </w:r>
          </w:p>
        </w:tc>
      </w:tr>
      <w:tr>
        <w:trPr>
          <w:trHeight w:val="243"/>
        </w:trPr>
        <w:tc>
          <w:tcPr>
            <w:tcW w:w="7140" w:type="dxa"/>
            <w:vAlign w:val="bottom"/>
          </w:tcPr>
          <w:p>
            <w:pPr>
              <w:ind w:left="380"/>
              <w:spacing w:after="0"/>
              <w:rPr>
                <w:sz w:val="20"/>
                <w:szCs w:val="20"/>
                <w:color w:val="auto"/>
              </w:rPr>
            </w:pPr>
            <w:r>
              <w:rPr>
                <w:rFonts w:ascii="Arial" w:cs="Arial" w:eastAsia="Arial" w:hAnsi="Arial"/>
                <w:sz w:val="18"/>
                <w:szCs w:val="18"/>
                <w:color w:val="auto"/>
              </w:rPr>
              <w:t>Forfeited</w:t>
            </w:r>
          </w:p>
        </w:tc>
        <w:tc>
          <w:tcPr>
            <w:tcW w:w="1380" w:type="dxa"/>
            <w:vAlign w:val="bottom"/>
          </w:tcPr>
          <w:p>
            <w:pPr>
              <w:jc w:val="right"/>
              <w:spacing w:after="0"/>
              <w:rPr>
                <w:sz w:val="20"/>
                <w:szCs w:val="20"/>
                <w:color w:val="auto"/>
              </w:rPr>
            </w:pPr>
            <w:r>
              <w:rPr>
                <w:rFonts w:ascii="Arial" w:cs="Arial" w:eastAsia="Arial" w:hAnsi="Arial"/>
                <w:sz w:val="18"/>
                <w:szCs w:val="18"/>
                <w:color w:val="auto"/>
              </w:rPr>
              <w:t>(28,870)</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60" w:type="dxa"/>
            <w:vAlign w:val="bottom"/>
          </w:tcPr>
          <w:p>
            <w:pPr>
              <w:jc w:val="right"/>
              <w:ind w:right="13"/>
              <w:spacing w:after="0"/>
              <w:rPr>
                <w:sz w:val="20"/>
                <w:szCs w:val="20"/>
                <w:color w:val="auto"/>
              </w:rPr>
            </w:pPr>
            <w:r>
              <w:rPr>
                <w:rFonts w:ascii="Arial" w:cs="Arial" w:eastAsia="Arial" w:hAnsi="Arial"/>
                <w:sz w:val="18"/>
                <w:szCs w:val="18"/>
                <w:color w:val="auto"/>
              </w:rPr>
              <w:t>18.42</w:t>
            </w:r>
          </w:p>
        </w:tc>
      </w:tr>
      <w:tr>
        <w:trPr>
          <w:trHeight w:val="27"/>
        </w:trPr>
        <w:tc>
          <w:tcPr>
            <w:tcW w:w="7140" w:type="dxa"/>
            <w:vAlign w:val="bottom"/>
            <w:tcBorders>
              <w:bottom w:val="single" w:sz="8" w:color="CCEEFF"/>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CCEEFF"/>
            </w:tcBorders>
          </w:tcPr>
          <w:p>
            <w:pPr>
              <w:spacing w:after="0"/>
              <w:rPr>
                <w:sz w:val="2"/>
                <w:szCs w:val="2"/>
                <w:color w:val="auto"/>
              </w:rPr>
            </w:pPr>
          </w:p>
        </w:tc>
        <w:tc>
          <w:tcPr>
            <w:tcW w:w="1160" w:type="dxa"/>
            <w:vAlign w:val="bottom"/>
            <w:tcBorders>
              <w:bottom w:val="single" w:sz="8" w:color="CCEEFF"/>
            </w:tcBorders>
          </w:tcPr>
          <w:p>
            <w:pPr>
              <w:spacing w:after="0"/>
              <w:rPr>
                <w:sz w:val="2"/>
                <w:szCs w:val="2"/>
                <w:color w:val="auto"/>
              </w:rPr>
            </w:pPr>
          </w:p>
        </w:tc>
      </w:tr>
      <w:tr>
        <w:trPr>
          <w:trHeight w:val="244"/>
        </w:trPr>
        <w:tc>
          <w:tcPr>
            <w:tcW w:w="7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Nonvested at January 2, 2015</w:t>
            </w: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716,163</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19.57</w:t>
            </w:r>
          </w:p>
        </w:tc>
      </w:tr>
      <w:tr>
        <w:trPr>
          <w:trHeight w:val="243"/>
        </w:trPr>
        <w:tc>
          <w:tcPr>
            <w:tcW w:w="7140" w:type="dxa"/>
            <w:vAlign w:val="bottom"/>
          </w:tcPr>
          <w:p>
            <w:pPr>
              <w:ind w:left="380"/>
              <w:spacing w:after="0"/>
              <w:rPr>
                <w:sz w:val="20"/>
                <w:szCs w:val="20"/>
                <w:color w:val="auto"/>
              </w:rPr>
            </w:pPr>
            <w:r>
              <w:rPr>
                <w:rFonts w:ascii="Arial" w:cs="Arial" w:eastAsia="Arial" w:hAnsi="Arial"/>
                <w:sz w:val="18"/>
                <w:szCs w:val="18"/>
                <w:color w:val="auto"/>
              </w:rPr>
              <w:t>Granted</w:t>
            </w:r>
          </w:p>
        </w:tc>
        <w:tc>
          <w:tcPr>
            <w:tcW w:w="1380" w:type="dxa"/>
            <w:vAlign w:val="bottom"/>
          </w:tcPr>
          <w:p>
            <w:pPr>
              <w:jc w:val="right"/>
              <w:spacing w:after="0"/>
              <w:rPr>
                <w:sz w:val="20"/>
                <w:szCs w:val="20"/>
                <w:color w:val="auto"/>
              </w:rPr>
            </w:pPr>
            <w:r>
              <w:rPr>
                <w:rFonts w:ascii="Arial" w:cs="Arial" w:eastAsia="Arial" w:hAnsi="Arial"/>
                <w:sz w:val="18"/>
                <w:szCs w:val="18"/>
                <w:color w:val="auto"/>
              </w:rPr>
              <w:t>179,940</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60" w:type="dxa"/>
            <w:vAlign w:val="bottom"/>
          </w:tcPr>
          <w:p>
            <w:pPr>
              <w:jc w:val="right"/>
              <w:ind w:right="13"/>
              <w:spacing w:after="0"/>
              <w:rPr>
                <w:sz w:val="20"/>
                <w:szCs w:val="20"/>
                <w:color w:val="auto"/>
              </w:rPr>
            </w:pPr>
            <w:r>
              <w:rPr>
                <w:rFonts w:ascii="Arial" w:cs="Arial" w:eastAsia="Arial" w:hAnsi="Arial"/>
                <w:sz w:val="18"/>
                <w:szCs w:val="18"/>
                <w:color w:val="auto"/>
              </w:rPr>
              <w:t>32.92</w:t>
            </w:r>
          </w:p>
        </w:tc>
      </w:tr>
      <w:tr>
        <w:trPr>
          <w:trHeight w:val="27"/>
        </w:trPr>
        <w:tc>
          <w:tcPr>
            <w:tcW w:w="71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71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Vested</w:t>
            </w: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(270,198)</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15.30</w:t>
            </w:r>
          </w:p>
        </w:tc>
      </w:tr>
      <w:tr>
        <w:trPr>
          <w:trHeight w:val="243"/>
        </w:trPr>
        <w:tc>
          <w:tcPr>
            <w:tcW w:w="7140" w:type="dxa"/>
            <w:vAlign w:val="bottom"/>
          </w:tcPr>
          <w:p>
            <w:pPr>
              <w:ind w:left="380"/>
              <w:spacing w:after="0"/>
              <w:rPr>
                <w:sz w:val="20"/>
                <w:szCs w:val="20"/>
                <w:color w:val="auto"/>
              </w:rPr>
            </w:pPr>
            <w:r>
              <w:rPr>
                <w:rFonts w:ascii="Arial" w:cs="Arial" w:eastAsia="Arial" w:hAnsi="Arial"/>
                <w:sz w:val="18"/>
                <w:szCs w:val="18"/>
                <w:color w:val="auto"/>
              </w:rPr>
              <w:t>Forfeited</w:t>
            </w:r>
          </w:p>
        </w:tc>
        <w:tc>
          <w:tcPr>
            <w:tcW w:w="1380" w:type="dxa"/>
            <w:vAlign w:val="bottom"/>
          </w:tcPr>
          <w:p>
            <w:pPr>
              <w:jc w:val="right"/>
              <w:spacing w:after="0"/>
              <w:rPr>
                <w:sz w:val="20"/>
                <w:szCs w:val="20"/>
                <w:color w:val="auto"/>
              </w:rPr>
            </w:pPr>
            <w:r>
              <w:rPr>
                <w:rFonts w:ascii="Arial" w:cs="Arial" w:eastAsia="Arial" w:hAnsi="Arial"/>
                <w:sz w:val="18"/>
                <w:szCs w:val="18"/>
                <w:color w:val="auto"/>
              </w:rPr>
              <w:t>(48,080)</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60" w:type="dxa"/>
            <w:vAlign w:val="bottom"/>
          </w:tcPr>
          <w:p>
            <w:pPr>
              <w:jc w:val="right"/>
              <w:ind w:right="13"/>
              <w:spacing w:after="0"/>
              <w:rPr>
                <w:sz w:val="20"/>
                <w:szCs w:val="20"/>
                <w:color w:val="auto"/>
              </w:rPr>
            </w:pPr>
            <w:r>
              <w:rPr>
                <w:rFonts w:ascii="Arial" w:cs="Arial" w:eastAsia="Arial" w:hAnsi="Arial"/>
                <w:sz w:val="18"/>
                <w:szCs w:val="18"/>
                <w:color w:val="auto"/>
              </w:rPr>
              <w:t>26.96</w:t>
            </w:r>
          </w:p>
        </w:tc>
      </w:tr>
      <w:tr>
        <w:trPr>
          <w:trHeight w:val="27"/>
        </w:trPr>
        <w:tc>
          <w:tcPr>
            <w:tcW w:w="7140" w:type="dxa"/>
            <w:vAlign w:val="bottom"/>
            <w:tcBorders>
              <w:bottom w:val="single" w:sz="8" w:color="CCEEFF"/>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CCEEFF"/>
            </w:tcBorders>
          </w:tcPr>
          <w:p>
            <w:pPr>
              <w:spacing w:after="0"/>
              <w:rPr>
                <w:sz w:val="2"/>
                <w:szCs w:val="2"/>
                <w:color w:val="auto"/>
              </w:rPr>
            </w:pPr>
          </w:p>
        </w:tc>
        <w:tc>
          <w:tcPr>
            <w:tcW w:w="1160" w:type="dxa"/>
            <w:vAlign w:val="bottom"/>
            <w:tcBorders>
              <w:bottom w:val="single" w:sz="8" w:color="CCEEFF"/>
            </w:tcBorders>
          </w:tcPr>
          <w:p>
            <w:pPr>
              <w:spacing w:after="0"/>
              <w:rPr>
                <w:sz w:val="2"/>
                <w:szCs w:val="2"/>
                <w:color w:val="auto"/>
              </w:rPr>
            </w:pPr>
          </w:p>
        </w:tc>
      </w:tr>
      <w:tr>
        <w:trPr>
          <w:trHeight w:val="257"/>
        </w:trPr>
        <w:tc>
          <w:tcPr>
            <w:tcW w:w="7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Nonvested at January 1, 2016</w:t>
            </w:r>
          </w:p>
        </w:tc>
        <w:tc>
          <w:tcPr>
            <w:tcW w:w="13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577,825</w:t>
            </w:r>
          </w:p>
        </w:tc>
        <w:tc>
          <w:tcPr>
            <w:tcW w:w="38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1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25.11</w:t>
            </w:r>
          </w:p>
        </w:tc>
      </w:tr>
      <w:tr>
        <w:trPr>
          <w:trHeight w:val="20"/>
        </w:trPr>
        <w:tc>
          <w:tcPr>
            <w:tcW w:w="7140" w:type="dxa"/>
            <w:vAlign w:val="bottom"/>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r>
    </w:tbl>
    <w:p>
      <w:pPr>
        <w:spacing w:after="0" w:line="94" w:lineRule="exact"/>
        <w:rPr>
          <w:sz w:val="20"/>
          <w:szCs w:val="20"/>
          <w:color w:val="auto"/>
        </w:rPr>
      </w:pPr>
    </w:p>
    <w:p>
      <w:pPr>
        <w:ind w:left="465"/>
        <w:spacing w:after="0" w:line="279" w:lineRule="auto"/>
        <w:rPr>
          <w:sz w:val="20"/>
          <w:szCs w:val="20"/>
          <w:color w:val="auto"/>
        </w:rPr>
      </w:pPr>
      <w:r>
        <w:rPr>
          <w:rFonts w:ascii="Arial" w:cs="Arial" w:eastAsia="Arial" w:hAnsi="Arial"/>
          <w:sz w:val="17"/>
          <w:szCs w:val="17"/>
          <w:color w:val="auto"/>
        </w:rPr>
        <w:t>The realized tax benefit (expense) from the vesting of restricted stock and restricted stock units was $3.4 million, $2.3 million and $(0.4) million for 2015, 2014, 2013, respectively. As of January 1, 2016, there was $7.2 million of total unrecognized compensation cost related to the restricted stock and restricted stock unit awards. That cost is expected to be recognized over a weighted-average period of approximately 2 years. The fair value of shares vested in 2015, 2014, 2013 was $16.1 million, $12.5 million and $4.0 million, respectively.</w:t>
      </w:r>
    </w:p>
    <w:p>
      <w:pPr>
        <w:spacing w:after="0" w:line="221" w:lineRule="exact"/>
        <w:rPr>
          <w:sz w:val="20"/>
          <w:szCs w:val="20"/>
          <w:color w:val="auto"/>
        </w:rPr>
      </w:pPr>
    </w:p>
    <w:p>
      <w:pPr>
        <w:ind w:left="425" w:hanging="425"/>
        <w:spacing w:after="0"/>
        <w:tabs>
          <w:tab w:leader="none" w:pos="425" w:val="left"/>
        </w:tabs>
        <w:numPr>
          <w:ilvl w:val="0"/>
          <w:numId w:val="43"/>
        </w:numPr>
        <w:rPr>
          <w:rFonts w:ascii="Arial" w:cs="Arial" w:eastAsia="Arial" w:hAnsi="Arial"/>
          <w:sz w:val="18"/>
          <w:szCs w:val="18"/>
          <w:b w:val="1"/>
          <w:bCs w:val="1"/>
          <w:color w:val="auto"/>
        </w:rPr>
      </w:pPr>
      <w:r>
        <w:rPr>
          <w:rFonts w:ascii="Arial" w:cs="Arial" w:eastAsia="Arial" w:hAnsi="Arial"/>
          <w:sz w:val="18"/>
          <w:szCs w:val="18"/>
          <w:b w:val="1"/>
          <w:bCs w:val="1"/>
          <w:color w:val="auto"/>
        </w:rPr>
        <w:t>RESEARCH, DEVELOPMENT AND ENGINEERING COSTS, NET</w:t>
      </w:r>
    </w:p>
    <w:p>
      <w:pPr>
        <w:spacing w:after="0" w:line="148" w:lineRule="exact"/>
        <w:rPr>
          <w:sz w:val="20"/>
          <w:szCs w:val="20"/>
          <w:color w:val="auto"/>
        </w:rPr>
      </w:pPr>
    </w:p>
    <w:p>
      <w:pPr>
        <w:ind w:left="465"/>
        <w:spacing w:after="0"/>
        <w:rPr>
          <w:sz w:val="20"/>
          <w:szCs w:val="20"/>
          <w:color w:val="auto"/>
        </w:rPr>
      </w:pPr>
      <w:r>
        <w:rPr>
          <w:rFonts w:ascii="Arial" w:cs="Arial" w:eastAsia="Arial" w:hAnsi="Arial"/>
          <w:sz w:val="18"/>
          <w:szCs w:val="18"/>
          <w:color w:val="auto"/>
        </w:rPr>
        <w:t>Research, Development and Engineering Costs, Net are comprised of the following (in thousands):</w:t>
      </w:r>
    </w:p>
    <w:p>
      <w:pPr>
        <w:spacing w:after="0" w:line="163" w:lineRule="exact"/>
        <w:rPr>
          <w:sz w:val="20"/>
          <w:szCs w:val="20"/>
          <w:color w:val="auto"/>
        </w:rPr>
      </w:pPr>
    </w:p>
    <w:tbl>
      <w:tblPr>
        <w:tblLayout w:type="fixed"/>
        <w:tblInd w:w="5" w:type="dxa"/>
        <w:tblCellMar>
          <w:top w:w="0" w:type="dxa"/>
          <w:left w:w="0" w:type="dxa"/>
          <w:bottom w:w="0" w:type="dxa"/>
          <w:right w:w="0" w:type="dxa"/>
        </w:tblCellMar>
      </w:tblPr>
      <w:tr>
        <w:trPr>
          <w:trHeight w:val="192"/>
        </w:trPr>
        <w:tc>
          <w:tcPr>
            <w:tcW w:w="460" w:type="dxa"/>
            <w:vAlign w:val="bottom"/>
          </w:tcPr>
          <w:p>
            <w:pPr>
              <w:spacing w:after="0"/>
              <w:rPr>
                <w:sz w:val="16"/>
                <w:szCs w:val="16"/>
                <w:color w:val="auto"/>
              </w:rPr>
            </w:pPr>
          </w:p>
        </w:tc>
        <w:tc>
          <w:tcPr>
            <w:tcW w:w="608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gridSpan w:val="2"/>
          </w:tcPr>
          <w:p>
            <w:pPr>
              <w:ind w:left="100"/>
              <w:spacing w:after="0"/>
              <w:rPr>
                <w:sz w:val="20"/>
                <w:szCs w:val="20"/>
                <w:color w:val="auto"/>
              </w:rPr>
            </w:pPr>
            <w:r>
              <w:rPr>
                <w:rFonts w:ascii="Arial" w:cs="Arial" w:eastAsia="Arial" w:hAnsi="Arial"/>
                <w:sz w:val="14"/>
                <w:szCs w:val="14"/>
                <w:b w:val="1"/>
                <w:bCs w:val="1"/>
                <w:color w:val="auto"/>
              </w:rPr>
              <w:t>Year Ended</w:t>
            </w:r>
          </w:p>
        </w:tc>
        <w:tc>
          <w:tcPr>
            <w:tcW w:w="2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460" w:type="dxa"/>
            <w:vAlign w:val="bottom"/>
          </w:tcPr>
          <w:p>
            <w:pPr>
              <w:spacing w:after="0"/>
              <w:rPr>
                <w:sz w:val="13"/>
                <w:szCs w:val="13"/>
                <w:color w:val="auto"/>
              </w:rPr>
            </w:pPr>
          </w:p>
        </w:tc>
        <w:tc>
          <w:tcPr>
            <w:tcW w:w="60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40" w:type="dxa"/>
            <w:vAlign w:val="bottom"/>
            <w:gridSpan w:val="2"/>
          </w:tcPr>
          <w:p>
            <w:pPr>
              <w:jc w:val="center"/>
              <w:ind w:right="380"/>
              <w:spacing w:after="0" w:line="153" w:lineRule="exact"/>
              <w:rPr>
                <w:sz w:val="20"/>
                <w:szCs w:val="20"/>
                <w:color w:val="auto"/>
              </w:rPr>
            </w:pPr>
            <w:r>
              <w:rPr>
                <w:rFonts w:ascii="Arial" w:cs="Arial" w:eastAsia="Arial" w:hAnsi="Arial"/>
                <w:sz w:val="14"/>
                <w:szCs w:val="14"/>
                <w:b w:val="1"/>
                <w:bCs w:val="1"/>
                <w:color w:val="auto"/>
                <w:w w:val="95"/>
              </w:rPr>
              <w:t>January 1,</w:t>
            </w:r>
          </w:p>
        </w:tc>
        <w:tc>
          <w:tcPr>
            <w:tcW w:w="220" w:type="dxa"/>
            <w:vAlign w:val="bottom"/>
          </w:tcPr>
          <w:p>
            <w:pPr>
              <w:spacing w:after="0"/>
              <w:rPr>
                <w:sz w:val="13"/>
                <w:szCs w:val="13"/>
                <w:color w:val="auto"/>
              </w:rPr>
            </w:pPr>
          </w:p>
        </w:tc>
        <w:tc>
          <w:tcPr>
            <w:tcW w:w="1220" w:type="dxa"/>
            <w:vAlign w:val="bottom"/>
            <w:gridSpan w:val="2"/>
          </w:tcPr>
          <w:p>
            <w:pPr>
              <w:ind w:left="100"/>
              <w:spacing w:after="0" w:line="153" w:lineRule="exact"/>
              <w:rPr>
                <w:sz w:val="20"/>
                <w:szCs w:val="20"/>
                <w:color w:val="auto"/>
              </w:rPr>
            </w:pPr>
            <w:r>
              <w:rPr>
                <w:rFonts w:ascii="Arial" w:cs="Arial" w:eastAsia="Arial" w:hAnsi="Arial"/>
                <w:sz w:val="14"/>
                <w:szCs w:val="14"/>
                <w:b w:val="1"/>
                <w:bCs w:val="1"/>
                <w:color w:val="auto"/>
              </w:rPr>
              <w:t>January 2,</w:t>
            </w:r>
          </w:p>
        </w:tc>
        <w:tc>
          <w:tcPr>
            <w:tcW w:w="240" w:type="dxa"/>
            <w:vAlign w:val="bottom"/>
          </w:tcPr>
          <w:p>
            <w:pPr>
              <w:spacing w:after="0"/>
              <w:rPr>
                <w:sz w:val="13"/>
                <w:szCs w:val="13"/>
                <w:color w:val="auto"/>
              </w:rPr>
            </w:pPr>
          </w:p>
        </w:tc>
        <w:tc>
          <w:tcPr>
            <w:tcW w:w="1120" w:type="dxa"/>
            <w:vAlign w:val="bottom"/>
          </w:tcPr>
          <w:p>
            <w:pPr>
              <w:jc w:val="center"/>
              <w:ind w:right="175"/>
              <w:spacing w:after="0" w:line="153" w:lineRule="exact"/>
              <w:rPr>
                <w:sz w:val="20"/>
                <w:szCs w:val="20"/>
                <w:color w:val="auto"/>
              </w:rPr>
            </w:pPr>
            <w:r>
              <w:rPr>
                <w:rFonts w:ascii="Arial" w:cs="Arial" w:eastAsia="Arial" w:hAnsi="Arial"/>
                <w:sz w:val="14"/>
                <w:szCs w:val="14"/>
                <w:b w:val="1"/>
                <w:bCs w:val="1"/>
                <w:color w:val="auto"/>
                <w:w w:val="95"/>
              </w:rPr>
              <w:t>January 3,</w:t>
            </w:r>
          </w:p>
        </w:tc>
        <w:tc>
          <w:tcPr>
            <w:tcW w:w="0" w:type="dxa"/>
            <w:vAlign w:val="bottom"/>
          </w:tcPr>
          <w:p>
            <w:pPr>
              <w:spacing w:after="0"/>
              <w:rPr>
                <w:sz w:val="1"/>
                <w:szCs w:val="1"/>
                <w:color w:val="auto"/>
              </w:rPr>
            </w:pPr>
          </w:p>
        </w:tc>
      </w:tr>
      <w:tr>
        <w:trPr>
          <w:trHeight w:val="192"/>
        </w:trPr>
        <w:tc>
          <w:tcPr>
            <w:tcW w:w="460" w:type="dxa"/>
            <w:vAlign w:val="bottom"/>
          </w:tcPr>
          <w:p>
            <w:pPr>
              <w:spacing w:after="0"/>
              <w:rPr>
                <w:sz w:val="16"/>
                <w:szCs w:val="16"/>
                <w:color w:val="auto"/>
              </w:rPr>
            </w:pPr>
          </w:p>
        </w:tc>
        <w:tc>
          <w:tcPr>
            <w:tcW w:w="608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center"/>
              <w:ind w:right="135"/>
              <w:spacing w:after="0"/>
              <w:rPr>
                <w:sz w:val="20"/>
                <w:szCs w:val="20"/>
                <w:color w:val="auto"/>
              </w:rPr>
            </w:pPr>
            <w:r>
              <w:rPr>
                <w:rFonts w:ascii="Arial" w:cs="Arial" w:eastAsia="Arial" w:hAnsi="Arial"/>
                <w:sz w:val="14"/>
                <w:szCs w:val="14"/>
                <w:b w:val="1"/>
                <w:bCs w:val="1"/>
                <w:color w:val="auto"/>
                <w:w w:val="96"/>
              </w:rPr>
              <w:t>2016</w:t>
            </w:r>
          </w:p>
        </w:tc>
        <w:tc>
          <w:tcPr>
            <w:tcW w:w="12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56"/>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center"/>
              <w:ind w:right="155"/>
              <w:spacing w:after="0"/>
              <w:rPr>
                <w:sz w:val="20"/>
                <w:szCs w:val="20"/>
                <w:color w:val="auto"/>
              </w:rPr>
            </w:pPr>
            <w:r>
              <w:rPr>
                <w:rFonts w:ascii="Arial" w:cs="Arial" w:eastAsia="Arial" w:hAnsi="Arial"/>
                <w:sz w:val="14"/>
                <w:szCs w:val="14"/>
                <w:b w:val="1"/>
                <w:bCs w:val="1"/>
                <w:color w:val="auto"/>
                <w:w w:val="89"/>
              </w:rPr>
              <w:t>2014</w:t>
            </w:r>
          </w:p>
        </w:tc>
        <w:tc>
          <w:tcPr>
            <w:tcW w:w="0" w:type="dxa"/>
            <w:vAlign w:val="bottom"/>
          </w:tcPr>
          <w:p>
            <w:pPr>
              <w:spacing w:after="0"/>
              <w:rPr>
                <w:sz w:val="1"/>
                <w:szCs w:val="1"/>
                <w:color w:val="auto"/>
              </w:rPr>
            </w:pPr>
          </w:p>
        </w:tc>
      </w:tr>
      <w:tr>
        <w:trPr>
          <w:trHeight w:val="250"/>
        </w:trPr>
        <w:tc>
          <w:tcPr>
            <w:tcW w:w="460" w:type="dxa"/>
            <w:vAlign w:val="bottom"/>
          </w:tcPr>
          <w:p>
            <w:pPr>
              <w:spacing w:after="0"/>
              <w:rPr>
                <w:sz w:val="21"/>
                <w:szCs w:val="21"/>
                <w:color w:val="auto"/>
              </w:rPr>
            </w:pPr>
          </w:p>
        </w:tc>
        <w:tc>
          <w:tcPr>
            <w:tcW w:w="60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Research, development and engineering costs</w:t>
            </w: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59,767</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58,974</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62,652</w:t>
            </w:r>
          </w:p>
        </w:tc>
        <w:tc>
          <w:tcPr>
            <w:tcW w:w="0" w:type="dxa"/>
            <w:vAlign w:val="bottom"/>
          </w:tcPr>
          <w:p>
            <w:pPr>
              <w:spacing w:after="0"/>
              <w:rPr>
                <w:sz w:val="1"/>
                <w:szCs w:val="1"/>
                <w:color w:val="auto"/>
              </w:rPr>
            </w:pPr>
          </w:p>
        </w:tc>
      </w:tr>
      <w:tr>
        <w:trPr>
          <w:trHeight w:val="243"/>
        </w:trPr>
        <w:tc>
          <w:tcPr>
            <w:tcW w:w="460" w:type="dxa"/>
            <w:vAlign w:val="bottom"/>
          </w:tcPr>
          <w:p>
            <w:pPr>
              <w:spacing w:after="0"/>
              <w:rPr>
                <w:sz w:val="21"/>
                <w:szCs w:val="21"/>
                <w:color w:val="auto"/>
              </w:rPr>
            </w:pPr>
          </w:p>
        </w:tc>
        <w:tc>
          <w:tcPr>
            <w:tcW w:w="6080" w:type="dxa"/>
            <w:vAlign w:val="bottom"/>
          </w:tcPr>
          <w:p>
            <w:pPr>
              <w:ind w:left="20"/>
              <w:spacing w:after="0"/>
              <w:rPr>
                <w:sz w:val="20"/>
                <w:szCs w:val="20"/>
                <w:color w:val="auto"/>
              </w:rPr>
            </w:pPr>
            <w:r>
              <w:rPr>
                <w:rFonts w:ascii="Arial" w:cs="Arial" w:eastAsia="Arial" w:hAnsi="Arial"/>
                <w:sz w:val="18"/>
                <w:szCs w:val="18"/>
                <w:color w:val="auto"/>
              </w:rPr>
              <w:t>Less: cost reimbursements</w:t>
            </w:r>
          </w:p>
        </w:tc>
        <w:tc>
          <w:tcPr>
            <w:tcW w:w="22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(6,772)</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(9,129)</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(8,575)</w:t>
            </w:r>
          </w:p>
        </w:tc>
        <w:tc>
          <w:tcPr>
            <w:tcW w:w="0" w:type="dxa"/>
            <w:vAlign w:val="bottom"/>
          </w:tcPr>
          <w:p>
            <w:pPr>
              <w:spacing w:after="0"/>
              <w:rPr>
                <w:sz w:val="1"/>
                <w:szCs w:val="1"/>
                <w:color w:val="auto"/>
              </w:rPr>
            </w:pPr>
          </w:p>
        </w:tc>
      </w:tr>
      <w:tr>
        <w:trPr>
          <w:trHeight w:val="27"/>
        </w:trPr>
        <w:tc>
          <w:tcPr>
            <w:tcW w:w="460" w:type="dxa"/>
            <w:vAlign w:val="bottom"/>
          </w:tcPr>
          <w:p>
            <w:pPr>
              <w:spacing w:after="0"/>
              <w:rPr>
                <w:sz w:val="2"/>
                <w:szCs w:val="2"/>
                <w:color w:val="auto"/>
              </w:rPr>
            </w:pPr>
          </w:p>
        </w:tc>
        <w:tc>
          <w:tcPr>
            <w:tcW w:w="60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60" w:type="dxa"/>
            <w:vAlign w:val="bottom"/>
          </w:tcPr>
          <w:p>
            <w:pPr>
              <w:spacing w:after="0"/>
              <w:rPr>
                <w:sz w:val="22"/>
                <w:szCs w:val="22"/>
                <w:color w:val="auto"/>
              </w:rPr>
            </w:pPr>
          </w:p>
        </w:tc>
        <w:tc>
          <w:tcPr>
            <w:tcW w:w="608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Total research, development and engineering costs, net</w:t>
            </w:r>
          </w:p>
        </w:tc>
        <w:tc>
          <w:tcPr>
            <w:tcW w:w="2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52,995</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auto"/>
            </w:tcBorders>
            <w:shd w:val="clear" w:color="auto" w:fill="CCEEFF"/>
          </w:tcPr>
          <w:p>
            <w:pPr>
              <w:jc w:val="right"/>
              <w:ind w:right="16"/>
              <w:spacing w:after="0"/>
              <w:rPr>
                <w:sz w:val="20"/>
                <w:szCs w:val="20"/>
                <w:color w:val="auto"/>
              </w:rPr>
            </w:pPr>
            <w:r>
              <w:rPr>
                <w:rFonts w:ascii="Arial" w:cs="Arial" w:eastAsia="Arial" w:hAnsi="Arial"/>
                <w:sz w:val="18"/>
                <w:szCs w:val="18"/>
                <w:color w:val="auto"/>
              </w:rPr>
              <w:t>49,845</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54,077</w:t>
            </w:r>
          </w:p>
        </w:tc>
        <w:tc>
          <w:tcPr>
            <w:tcW w:w="0" w:type="dxa"/>
            <w:vAlign w:val="bottom"/>
          </w:tcPr>
          <w:p>
            <w:pPr>
              <w:spacing w:after="0"/>
              <w:rPr>
                <w:sz w:val="1"/>
                <w:szCs w:val="1"/>
                <w:color w:val="auto"/>
              </w:rPr>
            </w:pPr>
          </w:p>
        </w:tc>
      </w:tr>
      <w:tr>
        <w:trPr>
          <w:trHeight w:val="20"/>
        </w:trPr>
        <w:tc>
          <w:tcPr>
            <w:tcW w:w="6540" w:type="dxa"/>
            <w:vAlign w:val="bottom"/>
            <w:gridSpan w:val="2"/>
            <w:vMerge w:val="restart"/>
          </w:tcPr>
          <w:p>
            <w:pPr>
              <w:jc w:val="right"/>
              <w:ind w:right="2810"/>
              <w:spacing w:after="0"/>
              <w:rPr>
                <w:sz w:val="20"/>
                <w:szCs w:val="20"/>
                <w:color w:val="auto"/>
              </w:rPr>
            </w:pPr>
            <w:r>
              <w:rPr>
                <w:rFonts w:ascii="Arial" w:cs="Arial" w:eastAsia="Arial" w:hAnsi="Arial"/>
                <w:sz w:val="18"/>
                <w:szCs w:val="18"/>
                <w:b w:val="1"/>
                <w:bCs w:val="1"/>
                <w:color w:val="auto"/>
              </w:rPr>
              <w:t>13.  OTHER OPERATING EXPENSES, NET</w:t>
            </w:r>
          </w:p>
        </w:tc>
        <w:tc>
          <w:tcPr>
            <w:tcW w:w="2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73"/>
        </w:trPr>
        <w:tc>
          <w:tcPr>
            <w:tcW w:w="6540" w:type="dxa"/>
            <w:vAlign w:val="bottom"/>
            <w:gridSpan w:val="2"/>
            <w:vMerge w:val="continue"/>
          </w:tcPr>
          <w:p>
            <w:pPr>
              <w:spacing w:after="0"/>
              <w:rPr>
                <w:sz w:val="24"/>
                <w:szCs w:val="24"/>
                <w:color w:val="auto"/>
              </w:rPr>
            </w:pPr>
          </w:p>
        </w:tc>
        <w:tc>
          <w:tcPr>
            <w:tcW w:w="2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1"/>
        </w:trPr>
        <w:tc>
          <w:tcPr>
            <w:tcW w:w="6540" w:type="dxa"/>
            <w:vAlign w:val="bottom"/>
            <w:gridSpan w:val="2"/>
          </w:tcPr>
          <w:p>
            <w:pPr>
              <w:jc w:val="right"/>
              <w:ind w:right="470"/>
              <w:spacing w:after="0"/>
              <w:rPr>
                <w:sz w:val="20"/>
                <w:szCs w:val="20"/>
                <w:color w:val="auto"/>
              </w:rPr>
            </w:pPr>
            <w:r>
              <w:rPr>
                <w:rFonts w:ascii="Arial" w:cs="Arial" w:eastAsia="Arial" w:hAnsi="Arial"/>
                <w:sz w:val="18"/>
                <w:szCs w:val="18"/>
                <w:color w:val="auto"/>
                <w:w w:val="98"/>
              </w:rPr>
              <w:t>Other Operating Expenses, Net is comprised of the following (in thousands):</w:t>
            </w:r>
          </w:p>
        </w:tc>
        <w:tc>
          <w:tcPr>
            <w:tcW w:w="2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2"/>
        </w:trPr>
        <w:tc>
          <w:tcPr>
            <w:tcW w:w="460" w:type="dxa"/>
            <w:vAlign w:val="bottom"/>
          </w:tcPr>
          <w:p>
            <w:pPr>
              <w:spacing w:after="0"/>
              <w:rPr>
                <w:sz w:val="24"/>
                <w:szCs w:val="24"/>
                <w:color w:val="auto"/>
              </w:rPr>
            </w:pPr>
          </w:p>
        </w:tc>
        <w:tc>
          <w:tcPr>
            <w:tcW w:w="6080" w:type="dxa"/>
            <w:vAlign w:val="bottom"/>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gridSpan w:val="2"/>
          </w:tcPr>
          <w:p>
            <w:pPr>
              <w:ind w:left="100"/>
              <w:spacing w:after="0"/>
              <w:rPr>
                <w:sz w:val="20"/>
                <w:szCs w:val="20"/>
                <w:color w:val="auto"/>
              </w:rPr>
            </w:pPr>
            <w:r>
              <w:rPr>
                <w:rFonts w:ascii="Arial" w:cs="Arial" w:eastAsia="Arial" w:hAnsi="Arial"/>
                <w:sz w:val="14"/>
                <w:szCs w:val="14"/>
                <w:b w:val="1"/>
                <w:bCs w:val="1"/>
                <w:color w:val="auto"/>
              </w:rPr>
              <w:t>Year Ended</w:t>
            </w:r>
          </w:p>
        </w:tc>
        <w:tc>
          <w:tcPr>
            <w:tcW w:w="24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2"/>
        </w:trPr>
        <w:tc>
          <w:tcPr>
            <w:tcW w:w="460" w:type="dxa"/>
            <w:vAlign w:val="bottom"/>
          </w:tcPr>
          <w:p>
            <w:pPr>
              <w:spacing w:after="0"/>
              <w:rPr>
                <w:sz w:val="13"/>
                <w:szCs w:val="13"/>
                <w:color w:val="auto"/>
              </w:rPr>
            </w:pPr>
          </w:p>
        </w:tc>
        <w:tc>
          <w:tcPr>
            <w:tcW w:w="60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40" w:type="dxa"/>
            <w:vAlign w:val="bottom"/>
            <w:gridSpan w:val="2"/>
          </w:tcPr>
          <w:p>
            <w:pPr>
              <w:jc w:val="center"/>
              <w:ind w:right="380"/>
              <w:spacing w:after="0" w:line="153" w:lineRule="exact"/>
              <w:rPr>
                <w:sz w:val="20"/>
                <w:szCs w:val="20"/>
                <w:color w:val="auto"/>
              </w:rPr>
            </w:pPr>
            <w:r>
              <w:rPr>
                <w:rFonts w:ascii="Arial" w:cs="Arial" w:eastAsia="Arial" w:hAnsi="Arial"/>
                <w:sz w:val="14"/>
                <w:szCs w:val="14"/>
                <w:b w:val="1"/>
                <w:bCs w:val="1"/>
                <w:color w:val="auto"/>
                <w:w w:val="95"/>
              </w:rPr>
              <w:t>January 1,</w:t>
            </w:r>
          </w:p>
        </w:tc>
        <w:tc>
          <w:tcPr>
            <w:tcW w:w="220" w:type="dxa"/>
            <w:vAlign w:val="bottom"/>
          </w:tcPr>
          <w:p>
            <w:pPr>
              <w:spacing w:after="0"/>
              <w:rPr>
                <w:sz w:val="13"/>
                <w:szCs w:val="13"/>
                <w:color w:val="auto"/>
              </w:rPr>
            </w:pPr>
          </w:p>
        </w:tc>
        <w:tc>
          <w:tcPr>
            <w:tcW w:w="1220" w:type="dxa"/>
            <w:vAlign w:val="bottom"/>
            <w:gridSpan w:val="2"/>
          </w:tcPr>
          <w:p>
            <w:pPr>
              <w:ind w:left="100"/>
              <w:spacing w:after="0" w:line="153" w:lineRule="exact"/>
              <w:rPr>
                <w:sz w:val="20"/>
                <w:szCs w:val="20"/>
                <w:color w:val="auto"/>
              </w:rPr>
            </w:pPr>
            <w:r>
              <w:rPr>
                <w:rFonts w:ascii="Arial" w:cs="Arial" w:eastAsia="Arial" w:hAnsi="Arial"/>
                <w:sz w:val="14"/>
                <w:szCs w:val="14"/>
                <w:b w:val="1"/>
                <w:bCs w:val="1"/>
                <w:color w:val="auto"/>
              </w:rPr>
              <w:t>January 2,</w:t>
            </w:r>
          </w:p>
        </w:tc>
        <w:tc>
          <w:tcPr>
            <w:tcW w:w="240" w:type="dxa"/>
            <w:vAlign w:val="bottom"/>
          </w:tcPr>
          <w:p>
            <w:pPr>
              <w:spacing w:after="0"/>
              <w:rPr>
                <w:sz w:val="13"/>
                <w:szCs w:val="13"/>
                <w:color w:val="auto"/>
              </w:rPr>
            </w:pPr>
          </w:p>
        </w:tc>
        <w:tc>
          <w:tcPr>
            <w:tcW w:w="1120" w:type="dxa"/>
            <w:vAlign w:val="bottom"/>
          </w:tcPr>
          <w:p>
            <w:pPr>
              <w:jc w:val="center"/>
              <w:ind w:right="175"/>
              <w:spacing w:after="0" w:line="153" w:lineRule="exact"/>
              <w:rPr>
                <w:sz w:val="20"/>
                <w:szCs w:val="20"/>
                <w:color w:val="auto"/>
              </w:rPr>
            </w:pPr>
            <w:r>
              <w:rPr>
                <w:rFonts w:ascii="Arial" w:cs="Arial" w:eastAsia="Arial" w:hAnsi="Arial"/>
                <w:sz w:val="14"/>
                <w:szCs w:val="14"/>
                <w:b w:val="1"/>
                <w:bCs w:val="1"/>
                <w:color w:val="auto"/>
                <w:w w:val="95"/>
              </w:rPr>
              <w:t>January 3,</w:t>
            </w:r>
          </w:p>
        </w:tc>
        <w:tc>
          <w:tcPr>
            <w:tcW w:w="0" w:type="dxa"/>
            <w:vAlign w:val="bottom"/>
          </w:tcPr>
          <w:p>
            <w:pPr>
              <w:spacing w:after="0"/>
              <w:rPr>
                <w:sz w:val="1"/>
                <w:szCs w:val="1"/>
                <w:color w:val="auto"/>
              </w:rPr>
            </w:pPr>
          </w:p>
        </w:tc>
      </w:tr>
      <w:tr>
        <w:trPr>
          <w:trHeight w:val="192"/>
        </w:trPr>
        <w:tc>
          <w:tcPr>
            <w:tcW w:w="460" w:type="dxa"/>
            <w:vAlign w:val="bottom"/>
          </w:tcPr>
          <w:p>
            <w:pPr>
              <w:spacing w:after="0"/>
              <w:rPr>
                <w:sz w:val="16"/>
                <w:szCs w:val="16"/>
                <w:color w:val="auto"/>
              </w:rPr>
            </w:pPr>
          </w:p>
        </w:tc>
        <w:tc>
          <w:tcPr>
            <w:tcW w:w="608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center"/>
              <w:ind w:right="135"/>
              <w:spacing w:after="0"/>
              <w:rPr>
                <w:sz w:val="20"/>
                <w:szCs w:val="20"/>
                <w:color w:val="auto"/>
              </w:rPr>
            </w:pPr>
            <w:r>
              <w:rPr>
                <w:rFonts w:ascii="Arial" w:cs="Arial" w:eastAsia="Arial" w:hAnsi="Arial"/>
                <w:sz w:val="14"/>
                <w:szCs w:val="14"/>
                <w:b w:val="1"/>
                <w:bCs w:val="1"/>
                <w:color w:val="auto"/>
                <w:w w:val="96"/>
              </w:rPr>
              <w:t>2016</w:t>
            </w:r>
          </w:p>
        </w:tc>
        <w:tc>
          <w:tcPr>
            <w:tcW w:w="12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56"/>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center"/>
              <w:ind w:right="155"/>
              <w:spacing w:after="0"/>
              <w:rPr>
                <w:sz w:val="20"/>
                <w:szCs w:val="20"/>
                <w:color w:val="auto"/>
              </w:rPr>
            </w:pPr>
            <w:r>
              <w:rPr>
                <w:rFonts w:ascii="Arial" w:cs="Arial" w:eastAsia="Arial" w:hAnsi="Arial"/>
                <w:sz w:val="14"/>
                <w:szCs w:val="14"/>
                <w:b w:val="1"/>
                <w:bCs w:val="1"/>
                <w:color w:val="auto"/>
                <w:w w:val="89"/>
              </w:rPr>
              <w:t>2014</w:t>
            </w:r>
          </w:p>
        </w:tc>
        <w:tc>
          <w:tcPr>
            <w:tcW w:w="0" w:type="dxa"/>
            <w:vAlign w:val="bottom"/>
          </w:tcPr>
          <w:p>
            <w:pPr>
              <w:spacing w:after="0"/>
              <w:rPr>
                <w:sz w:val="1"/>
                <w:szCs w:val="1"/>
                <w:color w:val="auto"/>
              </w:rPr>
            </w:pPr>
          </w:p>
        </w:tc>
      </w:tr>
      <w:tr>
        <w:trPr>
          <w:trHeight w:val="250"/>
        </w:trPr>
        <w:tc>
          <w:tcPr>
            <w:tcW w:w="460" w:type="dxa"/>
            <w:vAlign w:val="bottom"/>
          </w:tcPr>
          <w:p>
            <w:pPr>
              <w:spacing w:after="0"/>
              <w:rPr>
                <w:sz w:val="21"/>
                <w:szCs w:val="21"/>
                <w:color w:val="auto"/>
              </w:rPr>
            </w:pPr>
          </w:p>
        </w:tc>
        <w:tc>
          <w:tcPr>
            <w:tcW w:w="60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2014 investments in capacity and capabilities</w:t>
            </w: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23,037</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8,925</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460" w:type="dxa"/>
            <w:vAlign w:val="bottom"/>
          </w:tcPr>
          <w:p>
            <w:pPr>
              <w:spacing w:after="0"/>
              <w:rPr>
                <w:sz w:val="21"/>
                <w:szCs w:val="21"/>
                <w:color w:val="auto"/>
              </w:rPr>
            </w:pPr>
          </w:p>
        </w:tc>
        <w:tc>
          <w:tcPr>
            <w:tcW w:w="6080" w:type="dxa"/>
            <w:vAlign w:val="bottom"/>
          </w:tcPr>
          <w:p>
            <w:pPr>
              <w:ind w:left="20"/>
              <w:spacing w:after="0"/>
              <w:rPr>
                <w:sz w:val="20"/>
                <w:szCs w:val="20"/>
                <w:color w:val="auto"/>
              </w:rPr>
            </w:pPr>
            <w:r>
              <w:rPr>
                <w:rFonts w:ascii="Arial" w:cs="Arial" w:eastAsia="Arial" w:hAnsi="Arial"/>
                <w:sz w:val="18"/>
                <w:szCs w:val="18"/>
                <w:color w:val="auto"/>
              </w:rPr>
              <w:t>Orthopaedic facilities optimization</w:t>
            </w:r>
          </w:p>
        </w:tc>
        <w:tc>
          <w:tcPr>
            <w:tcW w:w="220" w:type="dxa"/>
            <w:vAlign w:val="bottom"/>
          </w:tcPr>
          <w:p>
            <w:pPr>
              <w:spacing w:after="0"/>
              <w:rPr>
                <w:sz w:val="21"/>
                <w:szCs w:val="21"/>
                <w:color w:val="auto"/>
              </w:rPr>
            </w:pPr>
          </w:p>
        </w:tc>
        <w:tc>
          <w:tcPr>
            <w:tcW w:w="1120" w:type="dxa"/>
            <w:vAlign w:val="bottom"/>
          </w:tcPr>
          <w:p>
            <w:pPr>
              <w:jc w:val="right"/>
              <w:ind w:right="15"/>
              <w:spacing w:after="0"/>
              <w:rPr>
                <w:sz w:val="20"/>
                <w:szCs w:val="20"/>
                <w:color w:val="auto"/>
              </w:rPr>
            </w:pPr>
            <w:r>
              <w:rPr>
                <w:rFonts w:ascii="Arial" w:cs="Arial" w:eastAsia="Arial" w:hAnsi="Arial"/>
                <w:sz w:val="18"/>
                <w:szCs w:val="18"/>
                <w:color w:val="auto"/>
              </w:rPr>
              <w:t>1,395</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20" w:type="dxa"/>
            <w:vAlign w:val="bottom"/>
          </w:tcPr>
          <w:p>
            <w:pPr>
              <w:jc w:val="right"/>
              <w:ind w:right="16"/>
              <w:spacing w:after="0"/>
              <w:rPr>
                <w:sz w:val="20"/>
                <w:szCs w:val="20"/>
                <w:color w:val="auto"/>
              </w:rPr>
            </w:pPr>
            <w:r>
              <w:rPr>
                <w:rFonts w:ascii="Arial" w:cs="Arial" w:eastAsia="Arial" w:hAnsi="Arial"/>
                <w:sz w:val="18"/>
                <w:szCs w:val="18"/>
                <w:color w:val="auto"/>
              </w:rPr>
              <w:t>1,317</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20" w:type="dxa"/>
            <w:vAlign w:val="bottom"/>
          </w:tcPr>
          <w:p>
            <w:pPr>
              <w:jc w:val="right"/>
              <w:ind w:right="15"/>
              <w:spacing w:after="0"/>
              <w:rPr>
                <w:sz w:val="20"/>
                <w:szCs w:val="20"/>
                <w:color w:val="auto"/>
              </w:rPr>
            </w:pPr>
            <w:r>
              <w:rPr>
                <w:rFonts w:ascii="Arial" w:cs="Arial" w:eastAsia="Arial" w:hAnsi="Arial"/>
                <w:sz w:val="18"/>
                <w:szCs w:val="18"/>
                <w:color w:val="auto"/>
              </w:rPr>
              <w:t>8,038</w:t>
            </w:r>
          </w:p>
        </w:tc>
        <w:tc>
          <w:tcPr>
            <w:tcW w:w="0" w:type="dxa"/>
            <w:vAlign w:val="bottom"/>
          </w:tcPr>
          <w:p>
            <w:pPr>
              <w:spacing w:after="0"/>
              <w:rPr>
                <w:sz w:val="1"/>
                <w:szCs w:val="1"/>
                <w:color w:val="auto"/>
              </w:rPr>
            </w:pPr>
          </w:p>
        </w:tc>
      </w:tr>
      <w:tr>
        <w:trPr>
          <w:trHeight w:val="27"/>
        </w:trPr>
        <w:tc>
          <w:tcPr>
            <w:tcW w:w="460" w:type="dxa"/>
            <w:vAlign w:val="bottom"/>
          </w:tcPr>
          <w:p>
            <w:pPr>
              <w:spacing w:after="0"/>
              <w:rPr>
                <w:sz w:val="2"/>
                <w:szCs w:val="2"/>
                <w:color w:val="auto"/>
              </w:rPr>
            </w:pPr>
          </w:p>
        </w:tc>
        <w:tc>
          <w:tcPr>
            <w:tcW w:w="6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4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0" w:type="dxa"/>
            <w:vAlign w:val="bottom"/>
          </w:tcPr>
          <w:p>
            <w:pPr>
              <w:spacing w:after="0"/>
              <w:rPr>
                <w:sz w:val="21"/>
                <w:szCs w:val="21"/>
                <w:color w:val="auto"/>
              </w:rPr>
            </w:pPr>
          </w:p>
        </w:tc>
        <w:tc>
          <w:tcPr>
            <w:tcW w:w="60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2013 operating unit realignment</w:t>
            </w:r>
          </w:p>
        </w:tc>
        <w:tc>
          <w:tcPr>
            <w:tcW w:w="2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1,017</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5,625</w:t>
            </w:r>
          </w:p>
        </w:tc>
        <w:tc>
          <w:tcPr>
            <w:tcW w:w="0" w:type="dxa"/>
            <w:vAlign w:val="bottom"/>
          </w:tcPr>
          <w:p>
            <w:pPr>
              <w:spacing w:after="0"/>
              <w:rPr>
                <w:sz w:val="1"/>
                <w:szCs w:val="1"/>
                <w:color w:val="auto"/>
              </w:rPr>
            </w:pPr>
          </w:p>
        </w:tc>
      </w:tr>
      <w:tr>
        <w:trPr>
          <w:trHeight w:val="243"/>
        </w:trPr>
        <w:tc>
          <w:tcPr>
            <w:tcW w:w="460" w:type="dxa"/>
            <w:vAlign w:val="bottom"/>
          </w:tcPr>
          <w:p>
            <w:pPr>
              <w:spacing w:after="0"/>
              <w:rPr>
                <w:sz w:val="21"/>
                <w:szCs w:val="21"/>
                <w:color w:val="auto"/>
              </w:rPr>
            </w:pPr>
          </w:p>
        </w:tc>
        <w:tc>
          <w:tcPr>
            <w:tcW w:w="6080" w:type="dxa"/>
            <w:vAlign w:val="bottom"/>
          </w:tcPr>
          <w:p>
            <w:pPr>
              <w:ind w:left="20"/>
              <w:spacing w:after="0"/>
              <w:rPr>
                <w:sz w:val="20"/>
                <w:szCs w:val="20"/>
                <w:color w:val="auto"/>
              </w:rPr>
            </w:pPr>
            <w:r>
              <w:rPr>
                <w:rFonts w:ascii="Arial" w:cs="Arial" w:eastAsia="Arial" w:hAnsi="Arial"/>
                <w:sz w:val="18"/>
                <w:szCs w:val="18"/>
                <w:color w:val="auto"/>
              </w:rPr>
              <w:t>Legacy Lake Region Medical consolidations</w:t>
            </w:r>
          </w:p>
        </w:tc>
        <w:tc>
          <w:tcPr>
            <w:tcW w:w="220" w:type="dxa"/>
            <w:vAlign w:val="bottom"/>
          </w:tcPr>
          <w:p>
            <w:pPr>
              <w:spacing w:after="0"/>
              <w:rPr>
                <w:sz w:val="21"/>
                <w:szCs w:val="21"/>
                <w:color w:val="auto"/>
              </w:rPr>
            </w:pPr>
          </w:p>
        </w:tc>
        <w:tc>
          <w:tcPr>
            <w:tcW w:w="1120" w:type="dxa"/>
            <w:vAlign w:val="bottom"/>
          </w:tcPr>
          <w:p>
            <w:pPr>
              <w:jc w:val="right"/>
              <w:ind w:right="15"/>
              <w:spacing w:after="0"/>
              <w:rPr>
                <w:sz w:val="20"/>
                <w:szCs w:val="20"/>
                <w:color w:val="auto"/>
              </w:rPr>
            </w:pPr>
            <w:r>
              <w:rPr>
                <w:rFonts w:ascii="Arial" w:cs="Arial" w:eastAsia="Arial" w:hAnsi="Arial"/>
                <w:sz w:val="18"/>
                <w:szCs w:val="18"/>
                <w:color w:val="auto"/>
              </w:rPr>
              <w:t>1,961</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120" w:type="dxa"/>
            <w:vAlign w:val="bottom"/>
          </w:tcPr>
          <w:p>
            <w:pPr>
              <w:jc w:val="right"/>
              <w:ind w:right="15"/>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60" w:type="dxa"/>
            <w:vAlign w:val="bottom"/>
          </w:tcPr>
          <w:p>
            <w:pPr>
              <w:spacing w:after="0"/>
              <w:rPr>
                <w:sz w:val="2"/>
                <w:szCs w:val="2"/>
                <w:color w:val="auto"/>
              </w:rPr>
            </w:pPr>
          </w:p>
        </w:tc>
        <w:tc>
          <w:tcPr>
            <w:tcW w:w="6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4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0" w:type="dxa"/>
            <w:vAlign w:val="bottom"/>
          </w:tcPr>
          <w:p>
            <w:pPr>
              <w:spacing w:after="0"/>
              <w:rPr>
                <w:sz w:val="21"/>
                <w:szCs w:val="21"/>
                <w:color w:val="auto"/>
              </w:rPr>
            </w:pPr>
          </w:p>
        </w:tc>
        <w:tc>
          <w:tcPr>
            <w:tcW w:w="60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Other consolidation and optimization costs (income)</w:t>
            </w:r>
          </w:p>
        </w:tc>
        <w:tc>
          <w:tcPr>
            <w:tcW w:w="2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(71)</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1,095</w:t>
            </w:r>
          </w:p>
        </w:tc>
        <w:tc>
          <w:tcPr>
            <w:tcW w:w="0" w:type="dxa"/>
            <w:vAlign w:val="bottom"/>
          </w:tcPr>
          <w:p>
            <w:pPr>
              <w:spacing w:after="0"/>
              <w:rPr>
                <w:sz w:val="1"/>
                <w:szCs w:val="1"/>
                <w:color w:val="auto"/>
              </w:rPr>
            </w:pPr>
          </w:p>
        </w:tc>
      </w:tr>
      <w:tr>
        <w:trPr>
          <w:trHeight w:val="243"/>
        </w:trPr>
        <w:tc>
          <w:tcPr>
            <w:tcW w:w="460" w:type="dxa"/>
            <w:vAlign w:val="bottom"/>
          </w:tcPr>
          <w:p>
            <w:pPr>
              <w:spacing w:after="0"/>
              <w:rPr>
                <w:sz w:val="21"/>
                <w:szCs w:val="21"/>
                <w:color w:val="auto"/>
              </w:rPr>
            </w:pPr>
          </w:p>
        </w:tc>
        <w:tc>
          <w:tcPr>
            <w:tcW w:w="6080" w:type="dxa"/>
            <w:vAlign w:val="bottom"/>
          </w:tcPr>
          <w:p>
            <w:pPr>
              <w:ind w:left="20"/>
              <w:spacing w:after="0"/>
              <w:rPr>
                <w:sz w:val="20"/>
                <w:szCs w:val="20"/>
                <w:color w:val="auto"/>
              </w:rPr>
            </w:pPr>
            <w:r>
              <w:rPr>
                <w:rFonts w:ascii="Arial" w:cs="Arial" w:eastAsia="Arial" w:hAnsi="Arial"/>
                <w:sz w:val="18"/>
                <w:szCs w:val="18"/>
                <w:color w:val="auto"/>
              </w:rPr>
              <w:t>Acquisition and integration costs (income)</w:t>
            </w:r>
          </w:p>
        </w:tc>
        <w:tc>
          <w:tcPr>
            <w:tcW w:w="220" w:type="dxa"/>
            <w:vAlign w:val="bottom"/>
          </w:tcPr>
          <w:p>
            <w:pPr>
              <w:spacing w:after="0"/>
              <w:rPr>
                <w:sz w:val="21"/>
                <w:szCs w:val="21"/>
                <w:color w:val="auto"/>
              </w:rPr>
            </w:pPr>
          </w:p>
        </w:tc>
        <w:tc>
          <w:tcPr>
            <w:tcW w:w="1120" w:type="dxa"/>
            <w:vAlign w:val="bottom"/>
          </w:tcPr>
          <w:p>
            <w:pPr>
              <w:jc w:val="right"/>
              <w:ind w:right="15"/>
              <w:spacing w:after="0"/>
              <w:rPr>
                <w:sz w:val="20"/>
                <w:szCs w:val="20"/>
                <w:color w:val="auto"/>
              </w:rPr>
            </w:pPr>
            <w:r>
              <w:rPr>
                <w:rFonts w:ascii="Arial" w:cs="Arial" w:eastAsia="Arial" w:hAnsi="Arial"/>
                <w:sz w:val="18"/>
                <w:szCs w:val="18"/>
                <w:color w:val="auto"/>
              </w:rPr>
              <w:t>33,449</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20" w:type="dxa"/>
            <w:vAlign w:val="bottom"/>
          </w:tcPr>
          <w:p>
            <w:pPr>
              <w:jc w:val="right"/>
              <w:ind w:right="16"/>
              <w:spacing w:after="0"/>
              <w:rPr>
                <w:sz w:val="20"/>
                <w:szCs w:val="20"/>
                <w:color w:val="auto"/>
              </w:rPr>
            </w:pPr>
            <w:r>
              <w:rPr>
                <w:rFonts w:ascii="Arial" w:cs="Arial" w:eastAsia="Arial" w:hAnsi="Arial"/>
                <w:sz w:val="18"/>
                <w:szCs w:val="18"/>
                <w:color w:val="auto"/>
              </w:rPr>
              <w:t>3</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(502)</w:t>
            </w:r>
          </w:p>
        </w:tc>
        <w:tc>
          <w:tcPr>
            <w:tcW w:w="0" w:type="dxa"/>
            <w:vAlign w:val="bottom"/>
          </w:tcPr>
          <w:p>
            <w:pPr>
              <w:spacing w:after="0"/>
              <w:rPr>
                <w:sz w:val="1"/>
                <w:szCs w:val="1"/>
                <w:color w:val="auto"/>
              </w:rPr>
            </w:pPr>
          </w:p>
        </w:tc>
      </w:tr>
      <w:tr>
        <w:trPr>
          <w:trHeight w:val="27"/>
        </w:trPr>
        <w:tc>
          <w:tcPr>
            <w:tcW w:w="460" w:type="dxa"/>
            <w:vAlign w:val="bottom"/>
          </w:tcPr>
          <w:p>
            <w:pPr>
              <w:spacing w:after="0"/>
              <w:rPr>
                <w:sz w:val="2"/>
                <w:szCs w:val="2"/>
                <w:color w:val="auto"/>
              </w:rPr>
            </w:pPr>
          </w:p>
        </w:tc>
        <w:tc>
          <w:tcPr>
            <w:tcW w:w="6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60" w:type="dxa"/>
            <w:vAlign w:val="bottom"/>
          </w:tcPr>
          <w:p>
            <w:pPr>
              <w:spacing w:after="0"/>
              <w:rPr>
                <w:sz w:val="23"/>
                <w:szCs w:val="23"/>
                <w:color w:val="auto"/>
              </w:rPr>
            </w:pPr>
          </w:p>
        </w:tc>
        <w:tc>
          <w:tcPr>
            <w:tcW w:w="60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Asset dispositions, severance and other</w:t>
            </w:r>
          </w:p>
        </w:tc>
        <w:tc>
          <w:tcPr>
            <w:tcW w:w="22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6,622</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4,106</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1,534</w:t>
            </w:r>
          </w:p>
        </w:tc>
        <w:tc>
          <w:tcPr>
            <w:tcW w:w="0" w:type="dxa"/>
            <w:vAlign w:val="bottom"/>
          </w:tcPr>
          <w:p>
            <w:pPr>
              <w:spacing w:after="0"/>
              <w:rPr>
                <w:sz w:val="1"/>
                <w:szCs w:val="1"/>
                <w:color w:val="auto"/>
              </w:rPr>
            </w:pPr>
          </w:p>
        </w:tc>
      </w:tr>
      <w:tr>
        <w:trPr>
          <w:trHeight w:val="257"/>
        </w:trPr>
        <w:tc>
          <w:tcPr>
            <w:tcW w:w="460" w:type="dxa"/>
            <w:vAlign w:val="bottom"/>
          </w:tcPr>
          <w:p>
            <w:pPr>
              <w:spacing w:after="0"/>
              <w:rPr>
                <w:sz w:val="22"/>
                <w:szCs w:val="22"/>
                <w:color w:val="auto"/>
              </w:rPr>
            </w:pPr>
          </w:p>
        </w:tc>
        <w:tc>
          <w:tcPr>
            <w:tcW w:w="6080" w:type="dxa"/>
            <w:vAlign w:val="bottom"/>
          </w:tcPr>
          <w:p>
            <w:pPr>
              <w:ind w:left="260"/>
              <w:spacing w:after="0"/>
              <w:rPr>
                <w:sz w:val="20"/>
                <w:szCs w:val="20"/>
                <w:color w:val="auto"/>
              </w:rPr>
            </w:pPr>
            <w:r>
              <w:rPr>
                <w:rFonts w:ascii="Arial" w:cs="Arial" w:eastAsia="Arial" w:hAnsi="Arial"/>
                <w:sz w:val="18"/>
                <w:szCs w:val="18"/>
                <w:color w:val="auto"/>
              </w:rPr>
              <w:t>Total other operating expenses, net</w:t>
            </w: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tcBorders>
              <w:top w:val="single" w:sz="8" w:color="auto"/>
              <w:bottom w:val="single" w:sz="8" w:color="auto"/>
            </w:tcBorders>
          </w:tcPr>
          <w:p>
            <w:pPr>
              <w:jc w:val="right"/>
              <w:ind w:right="15"/>
              <w:spacing w:after="0"/>
              <w:rPr>
                <w:sz w:val="20"/>
                <w:szCs w:val="20"/>
                <w:color w:val="auto"/>
              </w:rPr>
            </w:pPr>
            <w:r>
              <w:rPr>
                <w:rFonts w:ascii="Arial" w:cs="Arial" w:eastAsia="Arial" w:hAnsi="Arial"/>
                <w:sz w:val="18"/>
                <w:szCs w:val="18"/>
                <w:color w:val="auto"/>
              </w:rPr>
              <w:t>66,464</w:t>
            </w:r>
          </w:p>
        </w:tc>
        <w:tc>
          <w:tcPr>
            <w:tcW w:w="120" w:type="dxa"/>
            <w:vAlign w:val="bottom"/>
          </w:tcPr>
          <w:p>
            <w:pPr>
              <w:spacing w:after="0"/>
              <w:rPr>
                <w:sz w:val="22"/>
                <w:szCs w:val="22"/>
                <w:color w:val="auto"/>
              </w:rPr>
            </w:pP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tcBorders>
              <w:top w:val="single" w:sz="8" w:color="auto"/>
              <w:bottom w:val="single" w:sz="8" w:color="auto"/>
            </w:tcBorders>
          </w:tcPr>
          <w:p>
            <w:pPr>
              <w:jc w:val="right"/>
              <w:ind w:right="16"/>
              <w:spacing w:after="0"/>
              <w:rPr>
                <w:sz w:val="20"/>
                <w:szCs w:val="20"/>
                <w:color w:val="auto"/>
              </w:rPr>
            </w:pPr>
            <w:r>
              <w:rPr>
                <w:rFonts w:ascii="Arial" w:cs="Arial" w:eastAsia="Arial" w:hAnsi="Arial"/>
                <w:sz w:val="18"/>
                <w:szCs w:val="18"/>
                <w:color w:val="auto"/>
              </w:rPr>
              <w:t>15,297</w:t>
            </w:r>
          </w:p>
        </w:tc>
        <w:tc>
          <w:tcPr>
            <w:tcW w:w="100" w:type="dxa"/>
            <w:vAlign w:val="bottom"/>
          </w:tcPr>
          <w:p>
            <w:pPr>
              <w:spacing w:after="0"/>
              <w:rPr>
                <w:sz w:val="22"/>
                <w:szCs w:val="22"/>
                <w:color w:val="auto"/>
              </w:rPr>
            </w:pP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ind w:right="15"/>
              <w:spacing w:after="0"/>
              <w:rPr>
                <w:sz w:val="20"/>
                <w:szCs w:val="20"/>
                <w:color w:val="auto"/>
              </w:rPr>
            </w:pPr>
            <w:r>
              <w:rPr>
                <w:rFonts w:ascii="Arial" w:cs="Arial" w:eastAsia="Arial" w:hAnsi="Arial"/>
                <w:sz w:val="18"/>
                <w:szCs w:val="18"/>
                <w:color w:val="auto"/>
              </w:rPr>
              <w:t>15,790</w:t>
            </w:r>
          </w:p>
        </w:tc>
        <w:tc>
          <w:tcPr>
            <w:tcW w:w="0" w:type="dxa"/>
            <w:vAlign w:val="bottom"/>
          </w:tcPr>
          <w:p>
            <w:pPr>
              <w:spacing w:after="0"/>
              <w:rPr>
                <w:sz w:val="1"/>
                <w:szCs w:val="1"/>
                <w:color w:val="auto"/>
              </w:rPr>
            </w:pPr>
          </w:p>
        </w:tc>
      </w:tr>
      <w:tr>
        <w:trPr>
          <w:trHeight w:val="20"/>
        </w:trPr>
        <w:tc>
          <w:tcPr>
            <w:tcW w:w="6540" w:type="dxa"/>
            <w:vAlign w:val="bottom"/>
            <w:gridSpan w:val="2"/>
            <w:vMerge w:val="restart"/>
          </w:tcPr>
          <w:p>
            <w:pPr>
              <w:jc w:val="right"/>
              <w:ind w:right="590"/>
              <w:spacing w:after="0"/>
              <w:rPr>
                <w:sz w:val="20"/>
                <w:szCs w:val="20"/>
                <w:color w:val="auto"/>
              </w:rPr>
            </w:pPr>
            <w:r>
              <w:rPr>
                <w:rFonts w:ascii="Arial" w:cs="Arial" w:eastAsia="Arial" w:hAnsi="Arial"/>
                <w:sz w:val="18"/>
                <w:szCs w:val="18"/>
                <w:color w:val="auto"/>
              </w:rPr>
              <w:t>- 95 -</w:t>
            </w:r>
          </w:p>
        </w:tc>
        <w:tc>
          <w:tcPr>
            <w:tcW w:w="2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54"/>
        </w:trPr>
        <w:tc>
          <w:tcPr>
            <w:tcW w:w="6540" w:type="dxa"/>
            <w:vAlign w:val="bottom"/>
            <w:gridSpan w:val="2"/>
            <w:vMerge w:val="continue"/>
          </w:tcPr>
          <w:p>
            <w:pPr>
              <w:spacing w:after="0"/>
              <w:rPr>
                <w:sz w:val="24"/>
                <w:szCs w:val="24"/>
                <w:color w:val="auto"/>
              </w:rPr>
            </w:pPr>
          </w:p>
        </w:tc>
        <w:tc>
          <w:tcPr>
            <w:tcW w:w="2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125"/>
          </w:cols>
          <w:pgMar w:left="275" w:top="337" w:right="499" w:bottom="1440" w:gutter="0" w:footer="0" w:header="0"/>
        </w:sectPr>
      </w:pPr>
    </w:p>
    <w:bookmarkStart w:id="96" w:name="page97"/>
    <w:bookmarkEnd w:id="96"/>
    <w:p>
      <w:pPr>
        <w:jc w:val="center"/>
        <w:ind w:right="474"/>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ind w:right="474"/>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left="6" w:right="160"/>
        <w:spacing w:after="0" w:line="308" w:lineRule="auto"/>
        <w:rPr>
          <w:sz w:val="20"/>
          <w:szCs w:val="20"/>
          <w:color w:val="auto"/>
        </w:rPr>
      </w:pPr>
      <w:r>
        <w:rPr>
          <w:rFonts w:ascii="Arial" w:cs="Arial" w:eastAsia="Arial" w:hAnsi="Arial"/>
          <w:sz w:val="17"/>
          <w:szCs w:val="17"/>
          <w:b w:val="1"/>
          <w:bCs w:val="1"/>
          <w:i w:val="1"/>
          <w:iCs w:val="1"/>
          <w:color w:val="auto"/>
        </w:rPr>
        <w:t xml:space="preserve">2014 investments in capacity and capabilities. </w:t>
      </w:r>
      <w:r>
        <w:rPr>
          <w:rFonts w:ascii="Arial" w:cs="Arial" w:eastAsia="Arial" w:hAnsi="Arial"/>
          <w:sz w:val="17"/>
          <w:szCs w:val="17"/>
          <w:color w:val="auto"/>
        </w:rPr>
        <w:t>In 2014, the Company announced several initiatives to invest in capacity and capabilities and to better</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align its resources to meet its customers’ needs and drive organic growth and profitability. These included the following:</w:t>
      </w:r>
    </w:p>
    <w:p>
      <w:pPr>
        <w:spacing w:after="0" w:line="147" w:lineRule="exact"/>
        <w:rPr>
          <w:sz w:val="20"/>
          <w:szCs w:val="20"/>
          <w:color w:val="auto"/>
        </w:rPr>
      </w:pPr>
    </w:p>
    <w:p>
      <w:pPr>
        <w:ind w:left="246" w:right="40" w:hanging="246"/>
        <w:spacing w:after="0" w:line="264" w:lineRule="auto"/>
        <w:tabs>
          <w:tab w:leader="none" w:pos="246" w:val="left"/>
        </w:tabs>
        <w:numPr>
          <w:ilvl w:val="0"/>
          <w:numId w:val="44"/>
        </w:numPr>
        <w:rPr>
          <w:rFonts w:ascii="Arial" w:cs="Arial" w:eastAsia="Arial" w:hAnsi="Arial"/>
          <w:sz w:val="18"/>
          <w:szCs w:val="18"/>
          <w:color w:val="auto"/>
        </w:rPr>
      </w:pPr>
      <w:r>
        <w:rPr>
          <w:rFonts w:ascii="Arial" w:cs="Arial" w:eastAsia="Arial" w:hAnsi="Arial"/>
          <w:sz w:val="18"/>
          <w:szCs w:val="18"/>
          <w:color w:val="auto"/>
        </w:rPr>
        <w:t>Functions performed at the Company’s facility in Plymouth, MN to manufacture catheters and introducers will transfer into the Company’s existing facility in Tijuana, Mexico. This initiative is expected to be substantially completed by the first half of 2016 and is dependent upon our customers’ validation and qualification of the transferred products.</w:t>
      </w:r>
    </w:p>
    <w:p>
      <w:pPr>
        <w:spacing w:after="0" w:line="181" w:lineRule="exact"/>
        <w:rPr>
          <w:rFonts w:ascii="Arial" w:cs="Arial" w:eastAsia="Arial" w:hAnsi="Arial"/>
          <w:sz w:val="18"/>
          <w:szCs w:val="18"/>
          <w:color w:val="auto"/>
        </w:rPr>
      </w:pPr>
    </w:p>
    <w:p>
      <w:pPr>
        <w:ind w:left="246" w:right="40" w:hanging="246"/>
        <w:spacing w:after="0" w:line="279" w:lineRule="auto"/>
        <w:tabs>
          <w:tab w:leader="none" w:pos="246" w:val="left"/>
        </w:tabs>
        <w:numPr>
          <w:ilvl w:val="0"/>
          <w:numId w:val="44"/>
        </w:numPr>
        <w:rPr>
          <w:rFonts w:ascii="Arial" w:cs="Arial" w:eastAsia="Arial" w:hAnsi="Arial"/>
          <w:sz w:val="17"/>
          <w:szCs w:val="17"/>
          <w:color w:val="auto"/>
        </w:rPr>
      </w:pPr>
      <w:r>
        <w:rPr>
          <w:rFonts w:ascii="Arial" w:cs="Arial" w:eastAsia="Arial" w:hAnsi="Arial"/>
          <w:sz w:val="17"/>
          <w:szCs w:val="17"/>
          <w:color w:val="auto"/>
        </w:rPr>
        <w:t>Functions performed at the Company’s facilities in Beaverton, OR and Raynham, MA to manufacture products for the portable medical market will transfer to a new facility in Tijuana, Mexico. This initiative is expected to be substantially completed by the end of the first quarter of 2016 and is dependent upon our customers’ validation and qualification of the transferred products. Products currently manufactured at the Beaverton facility, which do not serve the portable medical market, are planned to transfer to the Company’s Raynham facility.</w:t>
      </w:r>
    </w:p>
    <w:p>
      <w:pPr>
        <w:spacing w:after="0" w:line="171" w:lineRule="exact"/>
        <w:rPr>
          <w:rFonts w:ascii="Arial" w:cs="Arial" w:eastAsia="Arial" w:hAnsi="Arial"/>
          <w:sz w:val="17"/>
          <w:szCs w:val="17"/>
          <w:color w:val="auto"/>
        </w:rPr>
      </w:pPr>
    </w:p>
    <w:p>
      <w:pPr>
        <w:ind w:left="246" w:right="80" w:hanging="246"/>
        <w:spacing w:after="0" w:line="277" w:lineRule="auto"/>
        <w:tabs>
          <w:tab w:leader="none" w:pos="246" w:val="left"/>
        </w:tabs>
        <w:numPr>
          <w:ilvl w:val="0"/>
          <w:numId w:val="44"/>
        </w:numPr>
        <w:rPr>
          <w:rFonts w:ascii="Arial" w:cs="Arial" w:eastAsia="Arial" w:hAnsi="Arial"/>
          <w:sz w:val="18"/>
          <w:szCs w:val="18"/>
          <w:color w:val="auto"/>
        </w:rPr>
      </w:pPr>
      <w:r>
        <w:rPr>
          <w:rFonts w:ascii="Arial" w:cs="Arial" w:eastAsia="Arial" w:hAnsi="Arial"/>
          <w:sz w:val="18"/>
          <w:szCs w:val="18"/>
          <w:color w:val="auto"/>
        </w:rPr>
        <w:t>The design engineering responsibilities previously performed at the Company’s Cleveland, OH facility were transferred to the Company’s facilities in Minnesota in 2015.</w:t>
      </w:r>
    </w:p>
    <w:p>
      <w:pPr>
        <w:spacing w:after="0" w:line="170" w:lineRule="exact"/>
        <w:rPr>
          <w:rFonts w:ascii="Arial" w:cs="Arial" w:eastAsia="Arial" w:hAnsi="Arial"/>
          <w:sz w:val="18"/>
          <w:szCs w:val="18"/>
          <w:color w:val="auto"/>
        </w:rPr>
      </w:pPr>
    </w:p>
    <w:p>
      <w:pPr>
        <w:ind w:left="246" w:hanging="246"/>
        <w:spacing w:after="0"/>
        <w:tabs>
          <w:tab w:leader="none" w:pos="246" w:val="left"/>
        </w:tabs>
        <w:numPr>
          <w:ilvl w:val="0"/>
          <w:numId w:val="44"/>
        </w:numPr>
        <w:rPr>
          <w:rFonts w:ascii="Arial" w:cs="Arial" w:eastAsia="Arial" w:hAnsi="Arial"/>
          <w:sz w:val="18"/>
          <w:szCs w:val="18"/>
          <w:color w:val="auto"/>
        </w:rPr>
      </w:pPr>
      <w:r>
        <w:rPr>
          <w:rFonts w:ascii="Arial" w:cs="Arial" w:eastAsia="Arial" w:hAnsi="Arial"/>
          <w:sz w:val="18"/>
          <w:szCs w:val="18"/>
          <w:color w:val="auto"/>
        </w:rPr>
        <w:t>The realignment of the Company’s commercial sales operations was completed during the fourth quarter of 2015.</w:t>
      </w:r>
    </w:p>
    <w:p>
      <w:pPr>
        <w:spacing w:after="0" w:line="225" w:lineRule="exact"/>
        <w:rPr>
          <w:sz w:val="20"/>
          <w:szCs w:val="20"/>
          <w:color w:val="auto"/>
        </w:rPr>
      </w:pPr>
    </w:p>
    <w:p>
      <w:pPr>
        <w:ind w:left="6" w:right="160"/>
        <w:spacing w:after="0" w:line="279" w:lineRule="auto"/>
        <w:rPr>
          <w:sz w:val="20"/>
          <w:szCs w:val="20"/>
          <w:color w:val="auto"/>
        </w:rPr>
      </w:pPr>
      <w:r>
        <w:rPr>
          <w:rFonts w:ascii="Arial" w:cs="Arial" w:eastAsia="Arial" w:hAnsi="Arial"/>
          <w:sz w:val="17"/>
          <w:szCs w:val="17"/>
          <w:color w:val="auto"/>
        </w:rPr>
        <w:t>The total capital investment expected for these initiatives is between $25.0 million and $28.0 million, of which $21.3 million has been expended through January 1, 2016. Total restructuring charges expected to be incurred in connection with this realignment are between $34.0 million and $39.0 million, of which $32.0 million has been incurred through January 1, 2016. Expenses related to this initiative are recorded within the applicable segment and corporate cost centers that the expenditures relate to and include the following:</w:t>
      </w:r>
    </w:p>
    <w:p>
      <w:pPr>
        <w:spacing w:after="0" w:line="63" w:lineRule="exact"/>
        <w:rPr>
          <w:sz w:val="20"/>
          <w:szCs w:val="20"/>
          <w:color w:val="auto"/>
        </w:rPr>
      </w:pPr>
    </w:p>
    <w:p>
      <w:pPr>
        <w:ind w:left="246" w:hanging="246"/>
        <w:spacing w:after="0"/>
        <w:tabs>
          <w:tab w:leader="none" w:pos="246" w:val="left"/>
        </w:tabs>
        <w:numPr>
          <w:ilvl w:val="0"/>
          <w:numId w:val="45"/>
        </w:numPr>
        <w:rPr>
          <w:rFonts w:ascii="Arial" w:cs="Arial" w:eastAsia="Arial" w:hAnsi="Arial"/>
          <w:sz w:val="18"/>
          <w:szCs w:val="18"/>
          <w:color w:val="auto"/>
        </w:rPr>
      </w:pPr>
      <w:r>
        <w:rPr>
          <w:rFonts w:ascii="Arial" w:cs="Arial" w:eastAsia="Arial" w:hAnsi="Arial"/>
          <w:sz w:val="18"/>
          <w:szCs w:val="18"/>
          <w:color w:val="auto"/>
        </w:rPr>
        <w:t>Severance and retention: $5.0 million - $7.0 million;</w:t>
      </w:r>
    </w:p>
    <w:p>
      <w:pPr>
        <w:spacing w:after="0" w:line="23" w:lineRule="exact"/>
        <w:rPr>
          <w:rFonts w:ascii="Arial" w:cs="Arial" w:eastAsia="Arial" w:hAnsi="Arial"/>
          <w:sz w:val="18"/>
          <w:szCs w:val="18"/>
          <w:color w:val="auto"/>
        </w:rPr>
      </w:pPr>
    </w:p>
    <w:p>
      <w:pPr>
        <w:ind w:left="246" w:hanging="246"/>
        <w:spacing w:after="0"/>
        <w:tabs>
          <w:tab w:leader="none" w:pos="246" w:val="left"/>
        </w:tabs>
        <w:numPr>
          <w:ilvl w:val="0"/>
          <w:numId w:val="45"/>
        </w:numPr>
        <w:rPr>
          <w:rFonts w:ascii="Arial" w:cs="Arial" w:eastAsia="Arial" w:hAnsi="Arial"/>
          <w:sz w:val="18"/>
          <w:szCs w:val="18"/>
          <w:color w:val="auto"/>
        </w:rPr>
      </w:pPr>
      <w:r>
        <w:rPr>
          <w:rFonts w:ascii="Arial" w:cs="Arial" w:eastAsia="Arial" w:hAnsi="Arial"/>
          <w:sz w:val="18"/>
          <w:szCs w:val="18"/>
          <w:color w:val="auto"/>
        </w:rPr>
        <w:t>Accelerated depreciation and asset write-offs: $2.0 million - $3.0 million; and</w:t>
      </w:r>
    </w:p>
    <w:p>
      <w:pPr>
        <w:spacing w:after="0" w:line="9" w:lineRule="exact"/>
        <w:rPr>
          <w:rFonts w:ascii="Arial" w:cs="Arial" w:eastAsia="Arial" w:hAnsi="Arial"/>
          <w:sz w:val="18"/>
          <w:szCs w:val="18"/>
          <w:color w:val="auto"/>
        </w:rPr>
      </w:pPr>
    </w:p>
    <w:p>
      <w:pPr>
        <w:ind w:left="246" w:hanging="246"/>
        <w:spacing w:after="0"/>
        <w:tabs>
          <w:tab w:leader="none" w:pos="246" w:val="left"/>
        </w:tabs>
        <w:numPr>
          <w:ilvl w:val="0"/>
          <w:numId w:val="45"/>
        </w:numPr>
        <w:rPr>
          <w:rFonts w:ascii="Arial" w:cs="Arial" w:eastAsia="Arial" w:hAnsi="Arial"/>
          <w:sz w:val="18"/>
          <w:szCs w:val="18"/>
          <w:color w:val="auto"/>
        </w:rPr>
      </w:pPr>
      <w:r>
        <w:rPr>
          <w:rFonts w:ascii="Arial" w:cs="Arial" w:eastAsia="Arial" w:hAnsi="Arial"/>
          <w:sz w:val="18"/>
          <w:szCs w:val="18"/>
          <w:color w:val="auto"/>
        </w:rPr>
        <w:t>Other: $27.0 million - $29.0 million</w:t>
      </w:r>
    </w:p>
    <w:p>
      <w:pPr>
        <w:spacing w:after="0" w:line="103" w:lineRule="exact"/>
        <w:rPr>
          <w:sz w:val="20"/>
          <w:szCs w:val="20"/>
          <w:color w:val="auto"/>
        </w:rPr>
      </w:pPr>
    </w:p>
    <w:p>
      <w:pPr>
        <w:ind w:left="6" w:right="100"/>
        <w:spacing w:after="0" w:line="277" w:lineRule="auto"/>
        <w:rPr>
          <w:sz w:val="20"/>
          <w:szCs w:val="20"/>
          <w:color w:val="auto"/>
        </w:rPr>
      </w:pPr>
      <w:r>
        <w:rPr>
          <w:rFonts w:ascii="Arial" w:cs="Arial" w:eastAsia="Arial" w:hAnsi="Arial"/>
          <w:sz w:val="18"/>
          <w:szCs w:val="18"/>
          <w:color w:val="auto"/>
        </w:rPr>
        <w:t>Other expenses primarily consist of costs to relocate certain equipment and personnel, duplicate personnel costs, disposal, and travel expenditures. All expenses are cash expenditures except accelerated depreciation and asset write-offs.</w:t>
      </w:r>
    </w:p>
    <w:p>
      <w:pPr>
        <w:spacing w:after="0" w:line="170" w:lineRule="exact"/>
        <w:rPr>
          <w:sz w:val="20"/>
          <w:szCs w:val="20"/>
          <w:color w:val="auto"/>
        </w:rPr>
      </w:pPr>
    </w:p>
    <w:p>
      <w:pPr>
        <w:ind w:left="6"/>
        <w:spacing w:after="0"/>
        <w:rPr>
          <w:sz w:val="20"/>
          <w:szCs w:val="20"/>
          <w:color w:val="auto"/>
        </w:rPr>
      </w:pPr>
      <w:r>
        <w:rPr>
          <w:rFonts w:ascii="Arial" w:cs="Arial" w:eastAsia="Arial" w:hAnsi="Arial"/>
          <w:sz w:val="18"/>
          <w:szCs w:val="18"/>
          <w:color w:val="auto"/>
        </w:rPr>
        <w:t>The change in accrued liabilities related to the 2014 investments in capacity and capabilities is as follows (in thousands):</w:t>
      </w:r>
    </w:p>
    <w:p>
      <w:pPr>
        <w:spacing w:after="0" w:line="150" w:lineRule="exact"/>
        <w:rPr>
          <w:sz w:val="20"/>
          <w:szCs w:val="20"/>
          <w:color w:val="auto"/>
        </w:rPr>
      </w:pPr>
    </w:p>
    <w:tbl>
      <w:tblPr>
        <w:tblLayout w:type="fixed"/>
        <w:tblInd w:w="6" w:type="dxa"/>
        <w:tblCellMar>
          <w:top w:w="0" w:type="dxa"/>
          <w:left w:w="0" w:type="dxa"/>
          <w:bottom w:w="0" w:type="dxa"/>
          <w:right w:w="0" w:type="dxa"/>
        </w:tblCellMar>
      </w:tblPr>
      <w:tr>
        <w:trPr>
          <w:trHeight w:val="161"/>
        </w:trPr>
        <w:tc>
          <w:tcPr>
            <w:tcW w:w="46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8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Severance and</w:t>
            </w:r>
          </w:p>
        </w:tc>
        <w:tc>
          <w:tcPr>
            <w:tcW w:w="140" w:type="dxa"/>
            <w:vAlign w:val="bottom"/>
          </w:tcPr>
          <w:p>
            <w:pPr>
              <w:spacing w:after="0"/>
              <w:rPr>
                <w:sz w:val="14"/>
                <w:szCs w:val="14"/>
                <w:color w:val="auto"/>
              </w:rPr>
            </w:pPr>
          </w:p>
        </w:tc>
        <w:tc>
          <w:tcPr>
            <w:tcW w:w="13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0"/>
              </w:rPr>
              <w:t>Accelerated</w:t>
            </w:r>
          </w:p>
        </w:tc>
        <w:tc>
          <w:tcPr>
            <w:tcW w:w="30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46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8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130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4"/>
              </w:rPr>
              <w:t>Depreciation/</w:t>
            </w:r>
          </w:p>
        </w:tc>
        <w:tc>
          <w:tcPr>
            <w:tcW w:w="300" w:type="dxa"/>
            <w:vAlign w:val="bottom"/>
          </w:tcPr>
          <w:p>
            <w:pPr>
              <w:spacing w:after="0"/>
              <w:rPr>
                <w:sz w:val="12"/>
                <w:szCs w:val="12"/>
                <w:color w:val="auto"/>
              </w:rPr>
            </w:pPr>
          </w:p>
        </w:tc>
        <w:tc>
          <w:tcPr>
            <w:tcW w:w="1140" w:type="dxa"/>
            <w:vAlign w:val="bottom"/>
            <w:gridSpan w:val="2"/>
            <w:vMerge w:val="restart"/>
          </w:tcPr>
          <w:p>
            <w:pPr>
              <w:ind w:left="180"/>
              <w:spacing w:after="0"/>
              <w:rPr>
                <w:sz w:val="20"/>
                <w:szCs w:val="20"/>
                <w:color w:val="auto"/>
              </w:rPr>
            </w:pPr>
            <w:r>
              <w:rPr>
                <w:rFonts w:ascii="Arial" w:cs="Arial" w:eastAsia="Arial" w:hAnsi="Arial"/>
                <w:sz w:val="14"/>
                <w:szCs w:val="14"/>
                <w:b w:val="1"/>
                <w:bCs w:val="1"/>
                <w:color w:val="auto"/>
              </w:rPr>
              <w:t>Other</w:t>
            </w:r>
          </w:p>
        </w:tc>
        <w:tc>
          <w:tcPr>
            <w:tcW w:w="320" w:type="dxa"/>
            <w:vAlign w:val="bottom"/>
          </w:tcPr>
          <w:p>
            <w:pPr>
              <w:spacing w:after="0"/>
              <w:rPr>
                <w:sz w:val="12"/>
                <w:szCs w:val="12"/>
                <w:color w:val="auto"/>
              </w:rPr>
            </w:pPr>
          </w:p>
        </w:tc>
        <w:tc>
          <w:tcPr>
            <w:tcW w:w="1020" w:type="dxa"/>
            <w:vAlign w:val="bottom"/>
            <w:vMerge w:val="restart"/>
          </w:tcPr>
          <w:p>
            <w:pPr>
              <w:jc w:val="right"/>
              <w:ind w:right="433"/>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46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right"/>
              <w:ind w:right="275"/>
              <w:spacing w:after="0"/>
              <w:rPr>
                <w:sz w:val="20"/>
                <w:szCs w:val="20"/>
                <w:color w:val="auto"/>
              </w:rPr>
            </w:pPr>
            <w:r>
              <w:rPr>
                <w:rFonts w:ascii="Arial" w:cs="Arial" w:eastAsia="Arial" w:hAnsi="Arial"/>
                <w:sz w:val="14"/>
                <w:szCs w:val="14"/>
                <w:b w:val="1"/>
                <w:bCs w:val="1"/>
                <w:color w:val="auto"/>
              </w:rPr>
              <w:t>Retention</w:t>
            </w: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jc w:val="center"/>
              <w:ind w:right="57"/>
              <w:spacing w:after="0"/>
              <w:rPr>
                <w:sz w:val="20"/>
                <w:szCs w:val="20"/>
                <w:color w:val="auto"/>
              </w:rPr>
            </w:pPr>
            <w:r>
              <w:rPr>
                <w:rFonts w:ascii="Arial" w:cs="Arial" w:eastAsia="Arial" w:hAnsi="Arial"/>
                <w:sz w:val="14"/>
                <w:szCs w:val="14"/>
                <w:b w:val="1"/>
                <w:bCs w:val="1"/>
                <w:color w:val="auto"/>
                <w:w w:val="93"/>
              </w:rPr>
              <w:t>Asset Write-offs</w:t>
            </w:r>
          </w:p>
        </w:tc>
        <w:tc>
          <w:tcPr>
            <w:tcW w:w="12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gridSpan w:val="2"/>
            <w:vMerge w:val="continue"/>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46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At January 2, 2015</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1,163</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1,066</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2,229</w:t>
            </w:r>
          </w:p>
        </w:tc>
        <w:tc>
          <w:tcPr>
            <w:tcW w:w="0" w:type="dxa"/>
            <w:vAlign w:val="bottom"/>
          </w:tcPr>
          <w:p>
            <w:pPr>
              <w:spacing w:after="0"/>
              <w:rPr>
                <w:sz w:val="1"/>
                <w:szCs w:val="1"/>
                <w:color w:val="auto"/>
              </w:rPr>
            </w:pPr>
          </w:p>
        </w:tc>
      </w:tr>
      <w:tr>
        <w:trPr>
          <w:trHeight w:val="243"/>
        </w:trPr>
        <w:tc>
          <w:tcPr>
            <w:tcW w:w="4620" w:type="dxa"/>
            <w:vAlign w:val="bottom"/>
          </w:tcPr>
          <w:p>
            <w:pPr>
              <w:ind w:left="20"/>
              <w:spacing w:after="0"/>
              <w:rPr>
                <w:sz w:val="20"/>
                <w:szCs w:val="20"/>
                <w:color w:val="auto"/>
              </w:rPr>
            </w:pPr>
            <w:r>
              <w:rPr>
                <w:rFonts w:ascii="Arial" w:cs="Arial" w:eastAsia="Arial" w:hAnsi="Arial"/>
                <w:sz w:val="18"/>
                <w:szCs w:val="18"/>
                <w:color w:val="auto"/>
              </w:rPr>
              <w:t>Restructuring charges</w:t>
            </w:r>
          </w:p>
        </w:tc>
        <w:tc>
          <w:tcPr>
            <w:tcW w:w="180" w:type="dxa"/>
            <w:vAlign w:val="bottom"/>
          </w:tcPr>
          <w:p>
            <w:pPr>
              <w:spacing w:after="0"/>
              <w:rPr>
                <w:sz w:val="21"/>
                <w:szCs w:val="21"/>
                <w:color w:val="auto"/>
              </w:rPr>
            </w:pPr>
          </w:p>
        </w:tc>
        <w:tc>
          <w:tcPr>
            <w:tcW w:w="1160" w:type="dxa"/>
            <w:vAlign w:val="bottom"/>
          </w:tcPr>
          <w:p>
            <w:pPr>
              <w:jc w:val="right"/>
              <w:ind w:right="15"/>
              <w:spacing w:after="0"/>
              <w:rPr>
                <w:sz w:val="20"/>
                <w:szCs w:val="20"/>
                <w:color w:val="auto"/>
              </w:rPr>
            </w:pPr>
            <w:r>
              <w:rPr>
                <w:rFonts w:ascii="Arial" w:cs="Arial" w:eastAsia="Arial" w:hAnsi="Arial"/>
                <w:sz w:val="18"/>
                <w:szCs w:val="18"/>
                <w:color w:val="auto"/>
              </w:rPr>
              <w:t>2,729</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235</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40" w:type="dxa"/>
            <w:vAlign w:val="bottom"/>
          </w:tcPr>
          <w:p>
            <w:pPr>
              <w:jc w:val="right"/>
              <w:ind w:right="13"/>
              <w:spacing w:after="0"/>
              <w:rPr>
                <w:sz w:val="20"/>
                <w:szCs w:val="20"/>
                <w:color w:val="auto"/>
              </w:rPr>
            </w:pPr>
            <w:r>
              <w:rPr>
                <w:rFonts w:ascii="Arial" w:cs="Arial" w:eastAsia="Arial" w:hAnsi="Arial"/>
                <w:sz w:val="18"/>
                <w:szCs w:val="18"/>
                <w:color w:val="auto"/>
              </w:rPr>
              <w:t>20,073</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20" w:type="dxa"/>
            <w:vAlign w:val="bottom"/>
          </w:tcPr>
          <w:p>
            <w:pPr>
              <w:jc w:val="right"/>
              <w:ind w:right="13"/>
              <w:spacing w:after="0"/>
              <w:rPr>
                <w:sz w:val="20"/>
                <w:szCs w:val="20"/>
                <w:color w:val="auto"/>
              </w:rPr>
            </w:pPr>
            <w:r>
              <w:rPr>
                <w:rFonts w:ascii="Arial" w:cs="Arial" w:eastAsia="Arial" w:hAnsi="Arial"/>
                <w:sz w:val="18"/>
                <w:szCs w:val="18"/>
                <w:color w:val="auto"/>
              </w:rPr>
              <w:t>23,037</w:t>
            </w:r>
          </w:p>
        </w:tc>
        <w:tc>
          <w:tcPr>
            <w:tcW w:w="0" w:type="dxa"/>
            <w:vAlign w:val="bottom"/>
          </w:tcPr>
          <w:p>
            <w:pPr>
              <w:spacing w:after="0"/>
              <w:rPr>
                <w:sz w:val="1"/>
                <w:szCs w:val="1"/>
                <w:color w:val="auto"/>
              </w:rPr>
            </w:pPr>
          </w:p>
        </w:tc>
      </w:tr>
      <w:tr>
        <w:trPr>
          <w:trHeight w:val="27"/>
        </w:trPr>
        <w:tc>
          <w:tcPr>
            <w:tcW w:w="46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Write-offs</w:t>
            </w:r>
          </w:p>
        </w:tc>
        <w:tc>
          <w:tcPr>
            <w:tcW w:w="18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(235)</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(235)</w:t>
            </w:r>
          </w:p>
        </w:tc>
        <w:tc>
          <w:tcPr>
            <w:tcW w:w="0" w:type="dxa"/>
            <w:vAlign w:val="bottom"/>
          </w:tcPr>
          <w:p>
            <w:pPr>
              <w:spacing w:after="0"/>
              <w:rPr>
                <w:sz w:val="1"/>
                <w:szCs w:val="1"/>
                <w:color w:val="auto"/>
              </w:rPr>
            </w:pPr>
          </w:p>
        </w:tc>
      </w:tr>
      <w:tr>
        <w:trPr>
          <w:trHeight w:val="243"/>
        </w:trPr>
        <w:tc>
          <w:tcPr>
            <w:tcW w:w="4620" w:type="dxa"/>
            <w:vAlign w:val="bottom"/>
          </w:tcPr>
          <w:p>
            <w:pPr>
              <w:ind w:left="20"/>
              <w:spacing w:after="0"/>
              <w:rPr>
                <w:sz w:val="20"/>
                <w:szCs w:val="20"/>
                <w:color w:val="auto"/>
              </w:rPr>
            </w:pPr>
            <w:r>
              <w:rPr>
                <w:rFonts w:ascii="Arial" w:cs="Arial" w:eastAsia="Arial" w:hAnsi="Arial"/>
                <w:sz w:val="18"/>
                <w:szCs w:val="18"/>
                <w:color w:val="auto"/>
              </w:rPr>
              <w:t>Cash payments</w:t>
            </w:r>
          </w:p>
        </w:tc>
        <w:tc>
          <w:tcPr>
            <w:tcW w:w="18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(2,463)</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(19,544)</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(22,007)</w:t>
            </w:r>
          </w:p>
        </w:tc>
        <w:tc>
          <w:tcPr>
            <w:tcW w:w="0" w:type="dxa"/>
            <w:vAlign w:val="bottom"/>
          </w:tcPr>
          <w:p>
            <w:pPr>
              <w:spacing w:after="0"/>
              <w:rPr>
                <w:sz w:val="1"/>
                <w:szCs w:val="1"/>
                <w:color w:val="auto"/>
              </w:rPr>
            </w:pPr>
          </w:p>
        </w:tc>
      </w:tr>
      <w:tr>
        <w:trPr>
          <w:trHeight w:val="27"/>
        </w:trPr>
        <w:tc>
          <w:tcPr>
            <w:tcW w:w="46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620" w:type="dxa"/>
            <w:vAlign w:val="bottom"/>
            <w:shd w:val="clear" w:color="auto" w:fill="CCEEFF"/>
          </w:tcPr>
          <w:p>
            <w:pPr>
              <w:ind w:left="20"/>
              <w:spacing w:after="0"/>
              <w:rPr>
                <w:sz w:val="20"/>
                <w:szCs w:val="20"/>
                <w:color w:val="auto"/>
              </w:rPr>
            </w:pPr>
            <w:r>
              <w:rPr>
                <w:rFonts w:ascii="Arial" w:cs="Arial" w:eastAsia="Arial" w:hAnsi="Arial"/>
                <w:sz w:val="18"/>
                <w:szCs w:val="18"/>
                <w:color w:val="auto"/>
              </w:rPr>
              <w:t>At January 1, 2016</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6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1,429</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0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4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1,595</w:t>
            </w:r>
          </w:p>
        </w:tc>
        <w:tc>
          <w:tcPr>
            <w:tcW w:w="100" w:type="dxa"/>
            <w:vAlign w:val="bottom"/>
            <w:shd w:val="clear" w:color="auto" w:fill="CCEEFF"/>
          </w:tcPr>
          <w:p>
            <w:pPr>
              <w:spacing w:after="0"/>
              <w:rPr>
                <w:sz w:val="22"/>
                <w:szCs w:val="22"/>
                <w:color w:val="auto"/>
              </w:rPr>
            </w:pPr>
          </w:p>
        </w:tc>
        <w:tc>
          <w:tcPr>
            <w:tcW w:w="32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2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3,024</w:t>
            </w:r>
          </w:p>
        </w:tc>
        <w:tc>
          <w:tcPr>
            <w:tcW w:w="0" w:type="dxa"/>
            <w:vAlign w:val="bottom"/>
          </w:tcPr>
          <w:p>
            <w:pPr>
              <w:spacing w:after="0"/>
              <w:rPr>
                <w:sz w:val="1"/>
                <w:szCs w:val="1"/>
                <w:color w:val="auto"/>
              </w:rPr>
            </w:pPr>
          </w:p>
        </w:tc>
      </w:tr>
      <w:tr>
        <w:trPr>
          <w:trHeight w:val="20"/>
        </w:trPr>
        <w:tc>
          <w:tcPr>
            <w:tcW w:w="46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6" w:right="540"/>
        <w:spacing w:after="0" w:line="342" w:lineRule="auto"/>
        <w:rPr>
          <w:sz w:val="20"/>
          <w:szCs w:val="20"/>
          <w:color w:val="auto"/>
        </w:rPr>
      </w:pPr>
      <w:r>
        <w:rPr>
          <w:rFonts w:ascii="Arial" w:cs="Arial" w:eastAsia="Arial" w:hAnsi="Arial"/>
          <w:sz w:val="16"/>
          <w:szCs w:val="16"/>
          <w:b w:val="1"/>
          <w:bCs w:val="1"/>
          <w:i w:val="1"/>
          <w:iCs w:val="1"/>
          <w:color w:val="auto"/>
        </w:rPr>
        <w:t xml:space="preserve">Orthopaedic facilities optimization. </w:t>
      </w:r>
      <w:r>
        <w:rPr>
          <w:rFonts w:ascii="Arial" w:cs="Arial" w:eastAsia="Arial" w:hAnsi="Arial"/>
          <w:sz w:val="16"/>
          <w:szCs w:val="16"/>
          <w:color w:val="auto"/>
        </w:rPr>
        <w:t>In 2010, the Company began updating its Indianapolis, IN facility to streamline operations, consolidate two</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buildings, increase capacity, further expand capabilities and reduce dependence on outside suppliers. This initiative was completed in 2011.</w:t>
      </w:r>
    </w:p>
    <w:p>
      <w:pPr>
        <w:spacing w:after="0" w:line="124" w:lineRule="exact"/>
        <w:rPr>
          <w:sz w:val="20"/>
          <w:szCs w:val="20"/>
          <w:color w:val="auto"/>
        </w:rPr>
      </w:pPr>
    </w:p>
    <w:p>
      <w:pPr>
        <w:ind w:left="6" w:right="140"/>
        <w:spacing w:after="0" w:line="277" w:lineRule="auto"/>
        <w:rPr>
          <w:sz w:val="20"/>
          <w:szCs w:val="20"/>
          <w:color w:val="auto"/>
        </w:rPr>
      </w:pPr>
      <w:r>
        <w:rPr>
          <w:rFonts w:ascii="Arial" w:cs="Arial" w:eastAsia="Arial" w:hAnsi="Arial"/>
          <w:sz w:val="18"/>
          <w:szCs w:val="18"/>
          <w:color w:val="auto"/>
        </w:rPr>
        <w:t>In 2011, the Company began construction of an orthopaedic manufacturing facility in Fort Wayne, IN and transferred manufacturing operations being performed at its Columbia City, IN location into this new facility. This initiative was completed in 2012.</w:t>
      </w:r>
    </w:p>
    <w:p>
      <w:pPr>
        <w:spacing w:after="0" w:line="170" w:lineRule="exact"/>
        <w:rPr>
          <w:sz w:val="20"/>
          <w:szCs w:val="20"/>
          <w:color w:val="auto"/>
        </w:rPr>
      </w:pPr>
    </w:p>
    <w:p>
      <w:pPr>
        <w:ind w:left="6"/>
        <w:spacing w:after="0" w:line="291" w:lineRule="auto"/>
        <w:rPr>
          <w:sz w:val="20"/>
          <w:szCs w:val="20"/>
          <w:color w:val="auto"/>
        </w:rPr>
      </w:pPr>
      <w:r>
        <w:rPr>
          <w:rFonts w:ascii="Arial" w:cs="Arial" w:eastAsia="Arial" w:hAnsi="Arial"/>
          <w:sz w:val="16"/>
          <w:szCs w:val="16"/>
          <w:color w:val="auto"/>
        </w:rPr>
        <w:t>During 2012, the Company transferred manufacturing and development operations performed at its facilities in Orvin and Corgemont, Switzerland into existing facilities in Fort Wayne, IN and Tijuana, Mexico. In connection with this consolidation, in 2013, the Company sold assets related to certain non-core Swiss orthopaedic product lines to an independent third party. The purchase agreement provided the Company with an earn out payment based upon the amount of inventory consumed by the purchaser within one year after the close of the transaction. As a result of this earn out, a gain of $2.7 million was recorded in Other Operating Expenses, Net during 2014. During 2014, the Company transferred $2.1 million of assets relating to the Company’s Orvin, Switzerland property to held for sale and recognized a $0.4 million impairment charge. During 2015, the Company sold $0.6 million of these assets held for sale with no additional gain or loss recognized. Refer to Note 5 “Assets Held For Sale” for additional information.</w:t>
      </w:r>
    </w:p>
    <w:p>
      <w:pPr>
        <w:spacing w:after="0" w:line="302" w:lineRule="exact"/>
        <w:rPr>
          <w:sz w:val="20"/>
          <w:szCs w:val="20"/>
          <w:color w:val="auto"/>
        </w:rPr>
      </w:pPr>
    </w:p>
    <w:p>
      <w:pPr>
        <w:jc w:val="center"/>
        <w:ind w:right="474"/>
        <w:spacing w:after="0"/>
        <w:rPr>
          <w:sz w:val="20"/>
          <w:szCs w:val="20"/>
          <w:color w:val="auto"/>
        </w:rPr>
      </w:pPr>
      <w:r>
        <w:rPr>
          <w:rFonts w:ascii="Arial" w:cs="Arial" w:eastAsia="Arial" w:hAnsi="Arial"/>
          <w:sz w:val="18"/>
          <w:szCs w:val="18"/>
          <w:color w:val="auto"/>
        </w:rPr>
        <w:t>- 96 -</w:t>
      </w:r>
    </w:p>
    <w:p>
      <w:pPr>
        <w:sectPr>
          <w:pgSz w:w="11900" w:h="16838" w:orient="portrait"/>
          <w:cols w:equalWidth="0" w:num="1">
            <w:col w:w="10926"/>
          </w:cols>
          <w:pgMar w:left="734" w:top="337" w:right="239" w:bottom="1440" w:gutter="0" w:footer="0" w:header="0"/>
        </w:sectPr>
      </w:pPr>
    </w:p>
    <w:bookmarkStart w:id="97" w:name="page98"/>
    <w:bookmarkEnd w:id="97"/>
    <w:p>
      <w:pPr>
        <w:jc w:val="center"/>
        <w:ind w:right="394"/>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ind w:right="394"/>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left="6" w:right="520"/>
        <w:spacing w:after="0" w:line="277" w:lineRule="auto"/>
        <w:rPr>
          <w:sz w:val="20"/>
          <w:szCs w:val="20"/>
          <w:color w:val="auto"/>
        </w:rPr>
      </w:pPr>
      <w:r>
        <w:rPr>
          <w:rFonts w:ascii="Arial" w:cs="Arial" w:eastAsia="Arial" w:hAnsi="Arial"/>
          <w:sz w:val="18"/>
          <w:szCs w:val="18"/>
          <w:color w:val="auto"/>
        </w:rPr>
        <w:t>During 2013, the Company began a project to expand its Chaumont, France facility in order to enhance its capabilities and fulfill larger volume customer supply agreements. This initiative is expected to be completed over the next year.</w:t>
      </w:r>
    </w:p>
    <w:p>
      <w:pPr>
        <w:spacing w:after="0" w:line="170" w:lineRule="exact"/>
        <w:rPr>
          <w:sz w:val="20"/>
          <w:szCs w:val="20"/>
          <w:color w:val="auto"/>
        </w:rPr>
      </w:pPr>
    </w:p>
    <w:p>
      <w:pPr>
        <w:ind w:left="6"/>
        <w:spacing w:after="0"/>
        <w:rPr>
          <w:sz w:val="20"/>
          <w:szCs w:val="20"/>
          <w:color w:val="auto"/>
        </w:rPr>
      </w:pPr>
      <w:r>
        <w:rPr>
          <w:rFonts w:ascii="Arial" w:cs="Arial" w:eastAsia="Arial" w:hAnsi="Arial"/>
          <w:sz w:val="16"/>
          <w:szCs w:val="16"/>
          <w:color w:val="auto"/>
        </w:rPr>
        <w:t>The total capital investment expected to be incurred for these initiatives is between $30.0 million and $35.0 million, of which $28.4 million has been</w:t>
      </w:r>
    </w:p>
    <w:p>
      <w:pPr>
        <w:spacing w:after="0" w:line="46" w:lineRule="exact"/>
        <w:rPr>
          <w:sz w:val="20"/>
          <w:szCs w:val="20"/>
          <w:color w:val="auto"/>
        </w:rPr>
      </w:pPr>
    </w:p>
    <w:p>
      <w:pPr>
        <w:ind w:left="6"/>
        <w:spacing w:after="0"/>
        <w:rPr>
          <w:sz w:val="20"/>
          <w:szCs w:val="20"/>
          <w:color w:val="auto"/>
        </w:rPr>
      </w:pPr>
      <w:r>
        <w:rPr>
          <w:rFonts w:ascii="Arial" w:cs="Arial" w:eastAsia="Arial" w:hAnsi="Arial"/>
          <w:sz w:val="16"/>
          <w:szCs w:val="16"/>
          <w:color w:val="auto"/>
        </w:rPr>
        <w:t>expended through January 1, 2016. Total expense expected to be incurred for these initiatives is between $45.0 million and $48.0 million, of which</w:t>
      </w:r>
    </w:p>
    <w:p>
      <w:pPr>
        <w:spacing w:after="0" w:line="32" w:lineRule="exact"/>
        <w:rPr>
          <w:sz w:val="20"/>
          <w:szCs w:val="20"/>
          <w:color w:val="auto"/>
        </w:rPr>
      </w:pPr>
    </w:p>
    <w:p>
      <w:pPr>
        <w:ind w:left="6"/>
        <w:spacing w:after="0"/>
        <w:rPr>
          <w:sz w:val="20"/>
          <w:szCs w:val="20"/>
          <w:color w:val="auto"/>
        </w:rPr>
      </w:pPr>
      <w:r>
        <w:rPr>
          <w:rFonts w:ascii="Arial" w:cs="Arial" w:eastAsia="Arial" w:hAnsi="Arial"/>
          <w:sz w:val="16"/>
          <w:szCs w:val="16"/>
          <w:color w:val="auto"/>
        </w:rPr>
        <w:t>$43.9 million has been incurred through January 1, 2016. All expenses have been and will be recorded within the Greatbatch Medical segment and are</w:t>
      </w:r>
    </w:p>
    <w:p>
      <w:pPr>
        <w:spacing w:after="0" w:line="32" w:lineRule="exact"/>
        <w:rPr>
          <w:sz w:val="20"/>
          <w:szCs w:val="20"/>
          <w:color w:val="auto"/>
        </w:rPr>
      </w:pPr>
    </w:p>
    <w:p>
      <w:pPr>
        <w:ind w:left="6"/>
        <w:spacing w:after="0"/>
        <w:rPr>
          <w:sz w:val="20"/>
          <w:szCs w:val="20"/>
          <w:color w:val="auto"/>
        </w:rPr>
      </w:pPr>
      <w:r>
        <w:rPr>
          <w:rFonts w:ascii="Arial" w:cs="Arial" w:eastAsia="Arial" w:hAnsi="Arial"/>
          <w:sz w:val="18"/>
          <w:szCs w:val="18"/>
          <w:color w:val="auto"/>
        </w:rPr>
        <w:t>expected to include the following:</w:t>
      </w:r>
    </w:p>
    <w:p>
      <w:pPr>
        <w:spacing w:after="0" w:line="103" w:lineRule="exact"/>
        <w:rPr>
          <w:sz w:val="20"/>
          <w:szCs w:val="20"/>
          <w:color w:val="auto"/>
        </w:rPr>
      </w:pPr>
    </w:p>
    <w:p>
      <w:pPr>
        <w:ind w:left="246" w:hanging="246"/>
        <w:spacing w:after="0"/>
        <w:tabs>
          <w:tab w:leader="none" w:pos="246" w:val="left"/>
        </w:tabs>
        <w:numPr>
          <w:ilvl w:val="0"/>
          <w:numId w:val="46"/>
        </w:numPr>
        <w:rPr>
          <w:rFonts w:ascii="Arial" w:cs="Arial" w:eastAsia="Arial" w:hAnsi="Arial"/>
          <w:sz w:val="18"/>
          <w:szCs w:val="18"/>
          <w:color w:val="auto"/>
        </w:rPr>
      </w:pPr>
      <w:r>
        <w:rPr>
          <w:rFonts w:ascii="Arial" w:cs="Arial" w:eastAsia="Arial" w:hAnsi="Arial"/>
          <w:sz w:val="18"/>
          <w:szCs w:val="18"/>
          <w:color w:val="auto"/>
        </w:rPr>
        <w:t>Severance and retention: approximately $11.0 million;</w:t>
      </w:r>
    </w:p>
    <w:p>
      <w:pPr>
        <w:spacing w:after="0" w:line="23" w:lineRule="exact"/>
        <w:rPr>
          <w:rFonts w:ascii="Arial" w:cs="Arial" w:eastAsia="Arial" w:hAnsi="Arial"/>
          <w:sz w:val="18"/>
          <w:szCs w:val="18"/>
          <w:color w:val="auto"/>
        </w:rPr>
      </w:pPr>
    </w:p>
    <w:p>
      <w:pPr>
        <w:ind w:left="246" w:hanging="246"/>
        <w:spacing w:after="0"/>
        <w:tabs>
          <w:tab w:leader="none" w:pos="246" w:val="left"/>
        </w:tabs>
        <w:numPr>
          <w:ilvl w:val="0"/>
          <w:numId w:val="46"/>
        </w:numPr>
        <w:rPr>
          <w:rFonts w:ascii="Arial" w:cs="Arial" w:eastAsia="Arial" w:hAnsi="Arial"/>
          <w:sz w:val="18"/>
          <w:szCs w:val="18"/>
          <w:color w:val="auto"/>
        </w:rPr>
      </w:pPr>
      <w:r>
        <w:rPr>
          <w:rFonts w:ascii="Arial" w:cs="Arial" w:eastAsia="Arial" w:hAnsi="Arial"/>
          <w:sz w:val="18"/>
          <w:szCs w:val="18"/>
          <w:color w:val="auto"/>
        </w:rPr>
        <w:t>Accelerated depreciation and asset write-offs: approximately $13.0 million; and</w:t>
      </w:r>
    </w:p>
    <w:p>
      <w:pPr>
        <w:spacing w:after="0" w:line="9" w:lineRule="exact"/>
        <w:rPr>
          <w:rFonts w:ascii="Arial" w:cs="Arial" w:eastAsia="Arial" w:hAnsi="Arial"/>
          <w:sz w:val="18"/>
          <w:szCs w:val="18"/>
          <w:color w:val="auto"/>
        </w:rPr>
      </w:pPr>
    </w:p>
    <w:p>
      <w:pPr>
        <w:ind w:left="246" w:hanging="246"/>
        <w:spacing w:after="0"/>
        <w:tabs>
          <w:tab w:leader="none" w:pos="246" w:val="left"/>
        </w:tabs>
        <w:numPr>
          <w:ilvl w:val="0"/>
          <w:numId w:val="46"/>
        </w:numPr>
        <w:rPr>
          <w:rFonts w:ascii="Arial" w:cs="Arial" w:eastAsia="Arial" w:hAnsi="Arial"/>
          <w:sz w:val="18"/>
          <w:szCs w:val="18"/>
          <w:color w:val="auto"/>
        </w:rPr>
      </w:pPr>
      <w:r>
        <w:rPr>
          <w:rFonts w:ascii="Arial" w:cs="Arial" w:eastAsia="Arial" w:hAnsi="Arial"/>
          <w:sz w:val="18"/>
          <w:szCs w:val="18"/>
          <w:color w:val="auto"/>
        </w:rPr>
        <w:t>Other: $21.0 million - $24.0 million</w:t>
      </w:r>
    </w:p>
    <w:p>
      <w:pPr>
        <w:spacing w:after="0" w:line="103" w:lineRule="exact"/>
        <w:rPr>
          <w:sz w:val="20"/>
          <w:szCs w:val="20"/>
          <w:color w:val="auto"/>
        </w:rPr>
      </w:pPr>
    </w:p>
    <w:p>
      <w:pPr>
        <w:ind w:left="6" w:right="680"/>
        <w:spacing w:after="0" w:line="308" w:lineRule="auto"/>
        <w:rPr>
          <w:sz w:val="20"/>
          <w:szCs w:val="20"/>
          <w:color w:val="auto"/>
        </w:rPr>
      </w:pPr>
      <w:r>
        <w:rPr>
          <w:rFonts w:ascii="Arial" w:cs="Arial" w:eastAsia="Arial" w:hAnsi="Arial"/>
          <w:sz w:val="17"/>
          <w:szCs w:val="17"/>
          <w:color w:val="auto"/>
        </w:rPr>
        <w:t>Other expenses include production inefficiencies, moving, revalidation, personnel, training, consulting, and travel costs associated with these consolidation projects. All expenses are cash expenditures except accelerated depreciation and asset write-offs.</w:t>
      </w:r>
    </w:p>
    <w:p>
      <w:pPr>
        <w:spacing w:after="0" w:line="147" w:lineRule="exact"/>
        <w:rPr>
          <w:sz w:val="20"/>
          <w:szCs w:val="20"/>
          <w:color w:val="auto"/>
        </w:rPr>
      </w:pPr>
    </w:p>
    <w:p>
      <w:pPr>
        <w:ind w:left="6"/>
        <w:spacing w:after="0"/>
        <w:rPr>
          <w:sz w:val="20"/>
          <w:szCs w:val="20"/>
          <w:color w:val="auto"/>
        </w:rPr>
      </w:pPr>
      <w:r>
        <w:rPr>
          <w:rFonts w:ascii="Arial" w:cs="Arial" w:eastAsia="Arial" w:hAnsi="Arial"/>
          <w:sz w:val="18"/>
          <w:szCs w:val="18"/>
          <w:color w:val="auto"/>
        </w:rPr>
        <w:t>The change in accrued liabilities related to the orthopaedic facilities optimizations is as follows (in thousands):</w:t>
      </w:r>
    </w:p>
    <w:p>
      <w:pPr>
        <w:spacing w:after="0" w:line="150" w:lineRule="exact"/>
        <w:rPr>
          <w:sz w:val="20"/>
          <w:szCs w:val="20"/>
          <w:color w:val="auto"/>
        </w:rPr>
      </w:pPr>
    </w:p>
    <w:tbl>
      <w:tblPr>
        <w:tblLayout w:type="fixed"/>
        <w:tblInd w:w="6" w:type="dxa"/>
        <w:tblCellMar>
          <w:top w:w="0" w:type="dxa"/>
          <w:left w:w="0" w:type="dxa"/>
          <w:bottom w:w="0" w:type="dxa"/>
          <w:right w:w="0" w:type="dxa"/>
        </w:tblCellMar>
      </w:tblPr>
      <w:tr>
        <w:trPr>
          <w:trHeight w:val="161"/>
        </w:trPr>
        <w:tc>
          <w:tcPr>
            <w:tcW w:w="4620" w:type="dxa"/>
            <w:vAlign w:val="bottom"/>
          </w:tcPr>
          <w:p>
            <w:pPr>
              <w:spacing w:after="0"/>
              <w:rPr>
                <w:sz w:val="14"/>
                <w:szCs w:val="14"/>
                <w:color w:val="auto"/>
              </w:rPr>
            </w:pPr>
          </w:p>
        </w:tc>
        <w:tc>
          <w:tcPr>
            <w:tcW w:w="1020" w:type="dxa"/>
            <w:vAlign w:val="bottom"/>
          </w:tcPr>
          <w:p>
            <w:pPr>
              <w:jc w:val="center"/>
              <w:ind w:left="241"/>
              <w:spacing w:after="0"/>
              <w:rPr>
                <w:sz w:val="20"/>
                <w:szCs w:val="20"/>
                <w:color w:val="auto"/>
              </w:rPr>
            </w:pPr>
            <w:r>
              <w:rPr>
                <w:rFonts w:ascii="Arial" w:cs="Arial" w:eastAsia="Arial" w:hAnsi="Arial"/>
                <w:sz w:val="14"/>
                <w:szCs w:val="14"/>
                <w:b w:val="1"/>
                <w:bCs w:val="1"/>
                <w:color w:val="auto"/>
                <w:w w:val="88"/>
              </w:rPr>
              <w:t>Severance</w:t>
            </w:r>
          </w:p>
        </w:tc>
        <w:tc>
          <w:tcPr>
            <w:tcW w:w="3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3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0"/>
              </w:rPr>
              <w:t>Accelerated</w:t>
            </w:r>
          </w:p>
        </w:tc>
        <w:tc>
          <w:tcPr>
            <w:tcW w:w="30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4620" w:type="dxa"/>
            <w:vAlign w:val="bottom"/>
          </w:tcPr>
          <w:p>
            <w:pPr>
              <w:spacing w:after="0"/>
              <w:rPr>
                <w:sz w:val="12"/>
                <w:szCs w:val="12"/>
                <w:color w:val="auto"/>
              </w:rPr>
            </w:pPr>
          </w:p>
        </w:tc>
        <w:tc>
          <w:tcPr>
            <w:tcW w:w="1020" w:type="dxa"/>
            <w:vAlign w:val="bottom"/>
          </w:tcPr>
          <w:p>
            <w:pPr>
              <w:jc w:val="center"/>
              <w:ind w:left="261"/>
              <w:spacing w:after="0" w:line="149" w:lineRule="exact"/>
              <w:rPr>
                <w:sz w:val="20"/>
                <w:szCs w:val="20"/>
                <w:color w:val="auto"/>
              </w:rPr>
            </w:pPr>
            <w:r>
              <w:rPr>
                <w:rFonts w:ascii="Arial" w:cs="Arial" w:eastAsia="Arial" w:hAnsi="Arial"/>
                <w:sz w:val="14"/>
                <w:szCs w:val="14"/>
                <w:b w:val="1"/>
                <w:bCs w:val="1"/>
                <w:color w:val="auto"/>
                <w:w w:val="96"/>
              </w:rPr>
              <w:t>and</w:t>
            </w:r>
          </w:p>
        </w:tc>
        <w:tc>
          <w:tcPr>
            <w:tcW w:w="3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30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4"/>
              </w:rPr>
              <w:t>Depreciation/</w:t>
            </w:r>
          </w:p>
        </w:tc>
        <w:tc>
          <w:tcPr>
            <w:tcW w:w="300" w:type="dxa"/>
            <w:vAlign w:val="bottom"/>
          </w:tcPr>
          <w:p>
            <w:pPr>
              <w:spacing w:after="0"/>
              <w:rPr>
                <w:sz w:val="12"/>
                <w:szCs w:val="12"/>
                <w:color w:val="auto"/>
              </w:rPr>
            </w:pPr>
          </w:p>
        </w:tc>
        <w:tc>
          <w:tcPr>
            <w:tcW w:w="1040" w:type="dxa"/>
            <w:vAlign w:val="bottom"/>
            <w:vMerge w:val="restart"/>
          </w:tcPr>
          <w:p>
            <w:pPr>
              <w:jc w:val="right"/>
              <w:ind w:right="413"/>
              <w:spacing w:after="0"/>
              <w:rPr>
                <w:sz w:val="20"/>
                <w:szCs w:val="20"/>
                <w:color w:val="auto"/>
              </w:rPr>
            </w:pPr>
            <w:r>
              <w:rPr>
                <w:rFonts w:ascii="Arial" w:cs="Arial" w:eastAsia="Arial" w:hAnsi="Arial"/>
                <w:sz w:val="14"/>
                <w:szCs w:val="14"/>
                <w:b w:val="1"/>
                <w:bCs w:val="1"/>
                <w:color w:val="auto"/>
              </w:rPr>
              <w:t>Other</w:t>
            </w:r>
          </w:p>
        </w:tc>
        <w:tc>
          <w:tcPr>
            <w:tcW w:w="100" w:type="dxa"/>
            <w:vAlign w:val="bottom"/>
            <w:vMerge w:val="restart"/>
          </w:tcPr>
          <w:p>
            <w:pPr>
              <w:spacing w:after="0"/>
              <w:rPr>
                <w:sz w:val="12"/>
                <w:szCs w:val="12"/>
                <w:color w:val="auto"/>
              </w:rPr>
            </w:pPr>
          </w:p>
        </w:tc>
        <w:tc>
          <w:tcPr>
            <w:tcW w:w="320" w:type="dxa"/>
            <w:vAlign w:val="bottom"/>
          </w:tcPr>
          <w:p>
            <w:pPr>
              <w:spacing w:after="0"/>
              <w:rPr>
                <w:sz w:val="12"/>
                <w:szCs w:val="12"/>
                <w:color w:val="auto"/>
              </w:rPr>
            </w:pPr>
          </w:p>
        </w:tc>
        <w:tc>
          <w:tcPr>
            <w:tcW w:w="1020" w:type="dxa"/>
            <w:vAlign w:val="bottom"/>
            <w:vMerge w:val="restart"/>
          </w:tcPr>
          <w:p>
            <w:pPr>
              <w:jc w:val="right"/>
              <w:ind w:right="433"/>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462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ind w:left="261"/>
              <w:spacing w:after="0"/>
              <w:rPr>
                <w:sz w:val="20"/>
                <w:szCs w:val="20"/>
                <w:color w:val="auto"/>
              </w:rPr>
            </w:pPr>
            <w:r>
              <w:rPr>
                <w:rFonts w:ascii="Arial" w:cs="Arial" w:eastAsia="Arial" w:hAnsi="Arial"/>
                <w:sz w:val="14"/>
                <w:szCs w:val="14"/>
                <w:b w:val="1"/>
                <w:bCs w:val="1"/>
                <w:color w:val="auto"/>
                <w:w w:val="92"/>
              </w:rPr>
              <w:t>Retention</w:t>
            </w:r>
          </w:p>
        </w:tc>
        <w:tc>
          <w:tcPr>
            <w:tcW w:w="32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jc w:val="center"/>
              <w:ind w:right="57"/>
              <w:spacing w:after="0"/>
              <w:rPr>
                <w:sz w:val="20"/>
                <w:szCs w:val="20"/>
                <w:color w:val="auto"/>
              </w:rPr>
            </w:pPr>
            <w:r>
              <w:rPr>
                <w:rFonts w:ascii="Arial" w:cs="Arial" w:eastAsia="Arial" w:hAnsi="Arial"/>
                <w:sz w:val="14"/>
                <w:szCs w:val="14"/>
                <w:b w:val="1"/>
                <w:bCs w:val="1"/>
                <w:color w:val="auto"/>
                <w:w w:val="93"/>
              </w:rPr>
              <w:t>Asset Write-offs</w:t>
            </w:r>
          </w:p>
        </w:tc>
        <w:tc>
          <w:tcPr>
            <w:tcW w:w="12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46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At January 2, 2015</w:t>
            </w:r>
          </w:p>
        </w:tc>
        <w:tc>
          <w:tcPr>
            <w:tcW w:w="1020" w:type="dxa"/>
            <w:vAlign w:val="bottom"/>
            <w:tcBorders>
              <w:bottom w:val="single" w:sz="8" w:color="CCEEFF"/>
            </w:tcBorders>
            <w:shd w:val="clear" w:color="auto" w:fill="CCEEFF"/>
          </w:tcPr>
          <w:p>
            <w:pPr>
              <w:jc w:val="right"/>
              <w:ind w:right="821"/>
              <w:spacing w:after="0"/>
              <w:rPr>
                <w:sz w:val="20"/>
                <w:szCs w:val="20"/>
                <w:color w:val="auto"/>
              </w:rPr>
            </w:pPr>
            <w:r>
              <w:rPr>
                <w:rFonts w:ascii="Arial" w:cs="Arial" w:eastAsia="Arial" w:hAnsi="Arial"/>
                <w:sz w:val="18"/>
                <w:szCs w:val="18"/>
                <w:color w:val="auto"/>
                <w:w w:val="99"/>
              </w:rPr>
              <w:t>$</w:t>
            </w:r>
          </w:p>
        </w:tc>
        <w:tc>
          <w:tcPr>
            <w:tcW w:w="4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287</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287</w:t>
            </w:r>
          </w:p>
        </w:tc>
        <w:tc>
          <w:tcPr>
            <w:tcW w:w="0" w:type="dxa"/>
            <w:vAlign w:val="bottom"/>
          </w:tcPr>
          <w:p>
            <w:pPr>
              <w:spacing w:after="0"/>
              <w:rPr>
                <w:sz w:val="1"/>
                <w:szCs w:val="1"/>
                <w:color w:val="auto"/>
              </w:rPr>
            </w:pPr>
          </w:p>
        </w:tc>
      </w:tr>
      <w:tr>
        <w:trPr>
          <w:trHeight w:val="243"/>
        </w:trPr>
        <w:tc>
          <w:tcPr>
            <w:tcW w:w="4620" w:type="dxa"/>
            <w:vAlign w:val="bottom"/>
          </w:tcPr>
          <w:p>
            <w:pPr>
              <w:ind w:left="20"/>
              <w:spacing w:after="0"/>
              <w:rPr>
                <w:sz w:val="20"/>
                <w:szCs w:val="20"/>
                <w:color w:val="auto"/>
              </w:rPr>
            </w:pPr>
            <w:r>
              <w:rPr>
                <w:rFonts w:ascii="Arial" w:cs="Arial" w:eastAsia="Arial" w:hAnsi="Arial"/>
                <w:sz w:val="18"/>
                <w:szCs w:val="18"/>
                <w:color w:val="auto"/>
              </w:rPr>
              <w:t>Restructuring charges</w:t>
            </w:r>
          </w:p>
        </w:tc>
        <w:tc>
          <w:tcPr>
            <w:tcW w:w="1020" w:type="dxa"/>
            <w:vAlign w:val="bottom"/>
          </w:tcPr>
          <w:p>
            <w:pPr>
              <w:spacing w:after="0"/>
              <w:rPr>
                <w:sz w:val="21"/>
                <w:szCs w:val="21"/>
                <w:color w:val="auto"/>
              </w:rPr>
            </w:pPr>
          </w:p>
        </w:tc>
        <w:tc>
          <w:tcPr>
            <w:tcW w:w="440" w:type="dxa"/>
            <w:vAlign w:val="bottom"/>
            <w:gridSpan w:val="2"/>
          </w:tcPr>
          <w:p>
            <w:pPr>
              <w:ind w:left="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88</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40" w:type="dxa"/>
            <w:vAlign w:val="bottom"/>
          </w:tcPr>
          <w:p>
            <w:pPr>
              <w:jc w:val="right"/>
              <w:ind w:right="13"/>
              <w:spacing w:after="0"/>
              <w:rPr>
                <w:sz w:val="20"/>
                <w:szCs w:val="20"/>
                <w:color w:val="auto"/>
              </w:rPr>
            </w:pPr>
            <w:r>
              <w:rPr>
                <w:rFonts w:ascii="Arial" w:cs="Arial" w:eastAsia="Arial" w:hAnsi="Arial"/>
                <w:sz w:val="18"/>
                <w:szCs w:val="18"/>
                <w:color w:val="auto"/>
              </w:rPr>
              <w:t>1,307</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20" w:type="dxa"/>
            <w:vAlign w:val="bottom"/>
          </w:tcPr>
          <w:p>
            <w:pPr>
              <w:jc w:val="right"/>
              <w:ind w:right="13"/>
              <w:spacing w:after="0"/>
              <w:rPr>
                <w:sz w:val="20"/>
                <w:szCs w:val="20"/>
                <w:color w:val="auto"/>
              </w:rPr>
            </w:pPr>
            <w:r>
              <w:rPr>
                <w:rFonts w:ascii="Arial" w:cs="Arial" w:eastAsia="Arial" w:hAnsi="Arial"/>
                <w:sz w:val="18"/>
                <w:szCs w:val="18"/>
                <w:color w:val="auto"/>
              </w:rPr>
              <w:t>1,395</w:t>
            </w:r>
          </w:p>
        </w:tc>
        <w:tc>
          <w:tcPr>
            <w:tcW w:w="0" w:type="dxa"/>
            <w:vAlign w:val="bottom"/>
          </w:tcPr>
          <w:p>
            <w:pPr>
              <w:spacing w:after="0"/>
              <w:rPr>
                <w:sz w:val="1"/>
                <w:szCs w:val="1"/>
                <w:color w:val="auto"/>
              </w:rPr>
            </w:pPr>
          </w:p>
        </w:tc>
      </w:tr>
      <w:tr>
        <w:trPr>
          <w:trHeight w:val="27"/>
        </w:trPr>
        <w:tc>
          <w:tcPr>
            <w:tcW w:w="46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Write-offs</w:t>
            </w:r>
          </w:p>
        </w:tc>
        <w:tc>
          <w:tcPr>
            <w:tcW w:w="102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(88)</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(88)</w:t>
            </w:r>
          </w:p>
        </w:tc>
        <w:tc>
          <w:tcPr>
            <w:tcW w:w="0" w:type="dxa"/>
            <w:vAlign w:val="bottom"/>
          </w:tcPr>
          <w:p>
            <w:pPr>
              <w:spacing w:after="0"/>
              <w:rPr>
                <w:sz w:val="1"/>
                <w:szCs w:val="1"/>
                <w:color w:val="auto"/>
              </w:rPr>
            </w:pPr>
          </w:p>
        </w:tc>
      </w:tr>
      <w:tr>
        <w:trPr>
          <w:trHeight w:val="243"/>
        </w:trPr>
        <w:tc>
          <w:tcPr>
            <w:tcW w:w="4620" w:type="dxa"/>
            <w:vAlign w:val="bottom"/>
          </w:tcPr>
          <w:p>
            <w:pPr>
              <w:ind w:left="20"/>
              <w:spacing w:after="0"/>
              <w:rPr>
                <w:sz w:val="20"/>
                <w:szCs w:val="20"/>
                <w:color w:val="auto"/>
              </w:rPr>
            </w:pPr>
            <w:r>
              <w:rPr>
                <w:rFonts w:ascii="Arial" w:cs="Arial" w:eastAsia="Arial" w:hAnsi="Arial"/>
                <w:sz w:val="18"/>
                <w:szCs w:val="18"/>
                <w:color w:val="auto"/>
              </w:rPr>
              <w:t>Cash payments</w:t>
            </w:r>
          </w:p>
        </w:tc>
        <w:tc>
          <w:tcPr>
            <w:tcW w:w="1020" w:type="dxa"/>
            <w:vAlign w:val="bottom"/>
          </w:tcPr>
          <w:p>
            <w:pPr>
              <w:spacing w:after="0"/>
              <w:rPr>
                <w:sz w:val="21"/>
                <w:szCs w:val="21"/>
                <w:color w:val="auto"/>
              </w:rPr>
            </w:pPr>
          </w:p>
        </w:tc>
        <w:tc>
          <w:tcPr>
            <w:tcW w:w="440" w:type="dxa"/>
            <w:vAlign w:val="bottom"/>
            <w:gridSpan w:val="2"/>
          </w:tcPr>
          <w:p>
            <w:pPr>
              <w:ind w:left="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3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(1,594)</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(1,594)</w:t>
            </w:r>
          </w:p>
        </w:tc>
        <w:tc>
          <w:tcPr>
            <w:tcW w:w="0" w:type="dxa"/>
            <w:vAlign w:val="bottom"/>
          </w:tcPr>
          <w:p>
            <w:pPr>
              <w:spacing w:after="0"/>
              <w:rPr>
                <w:sz w:val="1"/>
                <w:szCs w:val="1"/>
                <w:color w:val="auto"/>
              </w:rPr>
            </w:pPr>
          </w:p>
        </w:tc>
      </w:tr>
      <w:tr>
        <w:trPr>
          <w:trHeight w:val="27"/>
        </w:trPr>
        <w:tc>
          <w:tcPr>
            <w:tcW w:w="462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620" w:type="dxa"/>
            <w:vAlign w:val="bottom"/>
            <w:shd w:val="clear" w:color="auto" w:fill="CCEEFF"/>
          </w:tcPr>
          <w:p>
            <w:pPr>
              <w:ind w:left="20"/>
              <w:spacing w:after="0"/>
              <w:rPr>
                <w:sz w:val="20"/>
                <w:szCs w:val="20"/>
                <w:color w:val="auto"/>
              </w:rPr>
            </w:pPr>
            <w:r>
              <w:rPr>
                <w:rFonts w:ascii="Arial" w:cs="Arial" w:eastAsia="Arial" w:hAnsi="Arial"/>
                <w:sz w:val="18"/>
                <w:szCs w:val="18"/>
                <w:color w:val="auto"/>
              </w:rPr>
              <w:t>At January 1, 2016</w:t>
            </w:r>
          </w:p>
        </w:tc>
        <w:tc>
          <w:tcPr>
            <w:tcW w:w="1020" w:type="dxa"/>
            <w:vAlign w:val="bottom"/>
            <w:shd w:val="clear" w:color="auto" w:fill="CCEEFF"/>
          </w:tcPr>
          <w:p>
            <w:pPr>
              <w:jc w:val="right"/>
              <w:ind w:right="821"/>
              <w:spacing w:after="0"/>
              <w:rPr>
                <w:sz w:val="20"/>
                <w:szCs w:val="20"/>
                <w:color w:val="auto"/>
              </w:rPr>
            </w:pPr>
            <w:r>
              <w:rPr>
                <w:rFonts w:ascii="Arial" w:cs="Arial" w:eastAsia="Arial" w:hAnsi="Arial"/>
                <w:sz w:val="18"/>
                <w:szCs w:val="18"/>
                <w:color w:val="auto"/>
                <w:w w:val="99"/>
              </w:rPr>
              <w:t>$</w:t>
            </w:r>
          </w:p>
        </w:tc>
        <w:tc>
          <w:tcPr>
            <w:tcW w:w="44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0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2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462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ind w:left="6" w:right="100"/>
        <w:spacing w:after="0" w:line="298" w:lineRule="auto"/>
        <w:rPr>
          <w:sz w:val="20"/>
          <w:szCs w:val="20"/>
          <w:color w:val="auto"/>
        </w:rPr>
      </w:pPr>
      <w:r>
        <w:rPr>
          <w:rFonts w:ascii="Arial" w:cs="Arial" w:eastAsia="Arial" w:hAnsi="Arial"/>
          <w:sz w:val="16"/>
          <w:szCs w:val="16"/>
          <w:b w:val="1"/>
          <w:bCs w:val="1"/>
          <w:i w:val="1"/>
          <w:iCs w:val="1"/>
          <w:color w:val="auto"/>
        </w:rPr>
        <w:t>2013 operating unit realignment</w:t>
      </w:r>
      <w:r>
        <w:rPr>
          <w:rFonts w:ascii="Arial" w:cs="Arial" w:eastAsia="Arial" w:hAnsi="Arial"/>
          <w:sz w:val="16"/>
          <w:szCs w:val="16"/>
          <w:b w:val="1"/>
          <w:bCs w:val="1"/>
          <w:color w:val="auto"/>
        </w:rPr>
        <w:t>.</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In 2013, the Company initiated a plan to realign its operating structure in order to optimize its continued focus on</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profitable growth. As part of this initiative, the sales and marketing and operations groups of its former Implantable Medical and Electrochem Solutions reportable segments were combined into one sales and marketing group and one operations group each serving Greatbatch Medical. This initiative was completed during 2014. Total restructuring charges incurred in connection with this realignment were $6.6 million. Expenses related to this initiative were recorded within the applicable segment that the expenditures relate to and included the following:</w:t>
      </w:r>
    </w:p>
    <w:p>
      <w:pPr>
        <w:spacing w:after="0" w:line="50" w:lineRule="exact"/>
        <w:rPr>
          <w:sz w:val="20"/>
          <w:szCs w:val="20"/>
          <w:color w:val="auto"/>
        </w:rPr>
      </w:pPr>
    </w:p>
    <w:p>
      <w:pPr>
        <w:ind w:left="246" w:hanging="246"/>
        <w:spacing w:after="0"/>
        <w:tabs>
          <w:tab w:leader="none" w:pos="246" w:val="left"/>
        </w:tabs>
        <w:numPr>
          <w:ilvl w:val="0"/>
          <w:numId w:val="47"/>
        </w:numPr>
        <w:rPr>
          <w:rFonts w:ascii="Arial" w:cs="Arial" w:eastAsia="Arial" w:hAnsi="Arial"/>
          <w:sz w:val="18"/>
          <w:szCs w:val="18"/>
          <w:color w:val="auto"/>
        </w:rPr>
      </w:pPr>
      <w:r>
        <w:rPr>
          <w:rFonts w:ascii="Arial" w:cs="Arial" w:eastAsia="Arial" w:hAnsi="Arial"/>
          <w:sz w:val="18"/>
          <w:szCs w:val="18"/>
          <w:color w:val="auto"/>
        </w:rPr>
        <w:t>Severance and retention: $5.0 million; and</w:t>
      </w:r>
    </w:p>
    <w:p>
      <w:pPr>
        <w:spacing w:after="0" w:line="23" w:lineRule="exact"/>
        <w:rPr>
          <w:rFonts w:ascii="Arial" w:cs="Arial" w:eastAsia="Arial" w:hAnsi="Arial"/>
          <w:sz w:val="18"/>
          <w:szCs w:val="18"/>
          <w:color w:val="auto"/>
        </w:rPr>
      </w:pPr>
    </w:p>
    <w:p>
      <w:pPr>
        <w:ind w:left="246" w:hanging="246"/>
        <w:spacing w:after="0"/>
        <w:tabs>
          <w:tab w:leader="none" w:pos="246" w:val="left"/>
        </w:tabs>
        <w:numPr>
          <w:ilvl w:val="0"/>
          <w:numId w:val="47"/>
        </w:numPr>
        <w:rPr>
          <w:rFonts w:ascii="Arial" w:cs="Arial" w:eastAsia="Arial" w:hAnsi="Arial"/>
          <w:sz w:val="18"/>
          <w:szCs w:val="18"/>
          <w:color w:val="auto"/>
        </w:rPr>
      </w:pPr>
      <w:r>
        <w:rPr>
          <w:rFonts w:ascii="Arial" w:cs="Arial" w:eastAsia="Arial" w:hAnsi="Arial"/>
          <w:sz w:val="18"/>
          <w:szCs w:val="18"/>
          <w:color w:val="auto"/>
        </w:rPr>
        <w:t>Other: $1.6 million.</w:t>
      </w:r>
    </w:p>
    <w:p>
      <w:pPr>
        <w:spacing w:after="0" w:line="103" w:lineRule="exact"/>
        <w:rPr>
          <w:sz w:val="20"/>
          <w:szCs w:val="20"/>
          <w:color w:val="auto"/>
        </w:rPr>
      </w:pPr>
    </w:p>
    <w:p>
      <w:pPr>
        <w:ind w:left="6"/>
        <w:spacing w:after="0"/>
        <w:rPr>
          <w:sz w:val="20"/>
          <w:szCs w:val="20"/>
          <w:color w:val="auto"/>
        </w:rPr>
      </w:pPr>
      <w:r>
        <w:rPr>
          <w:rFonts w:ascii="Arial" w:cs="Arial" w:eastAsia="Arial" w:hAnsi="Arial"/>
          <w:sz w:val="18"/>
          <w:szCs w:val="18"/>
          <w:color w:val="auto"/>
        </w:rPr>
        <w:t>Other expenses primarily consisted of relocation and travel expenditures. All expenses were cash expenditures.</w:t>
      </w:r>
    </w:p>
    <w:p>
      <w:pPr>
        <w:spacing w:after="0" w:line="225" w:lineRule="exact"/>
        <w:rPr>
          <w:sz w:val="20"/>
          <w:szCs w:val="20"/>
          <w:color w:val="auto"/>
        </w:rPr>
      </w:pPr>
    </w:p>
    <w:p>
      <w:pPr>
        <w:ind w:left="6" w:right="120"/>
        <w:spacing w:after="0" w:line="255" w:lineRule="auto"/>
        <w:rPr>
          <w:sz w:val="20"/>
          <w:szCs w:val="20"/>
          <w:color w:val="auto"/>
        </w:rPr>
      </w:pPr>
      <w:r>
        <w:rPr>
          <w:rFonts w:ascii="Arial" w:cs="Arial" w:eastAsia="Arial" w:hAnsi="Arial"/>
          <w:sz w:val="18"/>
          <w:szCs w:val="18"/>
          <w:b w:val="1"/>
          <w:bCs w:val="1"/>
          <w:i w:val="1"/>
          <w:iCs w:val="1"/>
          <w:color w:val="auto"/>
        </w:rPr>
        <w:t xml:space="preserve">Legacy Lake Region Medical consolidations. </w:t>
      </w:r>
      <w:r>
        <w:rPr>
          <w:rFonts w:ascii="Arial" w:cs="Arial" w:eastAsia="Arial" w:hAnsi="Arial"/>
          <w:sz w:val="18"/>
          <w:szCs w:val="18"/>
          <w:color w:val="auto"/>
        </w:rPr>
        <w:t>In 2014, Lake Region Medical initiated plans to close its Arvada, Colorado site, consolidate its two</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Galway, Ireland sites into one facility, and take other restructuring actions that will result in a reduction in staff across manufacturing and administrative functions at certain locations. This initiative is expected to be substantially completed by the end of 2016. The total capital investment expected for this initiative since the acquisition date is between $4.0 million and $5.0 million, of which $0.9 million has been expended through January 1, 2016. Total expense expected to be incurred for this initiative since the acquisition date is between $13.0 million and $15.0 million, of which $2.0 million has been incurred through January 1, 2016. All expenses have been and will be recorded with the Lake Region Medical segment and are expected to include the following:</w:t>
      </w:r>
    </w:p>
    <w:p>
      <w:pPr>
        <w:spacing w:after="0" w:line="81" w:lineRule="exact"/>
        <w:rPr>
          <w:sz w:val="20"/>
          <w:szCs w:val="20"/>
          <w:color w:val="auto"/>
        </w:rPr>
      </w:pPr>
    </w:p>
    <w:p>
      <w:pPr>
        <w:ind w:left="246" w:hanging="246"/>
        <w:spacing w:after="0"/>
        <w:tabs>
          <w:tab w:leader="none" w:pos="246" w:val="left"/>
        </w:tabs>
        <w:numPr>
          <w:ilvl w:val="0"/>
          <w:numId w:val="48"/>
        </w:numPr>
        <w:rPr>
          <w:rFonts w:ascii="Arial" w:cs="Arial" w:eastAsia="Arial" w:hAnsi="Arial"/>
          <w:sz w:val="18"/>
          <w:szCs w:val="18"/>
          <w:color w:val="auto"/>
        </w:rPr>
      </w:pPr>
      <w:r>
        <w:rPr>
          <w:rFonts w:ascii="Arial" w:cs="Arial" w:eastAsia="Arial" w:hAnsi="Arial"/>
          <w:sz w:val="18"/>
          <w:szCs w:val="18"/>
          <w:color w:val="auto"/>
        </w:rPr>
        <w:t>Employee costs: $5.0 million - $6.0 million; and</w:t>
      </w:r>
    </w:p>
    <w:p>
      <w:pPr>
        <w:spacing w:after="0" w:line="23" w:lineRule="exact"/>
        <w:rPr>
          <w:rFonts w:ascii="Arial" w:cs="Arial" w:eastAsia="Arial" w:hAnsi="Arial"/>
          <w:sz w:val="18"/>
          <w:szCs w:val="18"/>
          <w:color w:val="auto"/>
        </w:rPr>
      </w:pPr>
    </w:p>
    <w:p>
      <w:pPr>
        <w:ind w:left="246" w:hanging="246"/>
        <w:spacing w:after="0"/>
        <w:tabs>
          <w:tab w:leader="none" w:pos="246" w:val="left"/>
        </w:tabs>
        <w:numPr>
          <w:ilvl w:val="0"/>
          <w:numId w:val="48"/>
        </w:numPr>
        <w:rPr>
          <w:rFonts w:ascii="Arial" w:cs="Arial" w:eastAsia="Arial" w:hAnsi="Arial"/>
          <w:sz w:val="18"/>
          <w:szCs w:val="18"/>
          <w:color w:val="auto"/>
        </w:rPr>
      </w:pPr>
      <w:r>
        <w:rPr>
          <w:rFonts w:ascii="Arial" w:cs="Arial" w:eastAsia="Arial" w:hAnsi="Arial"/>
          <w:sz w:val="18"/>
          <w:szCs w:val="18"/>
          <w:color w:val="auto"/>
        </w:rPr>
        <w:t>Other: $8.0 million - $9.0 million</w:t>
      </w:r>
    </w:p>
    <w:p>
      <w:pPr>
        <w:spacing w:after="0" w:line="103" w:lineRule="exact"/>
        <w:rPr>
          <w:sz w:val="20"/>
          <w:szCs w:val="20"/>
          <w:color w:val="auto"/>
        </w:rPr>
      </w:pPr>
    </w:p>
    <w:p>
      <w:pPr>
        <w:ind w:left="6" w:right="220"/>
        <w:spacing w:after="0" w:line="342" w:lineRule="auto"/>
        <w:rPr>
          <w:sz w:val="20"/>
          <w:szCs w:val="20"/>
          <w:color w:val="auto"/>
        </w:rPr>
      </w:pPr>
      <w:r>
        <w:rPr>
          <w:rFonts w:ascii="Arial" w:cs="Arial" w:eastAsia="Arial" w:hAnsi="Arial"/>
          <w:sz w:val="16"/>
          <w:szCs w:val="16"/>
          <w:color w:val="auto"/>
        </w:rPr>
        <w:t>Other expenses primarily consist of production inefficiencies, moving, revalidation, personnel, training, consulting, and travel costs associated with these consolidation projects. All expenses are cash expenditures and are being recorded in the Lake Region Medical segment.</w:t>
      </w:r>
    </w:p>
    <w:p>
      <w:pPr>
        <w:spacing w:after="0" w:line="259" w:lineRule="exact"/>
        <w:rPr>
          <w:sz w:val="20"/>
          <w:szCs w:val="20"/>
          <w:color w:val="auto"/>
        </w:rPr>
      </w:pPr>
    </w:p>
    <w:p>
      <w:pPr>
        <w:jc w:val="center"/>
        <w:ind w:right="394"/>
        <w:spacing w:after="0"/>
        <w:rPr>
          <w:sz w:val="20"/>
          <w:szCs w:val="20"/>
          <w:color w:val="auto"/>
        </w:rPr>
      </w:pPr>
      <w:r>
        <w:rPr>
          <w:rFonts w:ascii="Arial" w:cs="Arial" w:eastAsia="Arial" w:hAnsi="Arial"/>
          <w:sz w:val="18"/>
          <w:szCs w:val="18"/>
          <w:color w:val="auto"/>
        </w:rPr>
        <w:t>- 97 -</w:t>
      </w:r>
    </w:p>
    <w:p>
      <w:pPr>
        <w:sectPr>
          <w:pgSz w:w="11900" w:h="16838" w:orient="portrait"/>
          <w:cols w:equalWidth="0" w:num="1">
            <w:col w:w="10846"/>
          </w:cols>
          <w:pgMar w:left="734" w:top="337" w:right="319" w:bottom="1440" w:gutter="0" w:footer="0" w:header="0"/>
        </w:sectPr>
      </w:pPr>
    </w:p>
    <w:bookmarkStart w:id="98" w:name="page99"/>
    <w:bookmarkEnd w:id="98"/>
    <w:p>
      <w:pPr>
        <w:jc w:val="center"/>
        <w:ind w:right="480"/>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ind w:right="48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spacing w:after="0"/>
        <w:rPr>
          <w:sz w:val="20"/>
          <w:szCs w:val="20"/>
          <w:color w:val="auto"/>
        </w:rPr>
      </w:pPr>
      <w:r>
        <w:rPr>
          <w:rFonts w:ascii="Arial" w:cs="Arial" w:eastAsia="Arial" w:hAnsi="Arial"/>
          <w:sz w:val="18"/>
          <w:szCs w:val="18"/>
          <w:color w:val="auto"/>
        </w:rPr>
        <w:t>The change in accrued liabilities related to these legacy Lake Region Medical consolidation initiatives is as follows (in thousands):</w:t>
      </w:r>
    </w:p>
    <w:p>
      <w:pPr>
        <w:spacing w:after="0" w:line="36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6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2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0"/>
              </w:rPr>
              <w:t>Employee</w:t>
            </w:r>
          </w:p>
        </w:tc>
        <w:tc>
          <w:tcPr>
            <w:tcW w:w="140" w:type="dxa"/>
            <w:vAlign w:val="bottom"/>
          </w:tcPr>
          <w:p>
            <w:pPr>
              <w:spacing w:after="0"/>
              <w:rPr>
                <w:sz w:val="14"/>
                <w:szCs w:val="14"/>
                <w:color w:val="auto"/>
              </w:rPr>
            </w:pPr>
          </w:p>
        </w:tc>
        <w:tc>
          <w:tcPr>
            <w:tcW w:w="132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Other Exit Costs</w:t>
            </w:r>
          </w:p>
        </w:tc>
        <w:tc>
          <w:tcPr>
            <w:tcW w:w="320" w:type="dxa"/>
            <w:vAlign w:val="bottom"/>
          </w:tcPr>
          <w:p>
            <w:pPr>
              <w:spacing w:after="0"/>
              <w:rPr>
                <w:sz w:val="14"/>
                <w:szCs w:val="14"/>
                <w:color w:val="auto"/>
              </w:rPr>
            </w:pPr>
          </w:p>
        </w:tc>
        <w:tc>
          <w:tcPr>
            <w:tcW w:w="1040" w:type="dxa"/>
            <w:vAlign w:val="bottom"/>
            <w:vMerge w:val="restart"/>
          </w:tcPr>
          <w:p>
            <w:pPr>
              <w:jc w:val="right"/>
              <w:ind w:right="433"/>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46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22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87"/>
              </w:rPr>
              <w:t>Costs</w:t>
            </w:r>
          </w:p>
        </w:tc>
        <w:tc>
          <w:tcPr>
            <w:tcW w:w="140" w:type="dxa"/>
            <w:vAlign w:val="bottom"/>
          </w:tcPr>
          <w:p>
            <w:pPr>
              <w:spacing w:after="0"/>
              <w:rPr>
                <w:sz w:val="16"/>
                <w:szCs w:val="16"/>
                <w:color w:val="auto"/>
              </w:rPr>
            </w:pPr>
          </w:p>
        </w:tc>
        <w:tc>
          <w:tcPr>
            <w:tcW w:w="1320" w:type="dxa"/>
            <w:vAlign w:val="bottom"/>
            <w:gridSpan w:val="2"/>
            <w:vMerge w:val="continue"/>
          </w:tcPr>
          <w:p>
            <w:pPr>
              <w:spacing w:after="0"/>
              <w:rPr>
                <w:sz w:val="16"/>
                <w:szCs w:val="16"/>
                <w:color w:val="auto"/>
              </w:rPr>
            </w:pPr>
          </w:p>
        </w:tc>
        <w:tc>
          <w:tcPr>
            <w:tcW w:w="320" w:type="dxa"/>
            <w:vAlign w:val="bottom"/>
          </w:tcPr>
          <w:p>
            <w:pPr>
              <w:spacing w:after="0"/>
              <w:rPr>
                <w:sz w:val="16"/>
                <w:szCs w:val="16"/>
                <w:color w:val="auto"/>
              </w:rPr>
            </w:pPr>
          </w:p>
        </w:tc>
        <w:tc>
          <w:tcPr>
            <w:tcW w:w="104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462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At October 27, 2015</w:t>
            </w:r>
          </w:p>
        </w:tc>
        <w:tc>
          <w:tcPr>
            <w:tcW w:w="240" w:type="dxa"/>
            <w:vAlign w:val="bottom"/>
            <w:tcBorders>
              <w:top w:val="single" w:sz="8" w:color="auto"/>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3,392</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653</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320" w:type="dxa"/>
            <w:vAlign w:val="bottom"/>
            <w:tcBorders>
              <w:top w:val="single" w:sz="8" w:color="auto"/>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Borders>
              <w:top w:val="single" w:sz="8" w:color="auto"/>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4,045</w:t>
            </w:r>
          </w:p>
        </w:tc>
        <w:tc>
          <w:tcPr>
            <w:tcW w:w="0" w:type="dxa"/>
            <w:vAlign w:val="bottom"/>
          </w:tcPr>
          <w:p>
            <w:pPr>
              <w:spacing w:after="0"/>
              <w:rPr>
                <w:sz w:val="1"/>
                <w:szCs w:val="1"/>
                <w:color w:val="auto"/>
              </w:rPr>
            </w:pPr>
          </w:p>
        </w:tc>
      </w:tr>
      <w:tr>
        <w:trPr>
          <w:trHeight w:val="243"/>
        </w:trPr>
        <w:tc>
          <w:tcPr>
            <w:tcW w:w="4620" w:type="dxa"/>
            <w:vAlign w:val="bottom"/>
          </w:tcPr>
          <w:p>
            <w:pPr>
              <w:ind w:left="20"/>
              <w:spacing w:after="0"/>
              <w:rPr>
                <w:sz w:val="20"/>
                <w:szCs w:val="20"/>
                <w:color w:val="auto"/>
              </w:rPr>
            </w:pPr>
            <w:r>
              <w:rPr>
                <w:rFonts w:ascii="Arial" w:cs="Arial" w:eastAsia="Arial" w:hAnsi="Arial"/>
                <w:sz w:val="18"/>
                <w:szCs w:val="18"/>
                <w:color w:val="auto"/>
              </w:rPr>
              <w:t>Restructuring charges</w:t>
            </w:r>
          </w:p>
        </w:tc>
        <w:tc>
          <w:tcPr>
            <w:tcW w:w="240" w:type="dxa"/>
            <w:vAlign w:val="bottom"/>
          </w:tcPr>
          <w:p>
            <w:pPr>
              <w:spacing w:after="0"/>
              <w:rPr>
                <w:sz w:val="21"/>
                <w:szCs w:val="21"/>
                <w:color w:val="auto"/>
              </w:rPr>
            </w:pPr>
          </w:p>
        </w:tc>
        <w:tc>
          <w:tcPr>
            <w:tcW w:w="1120" w:type="dxa"/>
            <w:vAlign w:val="bottom"/>
          </w:tcPr>
          <w:p>
            <w:pPr>
              <w:jc w:val="right"/>
              <w:ind w:right="15"/>
              <w:spacing w:after="0"/>
              <w:rPr>
                <w:sz w:val="20"/>
                <w:szCs w:val="20"/>
                <w:color w:val="auto"/>
              </w:rPr>
            </w:pPr>
            <w:r>
              <w:rPr>
                <w:rFonts w:ascii="Arial" w:cs="Arial" w:eastAsia="Arial" w:hAnsi="Arial"/>
                <w:sz w:val="18"/>
                <w:szCs w:val="18"/>
                <w:color w:val="auto"/>
              </w:rPr>
              <w:t>557</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3"/>
              <w:spacing w:after="0"/>
              <w:rPr>
                <w:sz w:val="20"/>
                <w:szCs w:val="20"/>
                <w:color w:val="auto"/>
              </w:rPr>
            </w:pPr>
            <w:r>
              <w:rPr>
                <w:rFonts w:ascii="Arial" w:cs="Arial" w:eastAsia="Arial" w:hAnsi="Arial"/>
                <w:sz w:val="18"/>
                <w:szCs w:val="18"/>
                <w:color w:val="auto"/>
              </w:rPr>
              <w:t>1,404</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ind w:right="13"/>
              <w:spacing w:after="0"/>
              <w:rPr>
                <w:sz w:val="20"/>
                <w:szCs w:val="20"/>
                <w:color w:val="auto"/>
              </w:rPr>
            </w:pPr>
            <w:r>
              <w:rPr>
                <w:rFonts w:ascii="Arial" w:cs="Arial" w:eastAsia="Arial" w:hAnsi="Arial"/>
                <w:sz w:val="18"/>
                <w:szCs w:val="18"/>
                <w:color w:val="auto"/>
              </w:rPr>
              <w:t>1,961</w:t>
            </w:r>
          </w:p>
        </w:tc>
        <w:tc>
          <w:tcPr>
            <w:tcW w:w="0" w:type="dxa"/>
            <w:vAlign w:val="bottom"/>
          </w:tcPr>
          <w:p>
            <w:pPr>
              <w:spacing w:after="0"/>
              <w:rPr>
                <w:sz w:val="1"/>
                <w:szCs w:val="1"/>
                <w:color w:val="auto"/>
              </w:rPr>
            </w:pPr>
          </w:p>
        </w:tc>
      </w:tr>
      <w:tr>
        <w:trPr>
          <w:trHeight w:val="27"/>
        </w:trPr>
        <w:tc>
          <w:tcPr>
            <w:tcW w:w="46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Write-offs</w:t>
            </w:r>
          </w:p>
        </w:tc>
        <w:tc>
          <w:tcPr>
            <w:tcW w:w="2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4620" w:type="dxa"/>
            <w:vAlign w:val="bottom"/>
          </w:tcPr>
          <w:p>
            <w:pPr>
              <w:ind w:left="20"/>
              <w:spacing w:after="0"/>
              <w:rPr>
                <w:sz w:val="20"/>
                <w:szCs w:val="20"/>
                <w:color w:val="auto"/>
              </w:rPr>
            </w:pPr>
            <w:r>
              <w:rPr>
                <w:rFonts w:ascii="Arial" w:cs="Arial" w:eastAsia="Arial" w:hAnsi="Arial"/>
                <w:sz w:val="18"/>
                <w:szCs w:val="18"/>
                <w:color w:val="auto"/>
              </w:rPr>
              <w:t>Cash payments</w:t>
            </w:r>
          </w:p>
        </w:tc>
        <w:tc>
          <w:tcPr>
            <w:tcW w:w="2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(282)</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(1,461)</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(1,743)</w:t>
            </w:r>
          </w:p>
        </w:tc>
        <w:tc>
          <w:tcPr>
            <w:tcW w:w="0" w:type="dxa"/>
            <w:vAlign w:val="bottom"/>
          </w:tcPr>
          <w:p>
            <w:pPr>
              <w:spacing w:after="0"/>
              <w:rPr>
                <w:sz w:val="1"/>
                <w:szCs w:val="1"/>
                <w:color w:val="auto"/>
              </w:rPr>
            </w:pPr>
          </w:p>
        </w:tc>
      </w:tr>
      <w:tr>
        <w:trPr>
          <w:trHeight w:val="27"/>
        </w:trPr>
        <w:tc>
          <w:tcPr>
            <w:tcW w:w="46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6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At January 1, 2016</w:t>
            </w: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3,667</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596</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4,263</w:t>
            </w:r>
          </w:p>
        </w:tc>
        <w:tc>
          <w:tcPr>
            <w:tcW w:w="0" w:type="dxa"/>
            <w:vAlign w:val="bottom"/>
          </w:tcPr>
          <w:p>
            <w:pPr>
              <w:spacing w:after="0"/>
              <w:rPr>
                <w:sz w:val="1"/>
                <w:szCs w:val="1"/>
                <w:color w:val="auto"/>
              </w:rPr>
            </w:pPr>
          </w:p>
        </w:tc>
      </w:tr>
      <w:tr>
        <w:trPr>
          <w:trHeight w:val="20"/>
        </w:trPr>
        <w:tc>
          <w:tcPr>
            <w:tcW w:w="46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line="272" w:lineRule="auto"/>
        <w:rPr>
          <w:sz w:val="20"/>
          <w:szCs w:val="20"/>
          <w:color w:val="auto"/>
        </w:rPr>
      </w:pPr>
      <w:r>
        <w:rPr>
          <w:rFonts w:ascii="Arial" w:cs="Arial" w:eastAsia="Arial" w:hAnsi="Arial"/>
          <w:sz w:val="17"/>
          <w:szCs w:val="17"/>
          <w:b w:val="1"/>
          <w:bCs w:val="1"/>
          <w:i w:val="1"/>
          <w:iCs w:val="1"/>
          <w:color w:val="auto"/>
        </w:rPr>
        <w:t xml:space="preserve">Acquisition and integration costs (income). </w:t>
      </w:r>
      <w:r>
        <w:rPr>
          <w:rFonts w:ascii="Arial" w:cs="Arial" w:eastAsia="Arial" w:hAnsi="Arial"/>
          <w:sz w:val="17"/>
          <w:szCs w:val="17"/>
          <w:color w:val="auto"/>
        </w:rPr>
        <w:t>During 2015, the Company incurred $23.7 million in transaction costs related to the acquisition of Lake</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Region Medical. These costs primarily relate to professional and consulting fees incurred in connection with due diligence efforts of this acquisition, of which $0.7 million are accrued as of January 1, 2016. Expenses related to this initiative were recorded to corporate unallocated expenses. Additionally, during 2015, the Company incurred $8.6 million in Lake Region Medical integration costs, which consisted primarily of change-in-control payments to former Lake Region Medical executives, professional and consulting fees, and travel costs, of which $6.2 million are accrued as of January 1, 2016 in the Lake Region Medical segment. Total expense expected to be incurred on the integration of Lake Region Medical is between $40.0 million and $50.0 million and total capital expenditures are expected to be between $20.0 million to $25.0 million.</w:t>
      </w:r>
    </w:p>
    <w:p>
      <w:pPr>
        <w:spacing w:after="0" w:line="178" w:lineRule="exact"/>
        <w:rPr>
          <w:sz w:val="20"/>
          <w:szCs w:val="20"/>
          <w:color w:val="auto"/>
        </w:rPr>
      </w:pPr>
    </w:p>
    <w:p>
      <w:pPr>
        <w:ind w:right="160"/>
        <w:spacing w:after="0" w:line="279" w:lineRule="auto"/>
        <w:rPr>
          <w:sz w:val="20"/>
          <w:szCs w:val="20"/>
          <w:color w:val="auto"/>
        </w:rPr>
      </w:pPr>
      <w:r>
        <w:rPr>
          <w:rFonts w:ascii="Arial" w:cs="Arial" w:eastAsia="Arial" w:hAnsi="Arial"/>
          <w:sz w:val="17"/>
          <w:szCs w:val="17"/>
          <w:color w:val="auto"/>
        </w:rPr>
        <w:t>During 2015, 2014, and 2013, the Company also incurred costs (income) related to the integration of CCC and NeuroNexus Technologies, Inc. (“NeuroNexus”). These expenses were primarily for retention bonuses, travel costs in connection with integration efforts, training, severance, and the change in fair value of the contingent consideration recorded in connection with the NeuroNexus acquisition, which resulted in a gain of $0.8 million and $0.7 million in 2014 and 2013, respectively, and was categorized in Level 3 of the fair value hierarchy.</w:t>
      </w:r>
    </w:p>
    <w:p>
      <w:pPr>
        <w:spacing w:after="0" w:line="171" w:lineRule="exact"/>
        <w:rPr>
          <w:sz w:val="20"/>
          <w:szCs w:val="20"/>
          <w:color w:val="auto"/>
        </w:rPr>
      </w:pPr>
    </w:p>
    <w:p>
      <w:pPr>
        <w:ind w:right="20"/>
        <w:spacing w:after="0" w:line="273" w:lineRule="auto"/>
        <w:rPr>
          <w:sz w:val="20"/>
          <w:szCs w:val="20"/>
          <w:color w:val="auto"/>
        </w:rPr>
      </w:pPr>
      <w:r>
        <w:rPr>
          <w:rFonts w:ascii="Arial" w:cs="Arial" w:eastAsia="Arial" w:hAnsi="Arial"/>
          <w:sz w:val="17"/>
          <w:szCs w:val="17"/>
          <w:b w:val="1"/>
          <w:bCs w:val="1"/>
          <w:i w:val="1"/>
          <w:iCs w:val="1"/>
          <w:color w:val="auto"/>
        </w:rPr>
        <w:t xml:space="preserve">Asset dispositions, severance and other. </w:t>
      </w:r>
      <w:r>
        <w:rPr>
          <w:rFonts w:ascii="Arial" w:cs="Arial" w:eastAsia="Arial" w:hAnsi="Arial"/>
          <w:sz w:val="17"/>
          <w:szCs w:val="17"/>
          <w:color w:val="auto"/>
        </w:rPr>
        <w:t>During 2015, 2014, and 2013, the Company recorded losses in connection with various asset disposals and/or</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write-downs. In addition, during 2015, the Company incurred legal and professional costs in connection with the expected Spin-off of Nuvectra of $6.0 million, of which $0.5 million are accrued as of January 1, 2016. Expenses related to the expected Spin-off were recorded within the applicable segment and corporate cost centers to which the expenditures relate. The transaction is expected to be completed in March 2016. Deal related costs for the Spin-off are estimated to be between $10.0 million and $12.0 million. Refer to Note 19 “Business Segment, Geographic and Concentration Risk Information” for additional information on the expected Spin-off.</w:t>
      </w:r>
    </w:p>
    <w:p>
      <w:pPr>
        <w:spacing w:after="0" w:line="178" w:lineRule="exact"/>
        <w:rPr>
          <w:sz w:val="20"/>
          <w:szCs w:val="20"/>
          <w:color w:val="auto"/>
        </w:rPr>
      </w:pPr>
    </w:p>
    <w:p>
      <w:pPr>
        <w:spacing w:after="0"/>
        <w:rPr>
          <w:sz w:val="20"/>
          <w:szCs w:val="20"/>
          <w:color w:val="auto"/>
        </w:rPr>
      </w:pPr>
      <w:r>
        <w:rPr>
          <w:rFonts w:ascii="Arial" w:cs="Arial" w:eastAsia="Arial" w:hAnsi="Arial"/>
          <w:sz w:val="16"/>
          <w:szCs w:val="16"/>
          <w:color w:val="auto"/>
        </w:rPr>
        <w:t>During 2014, the Company incurred $0.9 million of expense related to the separation of the Company’s Senior Vice President, Human Resources.</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Additionally, during 2014, the Company recorded charges in connection with its business reorganization to align its contract manufacturing operations.</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Costs incurred primarily related to consulting and IT development and were completed in 2014.</w:t>
      </w:r>
    </w:p>
    <w:p>
      <w:pPr>
        <w:spacing w:after="0" w:line="211"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color w:val="auto"/>
        </w:rPr>
        <w:t>During 2013, Greatbatch Medical recorded a $0.9 million write-off related to its wireless sensing product line and QiG recorded a $0.5 million write-off of IPR&amp;D. Refer to Note 18 “Fair Value Measurements” for additional information.</w:t>
      </w: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jc w:val="center"/>
        <w:ind w:right="480"/>
        <w:spacing w:after="0"/>
        <w:rPr>
          <w:sz w:val="20"/>
          <w:szCs w:val="20"/>
          <w:color w:val="auto"/>
        </w:rPr>
      </w:pPr>
      <w:r>
        <w:rPr>
          <w:rFonts w:ascii="Arial" w:cs="Arial" w:eastAsia="Arial" w:hAnsi="Arial"/>
          <w:sz w:val="18"/>
          <w:szCs w:val="18"/>
          <w:color w:val="auto"/>
        </w:rPr>
        <w:t>- 98 -</w:t>
      </w:r>
    </w:p>
    <w:p>
      <w:pPr>
        <w:sectPr>
          <w:pgSz w:w="11900" w:h="16838" w:orient="portrait"/>
          <w:cols w:equalWidth="0" w:num="1">
            <w:col w:w="10920"/>
          </w:cols>
          <w:pgMar w:left="740" w:top="337" w:right="239" w:bottom="1440" w:gutter="0" w:footer="0" w:header="0"/>
        </w:sectPr>
      </w:pPr>
    </w:p>
    <w:bookmarkStart w:id="99" w:name="page100"/>
    <w:bookmarkEnd w:id="99"/>
    <w:p>
      <w:pPr>
        <w:jc w:val="center"/>
        <w:ind w:right="-724"/>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ind w:right="-724"/>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ind w:left="425" w:hanging="425"/>
        <w:spacing w:after="0"/>
        <w:tabs>
          <w:tab w:leader="none" w:pos="425" w:val="left"/>
        </w:tabs>
        <w:numPr>
          <w:ilvl w:val="0"/>
          <w:numId w:val="49"/>
        </w:numPr>
        <w:rPr>
          <w:rFonts w:ascii="Arial" w:cs="Arial" w:eastAsia="Arial" w:hAnsi="Arial"/>
          <w:sz w:val="18"/>
          <w:szCs w:val="18"/>
          <w:b w:val="1"/>
          <w:bCs w:val="1"/>
          <w:color w:val="auto"/>
        </w:rPr>
      </w:pPr>
      <w:r>
        <w:rPr>
          <w:rFonts w:ascii="Arial" w:cs="Arial" w:eastAsia="Arial" w:hAnsi="Arial"/>
          <w:sz w:val="18"/>
          <w:szCs w:val="18"/>
          <w:b w:val="1"/>
          <w:bCs w:val="1"/>
          <w:color w:val="auto"/>
        </w:rPr>
        <w:t>INCOME TAXES</w:t>
      </w:r>
    </w:p>
    <w:p>
      <w:pPr>
        <w:spacing w:after="0" w:line="148" w:lineRule="exact"/>
        <w:rPr>
          <w:sz w:val="20"/>
          <w:szCs w:val="20"/>
          <w:color w:val="auto"/>
        </w:rPr>
      </w:pPr>
    </w:p>
    <w:p>
      <w:pPr>
        <w:ind w:left="465"/>
        <w:spacing w:after="0"/>
        <w:rPr>
          <w:sz w:val="20"/>
          <w:szCs w:val="20"/>
          <w:color w:val="auto"/>
        </w:rPr>
      </w:pPr>
      <w:r>
        <w:rPr>
          <w:rFonts w:ascii="Arial" w:cs="Arial" w:eastAsia="Arial" w:hAnsi="Arial"/>
          <w:sz w:val="18"/>
          <w:szCs w:val="18"/>
          <w:color w:val="auto"/>
        </w:rPr>
        <w:t>The U.S. and international components of income (loss) before provision for income taxes were as follows (in thousands):</w:t>
      </w:r>
    </w:p>
    <w:p>
      <w:pPr>
        <w:spacing w:after="0" w:line="163" w:lineRule="exact"/>
        <w:rPr>
          <w:sz w:val="20"/>
          <w:szCs w:val="20"/>
          <w:color w:val="auto"/>
        </w:rPr>
      </w:pPr>
    </w:p>
    <w:tbl>
      <w:tblPr>
        <w:tblLayout w:type="fixed"/>
        <w:tblInd w:w="465" w:type="dxa"/>
        <w:tblCellMar>
          <w:top w:w="0" w:type="dxa"/>
          <w:left w:w="0" w:type="dxa"/>
          <w:bottom w:w="0" w:type="dxa"/>
          <w:right w:w="0" w:type="dxa"/>
        </w:tblCellMar>
      </w:tblPr>
      <w:tr>
        <w:trPr>
          <w:trHeight w:val="192"/>
        </w:trPr>
        <w:tc>
          <w:tcPr>
            <w:tcW w:w="304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gridSpan w:val="4"/>
          </w:tcPr>
          <w:p>
            <w:pPr>
              <w:ind w:left="140"/>
              <w:spacing w:after="0"/>
              <w:rPr>
                <w:sz w:val="20"/>
                <w:szCs w:val="20"/>
                <w:color w:val="auto"/>
              </w:rPr>
            </w:pPr>
            <w:r>
              <w:rPr>
                <w:rFonts w:ascii="Arial" w:cs="Arial" w:eastAsia="Arial" w:hAnsi="Arial"/>
                <w:sz w:val="14"/>
                <w:szCs w:val="14"/>
                <w:b w:val="1"/>
                <w:bCs w:val="1"/>
                <w:color w:val="auto"/>
              </w:rPr>
              <w:t>Year Ended</w:t>
            </w:r>
          </w:p>
        </w:tc>
        <w:tc>
          <w:tcPr>
            <w:tcW w:w="68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spacing w:after="0"/>
              <w:rPr>
                <w:sz w:val="16"/>
                <w:szCs w:val="16"/>
                <w:color w:val="auto"/>
              </w:rPr>
            </w:pPr>
          </w:p>
        </w:tc>
        <w:tc>
          <w:tcPr>
            <w:tcW w:w="380" w:type="dxa"/>
            <w:vAlign w:val="bottom"/>
          </w:tcPr>
          <w:p>
            <w:pPr>
              <w:spacing w:after="0"/>
              <w:rPr>
                <w:sz w:val="16"/>
                <w:szCs w:val="16"/>
                <w:color w:val="auto"/>
              </w:rPr>
            </w:pPr>
          </w:p>
        </w:tc>
      </w:tr>
      <w:tr>
        <w:trPr>
          <w:trHeight w:val="152"/>
        </w:trPr>
        <w:tc>
          <w:tcPr>
            <w:tcW w:w="304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260" w:type="dxa"/>
            <w:vAlign w:val="bottom"/>
            <w:gridSpan w:val="3"/>
          </w:tcPr>
          <w:p>
            <w:pPr>
              <w:jc w:val="center"/>
              <w:ind w:right="440"/>
              <w:spacing w:after="0" w:line="153" w:lineRule="exact"/>
              <w:rPr>
                <w:sz w:val="20"/>
                <w:szCs w:val="20"/>
                <w:color w:val="auto"/>
              </w:rPr>
            </w:pPr>
            <w:r>
              <w:rPr>
                <w:rFonts w:ascii="Arial" w:cs="Arial" w:eastAsia="Arial" w:hAnsi="Arial"/>
                <w:sz w:val="14"/>
                <w:szCs w:val="14"/>
                <w:b w:val="1"/>
                <w:bCs w:val="1"/>
                <w:color w:val="auto"/>
                <w:w w:val="95"/>
              </w:rPr>
              <w:t>January 1,</w:t>
            </w:r>
          </w:p>
        </w:tc>
        <w:tc>
          <w:tcPr>
            <w:tcW w:w="180" w:type="dxa"/>
            <w:vAlign w:val="bottom"/>
          </w:tcPr>
          <w:p>
            <w:pPr>
              <w:spacing w:after="0"/>
              <w:rPr>
                <w:sz w:val="13"/>
                <w:szCs w:val="13"/>
                <w:color w:val="auto"/>
              </w:rPr>
            </w:pPr>
          </w:p>
        </w:tc>
        <w:tc>
          <w:tcPr>
            <w:tcW w:w="1300" w:type="dxa"/>
            <w:vAlign w:val="bottom"/>
            <w:gridSpan w:val="4"/>
          </w:tcPr>
          <w:p>
            <w:pPr>
              <w:ind w:left="140"/>
              <w:spacing w:after="0" w:line="153" w:lineRule="exact"/>
              <w:rPr>
                <w:sz w:val="20"/>
                <w:szCs w:val="20"/>
                <w:color w:val="auto"/>
              </w:rPr>
            </w:pPr>
            <w:r>
              <w:rPr>
                <w:rFonts w:ascii="Arial" w:cs="Arial" w:eastAsia="Arial" w:hAnsi="Arial"/>
                <w:sz w:val="14"/>
                <w:szCs w:val="14"/>
                <w:b w:val="1"/>
                <w:bCs w:val="1"/>
                <w:color w:val="auto"/>
              </w:rPr>
              <w:t>January 2,</w:t>
            </w:r>
          </w:p>
        </w:tc>
        <w:tc>
          <w:tcPr>
            <w:tcW w:w="1760" w:type="dxa"/>
            <w:vAlign w:val="bottom"/>
            <w:gridSpan w:val="3"/>
          </w:tcPr>
          <w:p>
            <w:pPr>
              <w:jc w:val="center"/>
              <w:ind w:right="420"/>
              <w:spacing w:after="0" w:line="153" w:lineRule="exact"/>
              <w:rPr>
                <w:sz w:val="20"/>
                <w:szCs w:val="20"/>
                <w:color w:val="auto"/>
              </w:rPr>
            </w:pPr>
            <w:r>
              <w:rPr>
                <w:rFonts w:ascii="Arial" w:cs="Arial" w:eastAsia="Arial" w:hAnsi="Arial"/>
                <w:sz w:val="14"/>
                <w:szCs w:val="14"/>
                <w:b w:val="1"/>
                <w:bCs w:val="1"/>
                <w:color w:val="auto"/>
                <w:w w:val="95"/>
              </w:rPr>
              <w:t>January 3,</w:t>
            </w:r>
          </w:p>
        </w:tc>
      </w:tr>
      <w:tr>
        <w:trPr>
          <w:trHeight w:val="192"/>
        </w:trPr>
        <w:tc>
          <w:tcPr>
            <w:tcW w:w="3040" w:type="dxa"/>
            <w:vAlign w:val="bottom"/>
            <w:tcBorders>
              <w:bottom w:val="single" w:sz="8" w:color="CCEEFF"/>
            </w:tcBorders>
          </w:tcPr>
          <w:p>
            <w:pPr>
              <w:spacing w:after="0"/>
              <w:rPr>
                <w:sz w:val="16"/>
                <w:szCs w:val="16"/>
                <w:color w:val="auto"/>
              </w:rPr>
            </w:pPr>
          </w:p>
        </w:tc>
        <w:tc>
          <w:tcPr>
            <w:tcW w:w="380" w:type="dxa"/>
            <w:vAlign w:val="bottom"/>
            <w:tcBorders>
              <w:bottom w:val="single" w:sz="8" w:color="CCEEFF"/>
            </w:tcBorders>
          </w:tcPr>
          <w:p>
            <w:pPr>
              <w:spacing w:after="0"/>
              <w:rPr>
                <w:sz w:val="16"/>
                <w:szCs w:val="16"/>
                <w:color w:val="auto"/>
              </w:rPr>
            </w:pPr>
          </w:p>
        </w:tc>
        <w:tc>
          <w:tcPr>
            <w:tcW w:w="1200" w:type="dxa"/>
            <w:vAlign w:val="bottom"/>
            <w:tcBorders>
              <w:bottom w:val="single" w:sz="8" w:color="CCEEFF"/>
            </w:tcBorders>
          </w:tcPr>
          <w:p>
            <w:pPr>
              <w:spacing w:after="0"/>
              <w:rPr>
                <w:sz w:val="16"/>
                <w:szCs w:val="16"/>
                <w:color w:val="auto"/>
              </w:rPr>
            </w:pPr>
          </w:p>
        </w:tc>
        <w:tc>
          <w:tcPr>
            <w:tcW w:w="720" w:type="dxa"/>
            <w:vAlign w:val="bottom"/>
            <w:tcBorders>
              <w:bottom w:val="single" w:sz="8" w:color="CCEEFF"/>
            </w:tcBorders>
          </w:tcPr>
          <w:p>
            <w:pPr>
              <w:spacing w:after="0"/>
              <w:rPr>
                <w:sz w:val="16"/>
                <w:szCs w:val="16"/>
                <w:color w:val="auto"/>
              </w:rPr>
            </w:pPr>
          </w:p>
        </w:tc>
        <w:tc>
          <w:tcPr>
            <w:tcW w:w="60" w:type="dxa"/>
            <w:vAlign w:val="bottom"/>
            <w:tcBorders>
              <w:bottom w:val="single" w:sz="8" w:color="CCEEFF"/>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center"/>
              <w:ind w:right="174"/>
              <w:spacing w:after="0"/>
              <w:rPr>
                <w:sz w:val="20"/>
                <w:szCs w:val="20"/>
                <w:color w:val="auto"/>
              </w:rPr>
            </w:pPr>
            <w:r>
              <w:rPr>
                <w:rFonts w:ascii="Arial" w:cs="Arial" w:eastAsia="Arial" w:hAnsi="Arial"/>
                <w:sz w:val="14"/>
                <w:szCs w:val="14"/>
                <w:b w:val="1"/>
                <w:bCs w:val="1"/>
                <w:color w:val="auto"/>
                <w:w w:val="96"/>
              </w:rPr>
              <w:t>2016</w:t>
            </w:r>
          </w:p>
        </w:tc>
        <w:tc>
          <w:tcPr>
            <w:tcW w:w="120" w:type="dxa"/>
            <w:vAlign w:val="bottom"/>
            <w:tcBorders>
              <w:bottom w:val="single" w:sz="8" w:color="CCEEFF"/>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2015</w:t>
            </w:r>
          </w:p>
        </w:tc>
        <w:tc>
          <w:tcPr>
            <w:tcW w:w="120" w:type="dxa"/>
            <w:vAlign w:val="bottom"/>
            <w:tcBorders>
              <w:bottom w:val="single" w:sz="8" w:color="auto"/>
            </w:tcBorders>
          </w:tcPr>
          <w:p>
            <w:pPr>
              <w:spacing w:after="0"/>
              <w:rPr>
                <w:sz w:val="16"/>
                <w:szCs w:val="16"/>
                <w:color w:val="auto"/>
              </w:rPr>
            </w:pPr>
          </w:p>
        </w:tc>
        <w:tc>
          <w:tcPr>
            <w:tcW w:w="42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38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96"/>
              </w:rPr>
              <w:t>2014</w:t>
            </w:r>
          </w:p>
        </w:tc>
        <w:tc>
          <w:tcPr>
            <w:tcW w:w="380" w:type="dxa"/>
            <w:vAlign w:val="bottom"/>
          </w:tcPr>
          <w:p>
            <w:pPr>
              <w:spacing w:after="0"/>
              <w:rPr>
                <w:sz w:val="16"/>
                <w:szCs w:val="16"/>
                <w:color w:val="auto"/>
              </w:rPr>
            </w:pPr>
          </w:p>
        </w:tc>
      </w:tr>
      <w:tr>
        <w:trPr>
          <w:trHeight w:val="250"/>
        </w:trPr>
        <w:tc>
          <w:tcPr>
            <w:tcW w:w="30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U.S.</w:t>
            </w:r>
          </w:p>
        </w:tc>
        <w:tc>
          <w:tcPr>
            <w:tcW w:w="3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gridSpan w:val="2"/>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(42,166)</w:t>
            </w:r>
          </w:p>
        </w:tc>
        <w:tc>
          <w:tcPr>
            <w:tcW w:w="1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56,801</w:t>
            </w:r>
          </w:p>
        </w:tc>
        <w:tc>
          <w:tcPr>
            <w:tcW w:w="1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ind w:right="475"/>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42,392</w:t>
            </w:r>
          </w:p>
        </w:tc>
        <w:tc>
          <w:tcPr>
            <w:tcW w:w="380" w:type="dxa"/>
            <w:vAlign w:val="bottom"/>
          </w:tcPr>
          <w:p>
            <w:pPr>
              <w:spacing w:after="0"/>
              <w:rPr>
                <w:sz w:val="21"/>
                <w:szCs w:val="21"/>
                <w:color w:val="auto"/>
              </w:rPr>
            </w:pPr>
          </w:p>
        </w:tc>
      </w:tr>
      <w:tr>
        <w:trPr>
          <w:trHeight w:val="243"/>
        </w:trPr>
        <w:tc>
          <w:tcPr>
            <w:tcW w:w="3040" w:type="dxa"/>
            <w:vAlign w:val="bottom"/>
          </w:tcPr>
          <w:p>
            <w:pPr>
              <w:ind w:left="20"/>
              <w:spacing w:after="0"/>
              <w:rPr>
                <w:sz w:val="20"/>
                <w:szCs w:val="20"/>
                <w:color w:val="auto"/>
              </w:rPr>
            </w:pPr>
            <w:r>
              <w:rPr>
                <w:rFonts w:ascii="Arial" w:cs="Arial" w:eastAsia="Arial" w:hAnsi="Arial"/>
                <w:sz w:val="18"/>
                <w:szCs w:val="18"/>
                <w:color w:val="auto"/>
              </w:rPr>
              <w:t>International</w:t>
            </w:r>
          </w:p>
        </w:tc>
        <w:tc>
          <w:tcPr>
            <w:tcW w:w="38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26,466</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gridSpan w:val="3"/>
          </w:tcPr>
          <w:p>
            <w:pPr>
              <w:jc w:val="right"/>
              <w:spacing w:after="0"/>
              <w:rPr>
                <w:sz w:val="20"/>
                <w:szCs w:val="20"/>
                <w:color w:val="auto"/>
              </w:rPr>
            </w:pPr>
            <w:r>
              <w:rPr>
                <w:rFonts w:ascii="Arial" w:cs="Arial" w:eastAsia="Arial" w:hAnsi="Arial"/>
                <w:sz w:val="18"/>
                <w:szCs w:val="18"/>
                <w:color w:val="auto"/>
              </w:rPr>
              <w:t>19,778</w:t>
            </w:r>
          </w:p>
        </w:tc>
        <w:tc>
          <w:tcPr>
            <w:tcW w:w="12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6,446</w:t>
            </w:r>
          </w:p>
        </w:tc>
        <w:tc>
          <w:tcPr>
            <w:tcW w:w="380" w:type="dxa"/>
            <w:vAlign w:val="bottom"/>
          </w:tcPr>
          <w:p>
            <w:pPr>
              <w:spacing w:after="0"/>
              <w:rPr>
                <w:sz w:val="21"/>
                <w:szCs w:val="21"/>
                <w:color w:val="auto"/>
              </w:rPr>
            </w:pPr>
          </w:p>
        </w:tc>
      </w:tr>
      <w:tr>
        <w:trPr>
          <w:trHeight w:val="27"/>
        </w:trPr>
        <w:tc>
          <w:tcPr>
            <w:tcW w:w="4620" w:type="dxa"/>
            <w:vAlign w:val="bottom"/>
            <w:tcBorders>
              <w:bottom w:val="single" w:sz="8" w:color="CCEEFF"/>
            </w:tcBorders>
            <w:gridSpan w:val="3"/>
          </w:tcPr>
          <w:p>
            <w:pPr>
              <w:spacing w:after="0"/>
              <w:rPr>
                <w:sz w:val="2"/>
                <w:szCs w:val="2"/>
                <w:color w:val="auto"/>
              </w:rPr>
            </w:pPr>
          </w:p>
        </w:tc>
        <w:tc>
          <w:tcPr>
            <w:tcW w:w="720" w:type="dxa"/>
            <w:vAlign w:val="bottom"/>
            <w:tcBorders>
              <w:bottom w:val="single" w:sz="8" w:color="CCEEFF"/>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gridSpan w:val="2"/>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380" w:type="dxa"/>
            <w:vAlign w:val="bottom"/>
          </w:tcPr>
          <w:p>
            <w:pPr>
              <w:spacing w:after="0"/>
              <w:rPr>
                <w:sz w:val="2"/>
                <w:szCs w:val="2"/>
                <w:color w:val="auto"/>
              </w:rPr>
            </w:pPr>
          </w:p>
        </w:tc>
      </w:tr>
      <w:tr>
        <w:trPr>
          <w:trHeight w:val="257"/>
        </w:trPr>
        <w:tc>
          <w:tcPr>
            <w:tcW w:w="4620" w:type="dxa"/>
            <w:vAlign w:val="bottom"/>
            <w:tcBorders>
              <w:bottom w:val="single" w:sz="8" w:color="CCEEFF"/>
            </w:tcBorders>
            <w:gridSpan w:val="3"/>
            <w:shd w:val="clear" w:color="auto" w:fill="CCEEFF"/>
          </w:tcPr>
          <w:p>
            <w:pPr>
              <w:ind w:left="260"/>
              <w:spacing w:after="0"/>
              <w:rPr>
                <w:sz w:val="20"/>
                <w:szCs w:val="20"/>
                <w:color w:val="auto"/>
              </w:rPr>
            </w:pPr>
            <w:r>
              <w:rPr>
                <w:rFonts w:ascii="Arial" w:cs="Arial" w:eastAsia="Arial" w:hAnsi="Arial"/>
                <w:sz w:val="18"/>
                <w:szCs w:val="18"/>
                <w:color w:val="auto"/>
              </w:rPr>
              <w:t>Total income (loss) before provision for income taxes</w:t>
            </w:r>
          </w:p>
        </w:tc>
        <w:tc>
          <w:tcPr>
            <w:tcW w:w="720" w:type="dxa"/>
            <w:vAlign w:val="bottom"/>
            <w:tcBorders>
              <w:bottom w:val="single" w:sz="8" w:color="CCEEFF"/>
            </w:tcBorders>
            <w:shd w:val="clear" w:color="auto" w:fill="CCEEFF"/>
          </w:tcPr>
          <w:p>
            <w:pPr>
              <w:spacing w:after="0"/>
              <w:rPr>
                <w:sz w:val="22"/>
                <w:szCs w:val="22"/>
                <w:color w:val="auto"/>
              </w:rPr>
            </w:pPr>
          </w:p>
        </w:tc>
        <w:tc>
          <w:tcPr>
            <w:tcW w:w="60" w:type="dxa"/>
            <w:vAlign w:val="bottom"/>
            <w:tcBorders>
              <w:bottom w:val="single" w:sz="8" w:color="CCEEFF"/>
            </w:tcBorders>
            <w:shd w:val="clear" w:color="auto" w:fill="CCEEFF"/>
          </w:tcPr>
          <w:p>
            <w:pPr>
              <w:spacing w:after="0"/>
              <w:rPr>
                <w:sz w:val="22"/>
                <w:szCs w:val="22"/>
                <w:color w:val="auto"/>
              </w:rPr>
            </w:pPr>
          </w:p>
        </w:tc>
        <w:tc>
          <w:tcPr>
            <w:tcW w:w="20" w:type="dxa"/>
            <w:vAlign w:val="bottom"/>
            <w:tcBorders>
              <w:bottom w:val="single" w:sz="8" w:color="auto"/>
            </w:tcBorders>
            <w:shd w:val="clear" w:color="auto" w:fill="CCEEFF"/>
          </w:tcPr>
          <w:p>
            <w:pPr>
              <w:spacing w:after="0"/>
              <w:rPr>
                <w:sz w:val="22"/>
                <w:szCs w:val="22"/>
                <w:color w:val="auto"/>
              </w:rPr>
            </w:pPr>
          </w:p>
        </w:tc>
        <w:tc>
          <w:tcPr>
            <w:tcW w:w="240" w:type="dxa"/>
            <w:vAlign w:val="bottom"/>
            <w:tcBorders>
              <w:bottom w:val="single" w:sz="8" w:color="auto"/>
            </w:tcBorders>
            <w:gridSpan w:val="2"/>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(15,700)</w:t>
            </w:r>
          </w:p>
        </w:tc>
        <w:tc>
          <w:tcPr>
            <w:tcW w:w="120" w:type="dxa"/>
            <w:vAlign w:val="bottom"/>
            <w:tcBorders>
              <w:bottom w:val="single" w:sz="8" w:color="CCEEFF"/>
            </w:tcBorders>
            <w:shd w:val="clear" w:color="auto" w:fill="CCEEFF"/>
          </w:tcPr>
          <w:p>
            <w:pPr>
              <w:spacing w:after="0"/>
              <w:rPr>
                <w:sz w:val="22"/>
                <w:szCs w:val="22"/>
                <w:color w:val="auto"/>
              </w:rPr>
            </w:pPr>
          </w:p>
        </w:tc>
        <w:tc>
          <w:tcPr>
            <w:tcW w:w="20" w:type="dxa"/>
            <w:vAlign w:val="bottom"/>
            <w:tcBorders>
              <w:bottom w:val="single" w:sz="8" w:color="auto"/>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tcBorders>
              <w:bottom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color w:val="auto"/>
              </w:rPr>
              <w:t>76,579</w:t>
            </w:r>
          </w:p>
        </w:tc>
        <w:tc>
          <w:tcPr>
            <w:tcW w:w="120" w:type="dxa"/>
            <w:vAlign w:val="bottom"/>
            <w:tcBorders>
              <w:bottom w:val="single" w:sz="8" w:color="CCEEFF"/>
            </w:tcBorders>
            <w:shd w:val="clear" w:color="auto" w:fill="CCEEFF"/>
          </w:tcPr>
          <w:p>
            <w:pPr>
              <w:spacing w:after="0"/>
              <w:rPr>
                <w:sz w:val="22"/>
                <w:szCs w:val="22"/>
                <w:color w:val="auto"/>
              </w:rPr>
            </w:pPr>
          </w:p>
        </w:tc>
        <w:tc>
          <w:tcPr>
            <w:tcW w:w="680" w:type="dxa"/>
            <w:vAlign w:val="bottom"/>
            <w:tcBorders>
              <w:bottom w:val="single" w:sz="8" w:color="auto"/>
            </w:tcBorders>
            <w:shd w:val="clear" w:color="auto" w:fill="CCEEFF"/>
          </w:tcPr>
          <w:p>
            <w:pPr>
              <w:jc w:val="right"/>
              <w:ind w:right="475"/>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48,838</w:t>
            </w:r>
          </w:p>
        </w:tc>
        <w:tc>
          <w:tcPr>
            <w:tcW w:w="380" w:type="dxa"/>
            <w:vAlign w:val="bottom"/>
          </w:tcPr>
          <w:p>
            <w:pPr>
              <w:spacing w:after="0"/>
              <w:rPr>
                <w:sz w:val="22"/>
                <w:szCs w:val="22"/>
                <w:color w:val="auto"/>
              </w:rPr>
            </w:pPr>
          </w:p>
        </w:tc>
      </w:tr>
      <w:tr>
        <w:trPr>
          <w:trHeight w:val="20"/>
        </w:trPr>
        <w:tc>
          <w:tcPr>
            <w:tcW w:w="5340" w:type="dxa"/>
            <w:vAlign w:val="bottom"/>
            <w:gridSpan w:val="4"/>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Borders>
              <w:bottom w:val="single" w:sz="8" w:color="auto"/>
            </w:tcBorders>
            <w:gridSpan w:val="2"/>
          </w:tcPr>
          <w:p>
            <w:pPr>
              <w:spacing w:after="0" w:line="20" w:lineRule="exact"/>
              <w:rPr>
                <w:sz w:val="1"/>
                <w:szCs w:val="1"/>
                <w:color w:val="auto"/>
              </w:rPr>
            </w:pPr>
          </w:p>
        </w:tc>
        <w:tc>
          <w:tcPr>
            <w:tcW w:w="1320" w:type="dxa"/>
            <w:vAlign w:val="bottom"/>
            <w:tcBorders>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r>
      <w:tr>
        <w:trPr>
          <w:trHeight w:val="419"/>
        </w:trPr>
        <w:tc>
          <w:tcPr>
            <w:tcW w:w="6920" w:type="dxa"/>
            <w:vAlign w:val="bottom"/>
            <w:gridSpan w:val="11"/>
          </w:tcPr>
          <w:p>
            <w:pPr>
              <w:spacing w:after="0"/>
              <w:rPr>
                <w:sz w:val="20"/>
                <w:szCs w:val="20"/>
                <w:color w:val="auto"/>
              </w:rPr>
            </w:pPr>
            <w:r>
              <w:rPr>
                <w:rFonts w:ascii="Arial" w:cs="Arial" w:eastAsia="Arial" w:hAnsi="Arial"/>
                <w:sz w:val="18"/>
                <w:szCs w:val="18"/>
                <w:color w:val="auto"/>
                <w:w w:val="99"/>
              </w:rPr>
              <w:t>The provision (benefit) for income taxes was comprised of the following (in thousands):</w:t>
            </w:r>
          </w:p>
        </w:tc>
        <w:tc>
          <w:tcPr>
            <w:tcW w:w="1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80" w:type="dxa"/>
            <w:vAlign w:val="bottom"/>
          </w:tcPr>
          <w:p>
            <w:pPr>
              <w:spacing w:after="0"/>
              <w:rPr>
                <w:sz w:val="24"/>
                <w:szCs w:val="24"/>
                <w:color w:val="auto"/>
              </w:rPr>
            </w:pPr>
          </w:p>
        </w:tc>
      </w:tr>
      <w:tr>
        <w:trPr>
          <w:trHeight w:val="332"/>
        </w:trPr>
        <w:tc>
          <w:tcPr>
            <w:tcW w:w="30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300" w:type="dxa"/>
            <w:vAlign w:val="bottom"/>
            <w:tcBorders>
              <w:bottom w:val="single" w:sz="8" w:color="auto"/>
            </w:tcBorders>
            <w:gridSpan w:val="4"/>
          </w:tcPr>
          <w:p>
            <w:pPr>
              <w:ind w:left="140"/>
              <w:spacing w:after="0"/>
              <w:rPr>
                <w:sz w:val="20"/>
                <w:szCs w:val="20"/>
                <w:color w:val="auto"/>
              </w:rPr>
            </w:pPr>
            <w:r>
              <w:rPr>
                <w:rFonts w:ascii="Arial" w:cs="Arial" w:eastAsia="Arial" w:hAnsi="Arial"/>
                <w:sz w:val="14"/>
                <w:szCs w:val="14"/>
                <w:b w:val="1"/>
                <w:bCs w:val="1"/>
                <w:color w:val="auto"/>
              </w:rPr>
              <w:t>Year Ended</w:t>
            </w:r>
          </w:p>
        </w:tc>
        <w:tc>
          <w:tcPr>
            <w:tcW w:w="68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380" w:type="dxa"/>
            <w:vAlign w:val="bottom"/>
          </w:tcPr>
          <w:p>
            <w:pPr>
              <w:spacing w:after="0"/>
              <w:rPr>
                <w:sz w:val="24"/>
                <w:szCs w:val="24"/>
                <w:color w:val="auto"/>
              </w:rPr>
            </w:pPr>
          </w:p>
        </w:tc>
      </w:tr>
      <w:tr>
        <w:trPr>
          <w:trHeight w:val="152"/>
        </w:trPr>
        <w:tc>
          <w:tcPr>
            <w:tcW w:w="304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260" w:type="dxa"/>
            <w:vAlign w:val="bottom"/>
            <w:gridSpan w:val="3"/>
          </w:tcPr>
          <w:p>
            <w:pPr>
              <w:jc w:val="center"/>
              <w:ind w:right="440"/>
              <w:spacing w:after="0" w:line="153" w:lineRule="exact"/>
              <w:rPr>
                <w:sz w:val="20"/>
                <w:szCs w:val="20"/>
                <w:color w:val="auto"/>
              </w:rPr>
            </w:pPr>
            <w:r>
              <w:rPr>
                <w:rFonts w:ascii="Arial" w:cs="Arial" w:eastAsia="Arial" w:hAnsi="Arial"/>
                <w:sz w:val="14"/>
                <w:szCs w:val="14"/>
                <w:b w:val="1"/>
                <w:bCs w:val="1"/>
                <w:color w:val="auto"/>
                <w:w w:val="95"/>
              </w:rPr>
              <w:t>January 1,</w:t>
            </w:r>
          </w:p>
        </w:tc>
        <w:tc>
          <w:tcPr>
            <w:tcW w:w="180" w:type="dxa"/>
            <w:vAlign w:val="bottom"/>
          </w:tcPr>
          <w:p>
            <w:pPr>
              <w:spacing w:after="0"/>
              <w:rPr>
                <w:sz w:val="13"/>
                <w:szCs w:val="13"/>
                <w:color w:val="auto"/>
              </w:rPr>
            </w:pPr>
          </w:p>
        </w:tc>
        <w:tc>
          <w:tcPr>
            <w:tcW w:w="1300" w:type="dxa"/>
            <w:vAlign w:val="bottom"/>
            <w:gridSpan w:val="4"/>
          </w:tcPr>
          <w:p>
            <w:pPr>
              <w:ind w:left="140"/>
              <w:spacing w:after="0" w:line="153" w:lineRule="exact"/>
              <w:rPr>
                <w:sz w:val="20"/>
                <w:szCs w:val="20"/>
                <w:color w:val="auto"/>
              </w:rPr>
            </w:pPr>
            <w:r>
              <w:rPr>
                <w:rFonts w:ascii="Arial" w:cs="Arial" w:eastAsia="Arial" w:hAnsi="Arial"/>
                <w:sz w:val="14"/>
                <w:szCs w:val="14"/>
                <w:b w:val="1"/>
                <w:bCs w:val="1"/>
                <w:color w:val="auto"/>
              </w:rPr>
              <w:t>January 2,</w:t>
            </w:r>
          </w:p>
        </w:tc>
        <w:tc>
          <w:tcPr>
            <w:tcW w:w="1760" w:type="dxa"/>
            <w:vAlign w:val="bottom"/>
            <w:gridSpan w:val="3"/>
          </w:tcPr>
          <w:p>
            <w:pPr>
              <w:jc w:val="center"/>
              <w:ind w:right="420"/>
              <w:spacing w:after="0" w:line="153" w:lineRule="exact"/>
              <w:rPr>
                <w:sz w:val="20"/>
                <w:szCs w:val="20"/>
                <w:color w:val="auto"/>
              </w:rPr>
            </w:pPr>
            <w:r>
              <w:rPr>
                <w:rFonts w:ascii="Arial" w:cs="Arial" w:eastAsia="Arial" w:hAnsi="Arial"/>
                <w:sz w:val="14"/>
                <w:szCs w:val="14"/>
                <w:b w:val="1"/>
                <w:bCs w:val="1"/>
                <w:color w:val="auto"/>
                <w:w w:val="95"/>
              </w:rPr>
              <w:t>January 3,</w:t>
            </w:r>
          </w:p>
        </w:tc>
      </w:tr>
      <w:tr>
        <w:trPr>
          <w:trHeight w:val="192"/>
        </w:trPr>
        <w:tc>
          <w:tcPr>
            <w:tcW w:w="3040" w:type="dxa"/>
            <w:vAlign w:val="bottom"/>
            <w:tcBorders>
              <w:bottom w:val="single" w:sz="8" w:color="CCEEFF"/>
            </w:tcBorders>
          </w:tcPr>
          <w:p>
            <w:pPr>
              <w:spacing w:after="0"/>
              <w:rPr>
                <w:sz w:val="16"/>
                <w:szCs w:val="16"/>
                <w:color w:val="auto"/>
              </w:rPr>
            </w:pPr>
          </w:p>
        </w:tc>
        <w:tc>
          <w:tcPr>
            <w:tcW w:w="380" w:type="dxa"/>
            <w:vAlign w:val="bottom"/>
            <w:tcBorders>
              <w:bottom w:val="single" w:sz="8" w:color="CCEEFF"/>
            </w:tcBorders>
          </w:tcPr>
          <w:p>
            <w:pPr>
              <w:spacing w:after="0"/>
              <w:rPr>
                <w:sz w:val="16"/>
                <w:szCs w:val="16"/>
                <w:color w:val="auto"/>
              </w:rPr>
            </w:pPr>
          </w:p>
        </w:tc>
        <w:tc>
          <w:tcPr>
            <w:tcW w:w="1200" w:type="dxa"/>
            <w:vAlign w:val="bottom"/>
            <w:tcBorders>
              <w:bottom w:val="single" w:sz="8" w:color="CCEEFF"/>
            </w:tcBorders>
          </w:tcPr>
          <w:p>
            <w:pPr>
              <w:spacing w:after="0"/>
              <w:rPr>
                <w:sz w:val="16"/>
                <w:szCs w:val="16"/>
                <w:color w:val="auto"/>
              </w:rPr>
            </w:pPr>
          </w:p>
        </w:tc>
        <w:tc>
          <w:tcPr>
            <w:tcW w:w="720" w:type="dxa"/>
            <w:vAlign w:val="bottom"/>
            <w:tcBorders>
              <w:bottom w:val="single" w:sz="8" w:color="CCEEFF"/>
            </w:tcBorders>
          </w:tcPr>
          <w:p>
            <w:pPr>
              <w:spacing w:after="0"/>
              <w:rPr>
                <w:sz w:val="16"/>
                <w:szCs w:val="16"/>
                <w:color w:val="auto"/>
              </w:rPr>
            </w:pPr>
          </w:p>
        </w:tc>
        <w:tc>
          <w:tcPr>
            <w:tcW w:w="60" w:type="dxa"/>
            <w:vAlign w:val="bottom"/>
            <w:tcBorders>
              <w:bottom w:val="single" w:sz="8" w:color="CCEEFF"/>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center"/>
              <w:ind w:right="174"/>
              <w:spacing w:after="0"/>
              <w:rPr>
                <w:sz w:val="20"/>
                <w:szCs w:val="20"/>
                <w:color w:val="auto"/>
              </w:rPr>
            </w:pPr>
            <w:r>
              <w:rPr>
                <w:rFonts w:ascii="Arial" w:cs="Arial" w:eastAsia="Arial" w:hAnsi="Arial"/>
                <w:sz w:val="14"/>
                <w:szCs w:val="14"/>
                <w:b w:val="1"/>
                <w:bCs w:val="1"/>
                <w:color w:val="auto"/>
                <w:w w:val="96"/>
              </w:rPr>
              <w:t>2016</w:t>
            </w:r>
          </w:p>
        </w:tc>
        <w:tc>
          <w:tcPr>
            <w:tcW w:w="120" w:type="dxa"/>
            <w:vAlign w:val="bottom"/>
            <w:tcBorders>
              <w:bottom w:val="single" w:sz="8" w:color="CCEEFF"/>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2015</w:t>
            </w:r>
          </w:p>
        </w:tc>
        <w:tc>
          <w:tcPr>
            <w:tcW w:w="120" w:type="dxa"/>
            <w:vAlign w:val="bottom"/>
            <w:tcBorders>
              <w:bottom w:val="single" w:sz="8" w:color="auto"/>
            </w:tcBorders>
          </w:tcPr>
          <w:p>
            <w:pPr>
              <w:spacing w:after="0"/>
              <w:rPr>
                <w:sz w:val="16"/>
                <w:szCs w:val="16"/>
                <w:color w:val="auto"/>
              </w:rPr>
            </w:pPr>
          </w:p>
        </w:tc>
        <w:tc>
          <w:tcPr>
            <w:tcW w:w="42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38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96"/>
              </w:rPr>
              <w:t>2014</w:t>
            </w:r>
          </w:p>
        </w:tc>
        <w:tc>
          <w:tcPr>
            <w:tcW w:w="380" w:type="dxa"/>
            <w:vAlign w:val="bottom"/>
          </w:tcPr>
          <w:p>
            <w:pPr>
              <w:spacing w:after="0"/>
              <w:rPr>
                <w:sz w:val="16"/>
                <w:szCs w:val="16"/>
                <w:color w:val="auto"/>
              </w:rPr>
            </w:pPr>
          </w:p>
        </w:tc>
      </w:tr>
      <w:tr>
        <w:trPr>
          <w:trHeight w:val="250"/>
        </w:trPr>
        <w:tc>
          <w:tcPr>
            <w:tcW w:w="30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Current:</w:t>
            </w:r>
          </w:p>
        </w:tc>
        <w:tc>
          <w:tcPr>
            <w:tcW w:w="3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spacing w:after="0"/>
              <w:rPr>
                <w:sz w:val="21"/>
                <w:szCs w:val="21"/>
                <w:color w:val="auto"/>
              </w:rPr>
            </w:pPr>
          </w:p>
        </w:tc>
        <w:tc>
          <w:tcPr>
            <w:tcW w:w="380" w:type="dxa"/>
            <w:vAlign w:val="bottom"/>
          </w:tcPr>
          <w:p>
            <w:pPr>
              <w:spacing w:after="0"/>
              <w:rPr>
                <w:sz w:val="21"/>
                <w:szCs w:val="21"/>
                <w:color w:val="auto"/>
              </w:rPr>
            </w:pPr>
          </w:p>
        </w:tc>
      </w:tr>
      <w:tr>
        <w:trPr>
          <w:trHeight w:val="243"/>
        </w:trPr>
        <w:tc>
          <w:tcPr>
            <w:tcW w:w="3040" w:type="dxa"/>
            <w:vAlign w:val="bottom"/>
          </w:tcPr>
          <w:p>
            <w:pPr>
              <w:ind w:left="380"/>
              <w:spacing w:after="0"/>
              <w:rPr>
                <w:sz w:val="20"/>
                <w:szCs w:val="20"/>
                <w:color w:val="auto"/>
              </w:rPr>
            </w:pPr>
            <w:r>
              <w:rPr>
                <w:rFonts w:ascii="Arial" w:cs="Arial" w:eastAsia="Arial" w:hAnsi="Arial"/>
                <w:sz w:val="18"/>
                <w:szCs w:val="18"/>
                <w:color w:val="auto"/>
              </w:rPr>
              <w:t>Federal</w:t>
            </w:r>
          </w:p>
        </w:tc>
        <w:tc>
          <w:tcPr>
            <w:tcW w:w="38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40" w:type="dxa"/>
            <w:vAlign w:val="bottom"/>
            <w:gridSpan w:val="2"/>
          </w:tcPr>
          <w:p>
            <w:pPr>
              <w:jc w:val="right"/>
              <w:ind w:right="50"/>
              <w:spacing w:after="0"/>
              <w:rPr>
                <w:sz w:val="20"/>
                <w:szCs w:val="20"/>
                <w:color w:val="auto"/>
              </w:rPr>
            </w:pPr>
            <w:r>
              <w:rPr>
                <w:rFonts w:ascii="Arial" w:cs="Arial" w:eastAsia="Arial" w:hAnsi="Arial"/>
                <w:sz w:val="18"/>
                <w:szCs w:val="18"/>
                <w:color w:val="auto"/>
                <w:w w:val="79"/>
              </w:rPr>
              <w:t>$</w:t>
            </w:r>
          </w:p>
        </w:tc>
        <w:tc>
          <w:tcPr>
            <w:tcW w:w="1120" w:type="dxa"/>
            <w:vAlign w:val="bottom"/>
          </w:tcPr>
          <w:p>
            <w:pPr>
              <w:jc w:val="right"/>
              <w:spacing w:after="0"/>
              <w:rPr>
                <w:sz w:val="20"/>
                <w:szCs w:val="20"/>
                <w:color w:val="auto"/>
              </w:rPr>
            </w:pPr>
            <w:r>
              <w:rPr>
                <w:rFonts w:ascii="Arial" w:cs="Arial" w:eastAsia="Arial" w:hAnsi="Arial"/>
                <w:sz w:val="18"/>
                <w:szCs w:val="18"/>
                <w:color w:val="auto"/>
              </w:rPr>
              <w:t>(3,753)</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gridSpan w:val="3"/>
          </w:tcPr>
          <w:p>
            <w:pPr>
              <w:jc w:val="right"/>
              <w:spacing w:after="0"/>
              <w:rPr>
                <w:sz w:val="20"/>
                <w:szCs w:val="20"/>
                <w:color w:val="auto"/>
              </w:rPr>
            </w:pPr>
            <w:r>
              <w:rPr>
                <w:rFonts w:ascii="Arial" w:cs="Arial" w:eastAsia="Arial" w:hAnsi="Arial"/>
                <w:sz w:val="18"/>
                <w:szCs w:val="18"/>
                <w:color w:val="auto"/>
              </w:rPr>
              <w:t>16,293</w:t>
            </w:r>
          </w:p>
        </w:tc>
        <w:tc>
          <w:tcPr>
            <w:tcW w:w="120" w:type="dxa"/>
            <w:vAlign w:val="bottom"/>
          </w:tcPr>
          <w:p>
            <w:pPr>
              <w:spacing w:after="0"/>
              <w:rPr>
                <w:sz w:val="21"/>
                <w:szCs w:val="21"/>
                <w:color w:val="auto"/>
              </w:rPr>
            </w:pPr>
          </w:p>
        </w:tc>
        <w:tc>
          <w:tcPr>
            <w:tcW w:w="680" w:type="dxa"/>
            <w:vAlign w:val="bottom"/>
          </w:tcPr>
          <w:p>
            <w:pPr>
              <w:jc w:val="right"/>
              <w:ind w:right="475"/>
              <w:spacing w:after="0"/>
              <w:rPr>
                <w:sz w:val="20"/>
                <w:szCs w:val="20"/>
                <w:color w:val="auto"/>
              </w:rPr>
            </w:pPr>
            <w:r>
              <w:rPr>
                <w:rFonts w:ascii="Arial" w:cs="Arial" w:eastAsia="Arial" w:hAnsi="Arial"/>
                <w:sz w:val="18"/>
                <w:szCs w:val="18"/>
                <w:color w:val="auto"/>
                <w:w w:val="99"/>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39,353</w:t>
            </w:r>
          </w:p>
        </w:tc>
        <w:tc>
          <w:tcPr>
            <w:tcW w:w="380" w:type="dxa"/>
            <w:vAlign w:val="bottom"/>
          </w:tcPr>
          <w:p>
            <w:pPr>
              <w:spacing w:after="0"/>
              <w:rPr>
                <w:sz w:val="21"/>
                <w:szCs w:val="21"/>
                <w:color w:val="auto"/>
              </w:rPr>
            </w:pPr>
          </w:p>
        </w:tc>
      </w:tr>
      <w:tr>
        <w:trPr>
          <w:trHeight w:val="27"/>
        </w:trPr>
        <w:tc>
          <w:tcPr>
            <w:tcW w:w="30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720" w:type="dxa"/>
            <w:vAlign w:val="bottom"/>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180" w:type="dxa"/>
            <w:vAlign w:val="bottom"/>
          </w:tcPr>
          <w:p>
            <w:pPr>
              <w:spacing w:after="0"/>
              <w:rPr>
                <w:sz w:val="2"/>
                <w:szCs w:val="2"/>
                <w:color w:val="auto"/>
              </w:rPr>
            </w:pPr>
          </w:p>
        </w:tc>
        <w:tc>
          <w:tcPr>
            <w:tcW w:w="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tcPr>
          <w:p>
            <w:pPr>
              <w:spacing w:after="0"/>
              <w:rPr>
                <w:sz w:val="2"/>
                <w:szCs w:val="2"/>
                <w:color w:val="auto"/>
              </w:rPr>
            </w:pPr>
          </w:p>
        </w:tc>
        <w:tc>
          <w:tcPr>
            <w:tcW w:w="700" w:type="dxa"/>
            <w:vAlign w:val="bottom"/>
          </w:tcPr>
          <w:p>
            <w:pPr>
              <w:spacing w:after="0"/>
              <w:rPr>
                <w:sz w:val="2"/>
                <w:szCs w:val="2"/>
                <w:color w:val="auto"/>
              </w:rPr>
            </w:pPr>
          </w:p>
        </w:tc>
        <w:tc>
          <w:tcPr>
            <w:tcW w:w="380" w:type="dxa"/>
            <w:vAlign w:val="bottom"/>
          </w:tcPr>
          <w:p>
            <w:pPr>
              <w:spacing w:after="0"/>
              <w:rPr>
                <w:sz w:val="2"/>
                <w:szCs w:val="2"/>
                <w:color w:val="auto"/>
              </w:rPr>
            </w:pPr>
          </w:p>
        </w:tc>
      </w:tr>
      <w:tr>
        <w:trPr>
          <w:trHeight w:val="250"/>
        </w:trPr>
        <w:tc>
          <w:tcPr>
            <w:tcW w:w="30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State</w:t>
            </w:r>
          </w:p>
        </w:tc>
        <w:tc>
          <w:tcPr>
            <w:tcW w:w="3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(367)</w:t>
            </w:r>
          </w:p>
        </w:tc>
        <w:tc>
          <w:tcPr>
            <w:tcW w:w="1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w w:val="97"/>
              </w:rPr>
              <w:t>1,299</w:t>
            </w:r>
          </w:p>
        </w:tc>
        <w:tc>
          <w:tcPr>
            <w:tcW w:w="1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1,604</w:t>
            </w:r>
          </w:p>
        </w:tc>
        <w:tc>
          <w:tcPr>
            <w:tcW w:w="380" w:type="dxa"/>
            <w:vAlign w:val="bottom"/>
          </w:tcPr>
          <w:p>
            <w:pPr>
              <w:spacing w:after="0"/>
              <w:rPr>
                <w:sz w:val="21"/>
                <w:szCs w:val="21"/>
                <w:color w:val="auto"/>
              </w:rPr>
            </w:pPr>
          </w:p>
        </w:tc>
      </w:tr>
      <w:tr>
        <w:trPr>
          <w:trHeight w:val="243"/>
        </w:trPr>
        <w:tc>
          <w:tcPr>
            <w:tcW w:w="3040" w:type="dxa"/>
            <w:vAlign w:val="bottom"/>
          </w:tcPr>
          <w:p>
            <w:pPr>
              <w:ind w:left="380"/>
              <w:spacing w:after="0"/>
              <w:rPr>
                <w:sz w:val="20"/>
                <w:szCs w:val="20"/>
                <w:color w:val="auto"/>
              </w:rPr>
            </w:pPr>
            <w:r>
              <w:rPr>
                <w:rFonts w:ascii="Arial" w:cs="Arial" w:eastAsia="Arial" w:hAnsi="Arial"/>
                <w:sz w:val="18"/>
                <w:szCs w:val="18"/>
                <w:color w:val="auto"/>
              </w:rPr>
              <w:t>International</w:t>
            </w:r>
          </w:p>
        </w:tc>
        <w:tc>
          <w:tcPr>
            <w:tcW w:w="38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6,312</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540" w:type="dxa"/>
            <w:vAlign w:val="bottom"/>
            <w:gridSpan w:val="2"/>
          </w:tcPr>
          <w:p>
            <w:pPr>
              <w:jc w:val="right"/>
              <w:spacing w:after="0"/>
              <w:rPr>
                <w:sz w:val="20"/>
                <w:szCs w:val="20"/>
                <w:color w:val="auto"/>
              </w:rPr>
            </w:pPr>
            <w:r>
              <w:rPr>
                <w:rFonts w:ascii="Arial" w:cs="Arial" w:eastAsia="Arial" w:hAnsi="Arial"/>
                <w:sz w:val="18"/>
                <w:szCs w:val="18"/>
                <w:color w:val="auto"/>
                <w:w w:val="97"/>
              </w:rPr>
              <w:t>2,998</w:t>
            </w:r>
          </w:p>
        </w:tc>
        <w:tc>
          <w:tcPr>
            <w:tcW w:w="12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1,470</w:t>
            </w:r>
          </w:p>
        </w:tc>
        <w:tc>
          <w:tcPr>
            <w:tcW w:w="380" w:type="dxa"/>
            <w:vAlign w:val="bottom"/>
          </w:tcPr>
          <w:p>
            <w:pPr>
              <w:spacing w:after="0"/>
              <w:rPr>
                <w:sz w:val="21"/>
                <w:szCs w:val="21"/>
                <w:color w:val="auto"/>
              </w:rPr>
            </w:pPr>
          </w:p>
        </w:tc>
      </w:tr>
      <w:tr>
        <w:trPr>
          <w:trHeight w:val="27"/>
        </w:trPr>
        <w:tc>
          <w:tcPr>
            <w:tcW w:w="3040" w:type="dxa"/>
            <w:vAlign w:val="bottom"/>
            <w:tcBorders>
              <w:bottom w:val="single" w:sz="8" w:color="CCEEFF"/>
            </w:tcBorders>
          </w:tcPr>
          <w:p>
            <w:pPr>
              <w:spacing w:after="0"/>
              <w:rPr>
                <w:sz w:val="2"/>
                <w:szCs w:val="2"/>
                <w:color w:val="auto"/>
              </w:rPr>
            </w:pPr>
          </w:p>
        </w:tc>
        <w:tc>
          <w:tcPr>
            <w:tcW w:w="380" w:type="dxa"/>
            <w:vAlign w:val="bottom"/>
            <w:tcBorders>
              <w:bottom w:val="single" w:sz="8" w:color="CCEEFF"/>
            </w:tcBorders>
          </w:tcPr>
          <w:p>
            <w:pPr>
              <w:spacing w:after="0"/>
              <w:rPr>
                <w:sz w:val="2"/>
                <w:szCs w:val="2"/>
                <w:color w:val="auto"/>
              </w:rPr>
            </w:pPr>
          </w:p>
        </w:tc>
        <w:tc>
          <w:tcPr>
            <w:tcW w:w="1200" w:type="dxa"/>
            <w:vAlign w:val="bottom"/>
            <w:tcBorders>
              <w:bottom w:val="single" w:sz="8" w:color="CCEEFF"/>
            </w:tcBorders>
          </w:tcPr>
          <w:p>
            <w:pPr>
              <w:spacing w:after="0"/>
              <w:rPr>
                <w:sz w:val="2"/>
                <w:szCs w:val="2"/>
                <w:color w:val="auto"/>
              </w:rPr>
            </w:pPr>
          </w:p>
        </w:tc>
        <w:tc>
          <w:tcPr>
            <w:tcW w:w="720" w:type="dxa"/>
            <w:vAlign w:val="bottom"/>
            <w:tcBorders>
              <w:bottom w:val="single" w:sz="8" w:color="CCEEFF"/>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gridSpan w:val="2"/>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380" w:type="dxa"/>
            <w:vAlign w:val="bottom"/>
          </w:tcPr>
          <w:p>
            <w:pPr>
              <w:spacing w:after="0"/>
              <w:rPr>
                <w:sz w:val="2"/>
                <w:szCs w:val="2"/>
                <w:color w:val="auto"/>
              </w:rPr>
            </w:pPr>
          </w:p>
        </w:tc>
      </w:tr>
      <w:tr>
        <w:trPr>
          <w:trHeight w:val="264"/>
        </w:trPr>
        <w:tc>
          <w:tcPr>
            <w:tcW w:w="304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spacing w:after="0"/>
              <w:rPr>
                <w:sz w:val="22"/>
                <w:szCs w:val="22"/>
                <w:color w:val="auto"/>
              </w:rPr>
            </w:pPr>
          </w:p>
        </w:tc>
        <w:tc>
          <w:tcPr>
            <w:tcW w:w="720" w:type="dxa"/>
            <w:vAlign w:val="bottom"/>
            <w:tcBorders>
              <w:bottom w:val="single" w:sz="8" w:color="CCEEFF"/>
            </w:tcBorders>
            <w:shd w:val="clear" w:color="auto" w:fill="CCEEFF"/>
          </w:tcPr>
          <w:p>
            <w:pPr>
              <w:spacing w:after="0"/>
              <w:rPr>
                <w:sz w:val="22"/>
                <w:szCs w:val="22"/>
                <w:color w:val="auto"/>
              </w:rPr>
            </w:pPr>
          </w:p>
        </w:tc>
        <w:tc>
          <w:tcPr>
            <w:tcW w:w="60" w:type="dxa"/>
            <w:vAlign w:val="bottom"/>
            <w:tcBorders>
              <w:bottom w:val="single" w:sz="8" w:color="CCEEFF"/>
            </w:tcBorders>
            <w:shd w:val="clear" w:color="auto" w:fill="CCEEFF"/>
          </w:tcPr>
          <w:p>
            <w:pPr>
              <w:spacing w:after="0"/>
              <w:rPr>
                <w:sz w:val="22"/>
                <w:szCs w:val="22"/>
                <w:color w:val="auto"/>
              </w:rPr>
            </w:pPr>
          </w:p>
        </w:tc>
        <w:tc>
          <w:tcPr>
            <w:tcW w:w="20" w:type="dxa"/>
            <w:vAlign w:val="bottom"/>
            <w:tcBorders>
              <w:bottom w:val="single" w:sz="8" w:color="CCEEFF"/>
            </w:tcBorders>
            <w:shd w:val="clear" w:color="auto" w:fill="CCEEFF"/>
          </w:tcPr>
          <w:p>
            <w:pPr>
              <w:spacing w:after="0"/>
              <w:rPr>
                <w:sz w:val="22"/>
                <w:szCs w:val="22"/>
                <w:color w:val="auto"/>
              </w:rPr>
            </w:pPr>
          </w:p>
        </w:tc>
        <w:tc>
          <w:tcPr>
            <w:tcW w:w="4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2,192</w:t>
            </w:r>
          </w:p>
        </w:tc>
        <w:tc>
          <w:tcPr>
            <w:tcW w:w="120" w:type="dxa"/>
            <w:vAlign w:val="bottom"/>
            <w:tcBorders>
              <w:bottom w:val="single" w:sz="8" w:color="CCEEFF"/>
            </w:tcBorders>
            <w:shd w:val="clear" w:color="auto" w:fill="CCEEFF"/>
          </w:tcPr>
          <w:p>
            <w:pPr>
              <w:spacing w:after="0"/>
              <w:rPr>
                <w:sz w:val="22"/>
                <w:szCs w:val="22"/>
                <w:color w:val="auto"/>
              </w:rPr>
            </w:pPr>
          </w:p>
        </w:tc>
        <w:tc>
          <w:tcPr>
            <w:tcW w:w="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20,590</w:t>
            </w:r>
          </w:p>
        </w:tc>
        <w:tc>
          <w:tcPr>
            <w:tcW w:w="120" w:type="dxa"/>
            <w:vAlign w:val="bottom"/>
            <w:tcBorders>
              <w:bottom w:val="single" w:sz="8" w:color="CCEEFF"/>
            </w:tcBorders>
            <w:shd w:val="clear" w:color="auto" w:fill="CCEEFF"/>
          </w:tcPr>
          <w:p>
            <w:pPr>
              <w:spacing w:after="0"/>
              <w:rPr>
                <w:sz w:val="22"/>
                <w:szCs w:val="22"/>
                <w:color w:val="auto"/>
              </w:rPr>
            </w:pPr>
          </w:p>
        </w:tc>
        <w:tc>
          <w:tcPr>
            <w:tcW w:w="680" w:type="dxa"/>
            <w:vAlign w:val="bottom"/>
            <w:tcBorders>
              <w:bottom w:val="single" w:sz="8" w:color="CCEEFF"/>
            </w:tcBorders>
            <w:shd w:val="clear" w:color="auto" w:fill="CCEEFF"/>
          </w:tcPr>
          <w:p>
            <w:pPr>
              <w:spacing w:after="0"/>
              <w:rPr>
                <w:sz w:val="22"/>
                <w:szCs w:val="22"/>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42,427</w:t>
            </w:r>
          </w:p>
        </w:tc>
        <w:tc>
          <w:tcPr>
            <w:tcW w:w="380" w:type="dxa"/>
            <w:vAlign w:val="bottom"/>
          </w:tcPr>
          <w:p>
            <w:pPr>
              <w:spacing w:after="0"/>
              <w:rPr>
                <w:sz w:val="22"/>
                <w:szCs w:val="22"/>
                <w:color w:val="auto"/>
              </w:rPr>
            </w:pPr>
          </w:p>
        </w:tc>
      </w:tr>
      <w:tr>
        <w:trPr>
          <w:trHeight w:val="237"/>
        </w:trPr>
        <w:tc>
          <w:tcPr>
            <w:tcW w:w="3040" w:type="dxa"/>
            <w:vAlign w:val="bottom"/>
          </w:tcPr>
          <w:p>
            <w:pPr>
              <w:ind w:left="20"/>
              <w:spacing w:after="0"/>
              <w:rPr>
                <w:sz w:val="20"/>
                <w:szCs w:val="20"/>
                <w:color w:val="auto"/>
              </w:rPr>
            </w:pPr>
            <w:r>
              <w:rPr>
                <w:rFonts w:ascii="Arial" w:cs="Arial" w:eastAsia="Arial" w:hAnsi="Arial"/>
                <w:sz w:val="18"/>
                <w:szCs w:val="18"/>
                <w:color w:val="auto"/>
              </w:rPr>
              <w:t>Deferred:</w:t>
            </w:r>
          </w:p>
        </w:tc>
        <w:tc>
          <w:tcPr>
            <w:tcW w:w="38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40" w:type="dxa"/>
            <w:vAlign w:val="bottom"/>
            <w:tcBorders>
              <w:top w:val="single" w:sz="8" w:color="auto"/>
            </w:tcBorders>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640" w:type="dxa"/>
            <w:vAlign w:val="bottom"/>
            <w:tcBorders>
              <w:top w:val="single" w:sz="8" w:color="auto"/>
            </w:tcBorders>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42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680" w:type="dxa"/>
            <w:vAlign w:val="bottom"/>
            <w:tcBorders>
              <w:top w:val="single" w:sz="8" w:color="auto"/>
            </w:tcBorders>
          </w:tcPr>
          <w:p>
            <w:pPr>
              <w:spacing w:after="0"/>
              <w:rPr>
                <w:sz w:val="20"/>
                <w:szCs w:val="20"/>
                <w:color w:val="auto"/>
              </w:rPr>
            </w:pPr>
          </w:p>
        </w:tc>
        <w:tc>
          <w:tcPr>
            <w:tcW w:w="700" w:type="dxa"/>
            <w:vAlign w:val="bottom"/>
            <w:tcBorders>
              <w:top w:val="single" w:sz="8" w:color="auto"/>
            </w:tcBorders>
          </w:tcPr>
          <w:p>
            <w:pPr>
              <w:spacing w:after="0"/>
              <w:rPr>
                <w:sz w:val="20"/>
                <w:szCs w:val="20"/>
                <w:color w:val="auto"/>
              </w:rPr>
            </w:pPr>
          </w:p>
        </w:tc>
        <w:tc>
          <w:tcPr>
            <w:tcW w:w="380" w:type="dxa"/>
            <w:vAlign w:val="bottom"/>
          </w:tcPr>
          <w:p>
            <w:pPr>
              <w:spacing w:after="0"/>
              <w:rPr>
                <w:sz w:val="20"/>
                <w:szCs w:val="20"/>
                <w:color w:val="auto"/>
              </w:rPr>
            </w:pPr>
          </w:p>
        </w:tc>
      </w:tr>
      <w:tr>
        <w:trPr>
          <w:trHeight w:val="27"/>
        </w:trPr>
        <w:tc>
          <w:tcPr>
            <w:tcW w:w="30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720" w:type="dxa"/>
            <w:vAlign w:val="bottom"/>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180" w:type="dxa"/>
            <w:vAlign w:val="bottom"/>
          </w:tcPr>
          <w:p>
            <w:pPr>
              <w:spacing w:after="0"/>
              <w:rPr>
                <w:sz w:val="2"/>
                <w:szCs w:val="2"/>
                <w:color w:val="auto"/>
              </w:rPr>
            </w:pPr>
          </w:p>
        </w:tc>
        <w:tc>
          <w:tcPr>
            <w:tcW w:w="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tcPr>
          <w:p>
            <w:pPr>
              <w:spacing w:after="0"/>
              <w:rPr>
                <w:sz w:val="2"/>
                <w:szCs w:val="2"/>
                <w:color w:val="auto"/>
              </w:rPr>
            </w:pPr>
          </w:p>
        </w:tc>
        <w:tc>
          <w:tcPr>
            <w:tcW w:w="700" w:type="dxa"/>
            <w:vAlign w:val="bottom"/>
          </w:tcPr>
          <w:p>
            <w:pPr>
              <w:spacing w:after="0"/>
              <w:rPr>
                <w:sz w:val="2"/>
                <w:szCs w:val="2"/>
                <w:color w:val="auto"/>
              </w:rPr>
            </w:pPr>
          </w:p>
        </w:tc>
        <w:tc>
          <w:tcPr>
            <w:tcW w:w="380" w:type="dxa"/>
            <w:vAlign w:val="bottom"/>
          </w:tcPr>
          <w:p>
            <w:pPr>
              <w:spacing w:after="0"/>
              <w:rPr>
                <w:sz w:val="2"/>
                <w:szCs w:val="2"/>
                <w:color w:val="auto"/>
              </w:rPr>
            </w:pPr>
          </w:p>
        </w:tc>
      </w:tr>
      <w:tr>
        <w:trPr>
          <w:trHeight w:val="250"/>
        </w:trPr>
        <w:tc>
          <w:tcPr>
            <w:tcW w:w="30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Federal</w:t>
            </w:r>
          </w:p>
        </w:tc>
        <w:tc>
          <w:tcPr>
            <w:tcW w:w="3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(8,144)</w:t>
            </w:r>
          </w:p>
        </w:tc>
        <w:tc>
          <w:tcPr>
            <w:tcW w:w="1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w w:val="97"/>
              </w:rPr>
              <w:t>1,211</w:t>
            </w:r>
          </w:p>
        </w:tc>
        <w:tc>
          <w:tcPr>
            <w:tcW w:w="1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8"/>
              </w:rPr>
              <w:t>(28,678)</w:t>
            </w:r>
          </w:p>
        </w:tc>
        <w:tc>
          <w:tcPr>
            <w:tcW w:w="380" w:type="dxa"/>
            <w:vAlign w:val="bottom"/>
          </w:tcPr>
          <w:p>
            <w:pPr>
              <w:spacing w:after="0"/>
              <w:rPr>
                <w:sz w:val="21"/>
                <w:szCs w:val="21"/>
                <w:color w:val="auto"/>
              </w:rPr>
            </w:pPr>
          </w:p>
        </w:tc>
      </w:tr>
      <w:tr>
        <w:trPr>
          <w:trHeight w:val="243"/>
        </w:trPr>
        <w:tc>
          <w:tcPr>
            <w:tcW w:w="3040" w:type="dxa"/>
            <w:vAlign w:val="bottom"/>
          </w:tcPr>
          <w:p>
            <w:pPr>
              <w:ind w:left="380"/>
              <w:spacing w:after="0"/>
              <w:rPr>
                <w:sz w:val="20"/>
                <w:szCs w:val="20"/>
                <w:color w:val="auto"/>
              </w:rPr>
            </w:pPr>
            <w:r>
              <w:rPr>
                <w:rFonts w:ascii="Arial" w:cs="Arial" w:eastAsia="Arial" w:hAnsi="Arial"/>
                <w:sz w:val="18"/>
                <w:szCs w:val="18"/>
                <w:color w:val="auto"/>
              </w:rPr>
              <w:t>State</w:t>
            </w:r>
          </w:p>
        </w:tc>
        <w:tc>
          <w:tcPr>
            <w:tcW w:w="38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(880)</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540" w:type="dxa"/>
            <w:vAlign w:val="bottom"/>
            <w:gridSpan w:val="2"/>
          </w:tcPr>
          <w:p>
            <w:pPr>
              <w:jc w:val="right"/>
              <w:spacing w:after="0"/>
              <w:rPr>
                <w:sz w:val="20"/>
                <w:szCs w:val="20"/>
                <w:color w:val="auto"/>
              </w:rPr>
            </w:pPr>
            <w:r>
              <w:rPr>
                <w:rFonts w:ascii="Arial" w:cs="Arial" w:eastAsia="Arial" w:hAnsi="Arial"/>
                <w:sz w:val="18"/>
                <w:szCs w:val="18"/>
                <w:color w:val="auto"/>
              </w:rPr>
              <w:t>(310)</w:t>
            </w:r>
          </w:p>
        </w:tc>
        <w:tc>
          <w:tcPr>
            <w:tcW w:w="12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427</w:t>
            </w:r>
          </w:p>
        </w:tc>
        <w:tc>
          <w:tcPr>
            <w:tcW w:w="380" w:type="dxa"/>
            <w:vAlign w:val="bottom"/>
          </w:tcPr>
          <w:p>
            <w:pPr>
              <w:spacing w:after="0"/>
              <w:rPr>
                <w:sz w:val="21"/>
                <w:szCs w:val="21"/>
                <w:color w:val="auto"/>
              </w:rPr>
            </w:pPr>
          </w:p>
        </w:tc>
      </w:tr>
      <w:tr>
        <w:trPr>
          <w:trHeight w:val="27"/>
        </w:trPr>
        <w:tc>
          <w:tcPr>
            <w:tcW w:w="30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720" w:type="dxa"/>
            <w:vAlign w:val="bottom"/>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180" w:type="dxa"/>
            <w:vAlign w:val="bottom"/>
          </w:tcPr>
          <w:p>
            <w:pPr>
              <w:spacing w:after="0"/>
              <w:rPr>
                <w:sz w:val="2"/>
                <w:szCs w:val="2"/>
                <w:color w:val="auto"/>
              </w:rPr>
            </w:pPr>
          </w:p>
        </w:tc>
        <w:tc>
          <w:tcPr>
            <w:tcW w:w="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tcPr>
          <w:p>
            <w:pPr>
              <w:spacing w:after="0"/>
              <w:rPr>
                <w:sz w:val="2"/>
                <w:szCs w:val="2"/>
                <w:color w:val="auto"/>
              </w:rPr>
            </w:pPr>
          </w:p>
        </w:tc>
        <w:tc>
          <w:tcPr>
            <w:tcW w:w="700" w:type="dxa"/>
            <w:vAlign w:val="bottom"/>
          </w:tcPr>
          <w:p>
            <w:pPr>
              <w:spacing w:after="0"/>
              <w:rPr>
                <w:sz w:val="2"/>
                <w:szCs w:val="2"/>
                <w:color w:val="auto"/>
              </w:rPr>
            </w:pPr>
          </w:p>
        </w:tc>
        <w:tc>
          <w:tcPr>
            <w:tcW w:w="380" w:type="dxa"/>
            <w:vAlign w:val="bottom"/>
          </w:tcPr>
          <w:p>
            <w:pPr>
              <w:spacing w:after="0"/>
              <w:rPr>
                <w:sz w:val="2"/>
                <w:szCs w:val="2"/>
                <w:color w:val="auto"/>
              </w:rPr>
            </w:pPr>
          </w:p>
        </w:tc>
      </w:tr>
      <w:tr>
        <w:trPr>
          <w:trHeight w:val="270"/>
        </w:trPr>
        <w:tc>
          <w:tcPr>
            <w:tcW w:w="30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International</w:t>
            </w:r>
          </w:p>
        </w:tc>
        <w:tc>
          <w:tcPr>
            <w:tcW w:w="38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spacing w:after="0"/>
              <w:rPr>
                <w:sz w:val="23"/>
                <w:szCs w:val="23"/>
                <w:color w:val="auto"/>
              </w:rPr>
            </w:pPr>
          </w:p>
        </w:tc>
        <w:tc>
          <w:tcPr>
            <w:tcW w:w="720" w:type="dxa"/>
            <w:vAlign w:val="bottom"/>
            <w:tcBorders>
              <w:bottom w:val="single" w:sz="8" w:color="CCEEFF"/>
            </w:tcBorders>
            <w:shd w:val="clear" w:color="auto" w:fill="CCEEFF"/>
          </w:tcPr>
          <w:p>
            <w:pPr>
              <w:spacing w:after="0"/>
              <w:rPr>
                <w:sz w:val="23"/>
                <w:szCs w:val="23"/>
                <w:color w:val="auto"/>
              </w:rPr>
            </w:pPr>
          </w:p>
        </w:tc>
        <w:tc>
          <w:tcPr>
            <w:tcW w:w="6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4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(1,274)</w:t>
            </w:r>
          </w:p>
        </w:tc>
        <w:tc>
          <w:tcPr>
            <w:tcW w:w="12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640" w:type="dxa"/>
            <w:vAlign w:val="bottom"/>
            <w:tcBorders>
              <w:bottom w:val="single" w:sz="8" w:color="CCEEFF"/>
            </w:tcBorders>
            <w:shd w:val="clear" w:color="auto" w:fill="CCEEFF"/>
          </w:tcPr>
          <w:p>
            <w:pPr>
              <w:spacing w:after="0"/>
              <w:rPr>
                <w:sz w:val="23"/>
                <w:szCs w:val="23"/>
                <w:color w:val="auto"/>
              </w:rPr>
            </w:pPr>
          </w:p>
        </w:tc>
        <w:tc>
          <w:tcPr>
            <w:tcW w:w="5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(370)</w:t>
            </w:r>
          </w:p>
        </w:tc>
        <w:tc>
          <w:tcPr>
            <w:tcW w:w="120" w:type="dxa"/>
            <w:vAlign w:val="bottom"/>
            <w:tcBorders>
              <w:bottom w:val="single" w:sz="8" w:color="CCEEFF"/>
            </w:tcBorders>
            <w:shd w:val="clear" w:color="auto" w:fill="CCEEFF"/>
          </w:tcPr>
          <w:p>
            <w:pPr>
              <w:spacing w:after="0"/>
              <w:rPr>
                <w:sz w:val="23"/>
                <w:szCs w:val="23"/>
                <w:color w:val="auto"/>
              </w:rPr>
            </w:pPr>
          </w:p>
        </w:tc>
        <w:tc>
          <w:tcPr>
            <w:tcW w:w="680" w:type="dxa"/>
            <w:vAlign w:val="bottom"/>
            <w:tcBorders>
              <w:bottom w:val="single" w:sz="8" w:color="CCEEFF"/>
            </w:tcBorders>
            <w:shd w:val="clear" w:color="auto" w:fill="CCEEFF"/>
          </w:tcPr>
          <w:p>
            <w:pPr>
              <w:spacing w:after="0"/>
              <w:rPr>
                <w:sz w:val="23"/>
                <w:szCs w:val="23"/>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(1,605)</w:t>
            </w:r>
          </w:p>
        </w:tc>
        <w:tc>
          <w:tcPr>
            <w:tcW w:w="380" w:type="dxa"/>
            <w:vAlign w:val="bottom"/>
          </w:tcPr>
          <w:p>
            <w:pPr>
              <w:spacing w:after="0"/>
              <w:rPr>
                <w:sz w:val="23"/>
                <w:szCs w:val="23"/>
                <w:color w:val="auto"/>
              </w:rPr>
            </w:pPr>
          </w:p>
        </w:tc>
      </w:tr>
      <w:tr>
        <w:trPr>
          <w:trHeight w:val="237"/>
        </w:trPr>
        <w:tc>
          <w:tcPr>
            <w:tcW w:w="304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40" w:type="dxa"/>
            <w:vAlign w:val="bottom"/>
            <w:tcBorders>
              <w:top w:val="single" w:sz="8" w:color="auto"/>
            </w:tcBorders>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(10,298)</w:t>
            </w:r>
          </w:p>
        </w:tc>
        <w:tc>
          <w:tcPr>
            <w:tcW w:w="120" w:type="dxa"/>
            <w:vAlign w:val="bottom"/>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640" w:type="dxa"/>
            <w:vAlign w:val="bottom"/>
            <w:tcBorders>
              <w:top w:val="single" w:sz="8" w:color="auto"/>
            </w:tcBorders>
          </w:tcPr>
          <w:p>
            <w:pPr>
              <w:spacing w:after="0"/>
              <w:rPr>
                <w:sz w:val="20"/>
                <w:szCs w:val="20"/>
                <w:color w:val="auto"/>
              </w:rPr>
            </w:pPr>
          </w:p>
        </w:tc>
        <w:tc>
          <w:tcPr>
            <w:tcW w:w="54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color w:val="auto"/>
              </w:rPr>
              <w:t>531</w:t>
            </w:r>
          </w:p>
        </w:tc>
        <w:tc>
          <w:tcPr>
            <w:tcW w:w="120" w:type="dxa"/>
            <w:vAlign w:val="bottom"/>
          </w:tcPr>
          <w:p>
            <w:pPr>
              <w:spacing w:after="0"/>
              <w:rPr>
                <w:sz w:val="20"/>
                <w:szCs w:val="20"/>
                <w:color w:val="auto"/>
              </w:rPr>
            </w:pPr>
          </w:p>
        </w:tc>
        <w:tc>
          <w:tcPr>
            <w:tcW w:w="680" w:type="dxa"/>
            <w:vAlign w:val="bottom"/>
            <w:tcBorders>
              <w:top w:val="single" w:sz="8" w:color="auto"/>
            </w:tcBorders>
          </w:tcPr>
          <w:p>
            <w:pPr>
              <w:spacing w:after="0"/>
              <w:rPr>
                <w:sz w:val="20"/>
                <w:szCs w:val="20"/>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8"/>
              </w:rPr>
              <w:t>(29,856)</w:t>
            </w:r>
          </w:p>
        </w:tc>
        <w:tc>
          <w:tcPr>
            <w:tcW w:w="380" w:type="dxa"/>
            <w:vAlign w:val="bottom"/>
          </w:tcPr>
          <w:p>
            <w:pPr>
              <w:spacing w:after="0"/>
              <w:rPr>
                <w:sz w:val="20"/>
                <w:szCs w:val="20"/>
                <w:color w:val="auto"/>
              </w:rPr>
            </w:pPr>
          </w:p>
        </w:tc>
      </w:tr>
      <w:tr>
        <w:trPr>
          <w:trHeight w:val="27"/>
        </w:trPr>
        <w:tc>
          <w:tcPr>
            <w:tcW w:w="3040" w:type="dxa"/>
            <w:vAlign w:val="bottom"/>
            <w:tcBorders>
              <w:bottom w:val="single" w:sz="8" w:color="CCEEFF"/>
            </w:tcBorders>
          </w:tcPr>
          <w:p>
            <w:pPr>
              <w:spacing w:after="0"/>
              <w:rPr>
                <w:sz w:val="2"/>
                <w:szCs w:val="2"/>
                <w:color w:val="auto"/>
              </w:rPr>
            </w:pPr>
          </w:p>
        </w:tc>
        <w:tc>
          <w:tcPr>
            <w:tcW w:w="380" w:type="dxa"/>
            <w:vAlign w:val="bottom"/>
            <w:tcBorders>
              <w:bottom w:val="single" w:sz="8" w:color="CCEEFF"/>
            </w:tcBorders>
          </w:tcPr>
          <w:p>
            <w:pPr>
              <w:spacing w:after="0"/>
              <w:rPr>
                <w:sz w:val="2"/>
                <w:szCs w:val="2"/>
                <w:color w:val="auto"/>
              </w:rPr>
            </w:pPr>
          </w:p>
        </w:tc>
        <w:tc>
          <w:tcPr>
            <w:tcW w:w="1200" w:type="dxa"/>
            <w:vAlign w:val="bottom"/>
            <w:tcBorders>
              <w:bottom w:val="single" w:sz="8" w:color="CCEEFF"/>
            </w:tcBorders>
          </w:tcPr>
          <w:p>
            <w:pPr>
              <w:spacing w:after="0"/>
              <w:rPr>
                <w:sz w:val="2"/>
                <w:szCs w:val="2"/>
                <w:color w:val="auto"/>
              </w:rPr>
            </w:pPr>
          </w:p>
        </w:tc>
        <w:tc>
          <w:tcPr>
            <w:tcW w:w="720" w:type="dxa"/>
            <w:vAlign w:val="bottom"/>
            <w:tcBorders>
              <w:bottom w:val="single" w:sz="8" w:color="CCEEFF"/>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gridSpan w:val="2"/>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380" w:type="dxa"/>
            <w:vAlign w:val="bottom"/>
          </w:tcPr>
          <w:p>
            <w:pPr>
              <w:spacing w:after="0"/>
              <w:rPr>
                <w:sz w:val="2"/>
                <w:szCs w:val="2"/>
                <w:color w:val="auto"/>
              </w:rPr>
            </w:pPr>
          </w:p>
        </w:tc>
      </w:tr>
      <w:tr>
        <w:trPr>
          <w:trHeight w:val="257"/>
        </w:trPr>
        <w:tc>
          <w:tcPr>
            <w:tcW w:w="30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w w:val="92"/>
              </w:rPr>
              <w:t>Total provision (benefit) for income taxes</w:t>
            </w:r>
          </w:p>
        </w:tc>
        <w:tc>
          <w:tcPr>
            <w:tcW w:w="38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spacing w:after="0"/>
              <w:rPr>
                <w:sz w:val="22"/>
                <w:szCs w:val="22"/>
                <w:color w:val="auto"/>
              </w:rPr>
            </w:pPr>
          </w:p>
        </w:tc>
        <w:tc>
          <w:tcPr>
            <w:tcW w:w="720" w:type="dxa"/>
            <w:vAlign w:val="bottom"/>
            <w:tcBorders>
              <w:bottom w:val="single" w:sz="8" w:color="CCEEFF"/>
            </w:tcBorders>
            <w:shd w:val="clear" w:color="auto" w:fill="CCEEFF"/>
          </w:tcPr>
          <w:p>
            <w:pPr>
              <w:spacing w:after="0"/>
              <w:rPr>
                <w:sz w:val="22"/>
                <w:szCs w:val="22"/>
                <w:color w:val="auto"/>
              </w:rPr>
            </w:pPr>
          </w:p>
        </w:tc>
        <w:tc>
          <w:tcPr>
            <w:tcW w:w="60" w:type="dxa"/>
            <w:vAlign w:val="bottom"/>
            <w:tcBorders>
              <w:bottom w:val="single" w:sz="8" w:color="CCEEFF"/>
            </w:tcBorders>
            <w:shd w:val="clear" w:color="auto" w:fill="CCEEFF"/>
          </w:tcPr>
          <w:p>
            <w:pPr>
              <w:spacing w:after="0"/>
              <w:rPr>
                <w:sz w:val="22"/>
                <w:szCs w:val="22"/>
                <w:color w:val="auto"/>
              </w:rPr>
            </w:pPr>
          </w:p>
        </w:tc>
        <w:tc>
          <w:tcPr>
            <w:tcW w:w="20" w:type="dxa"/>
            <w:vAlign w:val="bottom"/>
            <w:tcBorders>
              <w:bottom w:val="single" w:sz="8" w:color="auto"/>
            </w:tcBorders>
            <w:shd w:val="clear" w:color="auto" w:fill="CCEEFF"/>
          </w:tcPr>
          <w:p>
            <w:pPr>
              <w:spacing w:after="0"/>
              <w:rPr>
                <w:sz w:val="22"/>
                <w:szCs w:val="22"/>
                <w:color w:val="auto"/>
              </w:rPr>
            </w:pPr>
          </w:p>
        </w:tc>
        <w:tc>
          <w:tcPr>
            <w:tcW w:w="240" w:type="dxa"/>
            <w:vAlign w:val="bottom"/>
            <w:tcBorders>
              <w:bottom w:val="single" w:sz="8" w:color="auto"/>
            </w:tcBorders>
            <w:gridSpan w:val="2"/>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(8,106)</w:t>
            </w:r>
          </w:p>
        </w:tc>
        <w:tc>
          <w:tcPr>
            <w:tcW w:w="120" w:type="dxa"/>
            <w:vAlign w:val="bottom"/>
            <w:tcBorders>
              <w:bottom w:val="single" w:sz="8" w:color="CCEEFF"/>
            </w:tcBorders>
            <w:shd w:val="clear" w:color="auto" w:fill="CCEEFF"/>
          </w:tcPr>
          <w:p>
            <w:pPr>
              <w:spacing w:after="0"/>
              <w:rPr>
                <w:sz w:val="22"/>
                <w:szCs w:val="22"/>
                <w:color w:val="auto"/>
              </w:rPr>
            </w:pPr>
          </w:p>
        </w:tc>
        <w:tc>
          <w:tcPr>
            <w:tcW w:w="20" w:type="dxa"/>
            <w:vAlign w:val="bottom"/>
            <w:tcBorders>
              <w:bottom w:val="single" w:sz="8" w:color="auto"/>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tcBorders>
              <w:bottom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color w:val="auto"/>
              </w:rPr>
              <w:t>21,121</w:t>
            </w:r>
          </w:p>
        </w:tc>
        <w:tc>
          <w:tcPr>
            <w:tcW w:w="120" w:type="dxa"/>
            <w:vAlign w:val="bottom"/>
            <w:tcBorders>
              <w:bottom w:val="single" w:sz="8" w:color="CCEEFF"/>
            </w:tcBorders>
            <w:shd w:val="clear" w:color="auto" w:fill="CCEEFF"/>
          </w:tcPr>
          <w:p>
            <w:pPr>
              <w:spacing w:after="0"/>
              <w:rPr>
                <w:sz w:val="22"/>
                <w:szCs w:val="22"/>
                <w:color w:val="auto"/>
              </w:rPr>
            </w:pPr>
          </w:p>
        </w:tc>
        <w:tc>
          <w:tcPr>
            <w:tcW w:w="680" w:type="dxa"/>
            <w:vAlign w:val="bottom"/>
            <w:tcBorders>
              <w:bottom w:val="single" w:sz="8" w:color="auto"/>
            </w:tcBorders>
            <w:shd w:val="clear" w:color="auto" w:fill="CCEEFF"/>
          </w:tcPr>
          <w:p>
            <w:pPr>
              <w:jc w:val="right"/>
              <w:ind w:right="475"/>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12,571</w:t>
            </w:r>
          </w:p>
        </w:tc>
        <w:tc>
          <w:tcPr>
            <w:tcW w:w="380" w:type="dxa"/>
            <w:vAlign w:val="bottom"/>
          </w:tcPr>
          <w:p>
            <w:pPr>
              <w:spacing w:after="0"/>
              <w:rPr>
                <w:sz w:val="22"/>
                <w:szCs w:val="22"/>
                <w:color w:val="auto"/>
              </w:rPr>
            </w:pPr>
          </w:p>
        </w:tc>
      </w:tr>
      <w:tr>
        <w:trPr>
          <w:trHeight w:val="20"/>
        </w:trPr>
        <w:tc>
          <w:tcPr>
            <w:tcW w:w="5340" w:type="dxa"/>
            <w:vAlign w:val="bottom"/>
            <w:gridSpan w:val="4"/>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Borders>
              <w:bottom w:val="single" w:sz="8" w:color="auto"/>
            </w:tcBorders>
            <w:gridSpan w:val="2"/>
          </w:tcPr>
          <w:p>
            <w:pPr>
              <w:spacing w:after="0" w:line="20" w:lineRule="exact"/>
              <w:rPr>
                <w:sz w:val="1"/>
                <w:szCs w:val="1"/>
                <w:color w:val="auto"/>
              </w:rPr>
            </w:pPr>
          </w:p>
        </w:tc>
        <w:tc>
          <w:tcPr>
            <w:tcW w:w="1320" w:type="dxa"/>
            <w:vAlign w:val="bottom"/>
            <w:tcBorders>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gridSpan w:val="2"/>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r>
      <w:tr>
        <w:trPr>
          <w:trHeight w:val="419"/>
        </w:trPr>
        <w:tc>
          <w:tcPr>
            <w:tcW w:w="7100" w:type="dxa"/>
            <w:vAlign w:val="bottom"/>
            <w:gridSpan w:val="12"/>
          </w:tcPr>
          <w:p>
            <w:pPr>
              <w:spacing w:after="0"/>
              <w:rPr>
                <w:sz w:val="20"/>
                <w:szCs w:val="20"/>
                <w:color w:val="auto"/>
              </w:rPr>
            </w:pPr>
            <w:r>
              <w:rPr>
                <w:rFonts w:ascii="Arial" w:cs="Arial" w:eastAsia="Arial" w:hAnsi="Arial"/>
                <w:sz w:val="18"/>
                <w:szCs w:val="18"/>
                <w:color w:val="auto"/>
                <w:w w:val="93"/>
              </w:rPr>
              <w:t>The provision (benefit) for income taxes differs from the U.S. statutory rate due to the following:</w:t>
            </w:r>
          </w:p>
        </w:tc>
        <w:tc>
          <w:tcPr>
            <w:tcW w:w="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80" w:type="dxa"/>
            <w:vAlign w:val="bottom"/>
          </w:tcPr>
          <w:p>
            <w:pPr>
              <w:spacing w:after="0"/>
              <w:rPr>
                <w:sz w:val="24"/>
                <w:szCs w:val="24"/>
                <w:color w:val="auto"/>
              </w:rPr>
            </w:pPr>
          </w:p>
        </w:tc>
      </w:tr>
      <w:tr>
        <w:trPr>
          <w:trHeight w:val="332"/>
        </w:trPr>
        <w:tc>
          <w:tcPr>
            <w:tcW w:w="3040" w:type="dxa"/>
            <w:vAlign w:val="bottom"/>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gridSpan w:val="4"/>
          </w:tcPr>
          <w:p>
            <w:pPr>
              <w:ind w:left="600"/>
              <w:spacing w:after="0"/>
              <w:rPr>
                <w:sz w:val="20"/>
                <w:szCs w:val="20"/>
                <w:color w:val="auto"/>
              </w:rPr>
            </w:pPr>
            <w:r>
              <w:rPr>
                <w:rFonts w:ascii="Arial" w:cs="Arial" w:eastAsia="Arial" w:hAnsi="Arial"/>
                <w:sz w:val="14"/>
                <w:szCs w:val="14"/>
                <w:b w:val="1"/>
                <w:bCs w:val="1"/>
                <w:color w:val="auto"/>
              </w:rPr>
              <w:t>Year Ended</w:t>
            </w:r>
          </w:p>
        </w:tc>
        <w:tc>
          <w:tcPr>
            <w:tcW w:w="6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r>
      <w:tr>
        <w:trPr>
          <w:trHeight w:val="152"/>
        </w:trPr>
        <w:tc>
          <w:tcPr>
            <w:tcW w:w="304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1200" w:type="dxa"/>
            <w:vAlign w:val="bottom"/>
          </w:tcPr>
          <w:p>
            <w:pPr>
              <w:jc w:val="right"/>
              <w:ind w:right="13"/>
              <w:spacing w:after="0" w:line="153" w:lineRule="exact"/>
              <w:rPr>
                <w:sz w:val="20"/>
                <w:szCs w:val="20"/>
                <w:color w:val="auto"/>
              </w:rPr>
            </w:pPr>
            <w:r>
              <w:rPr>
                <w:rFonts w:ascii="Arial" w:cs="Arial" w:eastAsia="Arial" w:hAnsi="Arial"/>
                <w:sz w:val="14"/>
                <w:szCs w:val="14"/>
                <w:b w:val="1"/>
                <w:bCs w:val="1"/>
                <w:color w:val="auto"/>
              </w:rPr>
              <w:t>January 1,</w:t>
            </w:r>
          </w:p>
        </w:tc>
        <w:tc>
          <w:tcPr>
            <w:tcW w:w="7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260" w:type="dxa"/>
            <w:vAlign w:val="bottom"/>
            <w:gridSpan w:val="3"/>
          </w:tcPr>
          <w:p>
            <w:pPr>
              <w:ind w:left="600"/>
              <w:spacing w:after="0" w:line="153" w:lineRule="exact"/>
              <w:rPr>
                <w:sz w:val="20"/>
                <w:szCs w:val="20"/>
                <w:color w:val="auto"/>
              </w:rPr>
            </w:pPr>
            <w:r>
              <w:rPr>
                <w:rFonts w:ascii="Arial" w:cs="Arial" w:eastAsia="Arial" w:hAnsi="Arial"/>
                <w:sz w:val="14"/>
                <w:szCs w:val="14"/>
                <w:b w:val="1"/>
                <w:bCs w:val="1"/>
                <w:color w:val="auto"/>
                <w:w w:val="92"/>
              </w:rPr>
              <w:t>January 2,</w:t>
            </w:r>
          </w:p>
        </w:tc>
        <w:tc>
          <w:tcPr>
            <w:tcW w:w="1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760" w:type="dxa"/>
            <w:vAlign w:val="bottom"/>
            <w:gridSpan w:val="3"/>
          </w:tcPr>
          <w:p>
            <w:pPr>
              <w:jc w:val="right"/>
              <w:ind w:right="820"/>
              <w:spacing w:after="0" w:line="153" w:lineRule="exact"/>
              <w:rPr>
                <w:sz w:val="20"/>
                <w:szCs w:val="20"/>
                <w:color w:val="auto"/>
              </w:rPr>
            </w:pPr>
            <w:r>
              <w:rPr>
                <w:rFonts w:ascii="Arial" w:cs="Arial" w:eastAsia="Arial" w:hAnsi="Arial"/>
                <w:sz w:val="14"/>
                <w:szCs w:val="14"/>
                <w:b w:val="1"/>
                <w:bCs w:val="1"/>
                <w:color w:val="auto"/>
              </w:rPr>
              <w:t>January 3,</w:t>
            </w:r>
          </w:p>
        </w:tc>
      </w:tr>
      <w:tr>
        <w:trPr>
          <w:trHeight w:val="192"/>
        </w:trPr>
        <w:tc>
          <w:tcPr>
            <w:tcW w:w="3040" w:type="dxa"/>
            <w:vAlign w:val="bottom"/>
            <w:tcBorders>
              <w:bottom w:val="single" w:sz="8" w:color="CCEEFF"/>
            </w:tcBorders>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173"/>
              <w:spacing w:after="0"/>
              <w:rPr>
                <w:sz w:val="20"/>
                <w:szCs w:val="20"/>
                <w:color w:val="auto"/>
              </w:rPr>
            </w:pPr>
            <w:r>
              <w:rPr>
                <w:rFonts w:ascii="Arial" w:cs="Arial" w:eastAsia="Arial" w:hAnsi="Arial"/>
                <w:sz w:val="14"/>
                <w:szCs w:val="14"/>
                <w:b w:val="1"/>
                <w:bCs w:val="1"/>
                <w:color w:val="auto"/>
              </w:rPr>
              <w:t>2016</w:t>
            </w:r>
          </w:p>
        </w:tc>
        <w:tc>
          <w:tcPr>
            <w:tcW w:w="720" w:type="dxa"/>
            <w:vAlign w:val="bottom"/>
            <w:tcBorders>
              <w:bottom w:val="single" w:sz="8" w:color="auto"/>
            </w:tcBorders>
          </w:tcPr>
          <w:p>
            <w:pPr>
              <w:spacing w:after="0"/>
              <w:rPr>
                <w:sz w:val="16"/>
                <w:szCs w:val="16"/>
                <w:color w:val="auto"/>
              </w:rPr>
            </w:pPr>
          </w:p>
        </w:tc>
        <w:tc>
          <w:tcPr>
            <w:tcW w:w="60" w:type="dxa"/>
            <w:vAlign w:val="bottom"/>
            <w:tcBorders>
              <w:bottom w:val="single" w:sz="8" w:color="CCEEFF"/>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4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2015</w:t>
            </w:r>
          </w:p>
        </w:tc>
        <w:tc>
          <w:tcPr>
            <w:tcW w:w="12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4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gridSpan w:val="2"/>
          </w:tcPr>
          <w:p>
            <w:pPr>
              <w:jc w:val="right"/>
              <w:ind w:right="530"/>
              <w:spacing w:after="0"/>
              <w:rPr>
                <w:sz w:val="20"/>
                <w:szCs w:val="20"/>
                <w:color w:val="auto"/>
              </w:rPr>
            </w:pPr>
            <w:r>
              <w:rPr>
                <w:rFonts w:ascii="Arial" w:cs="Arial" w:eastAsia="Arial" w:hAnsi="Arial"/>
                <w:sz w:val="14"/>
                <w:szCs w:val="14"/>
                <w:b w:val="1"/>
                <w:bCs w:val="1"/>
                <w:color w:val="auto"/>
              </w:rPr>
              <w:t>2014</w:t>
            </w:r>
          </w:p>
        </w:tc>
        <w:tc>
          <w:tcPr>
            <w:tcW w:w="380" w:type="dxa"/>
            <w:vAlign w:val="bottom"/>
            <w:tcBorders>
              <w:bottom w:val="single" w:sz="8" w:color="auto"/>
            </w:tcBorders>
          </w:tcPr>
          <w:p>
            <w:pPr>
              <w:spacing w:after="0"/>
              <w:rPr>
                <w:sz w:val="16"/>
                <w:szCs w:val="16"/>
                <w:color w:val="auto"/>
              </w:rPr>
            </w:pPr>
          </w:p>
        </w:tc>
      </w:tr>
      <w:tr>
        <w:trPr>
          <w:trHeight w:val="250"/>
        </w:trPr>
        <w:tc>
          <w:tcPr>
            <w:tcW w:w="30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Statutory rate</w:t>
            </w: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333"/>
              <w:spacing w:after="0"/>
              <w:rPr>
                <w:sz w:val="20"/>
                <w:szCs w:val="20"/>
                <w:color w:val="auto"/>
              </w:rPr>
            </w:pPr>
            <w:r>
              <w:rPr>
                <w:rFonts w:ascii="Arial" w:cs="Arial" w:eastAsia="Arial" w:hAnsi="Arial"/>
                <w:sz w:val="18"/>
                <w:szCs w:val="18"/>
                <w:color w:val="auto"/>
              </w:rPr>
              <w:t>(5,495)</w:t>
            </w:r>
          </w:p>
        </w:tc>
        <w:tc>
          <w:tcPr>
            <w:tcW w:w="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35.0 %</w:t>
            </w:r>
          </w:p>
        </w:tc>
        <w:tc>
          <w:tcPr>
            <w:tcW w:w="6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134"/>
              <w:spacing w:after="0"/>
              <w:rPr>
                <w:sz w:val="20"/>
                <w:szCs w:val="20"/>
                <w:color w:val="auto"/>
              </w:rPr>
            </w:pPr>
            <w:r>
              <w:rPr>
                <w:rFonts w:ascii="Arial" w:cs="Arial" w:eastAsia="Arial" w:hAnsi="Arial"/>
                <w:sz w:val="18"/>
                <w:szCs w:val="18"/>
                <w:color w:val="auto"/>
              </w:rPr>
              <w:t>26,803</w:t>
            </w:r>
          </w:p>
        </w:tc>
        <w:tc>
          <w:tcPr>
            <w:tcW w:w="1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35.0 %</w:t>
            </w:r>
          </w:p>
        </w:tc>
        <w:tc>
          <w:tcPr>
            <w:tcW w:w="540" w:type="dxa"/>
            <w:vAlign w:val="bottom"/>
            <w:tcBorders>
              <w:bottom w:val="single" w:sz="8" w:color="CCEEFF"/>
            </w:tcBorders>
            <w:gridSpan w:val="2"/>
            <w:shd w:val="clear" w:color="auto" w:fill="CCEEFF"/>
          </w:tcPr>
          <w:p>
            <w:pPr>
              <w:jc w:val="right"/>
              <w:ind w:right="21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w w:val="98"/>
              </w:rPr>
              <w:t>17,093</w:t>
            </w:r>
          </w:p>
        </w:tc>
        <w:tc>
          <w:tcPr>
            <w:tcW w:w="108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35.0 %</w:t>
            </w:r>
          </w:p>
        </w:tc>
      </w:tr>
      <w:tr>
        <w:trPr>
          <w:trHeight w:val="243"/>
        </w:trPr>
        <w:tc>
          <w:tcPr>
            <w:tcW w:w="3040" w:type="dxa"/>
            <w:vAlign w:val="bottom"/>
          </w:tcPr>
          <w:p>
            <w:pPr>
              <w:ind w:left="20"/>
              <w:spacing w:after="0"/>
              <w:rPr>
                <w:sz w:val="20"/>
                <w:szCs w:val="20"/>
                <w:color w:val="auto"/>
              </w:rPr>
            </w:pPr>
            <w:r>
              <w:rPr>
                <w:rFonts w:ascii="Arial" w:cs="Arial" w:eastAsia="Arial" w:hAnsi="Arial"/>
                <w:sz w:val="18"/>
                <w:szCs w:val="18"/>
                <w:color w:val="auto"/>
              </w:rPr>
              <w:t>Federal tax credits</w:t>
            </w:r>
          </w:p>
        </w:tc>
        <w:tc>
          <w:tcPr>
            <w:tcW w:w="380" w:type="dxa"/>
            <w:vAlign w:val="bottom"/>
          </w:tcPr>
          <w:p>
            <w:pPr>
              <w:spacing w:after="0"/>
              <w:rPr>
                <w:sz w:val="21"/>
                <w:szCs w:val="21"/>
                <w:color w:val="auto"/>
              </w:rPr>
            </w:pPr>
          </w:p>
        </w:tc>
        <w:tc>
          <w:tcPr>
            <w:tcW w:w="1200" w:type="dxa"/>
            <w:vAlign w:val="bottom"/>
          </w:tcPr>
          <w:p>
            <w:pPr>
              <w:jc w:val="right"/>
              <w:ind w:right="333"/>
              <w:spacing w:after="0"/>
              <w:rPr>
                <w:sz w:val="20"/>
                <w:szCs w:val="20"/>
                <w:color w:val="auto"/>
              </w:rPr>
            </w:pPr>
            <w:r>
              <w:rPr>
                <w:rFonts w:ascii="Arial" w:cs="Arial" w:eastAsia="Arial" w:hAnsi="Arial"/>
                <w:sz w:val="18"/>
                <w:szCs w:val="18"/>
                <w:color w:val="auto"/>
              </w:rPr>
              <w:t>(1,850)</w:t>
            </w:r>
          </w:p>
        </w:tc>
        <w:tc>
          <w:tcPr>
            <w:tcW w:w="720" w:type="dxa"/>
            <w:vAlign w:val="bottom"/>
          </w:tcPr>
          <w:p>
            <w:pPr>
              <w:jc w:val="right"/>
              <w:ind w:right="130"/>
              <w:spacing w:after="0"/>
              <w:rPr>
                <w:sz w:val="20"/>
                <w:szCs w:val="20"/>
                <w:color w:val="auto"/>
              </w:rPr>
            </w:pPr>
            <w:r>
              <w:rPr>
                <w:rFonts w:ascii="Arial" w:cs="Arial" w:eastAsia="Arial" w:hAnsi="Arial"/>
                <w:sz w:val="18"/>
                <w:szCs w:val="18"/>
                <w:color w:val="auto"/>
              </w:rPr>
              <w:t>11.8</w:t>
            </w: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20" w:type="dxa"/>
            <w:vAlign w:val="bottom"/>
          </w:tcPr>
          <w:p>
            <w:pPr>
              <w:jc w:val="right"/>
              <w:ind w:right="74"/>
              <w:spacing w:after="0"/>
              <w:rPr>
                <w:sz w:val="20"/>
                <w:szCs w:val="20"/>
                <w:color w:val="auto"/>
              </w:rPr>
            </w:pPr>
            <w:r>
              <w:rPr>
                <w:rFonts w:ascii="Arial" w:cs="Arial" w:eastAsia="Arial" w:hAnsi="Arial"/>
                <w:sz w:val="18"/>
                <w:szCs w:val="18"/>
                <w:color w:val="auto"/>
              </w:rPr>
              <w:t>(1,600)</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40" w:type="dxa"/>
            <w:vAlign w:val="bottom"/>
          </w:tcPr>
          <w:p>
            <w:pPr>
              <w:jc w:val="right"/>
              <w:ind w:right="75"/>
              <w:spacing w:after="0"/>
              <w:rPr>
                <w:sz w:val="20"/>
                <w:szCs w:val="20"/>
                <w:color w:val="auto"/>
              </w:rPr>
            </w:pPr>
            <w:r>
              <w:rPr>
                <w:rFonts w:ascii="Arial" w:cs="Arial" w:eastAsia="Arial" w:hAnsi="Arial"/>
                <w:sz w:val="18"/>
                <w:szCs w:val="18"/>
                <w:color w:val="auto"/>
              </w:rPr>
              <w:t>(2.1)</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(3,651)</w:t>
            </w: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(7.5)</w:t>
            </w:r>
          </w:p>
        </w:tc>
      </w:tr>
      <w:tr>
        <w:trPr>
          <w:trHeight w:val="27"/>
        </w:trPr>
        <w:tc>
          <w:tcPr>
            <w:tcW w:w="30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720" w:type="dxa"/>
            <w:vAlign w:val="bottom"/>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180" w:type="dxa"/>
            <w:vAlign w:val="bottom"/>
          </w:tcPr>
          <w:p>
            <w:pPr>
              <w:spacing w:after="0"/>
              <w:rPr>
                <w:sz w:val="2"/>
                <w:szCs w:val="2"/>
                <w:color w:val="auto"/>
              </w:rPr>
            </w:pPr>
          </w:p>
        </w:tc>
        <w:tc>
          <w:tcPr>
            <w:tcW w:w="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r>
      <w:tr>
        <w:trPr>
          <w:trHeight w:val="250"/>
        </w:trPr>
        <w:tc>
          <w:tcPr>
            <w:tcW w:w="30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Foreign rate differential</w:t>
            </w:r>
          </w:p>
        </w:tc>
        <w:tc>
          <w:tcPr>
            <w:tcW w:w="3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33"/>
              <w:spacing w:after="0"/>
              <w:rPr>
                <w:sz w:val="20"/>
                <w:szCs w:val="20"/>
                <w:color w:val="auto"/>
              </w:rPr>
            </w:pPr>
            <w:r>
              <w:rPr>
                <w:rFonts w:ascii="Arial" w:cs="Arial" w:eastAsia="Arial" w:hAnsi="Arial"/>
                <w:sz w:val="18"/>
                <w:szCs w:val="18"/>
                <w:color w:val="auto"/>
              </w:rPr>
              <w:t>(3,180)</w:t>
            </w:r>
          </w:p>
        </w:tc>
        <w:tc>
          <w:tcPr>
            <w:tcW w:w="72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20.2</w:t>
            </w:r>
          </w:p>
        </w:tc>
        <w:tc>
          <w:tcPr>
            <w:tcW w:w="6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color w:val="auto"/>
              </w:rPr>
              <w:t>(3,276)</w:t>
            </w:r>
          </w:p>
        </w:tc>
        <w:tc>
          <w:tcPr>
            <w:tcW w:w="1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8"/>
                <w:szCs w:val="18"/>
                <w:color w:val="auto"/>
              </w:rPr>
              <w:t>(4.3)</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(348)</w:t>
            </w:r>
          </w:p>
        </w:tc>
        <w:tc>
          <w:tcPr>
            <w:tcW w:w="108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(0.7)</w:t>
            </w:r>
          </w:p>
        </w:tc>
      </w:tr>
      <w:tr>
        <w:trPr>
          <w:trHeight w:val="243"/>
        </w:trPr>
        <w:tc>
          <w:tcPr>
            <w:tcW w:w="3040" w:type="dxa"/>
            <w:vAlign w:val="bottom"/>
          </w:tcPr>
          <w:p>
            <w:pPr>
              <w:ind w:left="20"/>
              <w:spacing w:after="0"/>
              <w:rPr>
                <w:sz w:val="20"/>
                <w:szCs w:val="20"/>
                <w:color w:val="auto"/>
              </w:rPr>
            </w:pPr>
            <w:r>
              <w:rPr>
                <w:rFonts w:ascii="Arial" w:cs="Arial" w:eastAsia="Arial" w:hAnsi="Arial"/>
                <w:sz w:val="18"/>
                <w:szCs w:val="18"/>
                <w:color w:val="auto"/>
              </w:rPr>
              <w:t>Uncertain tax positions</w:t>
            </w:r>
          </w:p>
        </w:tc>
        <w:tc>
          <w:tcPr>
            <w:tcW w:w="380" w:type="dxa"/>
            <w:vAlign w:val="bottom"/>
          </w:tcPr>
          <w:p>
            <w:pPr>
              <w:spacing w:after="0"/>
              <w:rPr>
                <w:sz w:val="21"/>
                <w:szCs w:val="21"/>
                <w:color w:val="auto"/>
              </w:rPr>
            </w:pPr>
          </w:p>
        </w:tc>
        <w:tc>
          <w:tcPr>
            <w:tcW w:w="1200" w:type="dxa"/>
            <w:vAlign w:val="bottom"/>
          </w:tcPr>
          <w:p>
            <w:pPr>
              <w:jc w:val="right"/>
              <w:ind w:right="333"/>
              <w:spacing w:after="0"/>
              <w:rPr>
                <w:sz w:val="20"/>
                <w:szCs w:val="20"/>
                <w:color w:val="auto"/>
              </w:rPr>
            </w:pPr>
            <w:r>
              <w:rPr>
                <w:rFonts w:ascii="Arial" w:cs="Arial" w:eastAsia="Arial" w:hAnsi="Arial"/>
                <w:sz w:val="18"/>
                <w:szCs w:val="18"/>
                <w:color w:val="auto"/>
              </w:rPr>
              <w:t>(531)</w:t>
            </w:r>
          </w:p>
        </w:tc>
        <w:tc>
          <w:tcPr>
            <w:tcW w:w="720" w:type="dxa"/>
            <w:vAlign w:val="bottom"/>
          </w:tcPr>
          <w:p>
            <w:pPr>
              <w:jc w:val="right"/>
              <w:ind w:right="130"/>
              <w:spacing w:after="0"/>
              <w:rPr>
                <w:sz w:val="20"/>
                <w:szCs w:val="20"/>
                <w:color w:val="auto"/>
              </w:rPr>
            </w:pPr>
            <w:r>
              <w:rPr>
                <w:rFonts w:ascii="Arial" w:cs="Arial" w:eastAsia="Arial" w:hAnsi="Arial"/>
                <w:sz w:val="18"/>
                <w:szCs w:val="18"/>
                <w:color w:val="auto"/>
              </w:rPr>
              <w:t>3.4</w:t>
            </w: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20" w:type="dxa"/>
            <w:vAlign w:val="bottom"/>
          </w:tcPr>
          <w:p>
            <w:pPr>
              <w:jc w:val="right"/>
              <w:ind w:right="134"/>
              <w:spacing w:after="0"/>
              <w:rPr>
                <w:sz w:val="20"/>
                <w:szCs w:val="20"/>
                <w:color w:val="auto"/>
              </w:rPr>
            </w:pPr>
            <w:r>
              <w:rPr>
                <w:rFonts w:ascii="Arial" w:cs="Arial" w:eastAsia="Arial" w:hAnsi="Arial"/>
                <w:sz w:val="18"/>
                <w:szCs w:val="18"/>
                <w:color w:val="auto"/>
              </w:rPr>
              <w:t>412</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40" w:type="dxa"/>
            <w:vAlign w:val="bottom"/>
          </w:tcPr>
          <w:p>
            <w:pPr>
              <w:jc w:val="right"/>
              <w:ind w:right="135"/>
              <w:spacing w:after="0"/>
              <w:rPr>
                <w:sz w:val="20"/>
                <w:szCs w:val="20"/>
                <w:color w:val="auto"/>
              </w:rPr>
            </w:pPr>
            <w:r>
              <w:rPr>
                <w:rFonts w:ascii="Arial" w:cs="Arial" w:eastAsia="Arial" w:hAnsi="Arial"/>
                <w:sz w:val="18"/>
                <w:szCs w:val="18"/>
                <w:color w:val="auto"/>
              </w:rPr>
              <w:t>0.6</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80" w:type="dxa"/>
            <w:vAlign w:val="bottom"/>
          </w:tcPr>
          <w:p>
            <w:pPr>
              <w:jc w:val="right"/>
              <w:ind w:right="35"/>
              <w:spacing w:after="0"/>
              <w:rPr>
                <w:sz w:val="20"/>
                <w:szCs w:val="20"/>
                <w:color w:val="auto"/>
              </w:rPr>
            </w:pPr>
            <w:r>
              <w:rPr>
                <w:rFonts w:ascii="Arial" w:cs="Arial" w:eastAsia="Arial" w:hAnsi="Arial"/>
                <w:sz w:val="18"/>
                <w:szCs w:val="18"/>
                <w:color w:val="auto"/>
              </w:rPr>
              <w:t>831</w:t>
            </w: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1.7</w:t>
            </w:r>
          </w:p>
        </w:tc>
      </w:tr>
      <w:tr>
        <w:trPr>
          <w:trHeight w:val="27"/>
        </w:trPr>
        <w:tc>
          <w:tcPr>
            <w:tcW w:w="30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720" w:type="dxa"/>
            <w:vAlign w:val="bottom"/>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180" w:type="dxa"/>
            <w:vAlign w:val="bottom"/>
          </w:tcPr>
          <w:p>
            <w:pPr>
              <w:spacing w:after="0"/>
              <w:rPr>
                <w:sz w:val="2"/>
                <w:szCs w:val="2"/>
                <w:color w:val="auto"/>
              </w:rPr>
            </w:pPr>
          </w:p>
        </w:tc>
        <w:tc>
          <w:tcPr>
            <w:tcW w:w="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r>
      <w:tr>
        <w:trPr>
          <w:trHeight w:val="250"/>
        </w:trPr>
        <w:tc>
          <w:tcPr>
            <w:tcW w:w="30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State taxes, net of federal benefit</w:t>
            </w:r>
          </w:p>
        </w:tc>
        <w:tc>
          <w:tcPr>
            <w:tcW w:w="3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33"/>
              <w:spacing w:after="0"/>
              <w:rPr>
                <w:sz w:val="20"/>
                <w:szCs w:val="20"/>
                <w:color w:val="auto"/>
              </w:rPr>
            </w:pPr>
            <w:r>
              <w:rPr>
                <w:rFonts w:ascii="Arial" w:cs="Arial" w:eastAsia="Arial" w:hAnsi="Arial"/>
                <w:sz w:val="18"/>
                <w:szCs w:val="18"/>
                <w:color w:val="auto"/>
              </w:rPr>
              <w:t>(1,490)</w:t>
            </w:r>
          </w:p>
        </w:tc>
        <w:tc>
          <w:tcPr>
            <w:tcW w:w="72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9.5</w:t>
            </w:r>
          </w:p>
        </w:tc>
        <w:tc>
          <w:tcPr>
            <w:tcW w:w="6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34"/>
              <w:spacing w:after="0"/>
              <w:rPr>
                <w:sz w:val="20"/>
                <w:szCs w:val="20"/>
                <w:color w:val="auto"/>
              </w:rPr>
            </w:pPr>
            <w:r>
              <w:rPr>
                <w:rFonts w:ascii="Arial" w:cs="Arial" w:eastAsia="Arial" w:hAnsi="Arial"/>
                <w:sz w:val="18"/>
                <w:szCs w:val="18"/>
                <w:color w:val="auto"/>
              </w:rPr>
              <w:t>507</w:t>
            </w:r>
          </w:p>
        </w:tc>
        <w:tc>
          <w:tcPr>
            <w:tcW w:w="1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shd w:val="clear" w:color="auto" w:fill="CCEEFF"/>
          </w:tcPr>
          <w:p>
            <w:pPr>
              <w:jc w:val="right"/>
              <w:ind w:right="135"/>
              <w:spacing w:after="0"/>
              <w:rPr>
                <w:sz w:val="20"/>
                <w:szCs w:val="20"/>
                <w:color w:val="auto"/>
              </w:rPr>
            </w:pPr>
            <w:r>
              <w:rPr>
                <w:rFonts w:ascii="Arial" w:cs="Arial" w:eastAsia="Arial" w:hAnsi="Arial"/>
                <w:sz w:val="18"/>
                <w:szCs w:val="18"/>
                <w:color w:val="auto"/>
              </w:rPr>
              <w:t>0.7</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1,148</w:t>
            </w:r>
          </w:p>
        </w:tc>
        <w:tc>
          <w:tcPr>
            <w:tcW w:w="10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2.3</w:t>
            </w:r>
          </w:p>
        </w:tc>
      </w:tr>
      <w:tr>
        <w:trPr>
          <w:trHeight w:val="243"/>
        </w:trPr>
        <w:tc>
          <w:tcPr>
            <w:tcW w:w="3040" w:type="dxa"/>
            <w:vAlign w:val="bottom"/>
          </w:tcPr>
          <w:p>
            <w:pPr>
              <w:ind w:left="20"/>
              <w:spacing w:after="0"/>
              <w:rPr>
                <w:sz w:val="20"/>
                <w:szCs w:val="20"/>
                <w:color w:val="auto"/>
              </w:rPr>
            </w:pPr>
            <w:r>
              <w:rPr>
                <w:rFonts w:ascii="Arial" w:cs="Arial" w:eastAsia="Arial" w:hAnsi="Arial"/>
                <w:sz w:val="18"/>
                <w:szCs w:val="18"/>
                <w:color w:val="auto"/>
              </w:rPr>
              <w:t>Change in foreign tax rates</w:t>
            </w:r>
          </w:p>
        </w:tc>
        <w:tc>
          <w:tcPr>
            <w:tcW w:w="380" w:type="dxa"/>
            <w:vAlign w:val="bottom"/>
          </w:tcPr>
          <w:p>
            <w:pPr>
              <w:spacing w:after="0"/>
              <w:rPr>
                <w:sz w:val="21"/>
                <w:szCs w:val="21"/>
                <w:color w:val="auto"/>
              </w:rPr>
            </w:pPr>
          </w:p>
        </w:tc>
        <w:tc>
          <w:tcPr>
            <w:tcW w:w="1200" w:type="dxa"/>
            <w:vAlign w:val="bottom"/>
          </w:tcPr>
          <w:p>
            <w:pPr>
              <w:jc w:val="right"/>
              <w:ind w:right="333"/>
              <w:spacing w:after="0"/>
              <w:rPr>
                <w:sz w:val="20"/>
                <w:szCs w:val="20"/>
                <w:color w:val="auto"/>
              </w:rPr>
            </w:pPr>
            <w:r>
              <w:rPr>
                <w:rFonts w:ascii="Arial" w:cs="Arial" w:eastAsia="Arial" w:hAnsi="Arial"/>
                <w:sz w:val="18"/>
                <w:szCs w:val="18"/>
                <w:color w:val="auto"/>
              </w:rPr>
              <w:t>(91)</w:t>
            </w:r>
          </w:p>
        </w:tc>
        <w:tc>
          <w:tcPr>
            <w:tcW w:w="720" w:type="dxa"/>
            <w:vAlign w:val="bottom"/>
          </w:tcPr>
          <w:p>
            <w:pPr>
              <w:jc w:val="right"/>
              <w:ind w:right="130"/>
              <w:spacing w:after="0"/>
              <w:rPr>
                <w:sz w:val="20"/>
                <w:szCs w:val="20"/>
                <w:color w:val="auto"/>
              </w:rPr>
            </w:pPr>
            <w:r>
              <w:rPr>
                <w:rFonts w:ascii="Arial" w:cs="Arial" w:eastAsia="Arial" w:hAnsi="Arial"/>
                <w:sz w:val="18"/>
                <w:szCs w:val="18"/>
                <w:color w:val="auto"/>
              </w:rPr>
              <w:t>0.6</w:t>
            </w: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20" w:type="dxa"/>
            <w:vAlign w:val="bottom"/>
          </w:tcPr>
          <w:p>
            <w:pPr>
              <w:jc w:val="right"/>
              <w:ind w:right="74"/>
              <w:spacing w:after="0"/>
              <w:rPr>
                <w:sz w:val="20"/>
                <w:szCs w:val="20"/>
                <w:color w:val="auto"/>
              </w:rPr>
            </w:pPr>
            <w:r>
              <w:rPr>
                <w:rFonts w:ascii="Arial" w:cs="Arial" w:eastAsia="Arial" w:hAnsi="Arial"/>
                <w:sz w:val="18"/>
                <w:szCs w:val="18"/>
                <w:color w:val="auto"/>
              </w:rPr>
              <w:t>(446)</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40" w:type="dxa"/>
            <w:vAlign w:val="bottom"/>
          </w:tcPr>
          <w:p>
            <w:pPr>
              <w:jc w:val="right"/>
              <w:ind w:right="75"/>
              <w:spacing w:after="0"/>
              <w:rPr>
                <w:sz w:val="20"/>
                <w:szCs w:val="20"/>
                <w:color w:val="auto"/>
              </w:rPr>
            </w:pPr>
            <w:r>
              <w:rPr>
                <w:rFonts w:ascii="Arial" w:cs="Arial" w:eastAsia="Arial" w:hAnsi="Arial"/>
                <w:sz w:val="18"/>
                <w:szCs w:val="18"/>
                <w:color w:val="auto"/>
              </w:rPr>
              <w:t>(0.6)</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(1,806)</w:t>
            </w: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(3.7)</w:t>
            </w:r>
          </w:p>
        </w:tc>
      </w:tr>
      <w:tr>
        <w:trPr>
          <w:trHeight w:val="27"/>
        </w:trPr>
        <w:tc>
          <w:tcPr>
            <w:tcW w:w="30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720" w:type="dxa"/>
            <w:vAlign w:val="bottom"/>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60" w:type="dxa"/>
            <w:vAlign w:val="bottom"/>
            <w:gridSpan w:val="3"/>
          </w:tcPr>
          <w:p>
            <w:pPr>
              <w:spacing w:after="0"/>
              <w:rPr>
                <w:sz w:val="2"/>
                <w:szCs w:val="2"/>
                <w:color w:val="auto"/>
              </w:rPr>
            </w:pPr>
          </w:p>
        </w:tc>
        <w:tc>
          <w:tcPr>
            <w:tcW w:w="180" w:type="dxa"/>
            <w:vAlign w:val="bottom"/>
          </w:tcPr>
          <w:p>
            <w:pPr>
              <w:spacing w:after="0"/>
              <w:rPr>
                <w:sz w:val="2"/>
                <w:szCs w:val="2"/>
                <w:color w:val="auto"/>
              </w:rPr>
            </w:pPr>
          </w:p>
        </w:tc>
        <w:tc>
          <w:tcPr>
            <w:tcW w:w="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r>
      <w:tr>
        <w:trPr>
          <w:trHeight w:val="250"/>
        </w:trPr>
        <w:tc>
          <w:tcPr>
            <w:tcW w:w="30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Non-deductible transaction costs</w:t>
            </w:r>
          </w:p>
        </w:tc>
        <w:tc>
          <w:tcPr>
            <w:tcW w:w="3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93"/>
              <w:spacing w:after="0"/>
              <w:rPr>
                <w:sz w:val="20"/>
                <w:szCs w:val="20"/>
                <w:color w:val="auto"/>
              </w:rPr>
            </w:pPr>
            <w:r>
              <w:rPr>
                <w:rFonts w:ascii="Arial" w:cs="Arial" w:eastAsia="Arial" w:hAnsi="Arial"/>
                <w:sz w:val="18"/>
                <w:szCs w:val="18"/>
                <w:color w:val="auto"/>
              </w:rPr>
              <w:t>4,867</w:t>
            </w:r>
          </w:p>
        </w:tc>
        <w:tc>
          <w:tcPr>
            <w:tcW w:w="72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(31.0)</w:t>
            </w:r>
          </w:p>
        </w:tc>
        <w:tc>
          <w:tcPr>
            <w:tcW w:w="6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gridSpan w:val="3"/>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shd w:val="clear" w:color="auto" w:fill="CCEEFF"/>
          </w:tcPr>
          <w:p>
            <w:pPr>
              <w:jc w:val="right"/>
              <w:ind w:right="135"/>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w:t>
            </w:r>
          </w:p>
        </w:tc>
        <w:tc>
          <w:tcPr>
            <w:tcW w:w="10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r>
      <w:tr>
        <w:trPr>
          <w:trHeight w:val="243"/>
        </w:trPr>
        <w:tc>
          <w:tcPr>
            <w:tcW w:w="3040" w:type="dxa"/>
            <w:vAlign w:val="bottom"/>
          </w:tcPr>
          <w:p>
            <w:pPr>
              <w:ind w:left="20"/>
              <w:spacing w:after="0"/>
              <w:rPr>
                <w:sz w:val="20"/>
                <w:szCs w:val="20"/>
                <w:color w:val="auto"/>
              </w:rPr>
            </w:pPr>
            <w:r>
              <w:rPr>
                <w:rFonts w:ascii="Arial" w:cs="Arial" w:eastAsia="Arial" w:hAnsi="Arial"/>
                <w:sz w:val="18"/>
                <w:szCs w:val="18"/>
                <w:color w:val="auto"/>
              </w:rPr>
              <w:t>Valuation allowance</w:t>
            </w:r>
          </w:p>
        </w:tc>
        <w:tc>
          <w:tcPr>
            <w:tcW w:w="380" w:type="dxa"/>
            <w:vAlign w:val="bottom"/>
          </w:tcPr>
          <w:p>
            <w:pPr>
              <w:spacing w:after="0"/>
              <w:rPr>
                <w:sz w:val="21"/>
                <w:szCs w:val="21"/>
                <w:color w:val="auto"/>
              </w:rPr>
            </w:pPr>
          </w:p>
        </w:tc>
        <w:tc>
          <w:tcPr>
            <w:tcW w:w="1200" w:type="dxa"/>
            <w:vAlign w:val="bottom"/>
          </w:tcPr>
          <w:p>
            <w:pPr>
              <w:jc w:val="right"/>
              <w:ind w:right="393"/>
              <w:spacing w:after="0"/>
              <w:rPr>
                <w:sz w:val="20"/>
                <w:szCs w:val="20"/>
                <w:color w:val="auto"/>
              </w:rPr>
            </w:pPr>
            <w:r>
              <w:rPr>
                <w:rFonts w:ascii="Arial" w:cs="Arial" w:eastAsia="Arial" w:hAnsi="Arial"/>
                <w:sz w:val="18"/>
                <w:szCs w:val="18"/>
                <w:color w:val="auto"/>
              </w:rPr>
              <w:t>626</w:t>
            </w:r>
          </w:p>
        </w:tc>
        <w:tc>
          <w:tcPr>
            <w:tcW w:w="720" w:type="dxa"/>
            <w:vAlign w:val="bottom"/>
          </w:tcPr>
          <w:p>
            <w:pPr>
              <w:jc w:val="right"/>
              <w:ind w:right="70"/>
              <w:spacing w:after="0"/>
              <w:rPr>
                <w:sz w:val="20"/>
                <w:szCs w:val="20"/>
                <w:color w:val="auto"/>
              </w:rPr>
            </w:pPr>
            <w:r>
              <w:rPr>
                <w:rFonts w:ascii="Arial" w:cs="Arial" w:eastAsia="Arial" w:hAnsi="Arial"/>
                <w:sz w:val="18"/>
                <w:szCs w:val="18"/>
                <w:color w:val="auto"/>
              </w:rPr>
              <w:t>(4.0)</w:t>
            </w: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20" w:type="dxa"/>
            <w:vAlign w:val="bottom"/>
          </w:tcPr>
          <w:p>
            <w:pPr>
              <w:jc w:val="right"/>
              <w:ind w:right="74"/>
              <w:spacing w:after="0"/>
              <w:rPr>
                <w:sz w:val="20"/>
                <w:szCs w:val="20"/>
                <w:color w:val="auto"/>
              </w:rPr>
            </w:pPr>
            <w:r>
              <w:rPr>
                <w:rFonts w:ascii="Arial" w:cs="Arial" w:eastAsia="Arial" w:hAnsi="Arial"/>
                <w:sz w:val="18"/>
                <w:szCs w:val="18"/>
                <w:color w:val="auto"/>
              </w:rPr>
              <w:t>(299)</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40" w:type="dxa"/>
            <w:vAlign w:val="bottom"/>
          </w:tcPr>
          <w:p>
            <w:pPr>
              <w:jc w:val="right"/>
              <w:ind w:right="75"/>
              <w:spacing w:after="0"/>
              <w:rPr>
                <w:sz w:val="20"/>
                <w:szCs w:val="20"/>
                <w:color w:val="auto"/>
              </w:rPr>
            </w:pPr>
            <w:r>
              <w:rPr>
                <w:rFonts w:ascii="Arial" w:cs="Arial" w:eastAsia="Arial" w:hAnsi="Arial"/>
                <w:sz w:val="18"/>
                <w:szCs w:val="18"/>
                <w:color w:val="auto"/>
              </w:rPr>
              <w:t>(0.4)</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80" w:type="dxa"/>
            <w:vAlign w:val="bottom"/>
          </w:tcPr>
          <w:p>
            <w:pPr>
              <w:jc w:val="right"/>
              <w:ind w:right="35"/>
              <w:spacing w:after="0"/>
              <w:rPr>
                <w:sz w:val="20"/>
                <w:szCs w:val="20"/>
                <w:color w:val="auto"/>
              </w:rPr>
            </w:pPr>
            <w:r>
              <w:rPr>
                <w:rFonts w:ascii="Arial" w:cs="Arial" w:eastAsia="Arial" w:hAnsi="Arial"/>
                <w:sz w:val="18"/>
                <w:szCs w:val="18"/>
                <w:color w:val="auto"/>
              </w:rPr>
              <w:t>186</w:t>
            </w: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0.4</w:t>
            </w:r>
          </w:p>
        </w:tc>
      </w:tr>
      <w:tr>
        <w:trPr>
          <w:trHeight w:val="27"/>
        </w:trPr>
        <w:tc>
          <w:tcPr>
            <w:tcW w:w="30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720" w:type="dxa"/>
            <w:vAlign w:val="bottom"/>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180" w:type="dxa"/>
            <w:vAlign w:val="bottom"/>
          </w:tcPr>
          <w:p>
            <w:pPr>
              <w:spacing w:after="0"/>
              <w:rPr>
                <w:sz w:val="2"/>
                <w:szCs w:val="2"/>
                <w:color w:val="auto"/>
              </w:rPr>
            </w:pPr>
          </w:p>
        </w:tc>
        <w:tc>
          <w:tcPr>
            <w:tcW w:w="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r>
      <w:tr>
        <w:trPr>
          <w:trHeight w:val="270"/>
        </w:trPr>
        <w:tc>
          <w:tcPr>
            <w:tcW w:w="30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Other</w:t>
            </w:r>
          </w:p>
        </w:tc>
        <w:tc>
          <w:tcPr>
            <w:tcW w:w="38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333"/>
              <w:spacing w:after="0"/>
              <w:rPr>
                <w:sz w:val="20"/>
                <w:szCs w:val="20"/>
                <w:color w:val="auto"/>
              </w:rPr>
            </w:pPr>
            <w:r>
              <w:rPr>
                <w:rFonts w:ascii="Arial" w:cs="Arial" w:eastAsia="Arial" w:hAnsi="Arial"/>
                <w:sz w:val="18"/>
                <w:szCs w:val="18"/>
                <w:color w:val="auto"/>
              </w:rPr>
              <w:t>(962)</w:t>
            </w:r>
          </w:p>
        </w:tc>
        <w:tc>
          <w:tcPr>
            <w:tcW w:w="72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6.1</w:t>
            </w:r>
          </w:p>
        </w:tc>
        <w:tc>
          <w:tcPr>
            <w:tcW w:w="6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4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color w:val="auto"/>
              </w:rPr>
              <w:t>(980)</w:t>
            </w:r>
          </w:p>
        </w:tc>
        <w:tc>
          <w:tcPr>
            <w:tcW w:w="12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64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8"/>
                <w:szCs w:val="18"/>
                <w:color w:val="auto"/>
              </w:rPr>
              <w:t>(1.3)</w:t>
            </w:r>
          </w:p>
        </w:tc>
        <w:tc>
          <w:tcPr>
            <w:tcW w:w="120" w:type="dxa"/>
            <w:vAlign w:val="bottom"/>
            <w:tcBorders>
              <w:bottom w:val="single" w:sz="8" w:color="CCEEFF"/>
            </w:tcBorders>
            <w:shd w:val="clear" w:color="auto" w:fill="CCEEFF"/>
          </w:tcPr>
          <w:p>
            <w:pPr>
              <w:spacing w:after="0"/>
              <w:rPr>
                <w:sz w:val="23"/>
                <w:szCs w:val="23"/>
                <w:color w:val="auto"/>
              </w:rPr>
            </w:pPr>
          </w:p>
        </w:tc>
        <w:tc>
          <w:tcPr>
            <w:tcW w:w="42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(882)</w:t>
            </w:r>
          </w:p>
        </w:tc>
        <w:tc>
          <w:tcPr>
            <w:tcW w:w="108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(1.8)</w:t>
            </w:r>
          </w:p>
        </w:tc>
      </w:tr>
      <w:tr>
        <w:trPr>
          <w:trHeight w:val="257"/>
        </w:trPr>
        <w:tc>
          <w:tcPr>
            <w:tcW w:w="3040" w:type="dxa"/>
            <w:vAlign w:val="bottom"/>
          </w:tcPr>
          <w:p>
            <w:pPr>
              <w:ind w:left="260"/>
              <w:spacing w:after="0"/>
              <w:rPr>
                <w:sz w:val="20"/>
                <w:szCs w:val="20"/>
                <w:color w:val="auto"/>
              </w:rPr>
            </w:pPr>
            <w:r>
              <w:rPr>
                <w:rFonts w:ascii="Arial" w:cs="Arial" w:eastAsia="Arial" w:hAnsi="Arial"/>
                <w:sz w:val="18"/>
                <w:szCs w:val="18"/>
                <w:color w:val="auto"/>
              </w:rPr>
              <w:t>Effective tax rate</w:t>
            </w:r>
          </w:p>
        </w:tc>
        <w:tc>
          <w:tcPr>
            <w:tcW w:w="380" w:type="dxa"/>
            <w:vAlign w:val="bottom"/>
            <w:tcBorders>
              <w:top w:val="single" w:sz="8" w:color="auto"/>
              <w:bottom w:val="single" w:sz="8" w:color="auto"/>
            </w:tcBorders>
          </w:tcPr>
          <w:p>
            <w:pPr>
              <w:jc w:val="right"/>
              <w:ind w:right="17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ind w:right="333"/>
              <w:spacing w:after="0"/>
              <w:rPr>
                <w:sz w:val="20"/>
                <w:szCs w:val="20"/>
                <w:color w:val="auto"/>
              </w:rPr>
            </w:pPr>
            <w:r>
              <w:rPr>
                <w:rFonts w:ascii="Arial" w:cs="Arial" w:eastAsia="Arial" w:hAnsi="Arial"/>
                <w:sz w:val="18"/>
                <w:szCs w:val="18"/>
                <w:color w:val="auto"/>
              </w:rPr>
              <w:t>(8,106)</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51.6 %</w:t>
            </w:r>
          </w:p>
        </w:tc>
        <w:tc>
          <w:tcPr>
            <w:tcW w:w="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1120" w:type="dxa"/>
            <w:vAlign w:val="bottom"/>
            <w:tcBorders>
              <w:top w:val="single" w:sz="8" w:color="auto"/>
              <w:bottom w:val="single" w:sz="8" w:color="auto"/>
            </w:tcBorders>
          </w:tcPr>
          <w:p>
            <w:pPr>
              <w:jc w:val="right"/>
              <w:ind w:right="134"/>
              <w:spacing w:after="0"/>
              <w:rPr>
                <w:sz w:val="20"/>
                <w:szCs w:val="20"/>
                <w:color w:val="auto"/>
              </w:rPr>
            </w:pPr>
            <w:r>
              <w:rPr>
                <w:rFonts w:ascii="Arial" w:cs="Arial" w:eastAsia="Arial" w:hAnsi="Arial"/>
                <w:sz w:val="18"/>
                <w:szCs w:val="18"/>
                <w:color w:val="auto"/>
              </w:rPr>
              <w:t>21,121</w:t>
            </w:r>
          </w:p>
        </w:tc>
        <w:tc>
          <w:tcPr>
            <w:tcW w:w="120" w:type="dxa"/>
            <w:vAlign w:val="bottom"/>
            <w:tcBorders>
              <w:top w:val="single" w:sz="8" w:color="auto"/>
              <w:bottom w:val="single" w:sz="8" w:color="auto"/>
            </w:tcBorders>
          </w:tcPr>
          <w:p>
            <w:pPr>
              <w:spacing w:after="0"/>
              <w:rPr>
                <w:sz w:val="22"/>
                <w:szCs w:val="22"/>
                <w:color w:val="auto"/>
              </w:rPr>
            </w:pPr>
          </w:p>
        </w:tc>
        <w:tc>
          <w:tcPr>
            <w:tcW w:w="20" w:type="dxa"/>
            <w:vAlign w:val="bottom"/>
            <w:tcBorders>
              <w:top w:val="single" w:sz="8" w:color="auto"/>
              <w:bottom w:val="single" w:sz="8" w:color="auto"/>
            </w:tcBorders>
          </w:tcPr>
          <w:p>
            <w:pPr>
              <w:spacing w:after="0"/>
              <w:rPr>
                <w:sz w:val="22"/>
                <w:szCs w:val="22"/>
                <w:color w:val="auto"/>
              </w:rPr>
            </w:pPr>
          </w:p>
        </w:tc>
        <w:tc>
          <w:tcPr>
            <w:tcW w:w="180" w:type="dxa"/>
            <w:vAlign w:val="bottom"/>
            <w:tcBorders>
              <w:top w:val="single" w:sz="8" w:color="auto"/>
              <w:bottom w:val="single" w:sz="8" w:color="auto"/>
            </w:tcBorders>
          </w:tcPr>
          <w:p>
            <w:pPr>
              <w:spacing w:after="0"/>
              <w:rPr>
                <w:sz w:val="22"/>
                <w:szCs w:val="22"/>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27.6 %</w:t>
            </w:r>
          </w:p>
        </w:tc>
        <w:tc>
          <w:tcPr>
            <w:tcW w:w="120" w:type="dxa"/>
            <w:vAlign w:val="bottom"/>
          </w:tcPr>
          <w:p>
            <w:pPr>
              <w:spacing w:after="0"/>
              <w:rPr>
                <w:sz w:val="22"/>
                <w:szCs w:val="22"/>
                <w:color w:val="auto"/>
              </w:rPr>
            </w:pPr>
          </w:p>
        </w:tc>
        <w:tc>
          <w:tcPr>
            <w:tcW w:w="420" w:type="dxa"/>
            <w:vAlign w:val="bottom"/>
            <w:tcBorders>
              <w:top w:val="single" w:sz="8" w:color="auto"/>
              <w:bottom w:val="single" w:sz="8" w:color="auto"/>
            </w:tcBorders>
          </w:tcPr>
          <w:p>
            <w:pPr>
              <w:jc w:val="right"/>
              <w:ind w:right="210"/>
              <w:spacing w:after="0"/>
              <w:rPr>
                <w:sz w:val="20"/>
                <w:szCs w:val="20"/>
                <w:color w:val="auto"/>
              </w:rPr>
            </w:pPr>
            <w:r>
              <w:rPr>
                <w:rFonts w:ascii="Arial" w:cs="Arial" w:eastAsia="Arial" w:hAnsi="Arial"/>
                <w:sz w:val="18"/>
                <w:szCs w:val="18"/>
                <w:color w:val="auto"/>
                <w:w w:val="99"/>
              </w:rPr>
              <w:t>$</w:t>
            </w:r>
          </w:p>
        </w:tc>
        <w:tc>
          <w:tcPr>
            <w:tcW w:w="120" w:type="dxa"/>
            <w:vAlign w:val="bottom"/>
            <w:tcBorders>
              <w:top w:val="single" w:sz="8" w:color="auto"/>
              <w:bottom w:val="single" w:sz="8" w:color="auto"/>
            </w:tcBorders>
          </w:tcPr>
          <w:p>
            <w:pPr>
              <w:spacing w:after="0"/>
              <w:rPr>
                <w:sz w:val="22"/>
                <w:szCs w:val="22"/>
                <w:color w:val="auto"/>
              </w:rPr>
            </w:pPr>
          </w:p>
        </w:tc>
        <w:tc>
          <w:tcPr>
            <w:tcW w:w="680" w:type="dxa"/>
            <w:vAlign w:val="bottom"/>
            <w:tcBorders>
              <w:top w:val="single" w:sz="8" w:color="auto"/>
              <w:bottom w:val="single" w:sz="8" w:color="auto"/>
            </w:tcBorders>
          </w:tcPr>
          <w:p>
            <w:pPr>
              <w:jc w:val="right"/>
              <w:ind w:right="35"/>
              <w:spacing w:after="0"/>
              <w:rPr>
                <w:sz w:val="20"/>
                <w:szCs w:val="20"/>
                <w:color w:val="auto"/>
              </w:rPr>
            </w:pPr>
            <w:r>
              <w:rPr>
                <w:rFonts w:ascii="Arial" w:cs="Arial" w:eastAsia="Arial" w:hAnsi="Arial"/>
                <w:sz w:val="18"/>
                <w:szCs w:val="18"/>
                <w:color w:val="auto"/>
                <w:w w:val="98"/>
              </w:rPr>
              <w:t>12,571</w:t>
            </w:r>
          </w:p>
        </w:tc>
        <w:tc>
          <w:tcPr>
            <w:tcW w:w="1080" w:type="dxa"/>
            <w:vAlign w:val="bottom"/>
            <w:tcBorders>
              <w:top w:val="single" w:sz="8" w:color="auto"/>
              <w:bottom w:val="single" w:sz="8" w:color="auto"/>
            </w:tcBorders>
            <w:gridSpan w:val="2"/>
          </w:tcPr>
          <w:p>
            <w:pPr>
              <w:jc w:val="right"/>
              <w:ind w:right="40"/>
              <w:spacing w:after="0"/>
              <w:rPr>
                <w:sz w:val="20"/>
                <w:szCs w:val="20"/>
                <w:color w:val="auto"/>
              </w:rPr>
            </w:pPr>
            <w:r>
              <w:rPr>
                <w:rFonts w:ascii="Arial" w:cs="Arial" w:eastAsia="Arial" w:hAnsi="Arial"/>
                <w:sz w:val="18"/>
                <w:szCs w:val="18"/>
                <w:color w:val="auto"/>
              </w:rPr>
              <w:t>25.7 %</w:t>
            </w:r>
          </w:p>
        </w:tc>
      </w:tr>
      <w:tr>
        <w:trPr>
          <w:trHeight w:val="20"/>
        </w:trPr>
        <w:tc>
          <w:tcPr>
            <w:tcW w:w="304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r>
      <w:tr>
        <w:trPr>
          <w:trHeight w:val="554"/>
        </w:trPr>
        <w:tc>
          <w:tcPr>
            <w:tcW w:w="30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800" w:type="dxa"/>
            <w:vAlign w:val="bottom"/>
            <w:gridSpan w:val="3"/>
          </w:tcPr>
          <w:p>
            <w:pPr>
              <w:jc w:val="right"/>
              <w:ind w:right="20"/>
              <w:spacing w:after="0"/>
              <w:rPr>
                <w:sz w:val="20"/>
                <w:szCs w:val="20"/>
                <w:color w:val="auto"/>
              </w:rPr>
            </w:pPr>
            <w:r>
              <w:rPr>
                <w:rFonts w:ascii="Arial" w:cs="Arial" w:eastAsia="Arial" w:hAnsi="Arial"/>
                <w:sz w:val="18"/>
                <w:szCs w:val="18"/>
                <w:color w:val="auto"/>
              </w:rPr>
              <w:t>- 99 -</w:t>
            </w:r>
          </w:p>
        </w:tc>
        <w:tc>
          <w:tcPr>
            <w:tcW w:w="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80" w:type="dxa"/>
            <w:vAlign w:val="bottom"/>
          </w:tcPr>
          <w:p>
            <w:pPr>
              <w:spacing w:after="0"/>
              <w:rPr>
                <w:sz w:val="24"/>
                <w:szCs w:val="24"/>
                <w:color w:val="auto"/>
              </w:rPr>
            </w:pPr>
          </w:p>
        </w:tc>
      </w:tr>
    </w:tbl>
    <w:p>
      <w:pPr>
        <w:sectPr>
          <w:pgSz w:w="11900" w:h="16838" w:orient="portrait"/>
          <w:cols w:equalWidth="0" w:num="1">
            <w:col w:w="10625"/>
          </w:cols>
          <w:pgMar w:left="275" w:top="337" w:right="999" w:bottom="1440" w:gutter="0" w:footer="0" w:header="0"/>
        </w:sectPr>
      </w:pPr>
    </w:p>
    <w:bookmarkStart w:id="100" w:name="page101"/>
    <w:bookmarkEnd w:id="100"/>
    <w:p>
      <w:pPr>
        <w:jc w:val="center"/>
        <w:ind w:right="320"/>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ind w:right="32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left="60"/>
        <w:spacing w:after="0"/>
        <w:rPr>
          <w:sz w:val="20"/>
          <w:szCs w:val="20"/>
          <w:color w:val="auto"/>
        </w:rPr>
      </w:pPr>
      <w:r>
        <w:rPr>
          <w:rFonts w:ascii="Arial" w:cs="Arial" w:eastAsia="Arial" w:hAnsi="Arial"/>
          <w:sz w:val="18"/>
          <w:szCs w:val="18"/>
          <w:color w:val="auto"/>
        </w:rPr>
        <w:t>Deferred tax assets (liabilities) consist of the following (in thousands):</w:t>
      </w:r>
    </w:p>
    <w:p>
      <w:pPr>
        <w:spacing w:after="0" w:line="163" w:lineRule="exact"/>
        <w:rPr>
          <w:sz w:val="20"/>
          <w:szCs w:val="20"/>
          <w:color w:val="auto"/>
        </w:rPr>
      </w:pPr>
    </w:p>
    <w:tbl>
      <w:tblPr>
        <w:tblLayout w:type="fixed"/>
        <w:tblInd w:w="60" w:type="dxa"/>
        <w:tblCellMar>
          <w:top w:w="0" w:type="dxa"/>
          <w:left w:w="0" w:type="dxa"/>
          <w:bottom w:w="0" w:type="dxa"/>
          <w:right w:w="0" w:type="dxa"/>
        </w:tblCellMar>
      </w:tblPr>
      <w:tr>
        <w:trPr>
          <w:trHeight w:val="192"/>
        </w:trPr>
        <w:tc>
          <w:tcPr>
            <w:tcW w:w="698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spacing w:after="0"/>
              <w:rPr>
                <w:sz w:val="16"/>
                <w:szCs w:val="16"/>
                <w:color w:val="auto"/>
              </w:rPr>
            </w:pPr>
          </w:p>
        </w:tc>
        <w:tc>
          <w:tcPr>
            <w:tcW w:w="360" w:type="dxa"/>
            <w:vAlign w:val="bottom"/>
            <w:tcBorders>
              <w:bottom w:val="single" w:sz="8" w:color="auto"/>
            </w:tcBorders>
            <w:gridSpan w:val="3"/>
          </w:tcPr>
          <w:p>
            <w:pPr>
              <w:jc w:val="right"/>
              <w:ind w:right="110"/>
              <w:spacing w:after="0"/>
              <w:rPr>
                <w:sz w:val="20"/>
                <w:szCs w:val="20"/>
                <w:color w:val="auto"/>
              </w:rPr>
            </w:pPr>
            <w:r>
              <w:rPr>
                <w:rFonts w:ascii="Arial" w:cs="Arial" w:eastAsia="Arial" w:hAnsi="Arial"/>
                <w:sz w:val="14"/>
                <w:szCs w:val="14"/>
                <w:b w:val="1"/>
                <w:bCs w:val="1"/>
                <w:color w:val="auto"/>
                <w:w w:val="94"/>
              </w:rPr>
              <w:t>At</w:t>
            </w:r>
          </w:p>
        </w:tc>
        <w:tc>
          <w:tcPr>
            <w:tcW w:w="1160" w:type="dxa"/>
            <w:vAlign w:val="bottom"/>
            <w:tcBorders>
              <w:bottom w:val="single" w:sz="8" w:color="auto"/>
            </w:tcBorders>
          </w:tcPr>
          <w:p>
            <w:pPr>
              <w:spacing w:after="0"/>
              <w:rPr>
                <w:sz w:val="16"/>
                <w:szCs w:val="16"/>
                <w:color w:val="auto"/>
              </w:rPr>
            </w:pPr>
          </w:p>
        </w:tc>
      </w:tr>
      <w:tr>
        <w:trPr>
          <w:trHeight w:val="152"/>
        </w:trPr>
        <w:tc>
          <w:tcPr>
            <w:tcW w:w="69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160" w:type="dxa"/>
            <w:vAlign w:val="bottom"/>
          </w:tcPr>
          <w:p>
            <w:pPr>
              <w:jc w:val="right"/>
              <w:ind w:right="292"/>
              <w:spacing w:after="0" w:line="153" w:lineRule="exact"/>
              <w:rPr>
                <w:sz w:val="20"/>
                <w:szCs w:val="20"/>
                <w:color w:val="auto"/>
              </w:rPr>
            </w:pPr>
            <w:r>
              <w:rPr>
                <w:rFonts w:ascii="Arial" w:cs="Arial" w:eastAsia="Arial" w:hAnsi="Arial"/>
                <w:sz w:val="14"/>
                <w:szCs w:val="14"/>
                <w:b w:val="1"/>
                <w:bCs w:val="1"/>
                <w:color w:val="auto"/>
              </w:rPr>
              <w:t>January 1,</w:t>
            </w: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160" w:type="dxa"/>
            <w:vAlign w:val="bottom"/>
          </w:tcPr>
          <w:p>
            <w:pPr>
              <w:jc w:val="right"/>
              <w:ind w:right="292"/>
              <w:spacing w:after="0" w:line="153" w:lineRule="exact"/>
              <w:rPr>
                <w:sz w:val="20"/>
                <w:szCs w:val="20"/>
                <w:color w:val="auto"/>
              </w:rPr>
            </w:pPr>
            <w:r>
              <w:rPr>
                <w:rFonts w:ascii="Arial" w:cs="Arial" w:eastAsia="Arial" w:hAnsi="Arial"/>
                <w:sz w:val="14"/>
                <w:szCs w:val="14"/>
                <w:b w:val="1"/>
                <w:bCs w:val="1"/>
                <w:color w:val="auto"/>
              </w:rPr>
              <w:t>January 2,</w:t>
            </w:r>
          </w:p>
        </w:tc>
      </w:tr>
      <w:tr>
        <w:trPr>
          <w:trHeight w:val="192"/>
        </w:trPr>
        <w:tc>
          <w:tcPr>
            <w:tcW w:w="698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right"/>
              <w:ind w:right="452"/>
              <w:spacing w:after="0"/>
              <w:rPr>
                <w:sz w:val="20"/>
                <w:szCs w:val="20"/>
                <w:color w:val="auto"/>
              </w:rPr>
            </w:pPr>
            <w:r>
              <w:rPr>
                <w:rFonts w:ascii="Arial" w:cs="Arial" w:eastAsia="Arial" w:hAnsi="Arial"/>
                <w:sz w:val="14"/>
                <w:szCs w:val="14"/>
                <w:b w:val="1"/>
                <w:bCs w:val="1"/>
                <w:color w:val="auto"/>
              </w:rPr>
              <w:t>2016</w:t>
            </w:r>
          </w:p>
        </w:tc>
        <w:tc>
          <w:tcPr>
            <w:tcW w:w="2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right"/>
              <w:ind w:right="472"/>
              <w:spacing w:after="0"/>
              <w:rPr>
                <w:sz w:val="20"/>
                <w:szCs w:val="20"/>
                <w:color w:val="auto"/>
              </w:rPr>
            </w:pPr>
            <w:r>
              <w:rPr>
                <w:rFonts w:ascii="Arial" w:cs="Arial" w:eastAsia="Arial" w:hAnsi="Arial"/>
                <w:sz w:val="14"/>
                <w:szCs w:val="14"/>
                <w:b w:val="1"/>
                <w:bCs w:val="1"/>
                <w:color w:val="auto"/>
              </w:rPr>
              <w:t>2015</w:t>
            </w:r>
          </w:p>
        </w:tc>
      </w:tr>
      <w:tr>
        <w:trPr>
          <w:trHeight w:val="250"/>
        </w:trPr>
        <w:tc>
          <w:tcPr>
            <w:tcW w:w="6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Tax credits</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22,196</w:t>
            </w:r>
          </w:p>
        </w:tc>
        <w:tc>
          <w:tcPr>
            <w:tcW w:w="360" w:type="dxa"/>
            <w:vAlign w:val="bottom"/>
            <w:tcBorders>
              <w:bottom w:val="single" w:sz="8" w:color="CCEEFF"/>
            </w:tcBorders>
            <w:gridSpan w:val="3"/>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5,828</w:t>
            </w:r>
          </w:p>
        </w:tc>
      </w:tr>
      <w:tr>
        <w:trPr>
          <w:trHeight w:val="243"/>
        </w:trPr>
        <w:tc>
          <w:tcPr>
            <w:tcW w:w="6980" w:type="dxa"/>
            <w:vAlign w:val="bottom"/>
          </w:tcPr>
          <w:p>
            <w:pPr>
              <w:ind w:left="20"/>
              <w:spacing w:after="0"/>
              <w:rPr>
                <w:sz w:val="20"/>
                <w:szCs w:val="20"/>
                <w:color w:val="auto"/>
              </w:rPr>
            </w:pPr>
            <w:r>
              <w:rPr>
                <w:rFonts w:ascii="Arial" w:cs="Arial" w:eastAsia="Arial" w:hAnsi="Arial"/>
                <w:sz w:val="18"/>
                <w:szCs w:val="18"/>
                <w:color w:val="auto"/>
              </w:rPr>
              <w:t>Net operating loss carryforwards</w:t>
            </w:r>
          </w:p>
        </w:tc>
        <w:tc>
          <w:tcPr>
            <w:tcW w:w="24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153,949</w:t>
            </w: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6,721</w:t>
            </w:r>
          </w:p>
        </w:tc>
      </w:tr>
      <w:tr>
        <w:trPr>
          <w:trHeight w:val="27"/>
        </w:trPr>
        <w:tc>
          <w:tcPr>
            <w:tcW w:w="69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6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Inventories</w:t>
            </w:r>
          </w:p>
        </w:tc>
        <w:tc>
          <w:tcPr>
            <w:tcW w:w="2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6,543</w:t>
            </w: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3,335</w:t>
            </w:r>
          </w:p>
        </w:tc>
      </w:tr>
      <w:tr>
        <w:trPr>
          <w:trHeight w:val="243"/>
        </w:trPr>
        <w:tc>
          <w:tcPr>
            <w:tcW w:w="6980" w:type="dxa"/>
            <w:vAlign w:val="bottom"/>
          </w:tcPr>
          <w:p>
            <w:pPr>
              <w:ind w:left="20"/>
              <w:spacing w:after="0"/>
              <w:rPr>
                <w:sz w:val="20"/>
                <w:szCs w:val="20"/>
                <w:color w:val="auto"/>
              </w:rPr>
            </w:pPr>
            <w:r>
              <w:rPr>
                <w:rFonts w:ascii="Arial" w:cs="Arial" w:eastAsia="Arial" w:hAnsi="Arial"/>
                <w:sz w:val="18"/>
                <w:szCs w:val="18"/>
                <w:color w:val="auto"/>
              </w:rPr>
              <w:t>Accrued expenses</w:t>
            </w:r>
          </w:p>
        </w:tc>
        <w:tc>
          <w:tcPr>
            <w:tcW w:w="24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13,138</w:t>
            </w: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4,338</w:t>
            </w:r>
          </w:p>
        </w:tc>
      </w:tr>
      <w:tr>
        <w:trPr>
          <w:trHeight w:val="27"/>
        </w:trPr>
        <w:tc>
          <w:tcPr>
            <w:tcW w:w="69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6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Stock-based compensation</w:t>
            </w:r>
          </w:p>
        </w:tc>
        <w:tc>
          <w:tcPr>
            <w:tcW w:w="2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9,512</w:t>
            </w: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9,341</w:t>
            </w:r>
          </w:p>
        </w:tc>
      </w:tr>
      <w:tr>
        <w:trPr>
          <w:trHeight w:val="243"/>
        </w:trPr>
        <w:tc>
          <w:tcPr>
            <w:tcW w:w="6980" w:type="dxa"/>
            <w:vAlign w:val="bottom"/>
          </w:tcPr>
          <w:p>
            <w:pPr>
              <w:ind w:left="20"/>
              <w:spacing w:after="0"/>
              <w:rPr>
                <w:sz w:val="20"/>
                <w:szCs w:val="20"/>
                <w:color w:val="auto"/>
              </w:rPr>
            </w:pPr>
            <w:r>
              <w:rPr>
                <w:rFonts w:ascii="Arial" w:cs="Arial" w:eastAsia="Arial" w:hAnsi="Arial"/>
                <w:sz w:val="18"/>
                <w:szCs w:val="18"/>
                <w:color w:val="auto"/>
              </w:rPr>
              <w:t>Other</w:t>
            </w:r>
          </w:p>
        </w:tc>
        <w:tc>
          <w:tcPr>
            <w:tcW w:w="24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38</w:t>
            </w: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1,659</w:t>
            </w:r>
          </w:p>
        </w:tc>
      </w:tr>
      <w:tr>
        <w:trPr>
          <w:trHeight w:val="27"/>
        </w:trPr>
        <w:tc>
          <w:tcPr>
            <w:tcW w:w="698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r>
      <w:tr>
        <w:trPr>
          <w:trHeight w:val="244"/>
        </w:trPr>
        <w:tc>
          <w:tcPr>
            <w:tcW w:w="698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Gross deferred tax assets</w:t>
            </w:r>
          </w:p>
        </w:tc>
        <w:tc>
          <w:tcPr>
            <w:tcW w:w="2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205,376</w:t>
            </w: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31,222</w:t>
            </w:r>
          </w:p>
        </w:tc>
      </w:tr>
      <w:tr>
        <w:trPr>
          <w:trHeight w:val="243"/>
        </w:trPr>
        <w:tc>
          <w:tcPr>
            <w:tcW w:w="6980" w:type="dxa"/>
            <w:vAlign w:val="bottom"/>
          </w:tcPr>
          <w:p>
            <w:pPr>
              <w:ind w:left="20"/>
              <w:spacing w:after="0"/>
              <w:rPr>
                <w:sz w:val="20"/>
                <w:szCs w:val="20"/>
                <w:color w:val="auto"/>
              </w:rPr>
            </w:pPr>
            <w:r>
              <w:rPr>
                <w:rFonts w:ascii="Arial" w:cs="Arial" w:eastAsia="Arial" w:hAnsi="Arial"/>
                <w:sz w:val="18"/>
                <w:szCs w:val="18"/>
                <w:color w:val="auto"/>
              </w:rPr>
              <w:t>Less valuation allowance</w:t>
            </w:r>
          </w:p>
        </w:tc>
        <w:tc>
          <w:tcPr>
            <w:tcW w:w="24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(39,171)</w:t>
            </w: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(10,709)</w:t>
            </w:r>
          </w:p>
        </w:tc>
      </w:tr>
      <w:tr>
        <w:trPr>
          <w:trHeight w:val="27"/>
        </w:trPr>
        <w:tc>
          <w:tcPr>
            <w:tcW w:w="698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r>
      <w:tr>
        <w:trPr>
          <w:trHeight w:val="264"/>
        </w:trPr>
        <w:tc>
          <w:tcPr>
            <w:tcW w:w="698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Net deferred tax assets</w:t>
            </w:r>
          </w:p>
        </w:tc>
        <w:tc>
          <w:tcPr>
            <w:tcW w:w="24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166,205</w:t>
            </w:r>
          </w:p>
        </w:tc>
        <w:tc>
          <w:tcPr>
            <w:tcW w:w="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20,513</w:t>
            </w:r>
          </w:p>
        </w:tc>
      </w:tr>
      <w:tr>
        <w:trPr>
          <w:trHeight w:val="237"/>
        </w:trPr>
        <w:tc>
          <w:tcPr>
            <w:tcW w:w="6980" w:type="dxa"/>
            <w:vAlign w:val="bottom"/>
          </w:tcPr>
          <w:p>
            <w:pPr>
              <w:ind w:left="20"/>
              <w:spacing w:after="0"/>
              <w:rPr>
                <w:sz w:val="20"/>
                <w:szCs w:val="20"/>
                <w:color w:val="auto"/>
              </w:rPr>
            </w:pPr>
            <w:r>
              <w:rPr>
                <w:rFonts w:ascii="Arial" w:cs="Arial" w:eastAsia="Arial" w:hAnsi="Arial"/>
                <w:sz w:val="18"/>
                <w:szCs w:val="18"/>
                <w:color w:val="auto"/>
              </w:rPr>
              <w:t>Property, plant and equipment</w:t>
            </w:r>
          </w:p>
        </w:tc>
        <w:tc>
          <w:tcPr>
            <w:tcW w:w="24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(32,772)</w:t>
            </w:r>
          </w:p>
        </w:tc>
        <w:tc>
          <w:tcPr>
            <w:tcW w:w="2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(2,646)</w:t>
            </w:r>
          </w:p>
        </w:tc>
      </w:tr>
      <w:tr>
        <w:trPr>
          <w:trHeight w:val="27"/>
        </w:trPr>
        <w:tc>
          <w:tcPr>
            <w:tcW w:w="69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6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Intangible assets</w:t>
            </w:r>
          </w:p>
        </w:tc>
        <w:tc>
          <w:tcPr>
            <w:tcW w:w="2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(347,896)</w:t>
            </w: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(57,850)</w:t>
            </w:r>
          </w:p>
        </w:tc>
      </w:tr>
      <w:tr>
        <w:trPr>
          <w:trHeight w:val="243"/>
        </w:trPr>
        <w:tc>
          <w:tcPr>
            <w:tcW w:w="6980" w:type="dxa"/>
            <w:vAlign w:val="bottom"/>
          </w:tcPr>
          <w:p>
            <w:pPr>
              <w:ind w:left="20"/>
              <w:spacing w:after="0"/>
              <w:rPr>
                <w:sz w:val="20"/>
                <w:szCs w:val="20"/>
                <w:color w:val="auto"/>
              </w:rPr>
            </w:pPr>
            <w:r>
              <w:rPr>
                <w:rFonts w:ascii="Arial" w:cs="Arial" w:eastAsia="Arial" w:hAnsi="Arial"/>
                <w:sz w:val="18"/>
                <w:szCs w:val="18"/>
                <w:color w:val="auto"/>
              </w:rPr>
              <w:t>Convertible subordinated notes</w:t>
            </w:r>
          </w:p>
        </w:tc>
        <w:tc>
          <w:tcPr>
            <w:tcW w:w="24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(3,754)</w:t>
            </w: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(5,006)</w:t>
            </w:r>
          </w:p>
        </w:tc>
      </w:tr>
      <w:tr>
        <w:trPr>
          <w:trHeight w:val="27"/>
        </w:trPr>
        <w:tc>
          <w:tcPr>
            <w:tcW w:w="698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r>
      <w:tr>
        <w:trPr>
          <w:trHeight w:val="264"/>
        </w:trPr>
        <w:tc>
          <w:tcPr>
            <w:tcW w:w="698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Gross deferred tax liabilities</w:t>
            </w:r>
          </w:p>
        </w:tc>
        <w:tc>
          <w:tcPr>
            <w:tcW w:w="24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(384,422)</w:t>
            </w:r>
          </w:p>
        </w:tc>
        <w:tc>
          <w:tcPr>
            <w:tcW w:w="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(65,502)</w:t>
            </w:r>
          </w:p>
        </w:tc>
      </w:tr>
      <w:tr>
        <w:trPr>
          <w:trHeight w:val="297"/>
        </w:trPr>
        <w:tc>
          <w:tcPr>
            <w:tcW w:w="6980" w:type="dxa"/>
            <w:vAlign w:val="bottom"/>
            <w:tcBorders>
              <w:bottom w:val="single" w:sz="8" w:color="CCEEFF"/>
            </w:tcBorders>
          </w:tcPr>
          <w:p>
            <w:pPr>
              <w:ind w:left="260"/>
              <w:spacing w:after="0"/>
              <w:rPr>
                <w:sz w:val="20"/>
                <w:szCs w:val="20"/>
                <w:color w:val="auto"/>
              </w:rPr>
            </w:pPr>
            <w:r>
              <w:rPr>
                <w:rFonts w:ascii="Arial" w:cs="Arial" w:eastAsia="Arial" w:hAnsi="Arial"/>
                <w:sz w:val="18"/>
                <w:szCs w:val="18"/>
                <w:color w:val="auto"/>
              </w:rPr>
              <w:t>Net deferred tax liability</w:t>
            </w: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(218,217)</w:t>
            </w:r>
          </w:p>
        </w:tc>
        <w:tc>
          <w:tcPr>
            <w:tcW w:w="20" w:type="dxa"/>
            <w:vAlign w:val="bottom"/>
            <w:tcBorders>
              <w:top w:val="single" w:sz="8" w:color="auto"/>
              <w:bottom w:val="single" w:sz="8" w:color="auto"/>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(44,989)</w:t>
            </w:r>
          </w:p>
        </w:tc>
      </w:tr>
      <w:tr>
        <w:trPr>
          <w:trHeight w:val="237"/>
        </w:trPr>
        <w:tc>
          <w:tcPr>
            <w:tcW w:w="6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Presented as follows:</w:t>
            </w:r>
          </w:p>
        </w:tc>
        <w:tc>
          <w:tcPr>
            <w:tcW w:w="24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spacing w:after="0"/>
              <w:rPr>
                <w:sz w:val="20"/>
                <w:szCs w:val="20"/>
                <w:color w:val="auto"/>
              </w:rPr>
            </w:pPr>
          </w:p>
        </w:tc>
      </w:tr>
      <w:tr>
        <w:trPr>
          <w:trHeight w:val="243"/>
        </w:trPr>
        <w:tc>
          <w:tcPr>
            <w:tcW w:w="6980" w:type="dxa"/>
            <w:vAlign w:val="bottom"/>
          </w:tcPr>
          <w:p>
            <w:pPr>
              <w:ind w:left="20"/>
              <w:spacing w:after="0"/>
              <w:rPr>
                <w:sz w:val="20"/>
                <w:szCs w:val="20"/>
                <w:color w:val="auto"/>
              </w:rPr>
            </w:pPr>
            <w:r>
              <w:rPr>
                <w:rFonts w:ascii="Arial" w:cs="Arial" w:eastAsia="Arial" w:hAnsi="Arial"/>
                <w:sz w:val="18"/>
                <w:szCs w:val="18"/>
                <w:color w:val="auto"/>
              </w:rPr>
              <w:t>Current deferred tax asset</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spacing w:after="0"/>
              <w:rPr>
                <w:sz w:val="20"/>
                <w:szCs w:val="20"/>
                <w:color w:val="auto"/>
              </w:rPr>
            </w:pPr>
            <w:r>
              <w:rPr>
                <w:rFonts w:ascii="Arial" w:cs="Arial" w:eastAsia="Arial" w:hAnsi="Arial"/>
                <w:sz w:val="18"/>
                <w:szCs w:val="18"/>
                <w:color w:val="auto"/>
              </w:rPr>
              <w:t>—</w:t>
            </w:r>
          </w:p>
        </w:tc>
        <w:tc>
          <w:tcPr>
            <w:tcW w:w="360" w:type="dxa"/>
            <w:vAlign w:val="bottom"/>
            <w:gridSpan w:val="3"/>
          </w:tcPr>
          <w:p>
            <w:pPr>
              <w:jc w:val="right"/>
              <w:ind w:right="30"/>
              <w:spacing w:after="0"/>
              <w:rPr>
                <w:sz w:val="20"/>
                <w:szCs w:val="20"/>
                <w:color w:val="auto"/>
              </w:rPr>
            </w:pPr>
            <w:r>
              <w:rPr>
                <w:rFonts w:ascii="Arial" w:cs="Arial" w:eastAsia="Arial" w:hAnsi="Arial"/>
                <w:sz w:val="18"/>
                <w:szCs w:val="18"/>
                <w:color w:val="auto"/>
              </w:rPr>
              <w:t>$</w:t>
            </w:r>
          </w:p>
        </w:tc>
        <w:tc>
          <w:tcPr>
            <w:tcW w:w="1160" w:type="dxa"/>
            <w:vAlign w:val="bottom"/>
          </w:tcPr>
          <w:p>
            <w:pPr>
              <w:jc w:val="right"/>
              <w:spacing w:after="0"/>
              <w:rPr>
                <w:sz w:val="20"/>
                <w:szCs w:val="20"/>
                <w:color w:val="auto"/>
              </w:rPr>
            </w:pPr>
            <w:r>
              <w:rPr>
                <w:rFonts w:ascii="Arial" w:cs="Arial" w:eastAsia="Arial" w:hAnsi="Arial"/>
                <w:sz w:val="18"/>
                <w:szCs w:val="18"/>
                <w:color w:val="auto"/>
              </w:rPr>
              <w:t>6,168</w:t>
            </w:r>
          </w:p>
        </w:tc>
      </w:tr>
      <w:tr>
        <w:trPr>
          <w:trHeight w:val="27"/>
        </w:trPr>
        <w:tc>
          <w:tcPr>
            <w:tcW w:w="69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6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Current deferred tax liability</w:t>
            </w:r>
          </w:p>
        </w:tc>
        <w:tc>
          <w:tcPr>
            <w:tcW w:w="2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(588)</w:t>
            </w:r>
          </w:p>
        </w:tc>
      </w:tr>
      <w:tr>
        <w:trPr>
          <w:trHeight w:val="243"/>
        </w:trPr>
        <w:tc>
          <w:tcPr>
            <w:tcW w:w="6980" w:type="dxa"/>
            <w:vAlign w:val="bottom"/>
          </w:tcPr>
          <w:p>
            <w:pPr>
              <w:ind w:left="20"/>
              <w:spacing w:after="0"/>
              <w:rPr>
                <w:sz w:val="20"/>
                <w:szCs w:val="20"/>
                <w:color w:val="auto"/>
              </w:rPr>
            </w:pPr>
            <w:r>
              <w:rPr>
                <w:rFonts w:ascii="Arial" w:cs="Arial" w:eastAsia="Arial" w:hAnsi="Arial"/>
                <w:sz w:val="18"/>
                <w:szCs w:val="18"/>
                <w:color w:val="auto"/>
              </w:rPr>
              <w:t>Noncurrent deferred tax asset</w:t>
            </w:r>
          </w:p>
        </w:tc>
        <w:tc>
          <w:tcPr>
            <w:tcW w:w="24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3,587</w:t>
            </w: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2,626</w:t>
            </w:r>
          </w:p>
        </w:tc>
      </w:tr>
      <w:tr>
        <w:trPr>
          <w:trHeight w:val="27"/>
        </w:trPr>
        <w:tc>
          <w:tcPr>
            <w:tcW w:w="69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70"/>
        </w:trPr>
        <w:tc>
          <w:tcPr>
            <w:tcW w:w="6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Noncurrent deferred tax liability</w:t>
            </w:r>
          </w:p>
        </w:tc>
        <w:tc>
          <w:tcPr>
            <w:tcW w:w="24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(221,804)</w:t>
            </w:r>
          </w:p>
        </w:tc>
        <w:tc>
          <w:tcPr>
            <w:tcW w:w="2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(53,195)</w:t>
            </w:r>
          </w:p>
        </w:tc>
      </w:tr>
      <w:tr>
        <w:trPr>
          <w:trHeight w:val="257"/>
        </w:trPr>
        <w:tc>
          <w:tcPr>
            <w:tcW w:w="6980" w:type="dxa"/>
            <w:vAlign w:val="bottom"/>
          </w:tcPr>
          <w:p>
            <w:pPr>
              <w:ind w:left="260"/>
              <w:spacing w:after="0"/>
              <w:rPr>
                <w:sz w:val="20"/>
                <w:szCs w:val="20"/>
                <w:color w:val="auto"/>
              </w:rPr>
            </w:pPr>
            <w:r>
              <w:rPr>
                <w:rFonts w:ascii="Arial" w:cs="Arial" w:eastAsia="Arial" w:hAnsi="Arial"/>
                <w:sz w:val="18"/>
                <w:szCs w:val="18"/>
                <w:color w:val="auto"/>
              </w:rPr>
              <w:t>Net deferred tax liability</w:t>
            </w: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(218,217)</w:t>
            </w:r>
          </w:p>
        </w:tc>
        <w:tc>
          <w:tcPr>
            <w:tcW w:w="20" w:type="dxa"/>
            <w:vAlign w:val="bottom"/>
            <w:tcBorders>
              <w:top w:val="single" w:sz="8" w:color="auto"/>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(44,989)</w:t>
            </w:r>
          </w:p>
        </w:tc>
      </w:tr>
      <w:tr>
        <w:trPr>
          <w:trHeight w:val="20"/>
        </w:trPr>
        <w:tc>
          <w:tcPr>
            <w:tcW w:w="69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60"/>
        <w:spacing w:after="0" w:line="255" w:lineRule="auto"/>
        <w:rPr>
          <w:sz w:val="20"/>
          <w:szCs w:val="20"/>
          <w:color w:val="auto"/>
        </w:rPr>
      </w:pPr>
      <w:r>
        <w:rPr>
          <w:rFonts w:ascii="Arial" w:cs="Arial" w:eastAsia="Arial" w:hAnsi="Arial"/>
          <w:sz w:val="18"/>
          <w:szCs w:val="18"/>
          <w:color w:val="auto"/>
        </w:rPr>
        <w:t>In November 2015, the FASB issued ASU 2015-17, “Balance Sheet Classification of Deferred Taxes.” This ASU requires entities that present a classified balance sheet to classify all deferred income taxes as noncurrent assets or noncurrent liabilities. Previous accounting principles required an entity to separate deferred income tax liabilities and assets into current and noncurrent amounts in a classified balance sheet. As permitted, during the fourth quarter of 2015, the Company elected to early adopt this ASU and has elected to prospectively apply its guidance. As a result, all deferred tax assets or liabilities shown in the Consolidated Balance Sheet as of January 1, 2016, are classified as noncurrent. Prior periods were not retrospectively adjusted for the adoption of this ASU.</w:t>
      </w:r>
    </w:p>
    <w:p>
      <w:pPr>
        <w:spacing w:after="0" w:line="85" w:lineRule="exact"/>
        <w:rPr>
          <w:sz w:val="20"/>
          <w:szCs w:val="20"/>
          <w:color w:val="auto"/>
        </w:rPr>
      </w:pPr>
    </w:p>
    <w:p>
      <w:pPr>
        <w:ind w:left="60"/>
        <w:spacing w:after="0"/>
        <w:rPr>
          <w:sz w:val="20"/>
          <w:szCs w:val="20"/>
          <w:color w:val="auto"/>
        </w:rPr>
      </w:pPr>
      <w:r>
        <w:rPr>
          <w:rFonts w:ascii="Arial" w:cs="Arial" w:eastAsia="Arial" w:hAnsi="Arial"/>
          <w:sz w:val="18"/>
          <w:szCs w:val="18"/>
          <w:color w:val="auto"/>
        </w:rPr>
        <w:t>As of January 1, 2016, the Company has the following carryforwards available:</w:t>
      </w:r>
    </w:p>
    <w:p>
      <w:pPr>
        <w:spacing w:after="0" w:line="150" w:lineRule="exact"/>
        <w:rPr>
          <w:sz w:val="20"/>
          <w:szCs w:val="20"/>
          <w:color w:val="auto"/>
        </w:rPr>
      </w:pPr>
    </w:p>
    <w:tbl>
      <w:tblPr>
        <w:tblLayout w:type="fixed"/>
        <w:tblInd w:w="60" w:type="dxa"/>
        <w:tblCellMar>
          <w:top w:w="0" w:type="dxa"/>
          <w:left w:w="0" w:type="dxa"/>
          <w:bottom w:w="0" w:type="dxa"/>
          <w:right w:w="0" w:type="dxa"/>
        </w:tblCellMar>
      </w:tblPr>
      <w:tr>
        <w:trPr>
          <w:trHeight w:val="161"/>
        </w:trPr>
        <w:tc>
          <w:tcPr>
            <w:tcW w:w="204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Jurisdiction</w:t>
            </w:r>
          </w:p>
        </w:tc>
        <w:tc>
          <w:tcPr>
            <w:tcW w:w="100" w:type="dxa"/>
            <w:vAlign w:val="bottom"/>
            <w:vMerge w:val="restart"/>
          </w:tcPr>
          <w:p>
            <w:pPr>
              <w:spacing w:after="0"/>
              <w:rPr>
                <w:sz w:val="14"/>
                <w:szCs w:val="14"/>
                <w:color w:val="auto"/>
              </w:rPr>
            </w:pPr>
          </w:p>
        </w:tc>
        <w:tc>
          <w:tcPr>
            <w:tcW w:w="2640" w:type="dxa"/>
            <w:vAlign w:val="bottom"/>
            <w:gridSpan w:val="2"/>
          </w:tcPr>
          <w:p>
            <w:pPr>
              <w:ind w:left="1160"/>
              <w:spacing w:after="0"/>
              <w:rPr>
                <w:sz w:val="20"/>
                <w:szCs w:val="20"/>
                <w:color w:val="auto"/>
              </w:rPr>
            </w:pPr>
            <w:r>
              <w:rPr>
                <w:rFonts w:ascii="Arial" w:cs="Arial" w:eastAsia="Arial" w:hAnsi="Arial"/>
                <w:sz w:val="14"/>
                <w:szCs w:val="14"/>
                <w:b w:val="1"/>
                <w:bCs w:val="1"/>
                <w:color w:val="auto"/>
              </w:rPr>
              <w:t>Tax</w:t>
            </w:r>
          </w:p>
        </w:tc>
        <w:tc>
          <w:tcPr>
            <w:tcW w:w="200" w:type="dxa"/>
            <w:vAlign w:val="bottom"/>
          </w:tcPr>
          <w:p>
            <w:pPr>
              <w:spacing w:after="0"/>
              <w:rPr>
                <w:sz w:val="14"/>
                <w:szCs w:val="14"/>
                <w:color w:val="auto"/>
              </w:rPr>
            </w:pPr>
          </w:p>
        </w:tc>
        <w:tc>
          <w:tcPr>
            <w:tcW w:w="1220" w:type="dxa"/>
            <w:vAlign w:val="bottom"/>
            <w:gridSpan w:val="2"/>
          </w:tcPr>
          <w:p>
            <w:pPr>
              <w:ind w:left="200"/>
              <w:spacing w:after="0"/>
              <w:rPr>
                <w:sz w:val="20"/>
                <w:szCs w:val="20"/>
                <w:color w:val="auto"/>
              </w:rPr>
            </w:pPr>
            <w:r>
              <w:rPr>
                <w:rFonts w:ascii="Arial" w:cs="Arial" w:eastAsia="Arial" w:hAnsi="Arial"/>
                <w:sz w:val="14"/>
                <w:szCs w:val="14"/>
                <w:b w:val="1"/>
                <w:bCs w:val="1"/>
                <w:color w:val="auto"/>
              </w:rPr>
              <w:t>Amount</w:t>
            </w:r>
          </w:p>
        </w:tc>
        <w:tc>
          <w:tcPr>
            <w:tcW w:w="1240" w:type="dxa"/>
            <w:vAlign w:val="bottom"/>
          </w:tcPr>
          <w:p>
            <w:pPr>
              <w:jc w:val="center"/>
              <w:spacing w:after="0"/>
              <w:rPr>
                <w:sz w:val="20"/>
                <w:szCs w:val="20"/>
                <w:color w:val="auto"/>
              </w:rPr>
            </w:pPr>
            <w:r>
              <w:rPr>
                <w:rFonts w:ascii="Arial" w:cs="Arial" w:eastAsia="Arial" w:hAnsi="Arial"/>
                <w:sz w:val="14"/>
                <w:szCs w:val="14"/>
                <w:b w:val="1"/>
                <w:bCs w:val="1"/>
                <w:color w:val="auto"/>
                <w:w w:val="89"/>
              </w:rPr>
              <w:t>Begin to</w:t>
            </w:r>
          </w:p>
        </w:tc>
        <w:tc>
          <w:tcPr>
            <w:tcW w:w="0" w:type="dxa"/>
            <w:vAlign w:val="bottom"/>
          </w:tcPr>
          <w:p>
            <w:pPr>
              <w:spacing w:after="0"/>
              <w:rPr>
                <w:sz w:val="1"/>
                <w:szCs w:val="1"/>
                <w:color w:val="auto"/>
              </w:rPr>
            </w:pPr>
          </w:p>
        </w:tc>
      </w:tr>
      <w:tr>
        <w:trPr>
          <w:trHeight w:val="192"/>
        </w:trPr>
        <w:tc>
          <w:tcPr>
            <w:tcW w:w="204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2540" w:type="dxa"/>
            <w:vAlign w:val="bottom"/>
            <w:tcBorders>
              <w:bottom w:val="single" w:sz="8" w:color="auto"/>
            </w:tcBorders>
          </w:tcPr>
          <w:p>
            <w:pPr>
              <w:ind w:left="980"/>
              <w:spacing w:after="0"/>
              <w:rPr>
                <w:sz w:val="20"/>
                <w:szCs w:val="20"/>
                <w:color w:val="auto"/>
              </w:rPr>
            </w:pPr>
            <w:r>
              <w:rPr>
                <w:rFonts w:ascii="Arial" w:cs="Arial" w:eastAsia="Arial" w:hAnsi="Arial"/>
                <w:sz w:val="14"/>
                <w:szCs w:val="14"/>
                <w:b w:val="1"/>
                <w:bCs w:val="1"/>
                <w:color w:val="auto"/>
              </w:rPr>
              <w:t>Attribute</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194"/>
              <w:spacing w:after="0"/>
              <w:rPr>
                <w:sz w:val="20"/>
                <w:szCs w:val="20"/>
                <w:color w:val="auto"/>
              </w:rPr>
            </w:pPr>
            <w:r>
              <w:rPr>
                <w:rFonts w:ascii="Arial" w:cs="Arial" w:eastAsia="Arial" w:hAnsi="Arial"/>
                <w:sz w:val="14"/>
                <w:szCs w:val="14"/>
                <w:b w:val="1"/>
                <w:bCs w:val="1"/>
                <w:color w:val="auto"/>
              </w:rPr>
              <w:t>(in millions)</w:t>
            </w:r>
          </w:p>
        </w:tc>
        <w:tc>
          <w:tcPr>
            <w:tcW w:w="120" w:type="dxa"/>
            <w:vAlign w:val="bottom"/>
            <w:tcBorders>
              <w:bottom w:val="single" w:sz="8" w:color="CCEEFF"/>
            </w:tcBorders>
          </w:tcPr>
          <w:p>
            <w:pPr>
              <w:spacing w:after="0"/>
              <w:rPr>
                <w:sz w:val="16"/>
                <w:szCs w:val="16"/>
                <w:color w:val="auto"/>
              </w:rPr>
            </w:pPr>
          </w:p>
        </w:tc>
        <w:tc>
          <w:tcPr>
            <w:tcW w:w="12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Expire</w:t>
            </w:r>
          </w:p>
        </w:tc>
        <w:tc>
          <w:tcPr>
            <w:tcW w:w="0" w:type="dxa"/>
            <w:vAlign w:val="bottom"/>
          </w:tcPr>
          <w:p>
            <w:pPr>
              <w:spacing w:after="0"/>
              <w:rPr>
                <w:sz w:val="1"/>
                <w:szCs w:val="1"/>
                <w:color w:val="auto"/>
              </w:rPr>
            </w:pPr>
          </w:p>
        </w:tc>
      </w:tr>
      <w:tr>
        <w:trPr>
          <w:trHeight w:val="250"/>
        </w:trPr>
        <w:tc>
          <w:tcPr>
            <w:tcW w:w="21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Federal</w:t>
            </w:r>
          </w:p>
        </w:tc>
        <w:tc>
          <w:tcPr>
            <w:tcW w:w="26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Net Operating Loss</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386.2</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2019</w:t>
            </w:r>
          </w:p>
        </w:tc>
        <w:tc>
          <w:tcPr>
            <w:tcW w:w="0" w:type="dxa"/>
            <w:vAlign w:val="bottom"/>
          </w:tcPr>
          <w:p>
            <w:pPr>
              <w:spacing w:after="0"/>
              <w:rPr>
                <w:sz w:val="1"/>
                <w:szCs w:val="1"/>
                <w:color w:val="auto"/>
              </w:rPr>
            </w:pPr>
          </w:p>
        </w:tc>
      </w:tr>
      <w:tr>
        <w:trPr>
          <w:trHeight w:val="243"/>
        </w:trPr>
        <w:tc>
          <w:tcPr>
            <w:tcW w:w="2140" w:type="dxa"/>
            <w:vAlign w:val="bottom"/>
            <w:gridSpan w:val="2"/>
          </w:tcPr>
          <w:p>
            <w:pPr>
              <w:ind w:left="20"/>
              <w:spacing w:after="0"/>
              <w:rPr>
                <w:sz w:val="20"/>
                <w:szCs w:val="20"/>
                <w:color w:val="auto"/>
              </w:rPr>
            </w:pPr>
            <w:r>
              <w:rPr>
                <w:rFonts w:ascii="Arial" w:cs="Arial" w:eastAsia="Arial" w:hAnsi="Arial"/>
                <w:sz w:val="18"/>
                <w:szCs w:val="18"/>
                <w:color w:val="auto"/>
              </w:rPr>
              <w:t>International</w:t>
            </w:r>
          </w:p>
        </w:tc>
        <w:tc>
          <w:tcPr>
            <w:tcW w:w="2640" w:type="dxa"/>
            <w:vAlign w:val="bottom"/>
            <w:gridSpan w:val="2"/>
          </w:tcPr>
          <w:p>
            <w:pPr>
              <w:ind w:left="20"/>
              <w:spacing w:after="0"/>
              <w:rPr>
                <w:sz w:val="20"/>
                <w:szCs w:val="20"/>
                <w:color w:val="auto"/>
              </w:rPr>
            </w:pPr>
            <w:r>
              <w:rPr>
                <w:rFonts w:ascii="Arial" w:cs="Arial" w:eastAsia="Arial" w:hAnsi="Arial"/>
                <w:sz w:val="18"/>
                <w:szCs w:val="18"/>
                <w:color w:val="auto"/>
              </w:rPr>
              <w:t>Net Operating Loss</w:t>
            </w:r>
          </w:p>
        </w:tc>
        <w:tc>
          <w:tcPr>
            <w:tcW w:w="2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42.2</w:t>
            </w:r>
          </w:p>
        </w:tc>
        <w:tc>
          <w:tcPr>
            <w:tcW w:w="120" w:type="dxa"/>
            <w:vAlign w:val="bottom"/>
          </w:tcPr>
          <w:p>
            <w:pPr>
              <w:spacing w:after="0"/>
              <w:rPr>
                <w:sz w:val="21"/>
                <w:szCs w:val="21"/>
                <w:color w:val="auto"/>
              </w:rPr>
            </w:pPr>
          </w:p>
        </w:tc>
        <w:tc>
          <w:tcPr>
            <w:tcW w:w="1240" w:type="dxa"/>
            <w:vAlign w:val="bottom"/>
          </w:tcPr>
          <w:p>
            <w:pPr>
              <w:jc w:val="center"/>
              <w:spacing w:after="0"/>
              <w:rPr>
                <w:sz w:val="20"/>
                <w:szCs w:val="20"/>
                <w:color w:val="auto"/>
              </w:rPr>
            </w:pPr>
            <w:r>
              <w:rPr>
                <w:rFonts w:ascii="Arial" w:cs="Arial" w:eastAsia="Arial" w:hAnsi="Arial"/>
                <w:sz w:val="18"/>
                <w:szCs w:val="18"/>
                <w:color w:val="auto"/>
                <w:w w:val="89"/>
              </w:rPr>
              <w:t>2016</w:t>
            </w:r>
          </w:p>
        </w:tc>
        <w:tc>
          <w:tcPr>
            <w:tcW w:w="0" w:type="dxa"/>
            <w:vAlign w:val="bottom"/>
          </w:tcPr>
          <w:p>
            <w:pPr>
              <w:spacing w:after="0"/>
              <w:rPr>
                <w:sz w:val="1"/>
                <w:szCs w:val="1"/>
                <w:color w:val="auto"/>
              </w:rPr>
            </w:pPr>
          </w:p>
        </w:tc>
      </w:tr>
      <w:tr>
        <w:trPr>
          <w:trHeight w:val="27"/>
        </w:trPr>
        <w:tc>
          <w:tcPr>
            <w:tcW w:w="2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1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State</w:t>
            </w:r>
          </w:p>
        </w:tc>
        <w:tc>
          <w:tcPr>
            <w:tcW w:w="26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Net Operating Loss</w:t>
            </w: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298.7</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2016</w:t>
            </w:r>
          </w:p>
        </w:tc>
        <w:tc>
          <w:tcPr>
            <w:tcW w:w="0" w:type="dxa"/>
            <w:vAlign w:val="bottom"/>
          </w:tcPr>
          <w:p>
            <w:pPr>
              <w:spacing w:after="0"/>
              <w:rPr>
                <w:sz w:val="1"/>
                <w:szCs w:val="1"/>
                <w:color w:val="auto"/>
              </w:rPr>
            </w:pPr>
          </w:p>
        </w:tc>
      </w:tr>
      <w:tr>
        <w:trPr>
          <w:trHeight w:val="243"/>
        </w:trPr>
        <w:tc>
          <w:tcPr>
            <w:tcW w:w="2140" w:type="dxa"/>
            <w:vAlign w:val="bottom"/>
            <w:gridSpan w:val="2"/>
          </w:tcPr>
          <w:p>
            <w:pPr>
              <w:ind w:left="20"/>
              <w:spacing w:after="0"/>
              <w:rPr>
                <w:sz w:val="20"/>
                <w:szCs w:val="20"/>
                <w:color w:val="auto"/>
              </w:rPr>
            </w:pPr>
            <w:r>
              <w:rPr>
                <w:rFonts w:ascii="Arial" w:cs="Arial" w:eastAsia="Arial" w:hAnsi="Arial"/>
                <w:sz w:val="18"/>
                <w:szCs w:val="18"/>
                <w:color w:val="auto"/>
              </w:rPr>
              <w:t>Federal</w:t>
            </w:r>
          </w:p>
        </w:tc>
        <w:tc>
          <w:tcPr>
            <w:tcW w:w="2640" w:type="dxa"/>
            <w:vAlign w:val="bottom"/>
            <w:gridSpan w:val="2"/>
          </w:tcPr>
          <w:p>
            <w:pPr>
              <w:ind w:left="20"/>
              <w:spacing w:after="0"/>
              <w:rPr>
                <w:sz w:val="20"/>
                <w:szCs w:val="20"/>
                <w:color w:val="auto"/>
              </w:rPr>
            </w:pPr>
            <w:r>
              <w:rPr>
                <w:rFonts w:ascii="Arial" w:cs="Arial" w:eastAsia="Arial" w:hAnsi="Arial"/>
                <w:sz w:val="18"/>
                <w:szCs w:val="18"/>
                <w:color w:val="auto"/>
              </w:rPr>
              <w:t>Foreign Tax Credit</w:t>
            </w:r>
          </w:p>
        </w:tc>
        <w:tc>
          <w:tcPr>
            <w:tcW w:w="2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17.0</w:t>
            </w:r>
          </w:p>
        </w:tc>
        <w:tc>
          <w:tcPr>
            <w:tcW w:w="120" w:type="dxa"/>
            <w:vAlign w:val="bottom"/>
          </w:tcPr>
          <w:p>
            <w:pPr>
              <w:spacing w:after="0"/>
              <w:rPr>
                <w:sz w:val="21"/>
                <w:szCs w:val="21"/>
                <w:color w:val="auto"/>
              </w:rPr>
            </w:pPr>
          </w:p>
        </w:tc>
        <w:tc>
          <w:tcPr>
            <w:tcW w:w="1240" w:type="dxa"/>
            <w:vAlign w:val="bottom"/>
          </w:tcPr>
          <w:p>
            <w:pPr>
              <w:jc w:val="center"/>
              <w:spacing w:after="0"/>
              <w:rPr>
                <w:sz w:val="20"/>
                <w:szCs w:val="20"/>
                <w:color w:val="auto"/>
              </w:rPr>
            </w:pPr>
            <w:r>
              <w:rPr>
                <w:rFonts w:ascii="Arial" w:cs="Arial" w:eastAsia="Arial" w:hAnsi="Arial"/>
                <w:sz w:val="18"/>
                <w:szCs w:val="18"/>
                <w:color w:val="auto"/>
                <w:w w:val="89"/>
              </w:rPr>
              <w:t>2019</w:t>
            </w:r>
          </w:p>
        </w:tc>
        <w:tc>
          <w:tcPr>
            <w:tcW w:w="0" w:type="dxa"/>
            <w:vAlign w:val="bottom"/>
          </w:tcPr>
          <w:p>
            <w:pPr>
              <w:spacing w:after="0"/>
              <w:rPr>
                <w:sz w:val="1"/>
                <w:szCs w:val="1"/>
                <w:color w:val="auto"/>
              </w:rPr>
            </w:pPr>
          </w:p>
        </w:tc>
      </w:tr>
      <w:tr>
        <w:trPr>
          <w:trHeight w:val="27"/>
        </w:trPr>
        <w:tc>
          <w:tcPr>
            <w:tcW w:w="2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1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U.S. and State</w:t>
            </w:r>
          </w:p>
        </w:tc>
        <w:tc>
          <w:tcPr>
            <w:tcW w:w="26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R&amp;D Tax Credit</w:t>
            </w: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2018</w:t>
            </w:r>
          </w:p>
        </w:tc>
        <w:tc>
          <w:tcPr>
            <w:tcW w:w="0" w:type="dxa"/>
            <w:vAlign w:val="bottom"/>
          </w:tcPr>
          <w:p>
            <w:pPr>
              <w:spacing w:after="0"/>
              <w:rPr>
                <w:sz w:val="1"/>
                <w:szCs w:val="1"/>
                <w:color w:val="auto"/>
              </w:rPr>
            </w:pPr>
          </w:p>
        </w:tc>
      </w:tr>
      <w:tr>
        <w:trPr>
          <w:trHeight w:val="243"/>
        </w:trPr>
        <w:tc>
          <w:tcPr>
            <w:tcW w:w="2140" w:type="dxa"/>
            <w:vAlign w:val="bottom"/>
            <w:gridSpan w:val="2"/>
          </w:tcPr>
          <w:p>
            <w:pPr>
              <w:ind w:left="20"/>
              <w:spacing w:after="0"/>
              <w:rPr>
                <w:sz w:val="20"/>
                <w:szCs w:val="20"/>
                <w:color w:val="auto"/>
              </w:rPr>
            </w:pPr>
            <w:r>
              <w:rPr>
                <w:rFonts w:ascii="Arial" w:cs="Arial" w:eastAsia="Arial" w:hAnsi="Arial"/>
                <w:sz w:val="18"/>
                <w:szCs w:val="18"/>
                <w:color w:val="auto"/>
              </w:rPr>
              <w:t>State</w:t>
            </w:r>
          </w:p>
        </w:tc>
        <w:tc>
          <w:tcPr>
            <w:tcW w:w="2640" w:type="dxa"/>
            <w:vAlign w:val="bottom"/>
            <w:gridSpan w:val="2"/>
          </w:tcPr>
          <w:p>
            <w:pPr>
              <w:ind w:left="20"/>
              <w:spacing w:after="0"/>
              <w:rPr>
                <w:sz w:val="20"/>
                <w:szCs w:val="20"/>
                <w:color w:val="auto"/>
              </w:rPr>
            </w:pPr>
            <w:r>
              <w:rPr>
                <w:rFonts w:ascii="Arial" w:cs="Arial" w:eastAsia="Arial" w:hAnsi="Arial"/>
                <w:sz w:val="18"/>
                <w:szCs w:val="18"/>
                <w:color w:val="auto"/>
              </w:rPr>
              <w:t>Investment Tax Credit</w:t>
            </w:r>
          </w:p>
        </w:tc>
        <w:tc>
          <w:tcPr>
            <w:tcW w:w="2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5.3</w:t>
            </w:r>
          </w:p>
        </w:tc>
        <w:tc>
          <w:tcPr>
            <w:tcW w:w="120" w:type="dxa"/>
            <w:vAlign w:val="bottom"/>
          </w:tcPr>
          <w:p>
            <w:pPr>
              <w:spacing w:after="0"/>
              <w:rPr>
                <w:sz w:val="21"/>
                <w:szCs w:val="21"/>
                <w:color w:val="auto"/>
              </w:rPr>
            </w:pPr>
          </w:p>
        </w:tc>
        <w:tc>
          <w:tcPr>
            <w:tcW w:w="1240" w:type="dxa"/>
            <w:vAlign w:val="bottom"/>
          </w:tcPr>
          <w:p>
            <w:pPr>
              <w:jc w:val="center"/>
              <w:spacing w:after="0"/>
              <w:rPr>
                <w:sz w:val="20"/>
                <w:szCs w:val="20"/>
                <w:color w:val="auto"/>
              </w:rPr>
            </w:pPr>
            <w:r>
              <w:rPr>
                <w:rFonts w:ascii="Arial" w:cs="Arial" w:eastAsia="Arial" w:hAnsi="Arial"/>
                <w:sz w:val="18"/>
                <w:szCs w:val="18"/>
                <w:color w:val="auto"/>
                <w:w w:val="89"/>
              </w:rPr>
              <w:t>2016</w:t>
            </w:r>
          </w:p>
        </w:tc>
        <w:tc>
          <w:tcPr>
            <w:tcW w:w="0" w:type="dxa"/>
            <w:vAlign w:val="bottom"/>
          </w:tcPr>
          <w:p>
            <w:pPr>
              <w:spacing w:after="0"/>
              <w:rPr>
                <w:sz w:val="1"/>
                <w:szCs w:val="1"/>
                <w:color w:val="auto"/>
              </w:rPr>
            </w:pPr>
          </w:p>
        </w:tc>
      </w:tr>
    </w:tbl>
    <w:p>
      <w:pPr>
        <w:spacing w:after="0" w:line="229" w:lineRule="exact"/>
        <w:rPr>
          <w:sz w:val="20"/>
          <w:szCs w:val="20"/>
          <w:color w:val="auto"/>
        </w:rPr>
      </w:pPr>
    </w:p>
    <w:p>
      <w:pPr>
        <w:ind w:left="60"/>
        <w:spacing w:after="0" w:line="257" w:lineRule="auto"/>
        <w:rPr>
          <w:sz w:val="20"/>
          <w:szCs w:val="20"/>
          <w:color w:val="auto"/>
        </w:rPr>
      </w:pPr>
      <w:r>
        <w:rPr>
          <w:rFonts w:ascii="Arial" w:cs="Arial" w:eastAsia="Arial" w:hAnsi="Arial"/>
          <w:sz w:val="18"/>
          <w:szCs w:val="18"/>
          <w:color w:val="auto"/>
        </w:rPr>
        <w:t>Certain U.S. tax attributes are subject to limitations of Internal Revenue Code Section 382, which in general provides that utilization is subject to an annual limitation if an ownership change results from transactions increasing the ownership of certain shareholders or public groups in stock of a corporation by more than 50 percentage points over a three- year period. Such an ownership change occurred upon the consummation of the acquisition of Lake Region Medical. The Company does not anticipate that these limitations will affect utilization of these carryforwards prior to their expiration.</w:t>
      </w:r>
    </w:p>
    <w:p>
      <w:pPr>
        <w:sectPr>
          <w:pgSz w:w="11900" w:h="16838" w:orient="portrait"/>
          <w:cols w:equalWidth="0" w:num="1">
            <w:col w:w="10860"/>
          </w:cols>
          <w:pgMar w:left="680" w:top="337" w:right="359" w:bottom="1440" w:gutter="0" w:footer="0" w:header="0"/>
        </w:sectPr>
      </w:pPr>
    </w:p>
    <w:p>
      <w:pPr>
        <w:spacing w:after="0" w:line="323" w:lineRule="exact"/>
        <w:rPr>
          <w:sz w:val="20"/>
          <w:szCs w:val="20"/>
          <w:color w:val="auto"/>
        </w:rPr>
      </w:pPr>
    </w:p>
    <w:p>
      <w:pPr>
        <w:jc w:val="center"/>
        <w:ind w:right="300"/>
        <w:spacing w:after="0"/>
        <w:rPr>
          <w:sz w:val="20"/>
          <w:szCs w:val="20"/>
          <w:color w:val="auto"/>
        </w:rPr>
      </w:pPr>
      <w:r>
        <w:rPr>
          <w:rFonts w:ascii="Arial" w:cs="Arial" w:eastAsia="Arial" w:hAnsi="Arial"/>
          <w:sz w:val="16"/>
          <w:szCs w:val="16"/>
          <w:color w:val="auto"/>
        </w:rPr>
        <w:t>- 100 -</w:t>
      </w:r>
    </w:p>
    <w:p>
      <w:pPr>
        <w:sectPr>
          <w:pgSz w:w="11900" w:h="16838" w:orient="portrait"/>
          <w:cols w:equalWidth="0" w:num="1">
            <w:col w:w="10860"/>
          </w:cols>
          <w:pgMar w:left="680" w:top="337" w:right="359" w:bottom="1440" w:gutter="0" w:footer="0" w:header="0"/>
          <w:type w:val="continuous"/>
        </w:sectPr>
      </w:pPr>
    </w:p>
    <w:bookmarkStart w:id="101" w:name="page102"/>
    <w:bookmarkEnd w:id="101"/>
    <w:p>
      <w:pPr>
        <w:jc w:val="center"/>
        <w:ind w:right="480"/>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ind w:right="48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right="240"/>
        <w:spacing w:after="0" w:line="264" w:lineRule="auto"/>
        <w:rPr>
          <w:sz w:val="20"/>
          <w:szCs w:val="20"/>
          <w:color w:val="auto"/>
        </w:rPr>
      </w:pPr>
      <w:r>
        <w:rPr>
          <w:rFonts w:ascii="Arial" w:cs="Arial" w:eastAsia="Arial" w:hAnsi="Arial"/>
          <w:sz w:val="18"/>
          <w:szCs w:val="18"/>
          <w:color w:val="auto"/>
        </w:rPr>
        <w:t>The Company’s federal net operating loss carryforward and certain other federal tax credits reported on its income tax returns included uncertain tax positions taken in prior years. Due to the application of the accounting for uncertain tax positions, the actual tax attributes are larger than the tax amounts for which a deferred tax asset is recognized for financial statement purposes.</w:t>
      </w:r>
    </w:p>
    <w:p>
      <w:pPr>
        <w:spacing w:after="0" w:line="181" w:lineRule="exact"/>
        <w:rPr>
          <w:sz w:val="20"/>
          <w:szCs w:val="20"/>
          <w:color w:val="auto"/>
        </w:rPr>
      </w:pPr>
    </w:p>
    <w:p>
      <w:pPr>
        <w:ind w:right="40"/>
        <w:spacing w:after="0" w:line="273" w:lineRule="auto"/>
        <w:rPr>
          <w:sz w:val="20"/>
          <w:szCs w:val="20"/>
          <w:color w:val="auto"/>
        </w:rPr>
      </w:pPr>
      <w:r>
        <w:rPr>
          <w:rFonts w:ascii="Arial" w:cs="Arial" w:eastAsia="Arial" w:hAnsi="Arial"/>
          <w:sz w:val="17"/>
          <w:szCs w:val="17"/>
          <w:color w:val="auto"/>
        </w:rPr>
        <w:t>In assessing the realizability of deferred tax assets, management considers, within each taxing jurisdiction, whether it is more likely than not that some portion or all of the deferred tax assets will not be realized. Management considers the scheduled reversal of deferred tax liabilities, projected future taxable income and tax planning strategies in making this assessment. Based on the consideration of the weight of both positive and negative evidence, management has determined that a portion of the deferred tax assets as of January 1, 2016 and January 2, 2015 related to certain foreign tax credits, state investment tax credits, and foreign and state net operating losses will not be realized. The increase in the valuation allowance during 2015 is primarily attributable to the acquisition of Lake Region Medical.</w:t>
      </w:r>
    </w:p>
    <w:p>
      <w:pPr>
        <w:spacing w:after="0" w:line="178" w:lineRule="exact"/>
        <w:rPr>
          <w:sz w:val="20"/>
          <w:szCs w:val="20"/>
          <w:color w:val="auto"/>
        </w:rPr>
      </w:pPr>
    </w:p>
    <w:p>
      <w:pPr>
        <w:ind w:right="40"/>
        <w:spacing w:after="0" w:line="273" w:lineRule="auto"/>
        <w:rPr>
          <w:sz w:val="20"/>
          <w:szCs w:val="20"/>
          <w:color w:val="auto"/>
        </w:rPr>
      </w:pPr>
      <w:r>
        <w:rPr>
          <w:rFonts w:ascii="Arial" w:cs="Arial" w:eastAsia="Arial" w:hAnsi="Arial"/>
          <w:sz w:val="17"/>
          <w:szCs w:val="17"/>
          <w:color w:val="auto"/>
        </w:rPr>
        <w:t>The Company files annual income tax returns in the U.S., various state and local jurisdictions, and in various foreign jurisdictions. A number of years may elapse before an uncertain tax position, for which the Company has unrecognized tax benefits, is examined and finally settled. While it is often difficult to predict the final outcome or the timing of resolution of any particular uncertain tax position, the Company believes that its unrecognized tax benefits reflect the most probable outcome. The Company adjusts these unrecognized tax benefits, as well as the related interest, in light of changing facts and circumstances. The resolution of an uncertain tax position, if recognized, would be recorded as an adjustment to the Provision (Benefit) for Income Taxes and the effective tax rate in the period of resolution.</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color w:val="auto"/>
        </w:rPr>
        <w:t>Below is a summary of changes to the unrecognized tax benefit (in thousands):</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66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gridSpan w:val="2"/>
          </w:tcPr>
          <w:p>
            <w:pPr>
              <w:ind w:left="120"/>
              <w:spacing w:after="0"/>
              <w:rPr>
                <w:sz w:val="20"/>
                <w:szCs w:val="20"/>
                <w:color w:val="auto"/>
              </w:rPr>
            </w:pPr>
            <w:r>
              <w:rPr>
                <w:rFonts w:ascii="Arial" w:cs="Arial" w:eastAsia="Arial" w:hAnsi="Arial"/>
                <w:sz w:val="14"/>
                <w:szCs w:val="14"/>
                <w:b w:val="1"/>
                <w:bCs w:val="1"/>
                <w:color w:val="auto"/>
              </w:rPr>
              <w:t>Year Ended</w:t>
            </w:r>
          </w:p>
        </w:tc>
        <w:tc>
          <w:tcPr>
            <w:tcW w:w="24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spacing w:after="0"/>
              <w:rPr>
                <w:sz w:val="16"/>
                <w:szCs w:val="16"/>
                <w:color w:val="auto"/>
              </w:rPr>
            </w:pPr>
          </w:p>
        </w:tc>
      </w:tr>
      <w:tr>
        <w:trPr>
          <w:trHeight w:val="152"/>
        </w:trPr>
        <w:tc>
          <w:tcPr>
            <w:tcW w:w="56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300" w:type="dxa"/>
            <w:vAlign w:val="bottom"/>
            <w:gridSpan w:val="2"/>
          </w:tcPr>
          <w:p>
            <w:pPr>
              <w:ind w:left="120"/>
              <w:spacing w:after="0" w:line="153" w:lineRule="exact"/>
              <w:rPr>
                <w:sz w:val="20"/>
                <w:szCs w:val="20"/>
                <w:color w:val="auto"/>
              </w:rPr>
            </w:pPr>
            <w:r>
              <w:rPr>
                <w:rFonts w:ascii="Arial" w:cs="Arial" w:eastAsia="Arial" w:hAnsi="Arial"/>
                <w:sz w:val="14"/>
                <w:szCs w:val="14"/>
                <w:b w:val="1"/>
                <w:bCs w:val="1"/>
                <w:color w:val="auto"/>
              </w:rPr>
              <w:t>January 1,</w:t>
            </w:r>
          </w:p>
        </w:tc>
        <w:tc>
          <w:tcPr>
            <w:tcW w:w="240" w:type="dxa"/>
            <w:vAlign w:val="bottom"/>
          </w:tcPr>
          <w:p>
            <w:pPr>
              <w:spacing w:after="0"/>
              <w:rPr>
                <w:sz w:val="13"/>
                <w:szCs w:val="13"/>
                <w:color w:val="auto"/>
              </w:rPr>
            </w:pPr>
          </w:p>
        </w:tc>
        <w:tc>
          <w:tcPr>
            <w:tcW w:w="1300" w:type="dxa"/>
            <w:vAlign w:val="bottom"/>
            <w:gridSpan w:val="2"/>
          </w:tcPr>
          <w:p>
            <w:pPr>
              <w:ind w:left="120"/>
              <w:spacing w:after="0" w:line="153" w:lineRule="exact"/>
              <w:rPr>
                <w:sz w:val="20"/>
                <w:szCs w:val="20"/>
                <w:color w:val="auto"/>
              </w:rPr>
            </w:pPr>
            <w:r>
              <w:rPr>
                <w:rFonts w:ascii="Arial" w:cs="Arial" w:eastAsia="Arial" w:hAnsi="Arial"/>
                <w:sz w:val="14"/>
                <w:szCs w:val="14"/>
                <w:b w:val="1"/>
                <w:bCs w:val="1"/>
                <w:color w:val="auto"/>
              </w:rPr>
              <w:t>January 2,</w:t>
            </w:r>
          </w:p>
        </w:tc>
        <w:tc>
          <w:tcPr>
            <w:tcW w:w="240" w:type="dxa"/>
            <w:vAlign w:val="bottom"/>
          </w:tcPr>
          <w:p>
            <w:pPr>
              <w:spacing w:after="0"/>
              <w:rPr>
                <w:sz w:val="13"/>
                <w:szCs w:val="13"/>
                <w:color w:val="auto"/>
              </w:rPr>
            </w:pPr>
          </w:p>
        </w:tc>
        <w:tc>
          <w:tcPr>
            <w:tcW w:w="1180" w:type="dxa"/>
            <w:vAlign w:val="bottom"/>
          </w:tcPr>
          <w:p>
            <w:pPr>
              <w:jc w:val="right"/>
              <w:ind w:right="314"/>
              <w:spacing w:after="0" w:line="153" w:lineRule="exact"/>
              <w:rPr>
                <w:sz w:val="20"/>
                <w:szCs w:val="20"/>
                <w:color w:val="auto"/>
              </w:rPr>
            </w:pPr>
            <w:r>
              <w:rPr>
                <w:rFonts w:ascii="Arial" w:cs="Arial" w:eastAsia="Arial" w:hAnsi="Arial"/>
                <w:sz w:val="14"/>
                <w:szCs w:val="14"/>
                <w:b w:val="1"/>
                <w:bCs w:val="1"/>
                <w:color w:val="auto"/>
              </w:rPr>
              <w:t>January 3,</w:t>
            </w:r>
          </w:p>
        </w:tc>
      </w:tr>
      <w:tr>
        <w:trPr>
          <w:trHeight w:val="192"/>
        </w:trPr>
        <w:tc>
          <w:tcPr>
            <w:tcW w:w="566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jc w:val="right"/>
              <w:ind w:right="474"/>
              <w:spacing w:after="0"/>
              <w:rPr>
                <w:sz w:val="20"/>
                <w:szCs w:val="20"/>
                <w:color w:val="auto"/>
              </w:rPr>
            </w:pPr>
            <w:r>
              <w:rPr>
                <w:rFonts w:ascii="Arial" w:cs="Arial" w:eastAsia="Arial" w:hAnsi="Arial"/>
                <w:sz w:val="14"/>
                <w:szCs w:val="14"/>
                <w:b w:val="1"/>
                <w:bCs w:val="1"/>
                <w:color w:val="auto"/>
              </w:rPr>
              <w:t>2016</w:t>
            </w:r>
          </w:p>
        </w:tc>
        <w:tc>
          <w:tcPr>
            <w:tcW w:w="12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jc w:val="right"/>
              <w:ind w:right="475"/>
              <w:spacing w:after="0"/>
              <w:rPr>
                <w:sz w:val="20"/>
                <w:szCs w:val="20"/>
                <w:color w:val="auto"/>
              </w:rPr>
            </w:pPr>
            <w:r>
              <w:rPr>
                <w:rFonts w:ascii="Arial" w:cs="Arial" w:eastAsia="Arial" w:hAnsi="Arial"/>
                <w:sz w:val="14"/>
                <w:szCs w:val="14"/>
                <w:b w:val="1"/>
                <w:bCs w:val="1"/>
                <w:color w:val="auto"/>
              </w:rPr>
              <w:t>2015</w:t>
            </w:r>
          </w:p>
        </w:tc>
        <w:tc>
          <w:tcPr>
            <w:tcW w:w="12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jc w:val="right"/>
              <w:ind w:right="474"/>
              <w:spacing w:after="0"/>
              <w:rPr>
                <w:sz w:val="20"/>
                <w:szCs w:val="20"/>
                <w:color w:val="auto"/>
              </w:rPr>
            </w:pPr>
            <w:r>
              <w:rPr>
                <w:rFonts w:ascii="Arial" w:cs="Arial" w:eastAsia="Arial" w:hAnsi="Arial"/>
                <w:sz w:val="14"/>
                <w:szCs w:val="14"/>
                <w:b w:val="1"/>
                <w:bCs w:val="1"/>
                <w:color w:val="auto"/>
              </w:rPr>
              <w:t>2014</w:t>
            </w:r>
          </w:p>
        </w:tc>
      </w:tr>
      <w:tr>
        <w:trPr>
          <w:trHeight w:val="250"/>
        </w:trPr>
        <w:tc>
          <w:tcPr>
            <w:tcW w:w="56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Balance, beginning of year</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2,411</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1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1,858</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1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970</w:t>
            </w:r>
          </w:p>
        </w:tc>
      </w:tr>
      <w:tr>
        <w:trPr>
          <w:trHeight w:val="243"/>
        </w:trPr>
        <w:tc>
          <w:tcPr>
            <w:tcW w:w="5660" w:type="dxa"/>
            <w:vAlign w:val="bottom"/>
          </w:tcPr>
          <w:p>
            <w:pPr>
              <w:ind w:left="20"/>
              <w:spacing w:after="0"/>
              <w:rPr>
                <w:sz w:val="20"/>
                <w:szCs w:val="20"/>
                <w:color w:val="auto"/>
              </w:rPr>
            </w:pPr>
            <w:r>
              <w:rPr>
                <w:rFonts w:ascii="Arial" w:cs="Arial" w:eastAsia="Arial" w:hAnsi="Arial"/>
                <w:sz w:val="18"/>
                <w:szCs w:val="18"/>
                <w:color w:val="auto"/>
              </w:rPr>
              <w:t>Additions relating to business combinations</w:t>
            </w:r>
          </w:p>
        </w:tc>
        <w:tc>
          <w:tcPr>
            <w:tcW w:w="24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7,443</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180" w:type="dxa"/>
            <w:vAlign w:val="bottom"/>
          </w:tcPr>
          <w:p>
            <w:pPr>
              <w:jc w:val="right"/>
              <w:ind w:right="14"/>
              <w:spacing w:after="0"/>
              <w:rPr>
                <w:sz w:val="20"/>
                <w:szCs w:val="20"/>
                <w:color w:val="auto"/>
              </w:rPr>
            </w:pPr>
            <w:r>
              <w:rPr>
                <w:rFonts w:ascii="Arial" w:cs="Arial" w:eastAsia="Arial" w:hAnsi="Arial"/>
                <w:sz w:val="18"/>
                <w:szCs w:val="18"/>
                <w:color w:val="auto"/>
              </w:rPr>
              <w:t>—</w:t>
            </w:r>
          </w:p>
        </w:tc>
      </w:tr>
      <w:tr>
        <w:trPr>
          <w:trHeight w:val="27"/>
        </w:trPr>
        <w:tc>
          <w:tcPr>
            <w:tcW w:w="56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50"/>
        </w:trPr>
        <w:tc>
          <w:tcPr>
            <w:tcW w:w="56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Additions based upon tax positions related to the current year</w:t>
            </w:r>
          </w:p>
        </w:tc>
        <w:tc>
          <w:tcPr>
            <w:tcW w:w="24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274</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268</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325</w:t>
            </w:r>
          </w:p>
        </w:tc>
      </w:tr>
      <w:tr>
        <w:trPr>
          <w:trHeight w:val="243"/>
        </w:trPr>
        <w:tc>
          <w:tcPr>
            <w:tcW w:w="5660" w:type="dxa"/>
            <w:vAlign w:val="bottom"/>
          </w:tcPr>
          <w:p>
            <w:pPr>
              <w:ind w:left="20"/>
              <w:spacing w:after="0"/>
              <w:rPr>
                <w:sz w:val="20"/>
                <w:szCs w:val="20"/>
                <w:color w:val="auto"/>
              </w:rPr>
            </w:pPr>
            <w:r>
              <w:rPr>
                <w:rFonts w:ascii="Arial" w:cs="Arial" w:eastAsia="Arial" w:hAnsi="Arial"/>
                <w:sz w:val="18"/>
                <w:szCs w:val="18"/>
                <w:color w:val="auto"/>
              </w:rPr>
              <w:t>Additions related to prior period tax positions</w:t>
            </w:r>
          </w:p>
        </w:tc>
        <w:tc>
          <w:tcPr>
            <w:tcW w:w="24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163</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80" w:type="dxa"/>
            <w:vAlign w:val="bottom"/>
          </w:tcPr>
          <w:p>
            <w:pPr>
              <w:jc w:val="right"/>
              <w:ind w:right="15"/>
              <w:spacing w:after="0"/>
              <w:rPr>
                <w:sz w:val="20"/>
                <w:szCs w:val="20"/>
                <w:color w:val="auto"/>
              </w:rPr>
            </w:pPr>
            <w:r>
              <w:rPr>
                <w:rFonts w:ascii="Arial" w:cs="Arial" w:eastAsia="Arial" w:hAnsi="Arial"/>
                <w:sz w:val="18"/>
                <w:szCs w:val="18"/>
                <w:color w:val="auto"/>
              </w:rPr>
              <w:t>510</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80" w:type="dxa"/>
            <w:vAlign w:val="bottom"/>
          </w:tcPr>
          <w:p>
            <w:pPr>
              <w:jc w:val="right"/>
              <w:ind w:right="14"/>
              <w:spacing w:after="0"/>
              <w:rPr>
                <w:sz w:val="20"/>
                <w:szCs w:val="20"/>
                <w:color w:val="auto"/>
              </w:rPr>
            </w:pPr>
            <w:r>
              <w:rPr>
                <w:rFonts w:ascii="Arial" w:cs="Arial" w:eastAsia="Arial" w:hAnsi="Arial"/>
                <w:sz w:val="18"/>
                <w:szCs w:val="18"/>
                <w:color w:val="auto"/>
              </w:rPr>
              <w:t>651</w:t>
            </w:r>
          </w:p>
        </w:tc>
      </w:tr>
      <w:tr>
        <w:trPr>
          <w:trHeight w:val="27"/>
        </w:trPr>
        <w:tc>
          <w:tcPr>
            <w:tcW w:w="56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50"/>
        </w:trPr>
        <w:tc>
          <w:tcPr>
            <w:tcW w:w="56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Reductions relating to settlements with tax authorities</w:t>
            </w:r>
          </w:p>
        </w:tc>
        <w:tc>
          <w:tcPr>
            <w:tcW w:w="24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(550)</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(225)</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(88)</w:t>
            </w:r>
          </w:p>
        </w:tc>
      </w:tr>
      <w:tr>
        <w:trPr>
          <w:trHeight w:val="243"/>
        </w:trPr>
        <w:tc>
          <w:tcPr>
            <w:tcW w:w="5660" w:type="dxa"/>
            <w:vAlign w:val="bottom"/>
          </w:tcPr>
          <w:p>
            <w:pPr>
              <w:ind w:left="20"/>
              <w:spacing w:after="0"/>
              <w:rPr>
                <w:sz w:val="20"/>
                <w:szCs w:val="20"/>
                <w:color w:val="auto"/>
              </w:rPr>
            </w:pPr>
            <w:r>
              <w:rPr>
                <w:rFonts w:ascii="Arial" w:cs="Arial" w:eastAsia="Arial" w:hAnsi="Arial"/>
                <w:sz w:val="18"/>
                <w:szCs w:val="18"/>
                <w:color w:val="auto"/>
              </w:rPr>
              <w:t>Reductions as a result of a lapse of applicable statute of limitations</w:t>
            </w:r>
          </w:p>
        </w:tc>
        <w:tc>
          <w:tcPr>
            <w:tcW w:w="24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(470)</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180" w:type="dxa"/>
            <w:vAlign w:val="bottom"/>
          </w:tcPr>
          <w:p>
            <w:pPr>
              <w:jc w:val="right"/>
              <w:ind w:right="14"/>
              <w:spacing w:after="0"/>
              <w:rPr>
                <w:sz w:val="20"/>
                <w:szCs w:val="20"/>
                <w:color w:val="auto"/>
              </w:rPr>
            </w:pPr>
            <w:r>
              <w:rPr>
                <w:rFonts w:ascii="Arial" w:cs="Arial" w:eastAsia="Arial" w:hAnsi="Arial"/>
                <w:sz w:val="18"/>
                <w:szCs w:val="18"/>
                <w:color w:val="auto"/>
              </w:rPr>
              <w:t>—</w:t>
            </w:r>
          </w:p>
        </w:tc>
      </w:tr>
      <w:tr>
        <w:trPr>
          <w:trHeight w:val="27"/>
        </w:trPr>
        <w:tc>
          <w:tcPr>
            <w:tcW w:w="566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57"/>
        </w:trPr>
        <w:tc>
          <w:tcPr>
            <w:tcW w:w="56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Balance, end of year</w:t>
            </w: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9,271</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18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2,411</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18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1,858</w:t>
            </w:r>
          </w:p>
        </w:tc>
      </w:tr>
      <w:tr>
        <w:trPr>
          <w:trHeight w:val="20"/>
        </w:trPr>
        <w:tc>
          <w:tcPr>
            <w:tcW w:w="56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260"/>
        <w:spacing w:after="0" w:line="302" w:lineRule="auto"/>
        <w:rPr>
          <w:sz w:val="20"/>
          <w:szCs w:val="20"/>
          <w:color w:val="auto"/>
        </w:rPr>
      </w:pPr>
      <w:r>
        <w:rPr>
          <w:rFonts w:ascii="Arial" w:cs="Arial" w:eastAsia="Arial" w:hAnsi="Arial"/>
          <w:sz w:val="16"/>
          <w:szCs w:val="16"/>
          <w:color w:val="auto"/>
        </w:rPr>
        <w:t>Greatbatch and its subsidiaries file income tax returns in the U.S. federal jurisdiction and various state and foreign jurisdictions. The tax years that remain open and subject to tax audits varies depending on the tax jurisdiction. The Internal Revenue Service finalized an audit of the 2012 and 2013 U.S. Federal income tax returns of the Company in the first quarter of 2015. The impact to the income tax expense was not material. The U.S. subsidiary of the former Lake Region Medical is still subject to U.S. federal, state, and local examinations for the taxable years 2006 to 2014.</w:t>
      </w:r>
    </w:p>
    <w:p>
      <w:pPr>
        <w:spacing w:after="0" w:line="154" w:lineRule="exact"/>
        <w:rPr>
          <w:sz w:val="20"/>
          <w:szCs w:val="20"/>
          <w:color w:val="auto"/>
        </w:rPr>
      </w:pPr>
    </w:p>
    <w:p>
      <w:pPr>
        <w:ind w:right="60"/>
        <w:spacing w:after="0" w:line="286" w:lineRule="auto"/>
        <w:rPr>
          <w:sz w:val="20"/>
          <w:szCs w:val="20"/>
          <w:color w:val="auto"/>
        </w:rPr>
      </w:pPr>
      <w:r>
        <w:rPr>
          <w:rFonts w:ascii="Arial" w:cs="Arial" w:eastAsia="Arial" w:hAnsi="Arial"/>
          <w:sz w:val="17"/>
          <w:szCs w:val="17"/>
          <w:color w:val="auto"/>
        </w:rPr>
        <w:t>It is reasonably possible that a reduction of approximately $0.1 million of the balance of unrecognized tax benefits may occur within the next twelve months as a result of the lapse of the statute of limitations and/or audit settlements. As of January 1, 2016, approximately $8.5 million of unrecognized tax benefits would favorably impact the effective tax rate (net of federal impact on state issues), if recognized.</w:t>
      </w:r>
    </w:p>
    <w:p>
      <w:pPr>
        <w:spacing w:after="0" w:line="166" w:lineRule="exact"/>
        <w:rPr>
          <w:sz w:val="20"/>
          <w:szCs w:val="20"/>
          <w:color w:val="auto"/>
        </w:rPr>
      </w:pPr>
    </w:p>
    <w:p>
      <w:pPr>
        <w:spacing w:after="0" w:line="342" w:lineRule="auto"/>
        <w:rPr>
          <w:sz w:val="20"/>
          <w:szCs w:val="20"/>
          <w:color w:val="auto"/>
        </w:rPr>
      </w:pPr>
      <w:r>
        <w:rPr>
          <w:rFonts w:ascii="Arial" w:cs="Arial" w:eastAsia="Arial" w:hAnsi="Arial"/>
          <w:sz w:val="16"/>
          <w:szCs w:val="16"/>
          <w:color w:val="auto"/>
        </w:rPr>
        <w:t>The Company recognizes interest and penalties related to unrecognized tax benefits as a component of Provision (Benefit) for Income Taxes on the Consolidated Statement of Operations. During 2015, 2014, and 2013, the recorded amounts for interest and penalties, respectively, were not significant.</w:t>
      </w:r>
    </w:p>
    <w:p>
      <w:pPr>
        <w:spacing w:after="0" w:line="124" w:lineRule="exact"/>
        <w:rPr>
          <w:sz w:val="20"/>
          <w:szCs w:val="20"/>
          <w:color w:val="auto"/>
        </w:rPr>
      </w:pPr>
    </w:p>
    <w:p>
      <w:pPr>
        <w:ind w:right="80"/>
        <w:spacing w:after="0" w:line="264" w:lineRule="auto"/>
        <w:rPr>
          <w:sz w:val="20"/>
          <w:szCs w:val="20"/>
          <w:color w:val="auto"/>
        </w:rPr>
      </w:pPr>
      <w:r>
        <w:rPr>
          <w:rFonts w:ascii="Arial" w:cs="Arial" w:eastAsia="Arial" w:hAnsi="Arial"/>
          <w:sz w:val="18"/>
          <w:szCs w:val="18"/>
          <w:color w:val="auto"/>
        </w:rPr>
        <w:t>As of January 1, 2016, no taxes have been provided on the undistributed earnings of certain foreign subsidiaries amounting to $84 million. The Company intends to permanently reinvest these earnings. Quantification of the deferred tax liability associated with these undistributed earnings is not practicable.</w:t>
      </w:r>
    </w:p>
    <w:p>
      <w:pPr>
        <w:spacing w:after="0" w:line="316" w:lineRule="exact"/>
        <w:rPr>
          <w:sz w:val="20"/>
          <w:szCs w:val="20"/>
          <w:color w:val="auto"/>
        </w:rPr>
      </w:pPr>
    </w:p>
    <w:p>
      <w:pPr>
        <w:jc w:val="center"/>
        <w:ind w:right="480"/>
        <w:spacing w:after="0"/>
        <w:rPr>
          <w:sz w:val="20"/>
          <w:szCs w:val="20"/>
          <w:color w:val="auto"/>
        </w:rPr>
      </w:pPr>
      <w:r>
        <w:rPr>
          <w:rFonts w:ascii="Arial" w:cs="Arial" w:eastAsia="Arial" w:hAnsi="Arial"/>
          <w:sz w:val="18"/>
          <w:szCs w:val="18"/>
          <w:color w:val="auto"/>
        </w:rPr>
        <w:t>- 101 -</w:t>
      </w:r>
    </w:p>
    <w:p>
      <w:pPr>
        <w:sectPr>
          <w:pgSz w:w="11900" w:h="16838" w:orient="portrait"/>
          <w:cols w:equalWidth="0" w:num="1">
            <w:col w:w="10920"/>
          </w:cols>
          <w:pgMar w:left="740" w:top="337" w:right="239" w:bottom="1440" w:gutter="0" w:footer="0" w:header="0"/>
        </w:sectPr>
      </w:pPr>
    </w:p>
    <w:bookmarkStart w:id="102" w:name="page103"/>
    <w:bookmarkEnd w:id="102"/>
    <w:p>
      <w:pPr>
        <w:jc w:val="center"/>
        <w:ind w:right="15"/>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ind w:right="15"/>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ind w:left="425" w:hanging="425"/>
        <w:spacing w:after="0"/>
        <w:tabs>
          <w:tab w:leader="none" w:pos="425" w:val="left"/>
        </w:tabs>
        <w:numPr>
          <w:ilvl w:val="0"/>
          <w:numId w:val="50"/>
        </w:numPr>
        <w:rPr>
          <w:rFonts w:ascii="Arial" w:cs="Arial" w:eastAsia="Arial" w:hAnsi="Arial"/>
          <w:sz w:val="18"/>
          <w:szCs w:val="18"/>
          <w:b w:val="1"/>
          <w:bCs w:val="1"/>
          <w:color w:val="auto"/>
        </w:rPr>
      </w:pPr>
      <w:r>
        <w:rPr>
          <w:rFonts w:ascii="Arial" w:cs="Arial" w:eastAsia="Arial" w:hAnsi="Arial"/>
          <w:sz w:val="18"/>
          <w:szCs w:val="18"/>
          <w:b w:val="1"/>
          <w:bCs w:val="1"/>
          <w:color w:val="auto"/>
        </w:rPr>
        <w:t>COMMITMENTS AND CONTINGENCIES</w:t>
      </w:r>
    </w:p>
    <w:p>
      <w:pPr>
        <w:spacing w:after="0" w:line="148" w:lineRule="exact"/>
        <w:rPr>
          <w:sz w:val="20"/>
          <w:szCs w:val="20"/>
          <w:color w:val="auto"/>
        </w:rPr>
      </w:pPr>
    </w:p>
    <w:p>
      <w:pPr>
        <w:ind w:left="465" w:right="40"/>
        <w:spacing w:after="0" w:line="255" w:lineRule="auto"/>
        <w:rPr>
          <w:sz w:val="20"/>
          <w:szCs w:val="20"/>
          <w:color w:val="auto"/>
        </w:rPr>
      </w:pPr>
      <w:r>
        <w:rPr>
          <w:rFonts w:ascii="Arial" w:cs="Arial" w:eastAsia="Arial" w:hAnsi="Arial"/>
          <w:sz w:val="18"/>
          <w:szCs w:val="18"/>
          <w:b w:val="1"/>
          <w:bCs w:val="1"/>
          <w:i w:val="1"/>
          <w:iCs w:val="1"/>
          <w:color w:val="auto"/>
        </w:rPr>
        <w:t xml:space="preserve">Litigation </w:t>
      </w:r>
      <w:r>
        <w:rPr>
          <w:rFonts w:ascii="Arial" w:cs="Arial" w:eastAsia="Arial" w:hAnsi="Arial"/>
          <w:sz w:val="18"/>
          <w:szCs w:val="18"/>
          <w:i w:val="1"/>
          <w:iCs w:val="1"/>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In April 2013, the Company commenced an action against AVX Corporation and AVX Filters Corporation (collectively “AVX”) alleging</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that AVX had infringed on the Company’s patents by manufacturing and selling filtered feedthrough assemblies used in implantable pacemakers and cardioverter defibrillators that incorporate the Company’s patented technology. On January 26, 2016, a jury in the U.S. District Court for the District of Delaware returned a verdict finding that AVX infringed on two Greatbatch patents and awarded Greatbatch $37.5 million in damages. The finding is subject to post-trial proceedings, including a possible appeal by AVX. The Company has recorded no gains in connection with this litigation as no cash has been received.</w:t>
      </w:r>
    </w:p>
    <w:p>
      <w:pPr>
        <w:spacing w:after="0" w:line="193" w:lineRule="exact"/>
        <w:rPr>
          <w:sz w:val="20"/>
          <w:szCs w:val="20"/>
          <w:color w:val="auto"/>
        </w:rPr>
      </w:pPr>
    </w:p>
    <w:p>
      <w:pPr>
        <w:ind w:left="465" w:right="20"/>
        <w:spacing w:after="0" w:line="271" w:lineRule="auto"/>
        <w:rPr>
          <w:sz w:val="20"/>
          <w:szCs w:val="20"/>
          <w:color w:val="auto"/>
        </w:rPr>
      </w:pPr>
      <w:r>
        <w:rPr>
          <w:rFonts w:ascii="Arial" w:cs="Arial" w:eastAsia="Arial" w:hAnsi="Arial"/>
          <w:sz w:val="17"/>
          <w:szCs w:val="17"/>
          <w:color w:val="auto"/>
        </w:rPr>
        <w:t>In January 2015, Lake Region Medical was notified by the New Jersey Department of Environmental Protection (“NJDEP”) of the NJDEP’s intent to revoke a no further action determination made by the NJDEP in favor of Lake Region Medical in 2002 pertaining to a property on which a subsidiary of Lake Region Medical operated a manufacturing facility in South Plainfield, New Jersey beginning in 1971. Lake Region Medical sold the property in 2004 and vacated the facility in 2007. We are cooperating with the NJDEP and believe the NJDEP’s notice of intent to revoke is unwarranted. In December 2014, the current owner of the property commenced litigation against Lake Region Medical, one of its executive officers and other unrelated third parties, alleging that the defendants caused or contributed to alleged groundwater contamination beneath the property. The Company believes these allegations are without merit and has concluded that any potential loss related to these allegations is not probable, and as such, no liability has been recorded as of January 1, 2016.</w:t>
      </w:r>
    </w:p>
    <w:p>
      <w:pPr>
        <w:spacing w:after="0" w:line="179" w:lineRule="exact"/>
        <w:rPr>
          <w:sz w:val="20"/>
          <w:szCs w:val="20"/>
          <w:color w:val="auto"/>
        </w:rPr>
      </w:pPr>
    </w:p>
    <w:p>
      <w:pPr>
        <w:ind w:left="465" w:right="120"/>
        <w:spacing w:after="0" w:line="279" w:lineRule="auto"/>
        <w:rPr>
          <w:sz w:val="20"/>
          <w:szCs w:val="20"/>
          <w:color w:val="auto"/>
        </w:rPr>
      </w:pPr>
      <w:r>
        <w:rPr>
          <w:rFonts w:ascii="Arial" w:cs="Arial" w:eastAsia="Arial" w:hAnsi="Arial"/>
          <w:sz w:val="17"/>
          <w:szCs w:val="17"/>
          <w:color w:val="auto"/>
        </w:rPr>
        <w:t>The Company is a party to various other legal actions arising in the normal course of business. Other than what is discussed in this note, the Company does not expect that the ultimate resolution of any other pending legal actions will have a material effect on its consolidated results of operations, financial position, or cash flows, litigation is subject to inherent uncertainties. As such, there can be no assurance that any pending legal action, which the Company currently believes to be immaterial, does not become material in the future.</w:t>
      </w:r>
    </w:p>
    <w:p>
      <w:pPr>
        <w:spacing w:after="0" w:line="171" w:lineRule="exact"/>
        <w:rPr>
          <w:sz w:val="20"/>
          <w:szCs w:val="20"/>
          <w:color w:val="auto"/>
        </w:rPr>
      </w:pPr>
    </w:p>
    <w:p>
      <w:pPr>
        <w:ind w:left="465"/>
        <w:spacing w:after="0" w:line="270" w:lineRule="auto"/>
        <w:rPr>
          <w:sz w:val="20"/>
          <w:szCs w:val="20"/>
          <w:color w:val="auto"/>
        </w:rPr>
      </w:pPr>
      <w:r>
        <w:rPr>
          <w:rFonts w:ascii="Arial" w:cs="Arial" w:eastAsia="Arial" w:hAnsi="Arial"/>
          <w:sz w:val="17"/>
          <w:szCs w:val="17"/>
          <w:b w:val="1"/>
          <w:bCs w:val="1"/>
          <w:i w:val="1"/>
          <w:iCs w:val="1"/>
          <w:color w:val="auto"/>
        </w:rPr>
        <w:t xml:space="preserve">Environmental Matters </w:t>
      </w:r>
      <w:r>
        <w:rPr>
          <w:rFonts w:ascii="Arial" w:cs="Arial" w:eastAsia="Arial" w:hAnsi="Arial"/>
          <w:sz w:val="17"/>
          <w:szCs w:val="17"/>
          <w:i w:val="1"/>
          <w:iCs w:val="1"/>
          <w:color w:val="auto"/>
        </w:rPr>
        <w:t>–</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The Company’s Collegeville, PA facility, which was acquired as part of the Lake Region Medical acquisition, is subject to</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two administrative consent orders entered into with the U.S. Environmental Protection Agency (the “EPA”), which require ongoing groundwater treatment and monitoring at the site as a result of historic leaks from underground storage tanks. Upon approval by the EPA of the Company’s proposed post remediation care plan, which requires a continuation of the groundwater treatment and monitoring process at the site, the Company expects that the consent orders will terminate. During the first half of 2016, the Company expects a decision from the EPA on whether the Company’s post remediation care plan has been approved. The groundwater treatment process at the Collegeville facility consists of a groundwater extraction and treatment system and the performance of annual sampling of a defined set of groundwater wells as a means to monitor containment within approved boundaries. As of January 1, 2016, there is $1.1 million recorded in Other Long-Term Liabilities in the Consolidated Balance Sheets in connection with this matter for the cost of on-going remediation.</w:t>
      </w:r>
    </w:p>
    <w:p>
      <w:pPr>
        <w:spacing w:after="0" w:line="182" w:lineRule="exact"/>
        <w:rPr>
          <w:sz w:val="20"/>
          <w:szCs w:val="20"/>
          <w:color w:val="auto"/>
        </w:rPr>
      </w:pPr>
    </w:p>
    <w:p>
      <w:pPr>
        <w:ind w:left="465" w:right="140"/>
        <w:spacing w:after="0" w:line="259" w:lineRule="auto"/>
        <w:rPr>
          <w:sz w:val="20"/>
          <w:szCs w:val="20"/>
          <w:color w:val="auto"/>
        </w:rPr>
      </w:pPr>
      <w:r>
        <w:rPr>
          <w:rFonts w:ascii="Arial" w:cs="Arial" w:eastAsia="Arial" w:hAnsi="Arial"/>
          <w:sz w:val="18"/>
          <w:szCs w:val="18"/>
          <w:b w:val="1"/>
          <w:bCs w:val="1"/>
          <w:i w:val="1"/>
          <w:iCs w:val="1"/>
          <w:color w:val="auto"/>
        </w:rPr>
        <w:t xml:space="preserve">License Agreements </w:t>
      </w:r>
      <w:r>
        <w:rPr>
          <w:rFonts w:ascii="Arial" w:cs="Arial" w:eastAsia="Arial" w:hAnsi="Arial"/>
          <w:sz w:val="18"/>
          <w:szCs w:val="18"/>
          <w:i w:val="1"/>
          <w:iCs w:val="1"/>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The Company is a party to various license agreements for technology that is utilized in certain of its products. The most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significant of these agreements are the licenses for basic technology used in the production of wet tantalum capacitors, filtered feedthroughs and MRI compatible lead systems. Expenses related to license agreements were $2.4 million, $3.3 million, and $3.5 million, for 2015, 2014 and 2013, respectively, and are primarily included in Cost of Sales.</w:t>
      </w:r>
    </w:p>
    <w:p>
      <w:pPr>
        <w:spacing w:after="0" w:line="187" w:lineRule="exact"/>
        <w:rPr>
          <w:sz w:val="20"/>
          <w:szCs w:val="20"/>
          <w:color w:val="auto"/>
        </w:rPr>
      </w:pPr>
    </w:p>
    <w:p>
      <w:pPr>
        <w:ind w:left="465" w:right="220"/>
        <w:spacing w:after="0" w:line="277" w:lineRule="auto"/>
        <w:rPr>
          <w:sz w:val="20"/>
          <w:szCs w:val="20"/>
          <w:color w:val="auto"/>
        </w:rPr>
      </w:pPr>
      <w:r>
        <w:rPr>
          <w:rFonts w:ascii="Arial" w:cs="Arial" w:eastAsia="Arial" w:hAnsi="Arial"/>
          <w:sz w:val="18"/>
          <w:szCs w:val="18"/>
          <w:b w:val="1"/>
          <w:bCs w:val="1"/>
          <w:i w:val="1"/>
          <w:iCs w:val="1"/>
          <w:color w:val="auto"/>
        </w:rPr>
        <w:t xml:space="preserve">Product Warranties </w:t>
      </w:r>
      <w:r>
        <w:rPr>
          <w:rFonts w:ascii="Arial" w:cs="Arial" w:eastAsia="Arial" w:hAnsi="Arial"/>
          <w:sz w:val="18"/>
          <w:szCs w:val="18"/>
          <w:color w:val="auto"/>
        </w:rPr>
        <w:t>– The Company generally warrants that its products will meet customer specifications and will be free from defects in materials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and workmanship. The change in product warranty liability was comprised of the following (in thousands):</w:t>
      </w:r>
    </w:p>
    <w:p>
      <w:pPr>
        <w:spacing w:after="0" w:line="108" w:lineRule="exact"/>
        <w:rPr>
          <w:sz w:val="20"/>
          <w:szCs w:val="20"/>
          <w:color w:val="auto"/>
        </w:rPr>
      </w:pPr>
    </w:p>
    <w:tbl>
      <w:tblPr>
        <w:tblLayout w:type="fixed"/>
        <w:tblInd w:w="465" w:type="dxa"/>
        <w:tblCellMar>
          <w:top w:w="0" w:type="dxa"/>
          <w:left w:w="0" w:type="dxa"/>
          <w:bottom w:w="0" w:type="dxa"/>
          <w:right w:w="0" w:type="dxa"/>
        </w:tblCellMar>
      </w:tblPr>
      <w:tr>
        <w:trPr>
          <w:trHeight w:val="192"/>
        </w:trPr>
        <w:tc>
          <w:tcPr>
            <w:tcW w:w="3800" w:type="dxa"/>
            <w:vAlign w:val="bottom"/>
          </w:tcPr>
          <w:p>
            <w:pPr>
              <w:spacing w:after="0"/>
              <w:rPr>
                <w:sz w:val="16"/>
                <w:szCs w:val="16"/>
                <w:color w:val="auto"/>
              </w:rPr>
            </w:pPr>
          </w:p>
        </w:tc>
        <w:tc>
          <w:tcPr>
            <w:tcW w:w="206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66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Year Ended</w:t>
            </w:r>
          </w:p>
        </w:tc>
        <w:tc>
          <w:tcPr>
            <w:tcW w:w="10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800" w:type="dxa"/>
            <w:vAlign w:val="bottom"/>
          </w:tcPr>
          <w:p>
            <w:pPr>
              <w:spacing w:after="0"/>
              <w:rPr>
                <w:sz w:val="13"/>
                <w:szCs w:val="13"/>
                <w:color w:val="auto"/>
              </w:rPr>
            </w:pPr>
          </w:p>
        </w:tc>
        <w:tc>
          <w:tcPr>
            <w:tcW w:w="20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300" w:type="dxa"/>
            <w:vAlign w:val="bottom"/>
            <w:gridSpan w:val="2"/>
          </w:tcPr>
          <w:p>
            <w:pPr>
              <w:ind w:left="120"/>
              <w:spacing w:after="0" w:line="153" w:lineRule="exact"/>
              <w:rPr>
                <w:sz w:val="20"/>
                <w:szCs w:val="20"/>
                <w:color w:val="auto"/>
              </w:rPr>
            </w:pPr>
            <w:r>
              <w:rPr>
                <w:rFonts w:ascii="Arial" w:cs="Arial" w:eastAsia="Arial" w:hAnsi="Arial"/>
                <w:sz w:val="14"/>
                <w:szCs w:val="14"/>
                <w:b w:val="1"/>
                <w:bCs w:val="1"/>
                <w:color w:val="auto"/>
              </w:rPr>
              <w:t>January 1,</w:t>
            </w:r>
          </w:p>
        </w:tc>
        <w:tc>
          <w:tcPr>
            <w:tcW w:w="360" w:type="dxa"/>
            <w:vAlign w:val="bottom"/>
          </w:tcPr>
          <w:p>
            <w:pPr>
              <w:spacing w:after="0"/>
              <w:rPr>
                <w:sz w:val="13"/>
                <w:szCs w:val="13"/>
                <w:color w:val="auto"/>
              </w:rPr>
            </w:pPr>
          </w:p>
        </w:tc>
        <w:tc>
          <w:tcPr>
            <w:tcW w:w="1080" w:type="dxa"/>
            <w:vAlign w:val="bottom"/>
          </w:tcPr>
          <w:p>
            <w:pPr>
              <w:jc w:val="right"/>
              <w:ind w:right="315"/>
              <w:spacing w:after="0" w:line="153" w:lineRule="exact"/>
              <w:rPr>
                <w:sz w:val="20"/>
                <w:szCs w:val="20"/>
                <w:color w:val="auto"/>
              </w:rPr>
            </w:pPr>
            <w:r>
              <w:rPr>
                <w:rFonts w:ascii="Arial" w:cs="Arial" w:eastAsia="Arial" w:hAnsi="Arial"/>
                <w:sz w:val="14"/>
                <w:szCs w:val="14"/>
                <w:b w:val="1"/>
                <w:bCs w:val="1"/>
                <w:color w:val="auto"/>
                <w:w w:val="95"/>
              </w:rPr>
              <w:t>January 2,</w:t>
            </w:r>
          </w:p>
        </w:tc>
        <w:tc>
          <w:tcPr>
            <w:tcW w:w="0" w:type="dxa"/>
            <w:vAlign w:val="bottom"/>
          </w:tcPr>
          <w:p>
            <w:pPr>
              <w:spacing w:after="0"/>
              <w:rPr>
                <w:sz w:val="1"/>
                <w:szCs w:val="1"/>
                <w:color w:val="auto"/>
              </w:rPr>
            </w:pPr>
          </w:p>
        </w:tc>
      </w:tr>
      <w:tr>
        <w:trPr>
          <w:trHeight w:val="192"/>
        </w:trPr>
        <w:tc>
          <w:tcPr>
            <w:tcW w:w="3800" w:type="dxa"/>
            <w:vAlign w:val="bottom"/>
            <w:tcBorders>
              <w:bottom w:val="single" w:sz="8" w:color="CCEEFF"/>
            </w:tcBorders>
          </w:tcPr>
          <w:p>
            <w:pPr>
              <w:spacing w:after="0"/>
              <w:rPr>
                <w:sz w:val="16"/>
                <w:szCs w:val="16"/>
                <w:color w:val="auto"/>
              </w:rPr>
            </w:pPr>
          </w:p>
        </w:tc>
        <w:tc>
          <w:tcPr>
            <w:tcW w:w="206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497"/>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495"/>
              <w:spacing w:after="0"/>
              <w:rPr>
                <w:sz w:val="20"/>
                <w:szCs w:val="20"/>
                <w:color w:val="auto"/>
              </w:rPr>
            </w:pPr>
            <w:r>
              <w:rPr>
                <w:rFonts w:ascii="Arial" w:cs="Arial" w:eastAsia="Arial" w:hAnsi="Arial"/>
                <w:sz w:val="14"/>
                <w:szCs w:val="14"/>
                <w:b w:val="1"/>
                <w:bCs w:val="1"/>
                <w:color w:val="auto"/>
              </w:rPr>
              <w:t>2015</w:t>
            </w:r>
          </w:p>
        </w:tc>
        <w:tc>
          <w:tcPr>
            <w:tcW w:w="0" w:type="dxa"/>
            <w:vAlign w:val="bottom"/>
          </w:tcPr>
          <w:p>
            <w:pPr>
              <w:spacing w:after="0"/>
              <w:rPr>
                <w:sz w:val="1"/>
                <w:szCs w:val="1"/>
                <w:color w:val="auto"/>
              </w:rPr>
            </w:pPr>
          </w:p>
        </w:tc>
      </w:tr>
      <w:tr>
        <w:trPr>
          <w:trHeight w:val="250"/>
        </w:trPr>
        <w:tc>
          <w:tcPr>
            <w:tcW w:w="38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Beginning balance</w:t>
            </w:r>
          </w:p>
        </w:tc>
        <w:tc>
          <w:tcPr>
            <w:tcW w:w="232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20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660</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1,819</w:t>
            </w:r>
          </w:p>
        </w:tc>
        <w:tc>
          <w:tcPr>
            <w:tcW w:w="0" w:type="dxa"/>
            <w:vAlign w:val="bottom"/>
          </w:tcPr>
          <w:p>
            <w:pPr>
              <w:spacing w:after="0"/>
              <w:rPr>
                <w:sz w:val="1"/>
                <w:szCs w:val="1"/>
                <w:color w:val="auto"/>
              </w:rPr>
            </w:pPr>
          </w:p>
        </w:tc>
      </w:tr>
      <w:tr>
        <w:trPr>
          <w:trHeight w:val="243"/>
        </w:trPr>
        <w:tc>
          <w:tcPr>
            <w:tcW w:w="3800" w:type="dxa"/>
            <w:vAlign w:val="bottom"/>
          </w:tcPr>
          <w:p>
            <w:pPr>
              <w:ind w:left="20"/>
              <w:spacing w:after="0"/>
              <w:rPr>
                <w:sz w:val="20"/>
                <w:szCs w:val="20"/>
                <w:color w:val="auto"/>
              </w:rPr>
            </w:pPr>
            <w:r>
              <w:rPr>
                <w:rFonts w:ascii="Arial" w:cs="Arial" w:eastAsia="Arial" w:hAnsi="Arial"/>
                <w:sz w:val="18"/>
                <w:szCs w:val="18"/>
                <w:color w:val="auto"/>
              </w:rPr>
              <w:t>Additions to warranty reserve</w:t>
            </w:r>
          </w:p>
        </w:tc>
        <w:tc>
          <w:tcPr>
            <w:tcW w:w="20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00" w:type="dxa"/>
            <w:vAlign w:val="bottom"/>
          </w:tcPr>
          <w:p>
            <w:pPr>
              <w:jc w:val="right"/>
              <w:ind w:right="17"/>
              <w:spacing w:after="0"/>
              <w:rPr>
                <w:sz w:val="20"/>
                <w:szCs w:val="20"/>
                <w:color w:val="auto"/>
              </w:rPr>
            </w:pPr>
            <w:r>
              <w:rPr>
                <w:rFonts w:ascii="Arial" w:cs="Arial" w:eastAsia="Arial" w:hAnsi="Arial"/>
                <w:sz w:val="18"/>
                <w:szCs w:val="18"/>
                <w:color w:val="auto"/>
              </w:rPr>
              <w:t>1,274</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953</w:t>
            </w:r>
          </w:p>
        </w:tc>
        <w:tc>
          <w:tcPr>
            <w:tcW w:w="0" w:type="dxa"/>
            <w:vAlign w:val="bottom"/>
          </w:tcPr>
          <w:p>
            <w:pPr>
              <w:spacing w:after="0"/>
              <w:rPr>
                <w:sz w:val="1"/>
                <w:szCs w:val="1"/>
                <w:color w:val="auto"/>
              </w:rPr>
            </w:pPr>
          </w:p>
        </w:tc>
      </w:tr>
      <w:tr>
        <w:trPr>
          <w:trHeight w:val="27"/>
        </w:trPr>
        <w:tc>
          <w:tcPr>
            <w:tcW w:w="3800" w:type="dxa"/>
            <w:vAlign w:val="bottom"/>
          </w:tcPr>
          <w:p>
            <w:pPr>
              <w:spacing w:after="0"/>
              <w:rPr>
                <w:sz w:val="2"/>
                <w:szCs w:val="2"/>
                <w:color w:val="auto"/>
              </w:rPr>
            </w:pPr>
          </w:p>
        </w:tc>
        <w:tc>
          <w:tcPr>
            <w:tcW w:w="20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8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Liabilities assumed from acquisition</w:t>
            </w:r>
          </w:p>
        </w:tc>
        <w:tc>
          <w:tcPr>
            <w:tcW w:w="206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2,521</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3800" w:type="dxa"/>
            <w:vAlign w:val="bottom"/>
          </w:tcPr>
          <w:p>
            <w:pPr>
              <w:ind w:left="20"/>
              <w:spacing w:after="0"/>
              <w:rPr>
                <w:sz w:val="20"/>
                <w:szCs w:val="20"/>
                <w:color w:val="auto"/>
              </w:rPr>
            </w:pPr>
            <w:r>
              <w:rPr>
                <w:rFonts w:ascii="Arial" w:cs="Arial" w:eastAsia="Arial" w:hAnsi="Arial"/>
                <w:sz w:val="18"/>
                <w:szCs w:val="18"/>
                <w:color w:val="auto"/>
              </w:rPr>
              <w:t>Warranty claims paid</w:t>
            </w:r>
          </w:p>
        </w:tc>
        <w:tc>
          <w:tcPr>
            <w:tcW w:w="20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(1,139)</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(2,112)</w:t>
            </w:r>
          </w:p>
        </w:tc>
        <w:tc>
          <w:tcPr>
            <w:tcW w:w="0" w:type="dxa"/>
            <w:vAlign w:val="bottom"/>
          </w:tcPr>
          <w:p>
            <w:pPr>
              <w:spacing w:after="0"/>
              <w:rPr>
                <w:sz w:val="1"/>
                <w:szCs w:val="1"/>
                <w:color w:val="auto"/>
              </w:rPr>
            </w:pPr>
          </w:p>
        </w:tc>
      </w:tr>
      <w:tr>
        <w:trPr>
          <w:trHeight w:val="27"/>
        </w:trPr>
        <w:tc>
          <w:tcPr>
            <w:tcW w:w="3800" w:type="dxa"/>
            <w:vAlign w:val="bottom"/>
            <w:tcBorders>
              <w:bottom w:val="single" w:sz="8" w:color="CCEEFF"/>
            </w:tcBorders>
          </w:tcPr>
          <w:p>
            <w:pPr>
              <w:spacing w:after="0"/>
              <w:rPr>
                <w:sz w:val="2"/>
                <w:szCs w:val="2"/>
                <w:color w:val="auto"/>
              </w:rPr>
            </w:pPr>
          </w:p>
        </w:tc>
        <w:tc>
          <w:tcPr>
            <w:tcW w:w="206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3800" w:type="dxa"/>
            <w:vAlign w:val="bottom"/>
            <w:shd w:val="clear" w:color="auto" w:fill="CCEEFF"/>
          </w:tcPr>
          <w:p>
            <w:pPr>
              <w:ind w:left="20"/>
              <w:spacing w:after="0"/>
              <w:rPr>
                <w:sz w:val="20"/>
                <w:szCs w:val="20"/>
                <w:color w:val="auto"/>
              </w:rPr>
            </w:pPr>
            <w:r>
              <w:rPr>
                <w:rFonts w:ascii="Arial" w:cs="Arial" w:eastAsia="Arial" w:hAnsi="Arial"/>
                <w:sz w:val="18"/>
                <w:szCs w:val="18"/>
                <w:color w:val="auto"/>
              </w:rPr>
              <w:t>Ending balance</w:t>
            </w:r>
          </w:p>
        </w:tc>
        <w:tc>
          <w:tcPr>
            <w:tcW w:w="23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20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rPr>
              <w:t>3,316</w:t>
            </w:r>
          </w:p>
        </w:tc>
        <w:tc>
          <w:tcPr>
            <w:tcW w:w="100" w:type="dxa"/>
            <w:vAlign w:val="bottom"/>
            <w:shd w:val="clear" w:color="auto" w:fill="CCEEFF"/>
          </w:tcPr>
          <w:p>
            <w:pPr>
              <w:spacing w:after="0"/>
              <w:rPr>
                <w:sz w:val="22"/>
                <w:szCs w:val="22"/>
                <w:color w:val="auto"/>
              </w:rPr>
            </w:pPr>
          </w:p>
        </w:tc>
        <w:tc>
          <w:tcPr>
            <w:tcW w:w="36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660</w:t>
            </w:r>
          </w:p>
        </w:tc>
        <w:tc>
          <w:tcPr>
            <w:tcW w:w="0" w:type="dxa"/>
            <w:vAlign w:val="bottom"/>
          </w:tcPr>
          <w:p>
            <w:pPr>
              <w:spacing w:after="0"/>
              <w:rPr>
                <w:sz w:val="1"/>
                <w:szCs w:val="1"/>
                <w:color w:val="auto"/>
              </w:rPr>
            </w:pPr>
          </w:p>
        </w:tc>
      </w:tr>
      <w:tr>
        <w:trPr>
          <w:trHeight w:val="20"/>
        </w:trPr>
        <w:tc>
          <w:tcPr>
            <w:tcW w:w="3800" w:type="dxa"/>
            <w:vAlign w:val="bottom"/>
            <w:tcBorders>
              <w:top w:val="single" w:sz="8" w:color="CCEEFF"/>
            </w:tcBorders>
          </w:tcPr>
          <w:p>
            <w:pPr>
              <w:spacing w:after="0" w:line="20" w:lineRule="exact"/>
              <w:rPr>
                <w:sz w:val="1"/>
                <w:szCs w:val="1"/>
                <w:color w:val="auto"/>
              </w:rPr>
            </w:pPr>
          </w:p>
        </w:tc>
        <w:tc>
          <w:tcPr>
            <w:tcW w:w="2060" w:type="dxa"/>
            <w:vAlign w:val="bottom"/>
            <w:tcBorders>
              <w:top w:val="single" w:sz="8" w:color="CCEEFF"/>
              <w:bottom w:val="single" w:sz="8" w:color="CCEEFF"/>
            </w:tcBorders>
            <w:vMerge w:val="restart"/>
          </w:tcPr>
          <w:p>
            <w:pPr>
              <w:jc w:val="right"/>
              <w:ind w:right="310"/>
              <w:spacing w:after="0"/>
              <w:rPr>
                <w:sz w:val="20"/>
                <w:szCs w:val="20"/>
                <w:color w:val="auto"/>
              </w:rPr>
            </w:pPr>
            <w:r>
              <w:rPr>
                <w:rFonts w:ascii="Arial" w:cs="Arial" w:eastAsia="Arial" w:hAnsi="Arial"/>
                <w:sz w:val="18"/>
                <w:szCs w:val="18"/>
                <w:color w:val="auto"/>
              </w:rPr>
              <w:t>- 102 -</w:t>
            </w:r>
          </w:p>
        </w:tc>
        <w:tc>
          <w:tcPr>
            <w:tcW w:w="2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54"/>
        </w:trPr>
        <w:tc>
          <w:tcPr>
            <w:tcW w:w="3800" w:type="dxa"/>
            <w:vAlign w:val="bottom"/>
          </w:tcPr>
          <w:p>
            <w:pPr>
              <w:spacing w:after="0"/>
              <w:rPr>
                <w:sz w:val="24"/>
                <w:szCs w:val="24"/>
                <w:color w:val="auto"/>
              </w:rPr>
            </w:pPr>
          </w:p>
        </w:tc>
        <w:tc>
          <w:tcPr>
            <w:tcW w:w="2060" w:type="dxa"/>
            <w:vAlign w:val="bottom"/>
            <w:vMerge w:val="continue"/>
          </w:tcPr>
          <w:p>
            <w:pPr>
              <w:spacing w:after="0"/>
              <w:rPr>
                <w:sz w:val="24"/>
                <w:szCs w:val="24"/>
                <w:color w:val="auto"/>
              </w:rPr>
            </w:pPr>
          </w:p>
        </w:tc>
        <w:tc>
          <w:tcPr>
            <w:tcW w:w="2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385"/>
          </w:cols>
          <w:pgMar w:left="275" w:top="337" w:right="239" w:bottom="1440" w:gutter="0" w:footer="0" w:header="0"/>
        </w:sectPr>
      </w:pPr>
    </w:p>
    <w:bookmarkStart w:id="103" w:name="page104"/>
    <w:bookmarkEnd w:id="103"/>
    <w:p>
      <w:pPr>
        <w:jc w:val="center"/>
        <w:ind w:right="460"/>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ind w:right="46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both"/>
        <w:ind w:right="200"/>
        <w:spacing w:after="0" w:line="312" w:lineRule="auto"/>
        <w:rPr>
          <w:sz w:val="20"/>
          <w:szCs w:val="20"/>
          <w:color w:val="auto"/>
        </w:rPr>
      </w:pPr>
      <w:r>
        <w:rPr>
          <w:rFonts w:ascii="Arial" w:cs="Arial" w:eastAsia="Arial" w:hAnsi="Arial"/>
          <w:sz w:val="16"/>
          <w:szCs w:val="16"/>
          <w:b w:val="1"/>
          <w:bCs w:val="1"/>
          <w:i w:val="1"/>
          <w:iCs w:val="1"/>
          <w:color w:val="auto"/>
        </w:rPr>
        <w:t xml:space="preserve">Operating Leases </w:t>
      </w:r>
      <w:r>
        <w:rPr>
          <w:rFonts w:ascii="Arial" w:cs="Arial" w:eastAsia="Arial" w:hAnsi="Arial"/>
          <w:sz w:val="16"/>
          <w:szCs w:val="16"/>
          <w:i w:val="1"/>
          <w:iCs w:val="1"/>
          <w:color w:val="auto"/>
        </w:rPr>
        <w:t>–</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The Company is a party to various operating lease agreements for buildings, machinery, equipment and software. The Company</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primarily leases buildings, which accounts for the majority of the future lease payments. Lease expense includes the effect of escalation clauses and leasehold improvement incentives which are accounted for ratably over the lease term. Operating lease expense was as follows (in thousands):</w:t>
      </w:r>
    </w:p>
    <w:p>
      <w:pPr>
        <w:spacing w:after="0" w:line="8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08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gridSpan w:val="2"/>
          </w:tcPr>
          <w:p>
            <w:pPr>
              <w:ind w:left="100"/>
              <w:spacing w:after="0"/>
              <w:rPr>
                <w:sz w:val="20"/>
                <w:szCs w:val="20"/>
                <w:color w:val="auto"/>
              </w:rPr>
            </w:pPr>
            <w:r>
              <w:rPr>
                <w:rFonts w:ascii="Arial" w:cs="Arial" w:eastAsia="Arial" w:hAnsi="Arial"/>
                <w:sz w:val="14"/>
                <w:szCs w:val="14"/>
                <w:b w:val="1"/>
                <w:bCs w:val="1"/>
                <w:color w:val="auto"/>
              </w:rPr>
              <w:t>Year Ended</w:t>
            </w:r>
          </w:p>
        </w:tc>
        <w:tc>
          <w:tcPr>
            <w:tcW w:w="2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r>
      <w:tr>
        <w:trPr>
          <w:trHeight w:val="152"/>
        </w:trPr>
        <w:tc>
          <w:tcPr>
            <w:tcW w:w="60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40" w:type="dxa"/>
            <w:vAlign w:val="bottom"/>
            <w:gridSpan w:val="2"/>
          </w:tcPr>
          <w:p>
            <w:pPr>
              <w:jc w:val="center"/>
              <w:ind w:right="380"/>
              <w:spacing w:after="0" w:line="153" w:lineRule="exact"/>
              <w:rPr>
                <w:sz w:val="20"/>
                <w:szCs w:val="20"/>
                <w:color w:val="auto"/>
              </w:rPr>
            </w:pPr>
            <w:r>
              <w:rPr>
                <w:rFonts w:ascii="Arial" w:cs="Arial" w:eastAsia="Arial" w:hAnsi="Arial"/>
                <w:sz w:val="14"/>
                <w:szCs w:val="14"/>
                <w:b w:val="1"/>
                <w:bCs w:val="1"/>
                <w:color w:val="auto"/>
                <w:w w:val="95"/>
              </w:rPr>
              <w:t>January 1,</w:t>
            </w:r>
          </w:p>
        </w:tc>
        <w:tc>
          <w:tcPr>
            <w:tcW w:w="220" w:type="dxa"/>
            <w:vAlign w:val="bottom"/>
          </w:tcPr>
          <w:p>
            <w:pPr>
              <w:spacing w:after="0"/>
              <w:rPr>
                <w:sz w:val="13"/>
                <w:szCs w:val="13"/>
                <w:color w:val="auto"/>
              </w:rPr>
            </w:pPr>
          </w:p>
        </w:tc>
        <w:tc>
          <w:tcPr>
            <w:tcW w:w="1220" w:type="dxa"/>
            <w:vAlign w:val="bottom"/>
            <w:gridSpan w:val="2"/>
          </w:tcPr>
          <w:p>
            <w:pPr>
              <w:ind w:left="100"/>
              <w:spacing w:after="0" w:line="153" w:lineRule="exact"/>
              <w:rPr>
                <w:sz w:val="20"/>
                <w:szCs w:val="20"/>
                <w:color w:val="auto"/>
              </w:rPr>
            </w:pPr>
            <w:r>
              <w:rPr>
                <w:rFonts w:ascii="Arial" w:cs="Arial" w:eastAsia="Arial" w:hAnsi="Arial"/>
                <w:sz w:val="14"/>
                <w:szCs w:val="14"/>
                <w:b w:val="1"/>
                <w:bCs w:val="1"/>
                <w:color w:val="auto"/>
              </w:rPr>
              <w:t>January 2,</w:t>
            </w:r>
          </w:p>
        </w:tc>
        <w:tc>
          <w:tcPr>
            <w:tcW w:w="240" w:type="dxa"/>
            <w:vAlign w:val="bottom"/>
          </w:tcPr>
          <w:p>
            <w:pPr>
              <w:spacing w:after="0"/>
              <w:rPr>
                <w:sz w:val="13"/>
                <w:szCs w:val="13"/>
                <w:color w:val="auto"/>
              </w:rPr>
            </w:pPr>
          </w:p>
        </w:tc>
        <w:tc>
          <w:tcPr>
            <w:tcW w:w="1120" w:type="dxa"/>
            <w:vAlign w:val="bottom"/>
          </w:tcPr>
          <w:p>
            <w:pPr>
              <w:jc w:val="center"/>
              <w:ind w:right="182"/>
              <w:spacing w:after="0" w:line="153" w:lineRule="exact"/>
              <w:rPr>
                <w:sz w:val="20"/>
                <w:szCs w:val="20"/>
                <w:color w:val="auto"/>
              </w:rPr>
            </w:pPr>
            <w:r>
              <w:rPr>
                <w:rFonts w:ascii="Arial" w:cs="Arial" w:eastAsia="Arial" w:hAnsi="Arial"/>
                <w:sz w:val="14"/>
                <w:szCs w:val="14"/>
                <w:b w:val="1"/>
                <w:bCs w:val="1"/>
                <w:color w:val="auto"/>
                <w:w w:val="95"/>
              </w:rPr>
              <w:t>January 3,</w:t>
            </w:r>
          </w:p>
        </w:tc>
      </w:tr>
      <w:tr>
        <w:trPr>
          <w:trHeight w:val="192"/>
        </w:trPr>
        <w:tc>
          <w:tcPr>
            <w:tcW w:w="608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42"/>
              <w:spacing w:after="0"/>
              <w:rPr>
                <w:sz w:val="20"/>
                <w:szCs w:val="20"/>
                <w:color w:val="auto"/>
              </w:rPr>
            </w:pPr>
            <w:r>
              <w:rPr>
                <w:rFonts w:ascii="Arial" w:cs="Arial" w:eastAsia="Arial" w:hAnsi="Arial"/>
                <w:sz w:val="14"/>
                <w:szCs w:val="14"/>
                <w:b w:val="1"/>
                <w:bCs w:val="1"/>
                <w:color w:val="auto"/>
              </w:rPr>
              <w:t>2016</w:t>
            </w:r>
          </w:p>
        </w:tc>
        <w:tc>
          <w:tcPr>
            <w:tcW w:w="12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64"/>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62"/>
              <w:spacing w:after="0"/>
              <w:rPr>
                <w:sz w:val="20"/>
                <w:szCs w:val="20"/>
                <w:color w:val="auto"/>
              </w:rPr>
            </w:pPr>
            <w:r>
              <w:rPr>
                <w:rFonts w:ascii="Arial" w:cs="Arial" w:eastAsia="Arial" w:hAnsi="Arial"/>
                <w:sz w:val="14"/>
                <w:szCs w:val="14"/>
                <w:b w:val="1"/>
                <w:bCs w:val="1"/>
                <w:color w:val="auto"/>
              </w:rPr>
              <w:t>2014</w:t>
            </w:r>
          </w:p>
        </w:tc>
      </w:tr>
      <w:tr>
        <w:trPr>
          <w:trHeight w:val="243"/>
        </w:trPr>
        <w:tc>
          <w:tcPr>
            <w:tcW w:w="6080" w:type="dxa"/>
            <w:vAlign w:val="bottom"/>
            <w:shd w:val="clear" w:color="auto" w:fill="CCEEFF"/>
          </w:tcPr>
          <w:p>
            <w:pPr>
              <w:ind w:left="20"/>
              <w:spacing w:after="0"/>
              <w:rPr>
                <w:sz w:val="20"/>
                <w:szCs w:val="20"/>
                <w:color w:val="auto"/>
              </w:rPr>
            </w:pPr>
            <w:r>
              <w:rPr>
                <w:rFonts w:ascii="Arial" w:cs="Arial" w:eastAsia="Arial" w:hAnsi="Arial"/>
                <w:sz w:val="18"/>
                <w:szCs w:val="18"/>
                <w:color w:val="auto"/>
              </w:rPr>
              <w:t>Operating lease expense</w:t>
            </w: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shd w:val="clear" w:color="auto" w:fill="CCEEFF"/>
          </w:tcPr>
          <w:p>
            <w:pPr>
              <w:jc w:val="right"/>
              <w:ind w:right="22"/>
              <w:spacing w:after="0"/>
              <w:rPr>
                <w:sz w:val="20"/>
                <w:szCs w:val="20"/>
                <w:color w:val="auto"/>
              </w:rPr>
            </w:pPr>
            <w:r>
              <w:rPr>
                <w:rFonts w:ascii="Arial" w:cs="Arial" w:eastAsia="Arial" w:hAnsi="Arial"/>
                <w:sz w:val="18"/>
                <w:szCs w:val="18"/>
                <w:color w:val="auto"/>
              </w:rPr>
              <w:t>6,516</w:t>
            </w:r>
          </w:p>
        </w:tc>
        <w:tc>
          <w:tcPr>
            <w:tcW w:w="120" w:type="dxa"/>
            <w:vAlign w:val="bottom"/>
            <w:shd w:val="clear" w:color="auto" w:fill="CCEEFF"/>
          </w:tcPr>
          <w:p>
            <w:pPr>
              <w:spacing w:after="0"/>
              <w:rPr>
                <w:sz w:val="21"/>
                <w:szCs w:val="21"/>
                <w:color w:val="auto"/>
              </w:rPr>
            </w:pP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shd w:val="clear" w:color="auto" w:fill="CCEEFF"/>
          </w:tcPr>
          <w:p>
            <w:pPr>
              <w:jc w:val="right"/>
              <w:ind w:right="24"/>
              <w:spacing w:after="0"/>
              <w:rPr>
                <w:sz w:val="20"/>
                <w:szCs w:val="20"/>
                <w:color w:val="auto"/>
              </w:rPr>
            </w:pPr>
            <w:r>
              <w:rPr>
                <w:rFonts w:ascii="Arial" w:cs="Arial" w:eastAsia="Arial" w:hAnsi="Arial"/>
                <w:sz w:val="18"/>
                <w:szCs w:val="18"/>
                <w:color w:val="auto"/>
              </w:rPr>
              <w:t>4,281</w:t>
            </w:r>
          </w:p>
        </w:tc>
        <w:tc>
          <w:tcPr>
            <w:tcW w:w="100" w:type="dxa"/>
            <w:vAlign w:val="bottom"/>
            <w:shd w:val="clear" w:color="auto" w:fill="CCEEFF"/>
          </w:tcPr>
          <w:p>
            <w:pPr>
              <w:spacing w:after="0"/>
              <w:rPr>
                <w:sz w:val="21"/>
                <w:szCs w:val="21"/>
                <w:color w:val="auto"/>
              </w:rPr>
            </w:pPr>
          </w:p>
        </w:tc>
        <w:tc>
          <w:tcPr>
            <w:tcW w:w="2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shd w:val="clear" w:color="auto" w:fill="CCEEFF"/>
          </w:tcPr>
          <w:p>
            <w:pPr>
              <w:jc w:val="right"/>
              <w:ind w:right="22"/>
              <w:spacing w:after="0"/>
              <w:rPr>
                <w:sz w:val="20"/>
                <w:szCs w:val="20"/>
                <w:color w:val="auto"/>
              </w:rPr>
            </w:pPr>
            <w:r>
              <w:rPr>
                <w:rFonts w:ascii="Arial" w:cs="Arial" w:eastAsia="Arial" w:hAnsi="Arial"/>
                <w:sz w:val="18"/>
                <w:szCs w:val="18"/>
                <w:color w:val="auto"/>
              </w:rPr>
              <w:t>4,379</w:t>
            </w:r>
          </w:p>
        </w:tc>
      </w:tr>
      <w:tr>
        <w:trPr>
          <w:trHeight w:val="27"/>
        </w:trPr>
        <w:tc>
          <w:tcPr>
            <w:tcW w:w="608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Minimum future estimated annual operating lease expenses are as follows (in thousands):</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70"/>
        </w:trPr>
        <w:tc>
          <w:tcPr>
            <w:tcW w:w="5960" w:type="dxa"/>
            <w:vAlign w:val="bottom"/>
            <w:shd w:val="clear" w:color="auto" w:fill="CCEEFF"/>
          </w:tcPr>
          <w:p>
            <w:pPr>
              <w:ind w:left="20"/>
              <w:spacing w:after="0"/>
              <w:rPr>
                <w:sz w:val="20"/>
                <w:szCs w:val="20"/>
                <w:color w:val="auto"/>
              </w:rPr>
            </w:pPr>
            <w:r>
              <w:rPr>
                <w:rFonts w:ascii="Arial" w:cs="Arial" w:eastAsia="Arial" w:hAnsi="Arial"/>
                <w:sz w:val="18"/>
                <w:szCs w:val="18"/>
                <w:color w:val="auto"/>
              </w:rPr>
              <w:t>2016</w:t>
            </w:r>
          </w:p>
        </w:tc>
        <w:tc>
          <w:tcPr>
            <w:tcW w:w="48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w w:val="7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14,118</w:t>
            </w:r>
          </w:p>
        </w:tc>
      </w:tr>
      <w:tr>
        <w:trPr>
          <w:trHeight w:val="243"/>
        </w:trPr>
        <w:tc>
          <w:tcPr>
            <w:tcW w:w="5960" w:type="dxa"/>
            <w:vAlign w:val="bottom"/>
          </w:tcPr>
          <w:p>
            <w:pPr>
              <w:ind w:left="20"/>
              <w:spacing w:after="0"/>
              <w:rPr>
                <w:sz w:val="20"/>
                <w:szCs w:val="20"/>
                <w:color w:val="auto"/>
              </w:rPr>
            </w:pPr>
            <w:r>
              <w:rPr>
                <w:rFonts w:ascii="Arial" w:cs="Arial" w:eastAsia="Arial" w:hAnsi="Arial"/>
                <w:sz w:val="18"/>
                <w:szCs w:val="18"/>
                <w:color w:val="auto"/>
              </w:rPr>
              <w:t>2017</w:t>
            </w:r>
          </w:p>
        </w:tc>
        <w:tc>
          <w:tcPr>
            <w:tcW w:w="48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10,951</w:t>
            </w:r>
          </w:p>
        </w:tc>
      </w:tr>
      <w:tr>
        <w:trPr>
          <w:trHeight w:val="27"/>
        </w:trPr>
        <w:tc>
          <w:tcPr>
            <w:tcW w:w="5960" w:type="dxa"/>
            <w:vAlign w:val="bottom"/>
          </w:tcPr>
          <w:p>
            <w:pPr>
              <w:spacing w:after="0"/>
              <w:rPr>
                <w:sz w:val="2"/>
                <w:szCs w:val="2"/>
                <w:color w:val="auto"/>
              </w:rPr>
            </w:pPr>
          </w:p>
        </w:tc>
        <w:tc>
          <w:tcPr>
            <w:tcW w:w="48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59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2018</w:t>
            </w:r>
          </w:p>
        </w:tc>
        <w:tc>
          <w:tcPr>
            <w:tcW w:w="4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9,950</w:t>
            </w:r>
          </w:p>
        </w:tc>
      </w:tr>
      <w:tr>
        <w:trPr>
          <w:trHeight w:val="243"/>
        </w:trPr>
        <w:tc>
          <w:tcPr>
            <w:tcW w:w="5960" w:type="dxa"/>
            <w:vAlign w:val="bottom"/>
          </w:tcPr>
          <w:p>
            <w:pPr>
              <w:ind w:left="20"/>
              <w:spacing w:after="0"/>
              <w:rPr>
                <w:sz w:val="20"/>
                <w:szCs w:val="20"/>
                <w:color w:val="auto"/>
              </w:rPr>
            </w:pPr>
            <w:r>
              <w:rPr>
                <w:rFonts w:ascii="Arial" w:cs="Arial" w:eastAsia="Arial" w:hAnsi="Arial"/>
                <w:sz w:val="18"/>
                <w:szCs w:val="18"/>
                <w:color w:val="auto"/>
              </w:rPr>
              <w:t>2019</w:t>
            </w:r>
          </w:p>
        </w:tc>
        <w:tc>
          <w:tcPr>
            <w:tcW w:w="48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8,979</w:t>
            </w:r>
          </w:p>
        </w:tc>
      </w:tr>
      <w:tr>
        <w:trPr>
          <w:trHeight w:val="27"/>
        </w:trPr>
        <w:tc>
          <w:tcPr>
            <w:tcW w:w="5960" w:type="dxa"/>
            <w:vAlign w:val="bottom"/>
          </w:tcPr>
          <w:p>
            <w:pPr>
              <w:spacing w:after="0"/>
              <w:rPr>
                <w:sz w:val="2"/>
                <w:szCs w:val="2"/>
                <w:color w:val="auto"/>
              </w:rPr>
            </w:pPr>
          </w:p>
        </w:tc>
        <w:tc>
          <w:tcPr>
            <w:tcW w:w="48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59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2020</w:t>
            </w:r>
          </w:p>
        </w:tc>
        <w:tc>
          <w:tcPr>
            <w:tcW w:w="4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6,925</w:t>
            </w:r>
          </w:p>
        </w:tc>
      </w:tr>
      <w:tr>
        <w:trPr>
          <w:trHeight w:val="243"/>
        </w:trPr>
        <w:tc>
          <w:tcPr>
            <w:tcW w:w="5960" w:type="dxa"/>
            <w:vAlign w:val="bottom"/>
          </w:tcPr>
          <w:p>
            <w:pPr>
              <w:ind w:left="20"/>
              <w:spacing w:after="0"/>
              <w:rPr>
                <w:sz w:val="20"/>
                <w:szCs w:val="20"/>
                <w:color w:val="auto"/>
              </w:rPr>
            </w:pPr>
            <w:r>
              <w:rPr>
                <w:rFonts w:ascii="Arial" w:cs="Arial" w:eastAsia="Arial" w:hAnsi="Arial"/>
                <w:sz w:val="18"/>
                <w:szCs w:val="18"/>
                <w:color w:val="auto"/>
              </w:rPr>
              <w:t>Thereafter</w:t>
            </w:r>
          </w:p>
        </w:tc>
        <w:tc>
          <w:tcPr>
            <w:tcW w:w="48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27,674</w:t>
            </w:r>
          </w:p>
        </w:tc>
      </w:tr>
      <w:tr>
        <w:trPr>
          <w:trHeight w:val="27"/>
        </w:trPr>
        <w:tc>
          <w:tcPr>
            <w:tcW w:w="596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57"/>
        </w:trPr>
        <w:tc>
          <w:tcPr>
            <w:tcW w:w="596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Total estimated operating lease expense</w:t>
            </w:r>
          </w:p>
        </w:tc>
        <w:tc>
          <w:tcPr>
            <w:tcW w:w="480" w:type="dxa"/>
            <w:vAlign w:val="bottom"/>
            <w:tcBorders>
              <w:bottom w:val="single" w:sz="8" w:color="auto"/>
            </w:tcBorders>
            <w:shd w:val="clear" w:color="auto" w:fill="CCEEFF"/>
          </w:tcPr>
          <w:p>
            <w:pPr>
              <w:jc w:val="right"/>
              <w:ind w:right="290"/>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78,597</w:t>
            </w:r>
          </w:p>
        </w:tc>
      </w:tr>
      <w:tr>
        <w:trPr>
          <w:trHeight w:val="20"/>
        </w:trPr>
        <w:tc>
          <w:tcPr>
            <w:tcW w:w="596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spacing w:after="0" w:line="290" w:lineRule="auto"/>
        <w:rPr>
          <w:sz w:val="20"/>
          <w:szCs w:val="20"/>
          <w:color w:val="auto"/>
        </w:rPr>
      </w:pPr>
      <w:r>
        <w:rPr>
          <w:rFonts w:ascii="Arial" w:cs="Arial" w:eastAsia="Arial" w:hAnsi="Arial"/>
          <w:sz w:val="16"/>
          <w:szCs w:val="16"/>
          <w:b w:val="1"/>
          <w:bCs w:val="1"/>
          <w:i w:val="1"/>
          <w:iCs w:val="1"/>
          <w:color w:val="auto"/>
        </w:rPr>
        <w:t xml:space="preserve">Purchase Commitments </w:t>
      </w:r>
      <w:r>
        <w:rPr>
          <w:rFonts w:ascii="Arial" w:cs="Arial" w:eastAsia="Arial" w:hAnsi="Arial"/>
          <w:sz w:val="16"/>
          <w:szCs w:val="16"/>
          <w:color w:val="auto"/>
        </w:rPr>
        <w:t>– Contractual obligations for purchase of goods or services are defined as agreements that are enforceable and legally binding</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on the Company and that specify all significant terms, including: fixed or minimum quantities to be purchased; fixed, minimum or variable price provisions; and the approximate timing of the transaction. The Company’s purchase orders are normally based on its current manufacturing needs and are fulfilled by its vendors within short time horizons. The Company enters into blanket orders with vendors that have preferred pricing and terms, however these orders are normally cancelable by us without penalty. As of January 1, 2016, the total contractual obligation related to such expenditures is approximately $63.7 million and will primarily be financed by existing cash and cash equivalents, cash generated from operations, or the Company’s Senior Secured Credit Facilities. The Company also enters into contracts for outsourced services; however, the obligations under these contracts were not significant and the contracts generally contain clauses allowing for cancellation without significant penalty.</w:t>
      </w:r>
    </w:p>
    <w:p>
      <w:pPr>
        <w:spacing w:after="0" w:line="166"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 xml:space="preserve">Self-Insured Medical Plan </w:t>
      </w:r>
      <w:r>
        <w:rPr>
          <w:rFonts w:ascii="Arial" w:cs="Arial" w:eastAsia="Arial" w:hAnsi="Arial"/>
          <w:sz w:val="16"/>
          <w:szCs w:val="16"/>
          <w:i w:val="1"/>
          <w:iCs w:val="1"/>
          <w:color w:val="auto"/>
        </w:rPr>
        <w:t>–</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The Company self-funds the medical insurance coverage provided to its U.S. based employees. The Company had</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specific stop loss coverage for claims incurred during 2015 exceeding $250 thousand per associate for legacy Greatbatch employees and exceeding</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$275 thousand per associate for legacy Lake Region Medical employees with no annual maximum aggregate stop loss coverage. As of January 1, 2016</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and January 2, 2015, the Company had $4.0 million and $1.8 million accrued related to the self-insurance of its medical plans, respectively. This</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accrual is recorded in Accrued Expenses in the Consolidated Balance Sheet and is primarily based upon claim history.</w:t>
      </w:r>
    </w:p>
    <w:p>
      <w:pPr>
        <w:spacing w:after="0" w:line="224" w:lineRule="exact"/>
        <w:rPr>
          <w:sz w:val="20"/>
          <w:szCs w:val="20"/>
          <w:color w:val="auto"/>
        </w:rPr>
      </w:pPr>
    </w:p>
    <w:p>
      <w:pPr>
        <w:ind w:right="80"/>
        <w:spacing w:after="0" w:line="297" w:lineRule="auto"/>
        <w:rPr>
          <w:sz w:val="20"/>
          <w:szCs w:val="20"/>
          <w:color w:val="auto"/>
        </w:rPr>
      </w:pPr>
      <w:r>
        <w:rPr>
          <w:rFonts w:ascii="Arial" w:cs="Arial" w:eastAsia="Arial" w:hAnsi="Arial"/>
          <w:sz w:val="16"/>
          <w:szCs w:val="16"/>
          <w:b w:val="1"/>
          <w:bCs w:val="1"/>
          <w:i w:val="1"/>
          <w:iCs w:val="1"/>
          <w:color w:val="auto"/>
        </w:rPr>
        <w:t xml:space="preserve">Foreign Currency Contracts </w:t>
      </w:r>
      <w:r>
        <w:rPr>
          <w:rFonts w:ascii="Arial" w:cs="Arial" w:eastAsia="Arial" w:hAnsi="Arial"/>
          <w:sz w:val="16"/>
          <w:szCs w:val="16"/>
          <w:color w:val="auto"/>
        </w:rPr>
        <w:t>– Historically, the Company has entered into forward contracts to purchase Mexican pesos in order to hedge the risk of</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peso-denominated payments associated with its operations in Tijuana, Mexico. In connection with the Lake Region Medical acquisition, the Company terminated its outstanding forward contracts resulting in a $2.4 million payment to the foreign currency contract counterparty during 2015. As of the date the contracts were terminated, the Company had $1.6 million recorded in Accumulated Other Comprehensive Income related to these contracts, which will be amortized to Cost of Sales as the inventory, which the contracts were hedging the cash flows to produce, is sold.</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color w:val="auto"/>
        </w:rPr>
        <w:t>The impact to the Company’s results of operations from its forward contracts was as follows (in thousands):</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08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gridSpan w:val="2"/>
          </w:tcPr>
          <w:p>
            <w:pPr>
              <w:ind w:left="100"/>
              <w:spacing w:after="0"/>
              <w:rPr>
                <w:sz w:val="20"/>
                <w:szCs w:val="20"/>
                <w:color w:val="auto"/>
              </w:rPr>
            </w:pPr>
            <w:r>
              <w:rPr>
                <w:rFonts w:ascii="Arial" w:cs="Arial" w:eastAsia="Arial" w:hAnsi="Arial"/>
                <w:sz w:val="14"/>
                <w:szCs w:val="14"/>
                <w:b w:val="1"/>
                <w:bCs w:val="1"/>
                <w:color w:val="auto"/>
              </w:rPr>
              <w:t>Year Ended</w:t>
            </w:r>
          </w:p>
        </w:tc>
        <w:tc>
          <w:tcPr>
            <w:tcW w:w="2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r>
      <w:tr>
        <w:trPr>
          <w:trHeight w:val="152"/>
        </w:trPr>
        <w:tc>
          <w:tcPr>
            <w:tcW w:w="60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40" w:type="dxa"/>
            <w:vAlign w:val="bottom"/>
            <w:gridSpan w:val="2"/>
          </w:tcPr>
          <w:p>
            <w:pPr>
              <w:ind w:left="100"/>
              <w:spacing w:after="0" w:line="153" w:lineRule="exact"/>
              <w:rPr>
                <w:sz w:val="20"/>
                <w:szCs w:val="20"/>
                <w:color w:val="auto"/>
              </w:rPr>
            </w:pPr>
            <w:r>
              <w:rPr>
                <w:rFonts w:ascii="Arial" w:cs="Arial" w:eastAsia="Arial" w:hAnsi="Arial"/>
                <w:sz w:val="14"/>
                <w:szCs w:val="14"/>
                <w:b w:val="1"/>
                <w:bCs w:val="1"/>
                <w:color w:val="auto"/>
              </w:rPr>
              <w:t>January 1,</w:t>
            </w:r>
          </w:p>
        </w:tc>
        <w:tc>
          <w:tcPr>
            <w:tcW w:w="220" w:type="dxa"/>
            <w:vAlign w:val="bottom"/>
          </w:tcPr>
          <w:p>
            <w:pPr>
              <w:spacing w:after="0"/>
              <w:rPr>
                <w:sz w:val="13"/>
                <w:szCs w:val="13"/>
                <w:color w:val="auto"/>
              </w:rPr>
            </w:pPr>
          </w:p>
        </w:tc>
        <w:tc>
          <w:tcPr>
            <w:tcW w:w="1220" w:type="dxa"/>
            <w:vAlign w:val="bottom"/>
            <w:gridSpan w:val="2"/>
          </w:tcPr>
          <w:p>
            <w:pPr>
              <w:ind w:left="100"/>
              <w:spacing w:after="0" w:line="153" w:lineRule="exact"/>
              <w:rPr>
                <w:sz w:val="20"/>
                <w:szCs w:val="20"/>
                <w:color w:val="auto"/>
              </w:rPr>
            </w:pPr>
            <w:r>
              <w:rPr>
                <w:rFonts w:ascii="Arial" w:cs="Arial" w:eastAsia="Arial" w:hAnsi="Arial"/>
                <w:sz w:val="14"/>
                <w:szCs w:val="14"/>
                <w:b w:val="1"/>
                <w:bCs w:val="1"/>
                <w:color w:val="auto"/>
              </w:rPr>
              <w:t>January 2,</w:t>
            </w:r>
          </w:p>
        </w:tc>
        <w:tc>
          <w:tcPr>
            <w:tcW w:w="240" w:type="dxa"/>
            <w:vAlign w:val="bottom"/>
          </w:tcPr>
          <w:p>
            <w:pPr>
              <w:spacing w:after="0"/>
              <w:rPr>
                <w:sz w:val="13"/>
                <w:szCs w:val="13"/>
                <w:color w:val="auto"/>
              </w:rPr>
            </w:pPr>
          </w:p>
        </w:tc>
        <w:tc>
          <w:tcPr>
            <w:tcW w:w="1120" w:type="dxa"/>
            <w:vAlign w:val="bottom"/>
          </w:tcPr>
          <w:p>
            <w:pPr>
              <w:jc w:val="right"/>
              <w:ind w:right="279"/>
              <w:spacing w:after="0" w:line="153" w:lineRule="exact"/>
              <w:rPr>
                <w:sz w:val="20"/>
                <w:szCs w:val="20"/>
                <w:color w:val="auto"/>
              </w:rPr>
            </w:pPr>
            <w:r>
              <w:rPr>
                <w:rFonts w:ascii="Arial" w:cs="Arial" w:eastAsia="Arial" w:hAnsi="Arial"/>
                <w:sz w:val="14"/>
                <w:szCs w:val="14"/>
                <w:b w:val="1"/>
                <w:bCs w:val="1"/>
                <w:color w:val="auto"/>
              </w:rPr>
              <w:t>January 3,</w:t>
            </w:r>
          </w:p>
        </w:tc>
      </w:tr>
      <w:tr>
        <w:trPr>
          <w:trHeight w:val="192"/>
        </w:trPr>
        <w:tc>
          <w:tcPr>
            <w:tcW w:w="608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39"/>
              <w:spacing w:after="0"/>
              <w:rPr>
                <w:sz w:val="20"/>
                <w:szCs w:val="20"/>
                <w:color w:val="auto"/>
              </w:rPr>
            </w:pPr>
            <w:r>
              <w:rPr>
                <w:rFonts w:ascii="Arial" w:cs="Arial" w:eastAsia="Arial" w:hAnsi="Arial"/>
                <w:sz w:val="14"/>
                <w:szCs w:val="14"/>
                <w:b w:val="1"/>
                <w:bCs w:val="1"/>
                <w:color w:val="auto"/>
              </w:rPr>
              <w:t>2016</w:t>
            </w:r>
          </w:p>
        </w:tc>
        <w:tc>
          <w:tcPr>
            <w:tcW w:w="12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61"/>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59"/>
              <w:spacing w:after="0"/>
              <w:rPr>
                <w:sz w:val="20"/>
                <w:szCs w:val="20"/>
                <w:color w:val="auto"/>
              </w:rPr>
            </w:pPr>
            <w:r>
              <w:rPr>
                <w:rFonts w:ascii="Arial" w:cs="Arial" w:eastAsia="Arial" w:hAnsi="Arial"/>
                <w:sz w:val="14"/>
                <w:szCs w:val="14"/>
                <w:b w:val="1"/>
                <w:bCs w:val="1"/>
                <w:color w:val="auto"/>
              </w:rPr>
              <w:t>2014</w:t>
            </w:r>
          </w:p>
        </w:tc>
      </w:tr>
      <w:tr>
        <w:trPr>
          <w:trHeight w:val="250"/>
        </w:trPr>
        <w:tc>
          <w:tcPr>
            <w:tcW w:w="60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Increase (reduction) in Cost of Sales</w:t>
            </w: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1,948</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(168)</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(1,154)</w:t>
            </w:r>
          </w:p>
        </w:tc>
      </w:tr>
      <w:tr>
        <w:trPr>
          <w:trHeight w:val="243"/>
        </w:trPr>
        <w:tc>
          <w:tcPr>
            <w:tcW w:w="6080" w:type="dxa"/>
            <w:vAlign w:val="bottom"/>
          </w:tcPr>
          <w:p>
            <w:pPr>
              <w:ind w:left="20"/>
              <w:spacing w:after="0"/>
              <w:rPr>
                <w:sz w:val="20"/>
                <w:szCs w:val="20"/>
                <w:color w:val="auto"/>
              </w:rPr>
            </w:pPr>
            <w:r>
              <w:rPr>
                <w:rFonts w:ascii="Arial" w:cs="Arial" w:eastAsia="Arial" w:hAnsi="Arial"/>
                <w:sz w:val="18"/>
                <w:szCs w:val="18"/>
                <w:color w:val="auto"/>
              </w:rPr>
              <w:t>Ineffective portion of change in fair value</w:t>
            </w:r>
          </w:p>
        </w:tc>
        <w:tc>
          <w:tcPr>
            <w:tcW w:w="220" w:type="dxa"/>
            <w:vAlign w:val="bottom"/>
          </w:tcPr>
          <w:p>
            <w:pPr>
              <w:spacing w:after="0"/>
              <w:rPr>
                <w:sz w:val="21"/>
                <w:szCs w:val="21"/>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120" w:type="dxa"/>
            <w:vAlign w:val="bottom"/>
          </w:tcPr>
          <w:p>
            <w:pPr>
              <w:jc w:val="right"/>
              <w:ind w:right="19"/>
              <w:spacing w:after="0"/>
              <w:rPr>
                <w:sz w:val="20"/>
                <w:szCs w:val="20"/>
                <w:color w:val="auto"/>
              </w:rPr>
            </w:pPr>
            <w:r>
              <w:rPr>
                <w:rFonts w:ascii="Arial" w:cs="Arial" w:eastAsia="Arial" w:hAnsi="Arial"/>
                <w:sz w:val="18"/>
                <w:szCs w:val="18"/>
                <w:color w:val="auto"/>
              </w:rPr>
              <w:t>—</w:t>
            </w:r>
          </w:p>
        </w:tc>
      </w:tr>
    </w:tbl>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Information regarding outstanding foreign currency contracts as of January 1, 2016 is as follows (dollars in thousands):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440" w:type="dxa"/>
            <w:vAlign w:val="bottom"/>
            <w:gridSpan w:val="3"/>
            <w:vMerge w:val="restart"/>
          </w:tcPr>
          <w:p>
            <w:pPr>
              <w:ind w:left="340"/>
              <w:spacing w:after="0"/>
              <w:rPr>
                <w:sz w:val="20"/>
                <w:szCs w:val="20"/>
                <w:color w:val="auto"/>
              </w:rPr>
            </w:pPr>
            <w:r>
              <w:rPr>
                <w:rFonts w:ascii="Arial" w:cs="Arial" w:eastAsia="Arial" w:hAnsi="Arial"/>
                <w:sz w:val="14"/>
                <w:szCs w:val="14"/>
                <w:b w:val="1"/>
                <w:bCs w:val="1"/>
                <w:color w:val="auto"/>
              </w:rPr>
              <w:t>Type of</w:t>
            </w:r>
          </w:p>
        </w:tc>
        <w:tc>
          <w:tcPr>
            <w:tcW w:w="10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9"/>
              </w:rPr>
              <w:t>Aggregate</w:t>
            </w:r>
          </w:p>
        </w:tc>
        <w:tc>
          <w:tcPr>
            <w:tcW w:w="1020" w:type="dxa"/>
            <w:vAlign w:val="bottom"/>
            <w:gridSpan w:val="2"/>
            <w:vMerge w:val="restart"/>
          </w:tcPr>
          <w:p>
            <w:pPr>
              <w:ind w:left="300"/>
              <w:spacing w:after="0"/>
              <w:rPr>
                <w:sz w:val="20"/>
                <w:szCs w:val="20"/>
                <w:color w:val="auto"/>
              </w:rPr>
            </w:pPr>
            <w:r>
              <w:rPr>
                <w:rFonts w:ascii="Arial" w:cs="Arial" w:eastAsia="Arial" w:hAnsi="Arial"/>
                <w:sz w:val="14"/>
                <w:szCs w:val="14"/>
                <w:b w:val="1"/>
                <w:bCs w:val="1"/>
                <w:color w:val="auto"/>
              </w:rPr>
              <w:t>Start</w:t>
            </w:r>
          </w:p>
        </w:tc>
        <w:tc>
          <w:tcPr>
            <w:tcW w:w="1040" w:type="dxa"/>
            <w:vAlign w:val="bottom"/>
            <w:gridSpan w:val="2"/>
            <w:vMerge w:val="restart"/>
          </w:tcPr>
          <w:p>
            <w:pPr>
              <w:ind w:left="340"/>
              <w:spacing w:after="0"/>
              <w:rPr>
                <w:sz w:val="20"/>
                <w:szCs w:val="20"/>
                <w:color w:val="auto"/>
              </w:rPr>
            </w:pPr>
            <w:r>
              <w:rPr>
                <w:rFonts w:ascii="Arial" w:cs="Arial" w:eastAsia="Arial" w:hAnsi="Arial"/>
                <w:sz w:val="14"/>
                <w:szCs w:val="14"/>
                <w:b w:val="1"/>
                <w:bCs w:val="1"/>
                <w:color w:val="auto"/>
              </w:rPr>
              <w:t>End</w:t>
            </w:r>
          </w:p>
        </w:tc>
        <w:tc>
          <w:tcPr>
            <w:tcW w:w="9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4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rPr>
              <w:t>Fair</w:t>
            </w:r>
          </w:p>
        </w:tc>
        <w:tc>
          <w:tcPr>
            <w:tcW w:w="196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7"/>
              </w:rPr>
              <w:t>Balance Sheet</w:t>
            </w:r>
          </w:p>
        </w:tc>
        <w:tc>
          <w:tcPr>
            <w:tcW w:w="0" w:type="dxa"/>
            <w:vAlign w:val="bottom"/>
          </w:tcPr>
          <w:p>
            <w:pPr>
              <w:spacing w:after="0"/>
              <w:rPr>
                <w:sz w:val="1"/>
                <w:szCs w:val="1"/>
                <w:color w:val="auto"/>
              </w:rPr>
            </w:pPr>
          </w:p>
        </w:tc>
      </w:tr>
      <w:tr>
        <w:trPr>
          <w:trHeight w:val="149"/>
        </w:trPr>
        <w:tc>
          <w:tcPr>
            <w:tcW w:w="1760" w:type="dxa"/>
            <w:vAlign w:val="bottom"/>
            <w:gridSpan w:val="3"/>
            <w:vMerge w:val="restart"/>
          </w:tcPr>
          <w:p>
            <w:pPr>
              <w:ind w:left="20"/>
              <w:spacing w:after="0"/>
              <w:rPr>
                <w:sz w:val="20"/>
                <w:szCs w:val="20"/>
                <w:color w:val="auto"/>
              </w:rPr>
            </w:pPr>
            <w:r>
              <w:rPr>
                <w:rFonts w:ascii="Arial" w:cs="Arial" w:eastAsia="Arial" w:hAnsi="Arial"/>
                <w:sz w:val="14"/>
                <w:szCs w:val="14"/>
                <w:b w:val="1"/>
                <w:bCs w:val="1"/>
                <w:color w:val="auto"/>
              </w:rPr>
              <w:t>Instrument</w:t>
            </w:r>
          </w:p>
        </w:tc>
        <w:tc>
          <w:tcPr>
            <w:tcW w:w="1440" w:type="dxa"/>
            <w:vAlign w:val="bottom"/>
            <w:gridSpan w:val="3"/>
            <w:vMerge w:val="continue"/>
          </w:tcPr>
          <w:p>
            <w:pPr>
              <w:spacing w:after="0"/>
              <w:rPr>
                <w:sz w:val="12"/>
                <w:szCs w:val="12"/>
                <w:color w:val="auto"/>
              </w:rPr>
            </w:pPr>
          </w:p>
        </w:tc>
        <w:tc>
          <w:tcPr>
            <w:tcW w:w="106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6"/>
              </w:rPr>
              <w:t>Notional</w:t>
            </w:r>
          </w:p>
        </w:tc>
        <w:tc>
          <w:tcPr>
            <w:tcW w:w="1020" w:type="dxa"/>
            <w:vAlign w:val="bottom"/>
            <w:gridSpan w:val="2"/>
            <w:vMerge w:val="continue"/>
          </w:tcPr>
          <w:p>
            <w:pPr>
              <w:spacing w:after="0"/>
              <w:rPr>
                <w:sz w:val="12"/>
                <w:szCs w:val="12"/>
                <w:color w:val="auto"/>
              </w:rPr>
            </w:pPr>
          </w:p>
        </w:tc>
        <w:tc>
          <w:tcPr>
            <w:tcW w:w="1040" w:type="dxa"/>
            <w:vAlign w:val="bottom"/>
            <w:gridSpan w:val="2"/>
            <w:vMerge w:val="continue"/>
          </w:tcPr>
          <w:p>
            <w:pPr>
              <w:spacing w:after="0"/>
              <w:rPr>
                <w:sz w:val="12"/>
                <w:szCs w:val="12"/>
                <w:color w:val="auto"/>
              </w:rPr>
            </w:pPr>
          </w:p>
        </w:tc>
        <w:tc>
          <w:tcPr>
            <w:tcW w:w="1020" w:type="dxa"/>
            <w:vAlign w:val="bottom"/>
            <w:gridSpan w:val="2"/>
            <w:vMerge w:val="restart"/>
          </w:tcPr>
          <w:p>
            <w:pPr>
              <w:ind w:left="260"/>
              <w:spacing w:after="0"/>
              <w:rPr>
                <w:sz w:val="20"/>
                <w:szCs w:val="20"/>
                <w:color w:val="auto"/>
              </w:rPr>
            </w:pPr>
            <w:r>
              <w:rPr>
                <w:rFonts w:ascii="Arial" w:cs="Arial" w:eastAsia="Arial" w:hAnsi="Arial"/>
                <w:sz w:val="14"/>
                <w:szCs w:val="14"/>
                <w:b w:val="1"/>
                <w:bCs w:val="1"/>
                <w:color w:val="auto"/>
              </w:rPr>
              <w:t>$/Peso</w:t>
            </w:r>
          </w:p>
        </w:tc>
        <w:tc>
          <w:tcPr>
            <w:tcW w:w="200" w:type="dxa"/>
            <w:vAlign w:val="bottom"/>
          </w:tcPr>
          <w:p>
            <w:pPr>
              <w:spacing w:after="0"/>
              <w:rPr>
                <w:sz w:val="12"/>
                <w:szCs w:val="12"/>
                <w:color w:val="auto"/>
              </w:rPr>
            </w:pPr>
          </w:p>
        </w:tc>
        <w:tc>
          <w:tcPr>
            <w:tcW w:w="840" w:type="dxa"/>
            <w:vAlign w:val="bottom"/>
            <w:gridSpan w:val="2"/>
            <w:vMerge w:val="continue"/>
          </w:tcPr>
          <w:p>
            <w:pPr>
              <w:spacing w:after="0"/>
              <w:rPr>
                <w:sz w:val="12"/>
                <w:szCs w:val="12"/>
                <w:color w:val="auto"/>
              </w:rPr>
            </w:pPr>
          </w:p>
        </w:tc>
        <w:tc>
          <w:tcPr>
            <w:tcW w:w="19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8"/>
        </w:trPr>
        <w:tc>
          <w:tcPr>
            <w:tcW w:w="1760" w:type="dxa"/>
            <w:vAlign w:val="bottom"/>
            <w:gridSpan w:val="3"/>
            <w:vMerge w:val="continue"/>
          </w:tcPr>
          <w:p>
            <w:pPr>
              <w:spacing w:after="0"/>
              <w:rPr>
                <w:sz w:val="13"/>
                <w:szCs w:val="13"/>
                <w:color w:val="auto"/>
              </w:rPr>
            </w:pPr>
          </w:p>
        </w:tc>
        <w:tc>
          <w:tcPr>
            <w:tcW w:w="1440" w:type="dxa"/>
            <w:vAlign w:val="bottom"/>
            <w:gridSpan w:val="3"/>
          </w:tcPr>
          <w:p>
            <w:pPr>
              <w:ind w:left="380"/>
              <w:spacing w:after="0" w:line="158" w:lineRule="exact"/>
              <w:rPr>
                <w:sz w:val="20"/>
                <w:szCs w:val="20"/>
                <w:color w:val="auto"/>
              </w:rPr>
            </w:pPr>
            <w:r>
              <w:rPr>
                <w:rFonts w:ascii="Arial" w:cs="Arial" w:eastAsia="Arial" w:hAnsi="Arial"/>
                <w:sz w:val="14"/>
                <w:szCs w:val="14"/>
                <w:b w:val="1"/>
                <w:bCs w:val="1"/>
                <w:color w:val="auto"/>
              </w:rPr>
              <w:t>Hedge</w:t>
            </w:r>
          </w:p>
        </w:tc>
        <w:tc>
          <w:tcPr>
            <w:tcW w:w="1060" w:type="dxa"/>
            <w:vAlign w:val="bottom"/>
            <w:gridSpan w:val="2"/>
          </w:tcPr>
          <w:p>
            <w:pPr>
              <w:jc w:val="center"/>
              <w:ind w:right="280"/>
              <w:spacing w:after="0" w:line="158" w:lineRule="exact"/>
              <w:rPr>
                <w:sz w:val="20"/>
                <w:szCs w:val="20"/>
                <w:color w:val="auto"/>
              </w:rPr>
            </w:pPr>
            <w:r>
              <w:rPr>
                <w:rFonts w:ascii="Arial" w:cs="Arial" w:eastAsia="Arial" w:hAnsi="Arial"/>
                <w:sz w:val="14"/>
                <w:szCs w:val="14"/>
                <w:b w:val="1"/>
                <w:bCs w:val="1"/>
                <w:color w:val="auto"/>
                <w:w w:val="94"/>
              </w:rPr>
              <w:t>Amount</w:t>
            </w:r>
          </w:p>
        </w:tc>
        <w:tc>
          <w:tcPr>
            <w:tcW w:w="1020" w:type="dxa"/>
            <w:vAlign w:val="bottom"/>
            <w:gridSpan w:val="2"/>
          </w:tcPr>
          <w:p>
            <w:pPr>
              <w:ind w:left="320"/>
              <w:spacing w:after="0" w:line="158" w:lineRule="exact"/>
              <w:rPr>
                <w:sz w:val="20"/>
                <w:szCs w:val="20"/>
                <w:color w:val="auto"/>
              </w:rPr>
            </w:pPr>
            <w:r>
              <w:rPr>
                <w:rFonts w:ascii="Arial" w:cs="Arial" w:eastAsia="Arial" w:hAnsi="Arial"/>
                <w:sz w:val="14"/>
                <w:szCs w:val="14"/>
                <w:b w:val="1"/>
                <w:bCs w:val="1"/>
                <w:color w:val="auto"/>
              </w:rPr>
              <w:t>Date</w:t>
            </w:r>
          </w:p>
        </w:tc>
        <w:tc>
          <w:tcPr>
            <w:tcW w:w="1040" w:type="dxa"/>
            <w:vAlign w:val="bottom"/>
            <w:gridSpan w:val="2"/>
          </w:tcPr>
          <w:p>
            <w:pPr>
              <w:ind w:left="320"/>
              <w:spacing w:after="0" w:line="158" w:lineRule="exact"/>
              <w:rPr>
                <w:sz w:val="20"/>
                <w:szCs w:val="20"/>
                <w:color w:val="auto"/>
              </w:rPr>
            </w:pPr>
            <w:r>
              <w:rPr>
                <w:rFonts w:ascii="Arial" w:cs="Arial" w:eastAsia="Arial" w:hAnsi="Arial"/>
                <w:sz w:val="14"/>
                <w:szCs w:val="14"/>
                <w:b w:val="1"/>
                <w:bCs w:val="1"/>
                <w:color w:val="auto"/>
              </w:rPr>
              <w:t>Date</w:t>
            </w:r>
          </w:p>
        </w:tc>
        <w:tc>
          <w:tcPr>
            <w:tcW w:w="1020" w:type="dxa"/>
            <w:vAlign w:val="bottom"/>
            <w:gridSpan w:val="2"/>
            <w:vMerge w:val="continue"/>
          </w:tcPr>
          <w:p>
            <w:pPr>
              <w:spacing w:after="0"/>
              <w:rPr>
                <w:sz w:val="13"/>
                <w:szCs w:val="13"/>
                <w:color w:val="auto"/>
              </w:rPr>
            </w:pPr>
          </w:p>
        </w:tc>
        <w:tc>
          <w:tcPr>
            <w:tcW w:w="200" w:type="dxa"/>
            <w:vAlign w:val="bottom"/>
          </w:tcPr>
          <w:p>
            <w:pPr>
              <w:spacing w:after="0"/>
              <w:rPr>
                <w:sz w:val="13"/>
                <w:szCs w:val="13"/>
                <w:color w:val="auto"/>
              </w:rPr>
            </w:pPr>
          </w:p>
        </w:tc>
        <w:tc>
          <w:tcPr>
            <w:tcW w:w="840" w:type="dxa"/>
            <w:vAlign w:val="bottom"/>
            <w:gridSpan w:val="2"/>
          </w:tcPr>
          <w:p>
            <w:pPr>
              <w:jc w:val="center"/>
              <w:ind w:right="300"/>
              <w:spacing w:after="0" w:line="158" w:lineRule="exact"/>
              <w:rPr>
                <w:sz w:val="20"/>
                <w:szCs w:val="20"/>
                <w:color w:val="auto"/>
              </w:rPr>
            </w:pPr>
            <w:r>
              <w:rPr>
                <w:rFonts w:ascii="Arial" w:cs="Arial" w:eastAsia="Arial" w:hAnsi="Arial"/>
                <w:sz w:val="14"/>
                <w:szCs w:val="14"/>
                <w:b w:val="1"/>
                <w:bCs w:val="1"/>
                <w:color w:val="auto"/>
                <w:w w:val="90"/>
              </w:rPr>
              <w:t>Value</w:t>
            </w:r>
          </w:p>
        </w:tc>
        <w:tc>
          <w:tcPr>
            <w:tcW w:w="196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5"/>
              </w:rPr>
              <w:t>Location</w:t>
            </w:r>
          </w:p>
        </w:tc>
        <w:tc>
          <w:tcPr>
            <w:tcW w:w="0" w:type="dxa"/>
            <w:vAlign w:val="bottom"/>
          </w:tcPr>
          <w:p>
            <w:pPr>
              <w:spacing w:after="0"/>
              <w:rPr>
                <w:sz w:val="1"/>
                <w:szCs w:val="1"/>
                <w:color w:val="auto"/>
              </w:rPr>
            </w:pPr>
          </w:p>
        </w:tc>
      </w:tr>
      <w:tr>
        <w:trPr>
          <w:trHeight w:val="21"/>
        </w:trPr>
        <w:tc>
          <w:tcPr>
            <w:tcW w:w="20" w:type="dxa"/>
            <w:vAlign w:val="bottom"/>
            <w:tcBorders>
              <w:bottom w:val="single" w:sz="8" w:color="CCEEFF"/>
            </w:tcBorders>
          </w:tcPr>
          <w:p>
            <w:pPr>
              <w:spacing w:after="0" w:line="20" w:lineRule="exact"/>
              <w:rPr>
                <w:sz w:val="1"/>
                <w:szCs w:val="1"/>
                <w:color w:val="auto"/>
              </w:rPr>
            </w:pPr>
          </w:p>
        </w:tc>
        <w:tc>
          <w:tcPr>
            <w:tcW w:w="700" w:type="dxa"/>
            <w:vAlign w:val="bottom"/>
            <w:tcBorders>
              <w:top w:val="single" w:sz="8" w:color="auto"/>
              <w:bottom w:val="single" w:sz="8" w:color="CCEEFF"/>
            </w:tcBorders>
          </w:tcPr>
          <w:p>
            <w:pPr>
              <w:spacing w:after="0" w:line="20" w:lineRule="exact"/>
              <w:rPr>
                <w:sz w:val="1"/>
                <w:szCs w:val="1"/>
                <w:color w:val="auto"/>
              </w:rPr>
            </w:pPr>
          </w:p>
        </w:tc>
        <w:tc>
          <w:tcPr>
            <w:tcW w:w="1040" w:type="dxa"/>
            <w:vAlign w:val="bottom"/>
            <w:tcBorders>
              <w:bottom w:val="single" w:sz="8" w:color="CCEEFF"/>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9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37"/>
        </w:trPr>
        <w:tc>
          <w:tcPr>
            <w:tcW w:w="1760" w:type="dxa"/>
            <w:vAlign w:val="bottom"/>
            <w:gridSpan w:val="3"/>
            <w:shd w:val="clear" w:color="auto" w:fill="CCEEFF"/>
          </w:tcPr>
          <w:p>
            <w:pPr>
              <w:ind w:left="20"/>
              <w:spacing w:after="0"/>
              <w:rPr>
                <w:sz w:val="20"/>
                <w:szCs w:val="20"/>
                <w:color w:val="auto"/>
              </w:rPr>
            </w:pPr>
            <w:r>
              <w:rPr>
                <w:rFonts w:ascii="Arial" w:cs="Arial" w:eastAsia="Arial" w:hAnsi="Arial"/>
                <w:sz w:val="18"/>
                <w:szCs w:val="18"/>
                <w:color w:val="auto"/>
              </w:rPr>
              <w:t>FX Contract</w:t>
            </w:r>
          </w:p>
        </w:tc>
        <w:tc>
          <w:tcPr>
            <w:tcW w:w="1440" w:type="dxa"/>
            <w:vAlign w:val="bottom"/>
            <w:gridSpan w:val="3"/>
            <w:shd w:val="clear" w:color="auto" w:fill="CCEEFF"/>
          </w:tcPr>
          <w:p>
            <w:pPr>
              <w:ind w:left="340"/>
              <w:spacing w:after="0"/>
              <w:rPr>
                <w:sz w:val="20"/>
                <w:szCs w:val="20"/>
                <w:color w:val="auto"/>
              </w:rPr>
            </w:pPr>
            <w:r>
              <w:rPr>
                <w:rFonts w:ascii="Arial" w:cs="Arial" w:eastAsia="Arial" w:hAnsi="Arial"/>
                <w:sz w:val="18"/>
                <w:szCs w:val="18"/>
                <w:color w:val="auto"/>
              </w:rPr>
              <w:t>Cash Flow  $</w:t>
            </w:r>
          </w:p>
        </w:tc>
        <w:tc>
          <w:tcPr>
            <w:tcW w:w="960" w:type="dxa"/>
            <w:vAlign w:val="bottom"/>
            <w:shd w:val="clear" w:color="auto" w:fill="CCEEFF"/>
          </w:tcPr>
          <w:p>
            <w:pPr>
              <w:jc w:val="right"/>
              <w:ind w:right="24"/>
              <w:spacing w:after="0"/>
              <w:rPr>
                <w:sz w:val="20"/>
                <w:szCs w:val="20"/>
                <w:color w:val="auto"/>
              </w:rPr>
            </w:pPr>
            <w:r>
              <w:rPr>
                <w:rFonts w:ascii="Arial" w:cs="Arial" w:eastAsia="Arial" w:hAnsi="Arial"/>
                <w:sz w:val="18"/>
                <w:szCs w:val="18"/>
                <w:color w:val="auto"/>
              </w:rPr>
              <w:t>16,480</w:t>
            </w:r>
          </w:p>
        </w:tc>
        <w:tc>
          <w:tcPr>
            <w:tcW w:w="100" w:type="dxa"/>
            <w:vAlign w:val="bottom"/>
            <w:shd w:val="clear" w:color="auto" w:fill="CCEEFF"/>
          </w:tcPr>
          <w:p>
            <w:pPr>
              <w:spacing w:after="0"/>
              <w:rPr>
                <w:sz w:val="20"/>
                <w:szCs w:val="20"/>
                <w:color w:val="auto"/>
              </w:rPr>
            </w:pPr>
          </w:p>
        </w:tc>
        <w:tc>
          <w:tcPr>
            <w:tcW w:w="102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Jan 2016</w:t>
            </w:r>
          </w:p>
        </w:tc>
        <w:tc>
          <w:tcPr>
            <w:tcW w:w="104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Dec 2016</w:t>
            </w:r>
          </w:p>
        </w:tc>
        <w:tc>
          <w:tcPr>
            <w:tcW w:w="920" w:type="dxa"/>
            <w:vAlign w:val="bottom"/>
            <w:shd w:val="clear" w:color="auto" w:fill="CCEEFF"/>
          </w:tcPr>
          <w:p>
            <w:pPr>
              <w:jc w:val="right"/>
              <w:ind w:right="19"/>
              <w:spacing w:after="0"/>
              <w:rPr>
                <w:sz w:val="20"/>
                <w:szCs w:val="20"/>
                <w:color w:val="auto"/>
              </w:rPr>
            </w:pPr>
            <w:r>
              <w:rPr>
                <w:rFonts w:ascii="Arial" w:cs="Arial" w:eastAsia="Arial" w:hAnsi="Arial"/>
                <w:sz w:val="18"/>
                <w:szCs w:val="18"/>
                <w:color w:val="auto"/>
              </w:rPr>
              <w:t>0.0584</w:t>
            </w:r>
          </w:p>
        </w:tc>
        <w:tc>
          <w:tcPr>
            <w:tcW w:w="100" w:type="dxa"/>
            <w:vAlign w:val="bottom"/>
            <w:shd w:val="clear" w:color="auto" w:fill="CCEEFF"/>
          </w:tcPr>
          <w:p>
            <w:pPr>
              <w:spacing w:after="0"/>
              <w:rPr>
                <w:sz w:val="20"/>
                <w:szCs w:val="20"/>
                <w:color w:val="auto"/>
              </w:rPr>
            </w:pP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(307)</w:t>
            </w:r>
          </w:p>
        </w:tc>
        <w:tc>
          <w:tcPr>
            <w:tcW w:w="100" w:type="dxa"/>
            <w:vAlign w:val="bottom"/>
            <w:shd w:val="clear" w:color="auto" w:fill="CCEEFF"/>
          </w:tcPr>
          <w:p>
            <w:pPr>
              <w:spacing w:after="0"/>
              <w:rPr>
                <w:sz w:val="20"/>
                <w:szCs w:val="20"/>
                <w:color w:val="auto"/>
              </w:rPr>
            </w:pPr>
          </w:p>
        </w:tc>
        <w:tc>
          <w:tcPr>
            <w:tcW w:w="1960" w:type="dxa"/>
            <w:vAlign w:val="bottom"/>
            <w:shd w:val="clear" w:color="auto" w:fill="CCEEFF"/>
          </w:tcPr>
          <w:p>
            <w:pPr>
              <w:ind w:left="20"/>
              <w:spacing w:after="0"/>
              <w:rPr>
                <w:sz w:val="20"/>
                <w:szCs w:val="20"/>
                <w:color w:val="auto"/>
              </w:rPr>
            </w:pPr>
            <w:r>
              <w:rPr>
                <w:rFonts w:ascii="Arial" w:cs="Arial" w:eastAsia="Arial" w:hAnsi="Arial"/>
                <w:sz w:val="18"/>
                <w:szCs w:val="18"/>
                <w:color w:val="auto"/>
              </w:rPr>
              <w:t>Accrued Expenses</w:t>
            </w:r>
          </w:p>
        </w:tc>
        <w:tc>
          <w:tcPr>
            <w:tcW w:w="0" w:type="dxa"/>
            <w:vAlign w:val="bottom"/>
          </w:tcPr>
          <w:p>
            <w:pPr>
              <w:spacing w:after="0"/>
              <w:rPr>
                <w:sz w:val="1"/>
                <w:szCs w:val="1"/>
                <w:color w:val="auto"/>
              </w:rPr>
            </w:pPr>
          </w:p>
        </w:tc>
      </w:tr>
      <w:tr>
        <w:trPr>
          <w:trHeight w:val="27"/>
        </w:trPr>
        <w:tc>
          <w:tcPr>
            <w:tcW w:w="20" w:type="dxa"/>
            <w:vAlign w:val="bottom"/>
            <w:shd w:val="clear" w:color="auto" w:fill="CCEEFF"/>
          </w:tcPr>
          <w:p>
            <w:pPr>
              <w:spacing w:after="0"/>
              <w:rPr>
                <w:sz w:val="2"/>
                <w:szCs w:val="2"/>
                <w:color w:val="auto"/>
              </w:rPr>
            </w:pPr>
          </w:p>
        </w:tc>
        <w:tc>
          <w:tcPr>
            <w:tcW w:w="700" w:type="dxa"/>
            <w:vAlign w:val="bottom"/>
            <w:shd w:val="clear" w:color="auto" w:fill="CCEEFF"/>
          </w:tcPr>
          <w:p>
            <w:pPr>
              <w:spacing w:after="0"/>
              <w:rPr>
                <w:sz w:val="2"/>
                <w:szCs w:val="2"/>
                <w:color w:val="auto"/>
              </w:rPr>
            </w:pPr>
          </w:p>
        </w:tc>
        <w:tc>
          <w:tcPr>
            <w:tcW w:w="1040" w:type="dxa"/>
            <w:vAlign w:val="bottom"/>
            <w:shd w:val="clear" w:color="auto" w:fill="CCEEFF"/>
          </w:tcPr>
          <w:p>
            <w:pPr>
              <w:spacing w:after="0"/>
              <w:rPr>
                <w:sz w:val="2"/>
                <w:szCs w:val="2"/>
                <w:color w:val="auto"/>
              </w:rPr>
            </w:pPr>
          </w:p>
        </w:tc>
        <w:tc>
          <w:tcPr>
            <w:tcW w:w="11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9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9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9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9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7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96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0900"/>
          </w:cols>
          <w:pgMar w:left="740" w:top="337" w:right="259" w:bottom="1440" w:gutter="0" w:footer="0" w:header="0"/>
        </w:sectPr>
      </w:pPr>
    </w:p>
    <w:p>
      <w:pPr>
        <w:spacing w:after="0" w:line="137" w:lineRule="exact"/>
        <w:rPr>
          <w:sz w:val="20"/>
          <w:szCs w:val="20"/>
          <w:color w:val="auto"/>
        </w:rPr>
      </w:pPr>
    </w:p>
    <w:p>
      <w:pPr>
        <w:jc w:val="center"/>
        <w:ind w:right="460"/>
        <w:spacing w:after="0"/>
        <w:rPr>
          <w:sz w:val="20"/>
          <w:szCs w:val="20"/>
          <w:color w:val="auto"/>
        </w:rPr>
      </w:pPr>
      <w:r>
        <w:rPr>
          <w:rFonts w:ascii="Arial" w:cs="Arial" w:eastAsia="Arial" w:hAnsi="Arial"/>
          <w:sz w:val="16"/>
          <w:szCs w:val="16"/>
          <w:color w:val="auto"/>
        </w:rPr>
        <w:t>- 103 -</w:t>
      </w:r>
    </w:p>
    <w:p>
      <w:pPr>
        <w:sectPr>
          <w:pgSz w:w="11900" w:h="16838" w:orient="portrait"/>
          <w:cols w:equalWidth="0" w:num="1">
            <w:col w:w="10900"/>
          </w:cols>
          <w:pgMar w:left="740" w:top="337" w:right="259" w:bottom="1440" w:gutter="0" w:footer="0" w:header="0"/>
          <w:type w:val="continuous"/>
        </w:sectPr>
      </w:pPr>
    </w:p>
    <w:bookmarkStart w:id="104" w:name="page105"/>
    <w:bookmarkEnd w:id="104"/>
    <w:p>
      <w:pPr>
        <w:jc w:val="center"/>
        <w:ind w:right="-24"/>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ind w:right="-24"/>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left="465" w:right="40"/>
        <w:spacing w:after="0" w:line="255" w:lineRule="auto"/>
        <w:rPr>
          <w:sz w:val="20"/>
          <w:szCs w:val="20"/>
          <w:color w:val="auto"/>
        </w:rPr>
      </w:pPr>
      <w:r>
        <w:rPr>
          <w:rFonts w:ascii="Arial" w:cs="Arial" w:eastAsia="Arial" w:hAnsi="Arial"/>
          <w:sz w:val="18"/>
          <w:szCs w:val="18"/>
          <w:b w:val="1"/>
          <w:bCs w:val="1"/>
          <w:i w:val="1"/>
          <w:iCs w:val="1"/>
          <w:color w:val="auto"/>
        </w:rPr>
        <w:t xml:space="preserve">Self-Insured Workers’ Compensation </w:t>
      </w:r>
      <w:r>
        <w:rPr>
          <w:rFonts w:ascii="Arial" w:cs="Arial" w:eastAsia="Arial" w:hAnsi="Arial"/>
          <w:sz w:val="18"/>
          <w:szCs w:val="18"/>
          <w:i w:val="1"/>
          <w:iCs w:val="1"/>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Prior to 2011, the Company was a member of a group self-insurance trust that provided workers’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compensation benefits to employees of the Company in Western New York (the “Trust”). Prior to being acquired by Greatbatch, Lake Region Medical self-insured the workers’ compensation benefits provided to its employees. As of January 1, 2016, the Company utilized a traditional insurance provider for workers’ compensation coverage for all associates. During 2015, the Company received an additional assessment from the Trust of $0.9 million. As of January 1, 2016 and January 2, 2015, the Company had $3.9 million and $0.0 million, respectively, accrued for workers’ compensation claims. This accrual is recorded in Accrued Expenses in the Consolidated Balance Sheet and is primarily based upon claim history and assessments received.</w:t>
      </w:r>
    </w:p>
    <w:p>
      <w:pPr>
        <w:spacing w:after="0" w:line="361" w:lineRule="exact"/>
        <w:rPr>
          <w:sz w:val="20"/>
          <w:szCs w:val="20"/>
          <w:color w:val="auto"/>
        </w:rPr>
      </w:pPr>
    </w:p>
    <w:p>
      <w:pPr>
        <w:ind w:left="425" w:hanging="425"/>
        <w:spacing w:after="0"/>
        <w:tabs>
          <w:tab w:leader="none" w:pos="425" w:val="left"/>
        </w:tabs>
        <w:numPr>
          <w:ilvl w:val="0"/>
          <w:numId w:val="51"/>
        </w:numPr>
        <w:rPr>
          <w:rFonts w:ascii="Arial" w:cs="Arial" w:eastAsia="Arial" w:hAnsi="Arial"/>
          <w:sz w:val="18"/>
          <w:szCs w:val="18"/>
          <w:b w:val="1"/>
          <w:bCs w:val="1"/>
          <w:color w:val="auto"/>
        </w:rPr>
      </w:pPr>
      <w:r>
        <w:rPr>
          <w:rFonts w:ascii="Arial" w:cs="Arial" w:eastAsia="Arial" w:hAnsi="Arial"/>
          <w:sz w:val="18"/>
          <w:szCs w:val="18"/>
          <w:b w:val="1"/>
          <w:bCs w:val="1"/>
          <w:color w:val="auto"/>
        </w:rPr>
        <w:t>EARNINGS (LOSS) PER SHARE</w:t>
      </w:r>
    </w:p>
    <w:p>
      <w:pPr>
        <w:spacing w:after="0" w:line="256" w:lineRule="exact"/>
        <w:rPr>
          <w:sz w:val="20"/>
          <w:szCs w:val="20"/>
          <w:color w:val="auto"/>
        </w:rPr>
      </w:pPr>
    </w:p>
    <w:p>
      <w:pPr>
        <w:ind w:left="465"/>
        <w:spacing w:after="0"/>
        <w:rPr>
          <w:sz w:val="20"/>
          <w:szCs w:val="20"/>
          <w:color w:val="auto"/>
        </w:rPr>
      </w:pPr>
      <w:r>
        <w:rPr>
          <w:rFonts w:ascii="Arial" w:cs="Arial" w:eastAsia="Arial" w:hAnsi="Arial"/>
          <w:sz w:val="18"/>
          <w:szCs w:val="18"/>
          <w:color w:val="auto"/>
        </w:rPr>
        <w:t>The following table illustrates the calculation of Basic and Diluted EPS (in thousands, except per share amounts):</w:t>
      </w:r>
    </w:p>
    <w:p>
      <w:pPr>
        <w:spacing w:after="0" w:line="163" w:lineRule="exact"/>
        <w:rPr>
          <w:sz w:val="20"/>
          <w:szCs w:val="20"/>
          <w:color w:val="auto"/>
        </w:rPr>
      </w:pPr>
    </w:p>
    <w:tbl>
      <w:tblPr>
        <w:tblLayout w:type="fixed"/>
        <w:tblInd w:w="465" w:type="dxa"/>
        <w:tblCellMar>
          <w:top w:w="0" w:type="dxa"/>
          <w:left w:w="0" w:type="dxa"/>
          <w:bottom w:w="0" w:type="dxa"/>
          <w:right w:w="0" w:type="dxa"/>
        </w:tblCellMar>
      </w:tblPr>
      <w:tr>
        <w:trPr>
          <w:trHeight w:val="192"/>
        </w:trPr>
        <w:tc>
          <w:tcPr>
            <w:tcW w:w="20" w:type="dxa"/>
            <w:vAlign w:val="bottom"/>
          </w:tcPr>
          <w:p>
            <w:pPr>
              <w:spacing w:after="0"/>
              <w:rPr>
                <w:sz w:val="16"/>
                <w:szCs w:val="16"/>
                <w:color w:val="auto"/>
              </w:rPr>
            </w:pPr>
          </w:p>
        </w:tc>
        <w:tc>
          <w:tcPr>
            <w:tcW w:w="18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390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gridSpan w:val="2"/>
          </w:tcPr>
          <w:p>
            <w:pPr>
              <w:ind w:left="140"/>
              <w:spacing w:after="0"/>
              <w:rPr>
                <w:sz w:val="20"/>
                <w:szCs w:val="20"/>
                <w:color w:val="auto"/>
              </w:rPr>
            </w:pPr>
            <w:r>
              <w:rPr>
                <w:rFonts w:ascii="Arial" w:cs="Arial" w:eastAsia="Arial" w:hAnsi="Arial"/>
                <w:sz w:val="14"/>
                <w:szCs w:val="14"/>
                <w:b w:val="1"/>
                <w:bCs w:val="1"/>
                <w:color w:val="auto"/>
              </w:rPr>
              <w:t>Year Ended</w:t>
            </w:r>
          </w:p>
        </w:tc>
        <w:tc>
          <w:tcPr>
            <w:tcW w:w="2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r>
      <w:tr>
        <w:trPr>
          <w:trHeight w:val="152"/>
        </w:trPr>
        <w:tc>
          <w:tcPr>
            <w:tcW w:w="20" w:type="dxa"/>
            <w:vAlign w:val="bottom"/>
          </w:tcPr>
          <w:p>
            <w:pPr>
              <w:spacing w:after="0"/>
              <w:rPr>
                <w:sz w:val="13"/>
                <w:szCs w:val="13"/>
                <w:color w:val="auto"/>
              </w:rPr>
            </w:pPr>
          </w:p>
        </w:tc>
        <w:tc>
          <w:tcPr>
            <w:tcW w:w="18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39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20" w:type="dxa"/>
            <w:vAlign w:val="bottom"/>
            <w:gridSpan w:val="2"/>
          </w:tcPr>
          <w:p>
            <w:pPr>
              <w:ind w:left="100"/>
              <w:spacing w:after="0" w:line="153" w:lineRule="exact"/>
              <w:rPr>
                <w:sz w:val="20"/>
                <w:szCs w:val="20"/>
                <w:color w:val="auto"/>
              </w:rPr>
            </w:pPr>
            <w:r>
              <w:rPr>
                <w:rFonts w:ascii="Arial" w:cs="Arial" w:eastAsia="Arial" w:hAnsi="Arial"/>
                <w:sz w:val="14"/>
                <w:szCs w:val="14"/>
                <w:b w:val="1"/>
                <w:bCs w:val="1"/>
                <w:color w:val="auto"/>
              </w:rPr>
              <w:t>January 1,</w:t>
            </w:r>
          </w:p>
        </w:tc>
        <w:tc>
          <w:tcPr>
            <w:tcW w:w="240" w:type="dxa"/>
            <w:vAlign w:val="bottom"/>
          </w:tcPr>
          <w:p>
            <w:pPr>
              <w:spacing w:after="0"/>
              <w:rPr>
                <w:sz w:val="13"/>
                <w:szCs w:val="13"/>
                <w:color w:val="auto"/>
              </w:rPr>
            </w:pPr>
          </w:p>
        </w:tc>
        <w:tc>
          <w:tcPr>
            <w:tcW w:w="1320" w:type="dxa"/>
            <w:vAlign w:val="bottom"/>
            <w:gridSpan w:val="2"/>
          </w:tcPr>
          <w:p>
            <w:pPr>
              <w:ind w:left="140"/>
              <w:spacing w:after="0" w:line="153" w:lineRule="exact"/>
              <w:rPr>
                <w:sz w:val="20"/>
                <w:szCs w:val="20"/>
                <w:color w:val="auto"/>
              </w:rPr>
            </w:pPr>
            <w:r>
              <w:rPr>
                <w:rFonts w:ascii="Arial" w:cs="Arial" w:eastAsia="Arial" w:hAnsi="Arial"/>
                <w:sz w:val="14"/>
                <w:szCs w:val="14"/>
                <w:b w:val="1"/>
                <w:bCs w:val="1"/>
                <w:color w:val="auto"/>
              </w:rPr>
              <w:t>January 2,</w:t>
            </w:r>
          </w:p>
        </w:tc>
        <w:tc>
          <w:tcPr>
            <w:tcW w:w="220" w:type="dxa"/>
            <w:vAlign w:val="bottom"/>
          </w:tcPr>
          <w:p>
            <w:pPr>
              <w:spacing w:after="0"/>
              <w:rPr>
                <w:sz w:val="13"/>
                <w:szCs w:val="13"/>
                <w:color w:val="auto"/>
              </w:rPr>
            </w:pPr>
          </w:p>
        </w:tc>
        <w:tc>
          <w:tcPr>
            <w:tcW w:w="1120" w:type="dxa"/>
            <w:vAlign w:val="bottom"/>
          </w:tcPr>
          <w:p>
            <w:pPr>
              <w:jc w:val="right"/>
              <w:ind w:right="274"/>
              <w:spacing w:after="0" w:line="153" w:lineRule="exact"/>
              <w:rPr>
                <w:sz w:val="20"/>
                <w:szCs w:val="20"/>
                <w:color w:val="auto"/>
              </w:rPr>
            </w:pPr>
            <w:r>
              <w:rPr>
                <w:rFonts w:ascii="Arial" w:cs="Arial" w:eastAsia="Arial" w:hAnsi="Arial"/>
                <w:sz w:val="14"/>
                <w:szCs w:val="14"/>
                <w:b w:val="1"/>
                <w:bCs w:val="1"/>
                <w:color w:val="auto"/>
              </w:rPr>
              <w:t>January 3,</w:t>
            </w:r>
          </w:p>
        </w:tc>
      </w:tr>
      <w:tr>
        <w:trPr>
          <w:trHeight w:val="192"/>
        </w:trPr>
        <w:tc>
          <w:tcPr>
            <w:tcW w:w="20" w:type="dxa"/>
            <w:vAlign w:val="bottom"/>
            <w:tcBorders>
              <w:bottom w:val="single" w:sz="8" w:color="CCEEFF"/>
            </w:tcBorders>
          </w:tcPr>
          <w:p>
            <w:pPr>
              <w:spacing w:after="0"/>
              <w:rPr>
                <w:sz w:val="16"/>
                <w:szCs w:val="16"/>
                <w:color w:val="auto"/>
              </w:rPr>
            </w:pPr>
          </w:p>
        </w:tc>
        <w:tc>
          <w:tcPr>
            <w:tcW w:w="1860" w:type="dxa"/>
            <w:vAlign w:val="bottom"/>
            <w:tcBorders>
              <w:bottom w:val="single" w:sz="8" w:color="CCEEFF"/>
            </w:tcBorders>
          </w:tcPr>
          <w:p>
            <w:pPr>
              <w:spacing w:after="0"/>
              <w:rPr>
                <w:sz w:val="16"/>
                <w:szCs w:val="16"/>
                <w:color w:val="auto"/>
              </w:rPr>
            </w:pPr>
          </w:p>
        </w:tc>
        <w:tc>
          <w:tcPr>
            <w:tcW w:w="160" w:type="dxa"/>
            <w:vAlign w:val="bottom"/>
            <w:tcBorders>
              <w:bottom w:val="single" w:sz="8" w:color="CCEEFF"/>
            </w:tcBorders>
          </w:tcPr>
          <w:p>
            <w:pPr>
              <w:spacing w:after="0"/>
              <w:rPr>
                <w:sz w:val="16"/>
                <w:szCs w:val="16"/>
                <w:color w:val="auto"/>
              </w:rPr>
            </w:pPr>
          </w:p>
        </w:tc>
        <w:tc>
          <w:tcPr>
            <w:tcW w:w="39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54"/>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496"/>
              <w:spacing w:after="0"/>
              <w:rPr>
                <w:sz w:val="20"/>
                <w:szCs w:val="20"/>
                <w:color w:val="auto"/>
              </w:rPr>
            </w:pPr>
            <w:r>
              <w:rPr>
                <w:rFonts w:ascii="Arial" w:cs="Arial" w:eastAsia="Arial" w:hAnsi="Arial"/>
                <w:sz w:val="14"/>
                <w:szCs w:val="14"/>
                <w:b w:val="1"/>
                <w:bCs w:val="1"/>
                <w:color w:val="auto"/>
              </w:rPr>
              <w:t>2015</w:t>
            </w:r>
          </w:p>
        </w:tc>
        <w:tc>
          <w:tcPr>
            <w:tcW w:w="12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54"/>
              <w:spacing w:after="0"/>
              <w:rPr>
                <w:sz w:val="20"/>
                <w:szCs w:val="20"/>
                <w:color w:val="auto"/>
              </w:rPr>
            </w:pPr>
            <w:r>
              <w:rPr>
                <w:rFonts w:ascii="Arial" w:cs="Arial" w:eastAsia="Arial" w:hAnsi="Arial"/>
                <w:sz w:val="14"/>
                <w:szCs w:val="14"/>
                <w:b w:val="1"/>
                <w:bCs w:val="1"/>
                <w:color w:val="auto"/>
              </w:rPr>
              <w:t>2014</w:t>
            </w: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1860" w:type="dxa"/>
            <w:vAlign w:val="bottom"/>
            <w:tcBorders>
              <w:bottom w:val="single" w:sz="8" w:color="auto"/>
            </w:tcBorders>
            <w:shd w:val="clear" w:color="auto" w:fill="CCEEFF"/>
          </w:tcPr>
          <w:p>
            <w:pPr>
              <w:spacing w:after="0" w:line="202" w:lineRule="exact"/>
              <w:rPr>
                <w:sz w:val="20"/>
                <w:szCs w:val="20"/>
                <w:color w:val="auto"/>
              </w:rPr>
            </w:pPr>
            <w:r>
              <w:rPr>
                <w:rFonts w:ascii="Arial" w:cs="Arial" w:eastAsia="Arial" w:hAnsi="Arial"/>
                <w:sz w:val="18"/>
                <w:szCs w:val="18"/>
                <w:color w:val="auto"/>
                <w:w w:val="90"/>
              </w:rPr>
              <w:t>Numerator for basic EPS:</w:t>
            </w:r>
          </w:p>
        </w:tc>
        <w:tc>
          <w:tcPr>
            <w:tcW w:w="4060" w:type="dxa"/>
            <w:vAlign w:val="bottom"/>
            <w:tcBorders>
              <w:bottom w:val="single" w:sz="8" w:color="CCEEFF"/>
            </w:tcBorders>
            <w:gridSpan w:val="2"/>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304"/>
        </w:trPr>
        <w:tc>
          <w:tcPr>
            <w:tcW w:w="5940" w:type="dxa"/>
            <w:vAlign w:val="bottom"/>
            <w:tcBorders>
              <w:bottom w:val="single" w:sz="8" w:color="CCEEFF"/>
            </w:tcBorders>
            <w:gridSpan w:val="4"/>
          </w:tcPr>
          <w:p>
            <w:pPr>
              <w:ind w:left="20"/>
              <w:spacing w:after="0"/>
              <w:rPr>
                <w:sz w:val="20"/>
                <w:szCs w:val="20"/>
                <w:color w:val="auto"/>
              </w:rPr>
            </w:pPr>
            <w:r>
              <w:rPr>
                <w:rFonts w:ascii="Arial" w:cs="Arial" w:eastAsia="Arial" w:hAnsi="Arial"/>
                <w:sz w:val="18"/>
                <w:szCs w:val="18"/>
                <w:color w:val="auto"/>
              </w:rPr>
              <w:t>Net income (loss)</w:t>
            </w:r>
          </w:p>
        </w:tc>
        <w:tc>
          <w:tcPr>
            <w:tcW w:w="2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(7,594)</w:t>
            </w:r>
          </w:p>
        </w:tc>
        <w:tc>
          <w:tcPr>
            <w:tcW w:w="100" w:type="dxa"/>
            <w:vAlign w:val="bottom"/>
            <w:tcBorders>
              <w:bottom w:val="single" w:sz="8" w:color="CCEEFF"/>
            </w:tcBorders>
          </w:tcPr>
          <w:p>
            <w:pPr>
              <w:spacing w:after="0"/>
              <w:rPr>
                <w:sz w:val="24"/>
                <w:szCs w:val="24"/>
                <w:color w:val="auto"/>
              </w:rPr>
            </w:pPr>
          </w:p>
        </w:tc>
        <w:tc>
          <w:tcPr>
            <w:tcW w:w="2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55,458</w:t>
            </w:r>
          </w:p>
        </w:tc>
        <w:tc>
          <w:tcPr>
            <w:tcW w:w="12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tcPr>
          <w:p>
            <w:pPr>
              <w:jc w:val="right"/>
              <w:ind w:right="14"/>
              <w:spacing w:after="0"/>
              <w:rPr>
                <w:sz w:val="20"/>
                <w:szCs w:val="20"/>
                <w:color w:val="auto"/>
              </w:rPr>
            </w:pPr>
            <w:r>
              <w:rPr>
                <w:rFonts w:ascii="Arial" w:cs="Arial" w:eastAsia="Arial" w:hAnsi="Arial"/>
                <w:sz w:val="18"/>
                <w:szCs w:val="18"/>
                <w:color w:val="auto"/>
              </w:rPr>
              <w:t>36,267</w:t>
            </w:r>
          </w:p>
        </w:tc>
      </w:tr>
      <w:tr>
        <w:trPr>
          <w:trHeight w:val="190"/>
        </w:trPr>
        <w:tc>
          <w:tcPr>
            <w:tcW w:w="20" w:type="dxa"/>
            <w:vAlign w:val="bottom"/>
            <w:shd w:val="clear" w:color="auto" w:fill="CCEEFF"/>
          </w:tcPr>
          <w:p>
            <w:pPr>
              <w:spacing w:after="0"/>
              <w:rPr>
                <w:sz w:val="16"/>
                <w:szCs w:val="16"/>
                <w:color w:val="auto"/>
              </w:rPr>
            </w:pPr>
          </w:p>
        </w:tc>
        <w:tc>
          <w:tcPr>
            <w:tcW w:w="5920" w:type="dxa"/>
            <w:vAlign w:val="bottom"/>
            <w:gridSpan w:val="3"/>
            <w:shd w:val="clear" w:color="auto" w:fill="CCEEFF"/>
          </w:tcPr>
          <w:p>
            <w:pPr>
              <w:spacing w:after="0" w:line="189" w:lineRule="exact"/>
              <w:rPr>
                <w:sz w:val="20"/>
                <w:szCs w:val="20"/>
                <w:color w:val="auto"/>
              </w:rPr>
            </w:pPr>
            <w:r>
              <w:rPr>
                <w:rFonts w:ascii="Arial" w:cs="Arial" w:eastAsia="Arial" w:hAnsi="Arial"/>
                <w:sz w:val="18"/>
                <w:szCs w:val="18"/>
                <w:color w:val="auto"/>
              </w:rPr>
              <w:t>Denominator for basic EPS:</w:t>
            </w:r>
          </w:p>
        </w:tc>
        <w:tc>
          <w:tcPr>
            <w:tcW w:w="220" w:type="dxa"/>
            <w:vAlign w:val="bottom"/>
            <w:shd w:val="clear" w:color="auto" w:fill="CCEEFF"/>
          </w:tcPr>
          <w:p>
            <w:pPr>
              <w:spacing w:after="0"/>
              <w:rPr>
                <w:sz w:val="16"/>
                <w:szCs w:val="16"/>
                <w:color w:val="auto"/>
              </w:rPr>
            </w:pPr>
          </w:p>
        </w:tc>
        <w:tc>
          <w:tcPr>
            <w:tcW w:w="1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2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120" w:type="dxa"/>
            <w:vAlign w:val="bottom"/>
            <w:shd w:val="clear" w:color="auto" w:fill="CCEEFF"/>
          </w:tcPr>
          <w:p>
            <w:pPr>
              <w:spacing w:after="0"/>
              <w:rPr>
                <w:sz w:val="16"/>
                <w:szCs w:val="16"/>
                <w:color w:val="auto"/>
              </w:rPr>
            </w:pPr>
          </w:p>
        </w:tc>
      </w:tr>
      <w:tr>
        <w:trPr>
          <w:trHeight w:val="48"/>
        </w:trPr>
        <w:tc>
          <w:tcPr>
            <w:tcW w:w="20" w:type="dxa"/>
            <w:vAlign w:val="bottom"/>
            <w:tcBorders>
              <w:top w:val="single" w:sz="8" w:color="CCEEFF"/>
            </w:tcBorders>
            <w:shd w:val="clear" w:color="auto" w:fill="CCEEFF"/>
          </w:tcPr>
          <w:p>
            <w:pPr>
              <w:spacing w:after="0"/>
              <w:rPr>
                <w:sz w:val="4"/>
                <w:szCs w:val="4"/>
                <w:color w:val="auto"/>
              </w:rPr>
            </w:pPr>
          </w:p>
        </w:tc>
        <w:tc>
          <w:tcPr>
            <w:tcW w:w="1860" w:type="dxa"/>
            <w:vAlign w:val="bottom"/>
            <w:tcBorders>
              <w:top w:val="single" w:sz="8" w:color="auto"/>
            </w:tcBorders>
            <w:shd w:val="clear" w:color="auto" w:fill="CCEEFF"/>
          </w:tcPr>
          <w:p>
            <w:pPr>
              <w:spacing w:after="0"/>
              <w:rPr>
                <w:sz w:val="4"/>
                <w:szCs w:val="4"/>
                <w:color w:val="auto"/>
              </w:rPr>
            </w:pPr>
          </w:p>
        </w:tc>
        <w:tc>
          <w:tcPr>
            <w:tcW w:w="160" w:type="dxa"/>
            <w:vAlign w:val="bottom"/>
            <w:tcBorders>
              <w:top w:val="single" w:sz="8" w:color="auto"/>
            </w:tcBorders>
            <w:shd w:val="clear" w:color="auto" w:fill="CCEEFF"/>
          </w:tcPr>
          <w:p>
            <w:pPr>
              <w:spacing w:after="0"/>
              <w:rPr>
                <w:sz w:val="4"/>
                <w:szCs w:val="4"/>
                <w:color w:val="auto"/>
              </w:rPr>
            </w:pPr>
          </w:p>
        </w:tc>
        <w:tc>
          <w:tcPr>
            <w:tcW w:w="3900" w:type="dxa"/>
            <w:vAlign w:val="bottom"/>
            <w:tcBorders>
              <w:top w:val="single" w:sz="8" w:color="CCEEFF"/>
            </w:tcBorders>
            <w:shd w:val="clear" w:color="auto" w:fill="CCEEFF"/>
          </w:tcPr>
          <w:p>
            <w:pPr>
              <w:spacing w:after="0"/>
              <w:rPr>
                <w:sz w:val="4"/>
                <w:szCs w:val="4"/>
                <w:color w:val="auto"/>
              </w:rPr>
            </w:pPr>
          </w:p>
        </w:tc>
        <w:tc>
          <w:tcPr>
            <w:tcW w:w="220" w:type="dxa"/>
            <w:vAlign w:val="bottom"/>
            <w:tcBorders>
              <w:top w:val="single" w:sz="8" w:color="CCEEFF"/>
            </w:tcBorders>
            <w:shd w:val="clear" w:color="auto" w:fill="CCEEFF"/>
          </w:tcPr>
          <w:p>
            <w:pPr>
              <w:spacing w:after="0"/>
              <w:rPr>
                <w:sz w:val="4"/>
                <w:szCs w:val="4"/>
                <w:color w:val="auto"/>
              </w:rPr>
            </w:pPr>
          </w:p>
        </w:tc>
        <w:tc>
          <w:tcPr>
            <w:tcW w:w="112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240" w:type="dxa"/>
            <w:vAlign w:val="bottom"/>
            <w:tcBorders>
              <w:top w:val="single" w:sz="8" w:color="CCEEFF"/>
            </w:tcBorders>
            <w:shd w:val="clear" w:color="auto" w:fill="CCEEFF"/>
          </w:tcPr>
          <w:p>
            <w:pPr>
              <w:spacing w:after="0"/>
              <w:rPr>
                <w:sz w:val="4"/>
                <w:szCs w:val="4"/>
                <w:color w:val="auto"/>
              </w:rPr>
            </w:pPr>
          </w:p>
        </w:tc>
        <w:tc>
          <w:tcPr>
            <w:tcW w:w="1200" w:type="dxa"/>
            <w:vAlign w:val="bottom"/>
            <w:tcBorders>
              <w:top w:val="single" w:sz="8" w:color="CCEEFF"/>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220" w:type="dxa"/>
            <w:vAlign w:val="bottom"/>
            <w:tcBorders>
              <w:top w:val="single" w:sz="8" w:color="CCEEFF"/>
            </w:tcBorders>
            <w:shd w:val="clear" w:color="auto" w:fill="CCEEFF"/>
          </w:tcPr>
          <w:p>
            <w:pPr>
              <w:spacing w:after="0"/>
              <w:rPr>
                <w:sz w:val="4"/>
                <w:szCs w:val="4"/>
                <w:color w:val="auto"/>
              </w:rPr>
            </w:pPr>
          </w:p>
        </w:tc>
        <w:tc>
          <w:tcPr>
            <w:tcW w:w="1120" w:type="dxa"/>
            <w:vAlign w:val="bottom"/>
            <w:tcBorders>
              <w:top w:val="single" w:sz="8" w:color="CCEEFF"/>
            </w:tcBorders>
            <w:shd w:val="clear" w:color="auto" w:fill="CCEEFF"/>
          </w:tcPr>
          <w:p>
            <w:pPr>
              <w:spacing w:after="0"/>
              <w:rPr>
                <w:sz w:val="4"/>
                <w:szCs w:val="4"/>
                <w:color w:val="auto"/>
              </w:rPr>
            </w:pPr>
          </w:p>
        </w:tc>
      </w:tr>
      <w:tr>
        <w:trPr>
          <w:trHeight w:val="243"/>
        </w:trPr>
        <w:tc>
          <w:tcPr>
            <w:tcW w:w="20" w:type="dxa"/>
            <w:vAlign w:val="bottom"/>
          </w:tcPr>
          <w:p>
            <w:pPr>
              <w:spacing w:after="0"/>
              <w:rPr>
                <w:sz w:val="21"/>
                <w:szCs w:val="21"/>
                <w:color w:val="auto"/>
              </w:rPr>
            </w:pPr>
          </w:p>
        </w:tc>
        <w:tc>
          <w:tcPr>
            <w:tcW w:w="5920" w:type="dxa"/>
            <w:vAlign w:val="bottom"/>
            <w:gridSpan w:val="3"/>
          </w:tcPr>
          <w:p>
            <w:pPr>
              <w:ind w:left="360"/>
              <w:spacing w:after="0"/>
              <w:rPr>
                <w:sz w:val="20"/>
                <w:szCs w:val="20"/>
                <w:color w:val="auto"/>
              </w:rPr>
            </w:pPr>
            <w:r>
              <w:rPr>
                <w:rFonts w:ascii="Arial" w:cs="Arial" w:eastAsia="Arial" w:hAnsi="Arial"/>
                <w:sz w:val="18"/>
                <w:szCs w:val="18"/>
                <w:color w:val="auto"/>
              </w:rPr>
              <w:t>Weighted average shares outstanding</w:t>
            </w:r>
          </w:p>
        </w:tc>
        <w:tc>
          <w:tcPr>
            <w:tcW w:w="22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26,363</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24,825</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23,991</w:t>
            </w:r>
          </w:p>
        </w:tc>
      </w:tr>
      <w:tr>
        <w:trPr>
          <w:trHeight w:val="27"/>
        </w:trPr>
        <w:tc>
          <w:tcPr>
            <w:tcW w:w="20" w:type="dxa"/>
            <w:vAlign w:val="bottom"/>
          </w:tcPr>
          <w:p>
            <w:pPr>
              <w:spacing w:after="0"/>
              <w:rPr>
                <w:sz w:val="2"/>
                <w:szCs w:val="2"/>
                <w:color w:val="auto"/>
              </w:rPr>
            </w:pPr>
          </w:p>
        </w:tc>
        <w:tc>
          <w:tcPr>
            <w:tcW w:w="1860" w:type="dxa"/>
            <w:vAlign w:val="bottom"/>
          </w:tcPr>
          <w:p>
            <w:pPr>
              <w:spacing w:after="0"/>
              <w:rPr>
                <w:sz w:val="2"/>
                <w:szCs w:val="2"/>
                <w:color w:val="auto"/>
              </w:rPr>
            </w:pPr>
          </w:p>
        </w:tc>
        <w:tc>
          <w:tcPr>
            <w:tcW w:w="160" w:type="dxa"/>
            <w:vAlign w:val="bottom"/>
          </w:tcPr>
          <w:p>
            <w:pPr>
              <w:spacing w:after="0"/>
              <w:rPr>
                <w:sz w:val="2"/>
                <w:szCs w:val="2"/>
                <w:color w:val="auto"/>
              </w:rPr>
            </w:pPr>
          </w:p>
        </w:tc>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5940" w:type="dxa"/>
            <w:vAlign w:val="bottom"/>
            <w:tcBorders>
              <w:bottom w:val="single" w:sz="8" w:color="CCEEFF"/>
            </w:tcBorders>
            <w:gridSpan w:val="4"/>
            <w:shd w:val="clear" w:color="auto" w:fill="CCEEFF"/>
          </w:tcPr>
          <w:p>
            <w:pPr>
              <w:ind w:left="20"/>
              <w:spacing w:after="0"/>
              <w:rPr>
                <w:sz w:val="20"/>
                <w:szCs w:val="20"/>
                <w:color w:val="auto"/>
              </w:rPr>
            </w:pPr>
            <w:r>
              <w:rPr>
                <w:rFonts w:ascii="Arial" w:cs="Arial" w:eastAsia="Arial" w:hAnsi="Arial"/>
                <w:sz w:val="18"/>
                <w:szCs w:val="18"/>
                <w:color w:val="auto"/>
              </w:rPr>
              <w:t>Effect of dilutive securities:</w:t>
            </w: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43"/>
        </w:trPr>
        <w:tc>
          <w:tcPr>
            <w:tcW w:w="20" w:type="dxa"/>
            <w:vAlign w:val="bottom"/>
          </w:tcPr>
          <w:p>
            <w:pPr>
              <w:spacing w:after="0"/>
              <w:rPr>
                <w:sz w:val="21"/>
                <w:szCs w:val="21"/>
                <w:color w:val="auto"/>
              </w:rPr>
            </w:pPr>
          </w:p>
        </w:tc>
        <w:tc>
          <w:tcPr>
            <w:tcW w:w="5920" w:type="dxa"/>
            <w:vAlign w:val="bottom"/>
            <w:gridSpan w:val="3"/>
          </w:tcPr>
          <w:p>
            <w:pPr>
              <w:ind w:left="360"/>
              <w:spacing w:after="0"/>
              <w:rPr>
                <w:sz w:val="20"/>
                <w:szCs w:val="20"/>
                <w:color w:val="auto"/>
              </w:rPr>
            </w:pPr>
            <w:r>
              <w:rPr>
                <w:rFonts w:ascii="Arial" w:cs="Arial" w:eastAsia="Arial" w:hAnsi="Arial"/>
                <w:sz w:val="18"/>
                <w:szCs w:val="18"/>
                <w:color w:val="auto"/>
              </w:rPr>
              <w:t>Stock options, restricted stock and restricted stock units</w:t>
            </w:r>
          </w:p>
        </w:tc>
        <w:tc>
          <w:tcPr>
            <w:tcW w:w="220" w:type="dxa"/>
            <w:vAlign w:val="bottom"/>
          </w:tcPr>
          <w:p>
            <w:pPr>
              <w:spacing w:after="0"/>
              <w:rPr>
                <w:sz w:val="21"/>
                <w:szCs w:val="21"/>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1,150</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1,332</w:t>
            </w:r>
          </w:p>
        </w:tc>
      </w:tr>
      <w:tr>
        <w:trPr>
          <w:trHeight w:val="27"/>
        </w:trPr>
        <w:tc>
          <w:tcPr>
            <w:tcW w:w="20" w:type="dxa"/>
            <w:vAlign w:val="bottom"/>
            <w:tcBorders>
              <w:bottom w:val="single" w:sz="8" w:color="CCEEFF"/>
            </w:tcBorders>
          </w:tcPr>
          <w:p>
            <w:pPr>
              <w:spacing w:after="0"/>
              <w:rPr>
                <w:sz w:val="2"/>
                <w:szCs w:val="2"/>
                <w:color w:val="auto"/>
              </w:rPr>
            </w:pPr>
          </w:p>
        </w:tc>
        <w:tc>
          <w:tcPr>
            <w:tcW w:w="1860" w:type="dxa"/>
            <w:vAlign w:val="bottom"/>
            <w:tcBorders>
              <w:bottom w:val="single" w:sz="8" w:color="CCEEFF"/>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39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57"/>
        </w:trPr>
        <w:tc>
          <w:tcPr>
            <w:tcW w:w="5940" w:type="dxa"/>
            <w:vAlign w:val="bottom"/>
            <w:tcBorders>
              <w:bottom w:val="single" w:sz="8" w:color="CCEEFF"/>
            </w:tcBorders>
            <w:gridSpan w:val="4"/>
            <w:shd w:val="clear" w:color="auto" w:fill="CCEEFF"/>
          </w:tcPr>
          <w:p>
            <w:pPr>
              <w:ind w:left="20"/>
              <w:spacing w:after="0"/>
              <w:rPr>
                <w:sz w:val="20"/>
                <w:szCs w:val="20"/>
                <w:color w:val="auto"/>
              </w:rPr>
            </w:pPr>
            <w:r>
              <w:rPr>
                <w:rFonts w:ascii="Arial" w:cs="Arial" w:eastAsia="Arial" w:hAnsi="Arial"/>
                <w:sz w:val="18"/>
                <w:szCs w:val="18"/>
                <w:color w:val="auto"/>
              </w:rPr>
              <w:t>Denominator for diluted EPS</w:t>
            </w:r>
          </w:p>
        </w:tc>
        <w:tc>
          <w:tcPr>
            <w:tcW w:w="220" w:type="dxa"/>
            <w:vAlign w:val="bottom"/>
            <w:tcBorders>
              <w:bottom w:val="single" w:sz="8" w:color="auto"/>
            </w:tcBorders>
            <w:shd w:val="clear" w:color="auto" w:fill="CCEEFF"/>
          </w:tcPr>
          <w:p>
            <w:pPr>
              <w:spacing w:after="0"/>
              <w:rPr>
                <w:sz w:val="22"/>
                <w:szCs w:val="22"/>
                <w:color w:val="auto"/>
              </w:rPr>
            </w:pPr>
          </w:p>
        </w:tc>
        <w:tc>
          <w:tcPr>
            <w:tcW w:w="112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26,363</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spacing w:after="0"/>
              <w:rPr>
                <w:sz w:val="22"/>
                <w:szCs w:val="22"/>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25,975</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spacing w:after="0"/>
              <w:rPr>
                <w:sz w:val="22"/>
                <w:szCs w:val="22"/>
                <w:color w:val="auto"/>
              </w:rPr>
            </w:pPr>
          </w:p>
        </w:tc>
        <w:tc>
          <w:tcPr>
            <w:tcW w:w="112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25,323</w:t>
            </w:r>
          </w:p>
        </w:tc>
      </w:tr>
      <w:tr>
        <w:trPr>
          <w:trHeight w:val="20"/>
        </w:trPr>
        <w:tc>
          <w:tcPr>
            <w:tcW w:w="2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r>
        <w:trPr>
          <w:trHeight w:val="291"/>
        </w:trPr>
        <w:tc>
          <w:tcPr>
            <w:tcW w:w="5940" w:type="dxa"/>
            <w:vAlign w:val="bottom"/>
            <w:tcBorders>
              <w:bottom w:val="single" w:sz="8" w:color="CCEEFF"/>
            </w:tcBorders>
            <w:gridSpan w:val="4"/>
          </w:tcPr>
          <w:p>
            <w:pPr>
              <w:ind w:left="20"/>
              <w:spacing w:after="0"/>
              <w:rPr>
                <w:sz w:val="20"/>
                <w:szCs w:val="20"/>
                <w:color w:val="auto"/>
              </w:rPr>
            </w:pPr>
            <w:r>
              <w:rPr>
                <w:rFonts w:ascii="Arial" w:cs="Arial" w:eastAsia="Arial" w:hAnsi="Arial"/>
                <w:sz w:val="18"/>
                <w:szCs w:val="18"/>
                <w:color w:val="auto"/>
              </w:rPr>
              <w:t>Basic EPS</w:t>
            </w:r>
          </w:p>
        </w:tc>
        <w:tc>
          <w:tcPr>
            <w:tcW w:w="2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(0.29)</w:t>
            </w:r>
          </w:p>
        </w:tc>
        <w:tc>
          <w:tcPr>
            <w:tcW w:w="100" w:type="dxa"/>
            <w:vAlign w:val="bottom"/>
            <w:tcBorders>
              <w:bottom w:val="single" w:sz="8" w:color="CCEEFF"/>
            </w:tcBorders>
          </w:tcPr>
          <w:p>
            <w:pPr>
              <w:spacing w:after="0"/>
              <w:rPr>
                <w:sz w:val="24"/>
                <w:szCs w:val="24"/>
                <w:color w:val="auto"/>
              </w:rPr>
            </w:pPr>
          </w:p>
        </w:tc>
        <w:tc>
          <w:tcPr>
            <w:tcW w:w="2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2.23</w:t>
            </w:r>
          </w:p>
        </w:tc>
        <w:tc>
          <w:tcPr>
            <w:tcW w:w="12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tcPr>
          <w:p>
            <w:pPr>
              <w:jc w:val="right"/>
              <w:ind w:right="14"/>
              <w:spacing w:after="0"/>
              <w:rPr>
                <w:sz w:val="20"/>
                <w:szCs w:val="20"/>
                <w:color w:val="auto"/>
              </w:rPr>
            </w:pPr>
            <w:r>
              <w:rPr>
                <w:rFonts w:ascii="Arial" w:cs="Arial" w:eastAsia="Arial" w:hAnsi="Arial"/>
                <w:sz w:val="18"/>
                <w:szCs w:val="18"/>
                <w:color w:val="auto"/>
              </w:rPr>
              <w:t>1.51</w:t>
            </w:r>
          </w:p>
        </w:tc>
      </w:tr>
      <w:tr>
        <w:trPr>
          <w:trHeight w:val="251"/>
        </w:trPr>
        <w:tc>
          <w:tcPr>
            <w:tcW w:w="5940" w:type="dxa"/>
            <w:vAlign w:val="bottom"/>
            <w:tcBorders>
              <w:bottom w:val="single" w:sz="8" w:color="CCEEFF"/>
            </w:tcBorders>
            <w:gridSpan w:val="4"/>
            <w:shd w:val="clear" w:color="auto" w:fill="CCEEFF"/>
          </w:tcPr>
          <w:p>
            <w:pPr>
              <w:ind w:left="20"/>
              <w:spacing w:after="0"/>
              <w:rPr>
                <w:sz w:val="20"/>
                <w:szCs w:val="20"/>
                <w:color w:val="auto"/>
              </w:rPr>
            </w:pPr>
            <w:r>
              <w:rPr>
                <w:rFonts w:ascii="Arial" w:cs="Arial" w:eastAsia="Arial" w:hAnsi="Arial"/>
                <w:sz w:val="18"/>
                <w:szCs w:val="18"/>
                <w:color w:val="auto"/>
              </w:rPr>
              <w:t>Diluted EPS</w:t>
            </w: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(0.29)</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2.14</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1.43</w:t>
            </w:r>
          </w:p>
        </w:tc>
      </w:tr>
      <w:tr>
        <w:trPr>
          <w:trHeight w:val="20"/>
        </w:trPr>
        <w:tc>
          <w:tcPr>
            <w:tcW w:w="2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465" w:right="760"/>
        <w:spacing w:after="0" w:line="277" w:lineRule="auto"/>
        <w:rPr>
          <w:sz w:val="20"/>
          <w:szCs w:val="20"/>
          <w:color w:val="auto"/>
        </w:rPr>
      </w:pPr>
      <w:r>
        <w:rPr>
          <w:rFonts w:ascii="Arial" w:cs="Arial" w:eastAsia="Arial" w:hAnsi="Arial"/>
          <w:sz w:val="18"/>
          <w:szCs w:val="18"/>
          <w:color w:val="auto"/>
        </w:rPr>
        <w:t>The diluted weighted average share calculations do not include the following securities, which are not dilutive to the EPS calculations or the performance criteria have not been met:</w:t>
      </w:r>
    </w:p>
    <w:p>
      <w:pPr>
        <w:spacing w:after="0" w:line="108" w:lineRule="exact"/>
        <w:rPr>
          <w:sz w:val="20"/>
          <w:szCs w:val="20"/>
          <w:color w:val="auto"/>
        </w:rPr>
      </w:pPr>
    </w:p>
    <w:tbl>
      <w:tblPr>
        <w:tblLayout w:type="fixed"/>
        <w:tblInd w:w="465" w:type="dxa"/>
        <w:tblCellMar>
          <w:top w:w="0" w:type="dxa"/>
          <w:left w:w="0" w:type="dxa"/>
          <w:bottom w:w="0" w:type="dxa"/>
          <w:right w:w="0" w:type="dxa"/>
        </w:tblCellMar>
      </w:tblPr>
      <w:tr>
        <w:trPr>
          <w:trHeight w:val="192"/>
        </w:trPr>
        <w:tc>
          <w:tcPr>
            <w:tcW w:w="6100" w:type="dxa"/>
            <w:vAlign w:val="bottom"/>
          </w:tcPr>
          <w:p>
            <w:pPr>
              <w:spacing w:after="0"/>
              <w:rPr>
                <w:sz w:val="16"/>
                <w:szCs w:val="16"/>
                <w:color w:val="auto"/>
              </w:rPr>
            </w:pPr>
          </w:p>
        </w:tc>
        <w:tc>
          <w:tcPr>
            <w:tcW w:w="134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440" w:type="dxa"/>
            <w:vAlign w:val="bottom"/>
            <w:tcBorders>
              <w:bottom w:val="single" w:sz="8" w:color="auto"/>
            </w:tcBorders>
            <w:gridSpan w:val="2"/>
          </w:tcPr>
          <w:p>
            <w:pPr>
              <w:jc w:val="center"/>
              <w:ind w:right="120"/>
              <w:spacing w:after="0"/>
              <w:rPr>
                <w:sz w:val="20"/>
                <w:szCs w:val="20"/>
                <w:color w:val="auto"/>
              </w:rPr>
            </w:pPr>
            <w:r>
              <w:rPr>
                <w:rFonts w:ascii="Arial" w:cs="Arial" w:eastAsia="Arial" w:hAnsi="Arial"/>
                <w:sz w:val="14"/>
                <w:szCs w:val="14"/>
                <w:b w:val="1"/>
                <w:bCs w:val="1"/>
                <w:color w:val="auto"/>
                <w:w w:val="93"/>
              </w:rPr>
              <w:t>Year Ended</w:t>
            </w:r>
          </w:p>
        </w:tc>
        <w:tc>
          <w:tcPr>
            <w:tcW w:w="1320" w:type="dxa"/>
            <w:vAlign w:val="bottom"/>
            <w:tcBorders>
              <w:bottom w:val="single" w:sz="8" w:color="auto"/>
            </w:tcBorders>
          </w:tcPr>
          <w:p>
            <w:pPr>
              <w:spacing w:after="0"/>
              <w:rPr>
                <w:sz w:val="16"/>
                <w:szCs w:val="16"/>
                <w:color w:val="auto"/>
              </w:rPr>
            </w:pPr>
          </w:p>
        </w:tc>
      </w:tr>
      <w:tr>
        <w:trPr>
          <w:trHeight w:val="152"/>
        </w:trPr>
        <w:tc>
          <w:tcPr>
            <w:tcW w:w="6100" w:type="dxa"/>
            <w:vAlign w:val="bottom"/>
          </w:tcPr>
          <w:p>
            <w:pPr>
              <w:spacing w:after="0"/>
              <w:rPr>
                <w:sz w:val="13"/>
                <w:szCs w:val="13"/>
                <w:color w:val="auto"/>
              </w:rPr>
            </w:pPr>
          </w:p>
        </w:tc>
        <w:tc>
          <w:tcPr>
            <w:tcW w:w="1480" w:type="dxa"/>
            <w:vAlign w:val="bottom"/>
            <w:gridSpan w:val="2"/>
          </w:tcPr>
          <w:p>
            <w:pPr>
              <w:ind w:left="320"/>
              <w:spacing w:after="0" w:line="153" w:lineRule="exact"/>
              <w:rPr>
                <w:sz w:val="20"/>
                <w:szCs w:val="20"/>
                <w:color w:val="auto"/>
              </w:rPr>
            </w:pPr>
            <w:r>
              <w:rPr>
                <w:rFonts w:ascii="Arial" w:cs="Arial" w:eastAsia="Arial" w:hAnsi="Arial"/>
                <w:sz w:val="14"/>
                <w:szCs w:val="14"/>
                <w:b w:val="1"/>
                <w:bCs w:val="1"/>
                <w:color w:val="auto"/>
              </w:rPr>
              <w:t>January 1,</w:t>
            </w:r>
          </w:p>
        </w:tc>
        <w:tc>
          <w:tcPr>
            <w:tcW w:w="1440" w:type="dxa"/>
            <w:vAlign w:val="bottom"/>
            <w:gridSpan w:val="2"/>
          </w:tcPr>
          <w:p>
            <w:pPr>
              <w:jc w:val="center"/>
              <w:ind w:right="160"/>
              <w:spacing w:after="0" w:line="153" w:lineRule="exact"/>
              <w:rPr>
                <w:sz w:val="20"/>
                <w:szCs w:val="20"/>
                <w:color w:val="auto"/>
              </w:rPr>
            </w:pPr>
            <w:r>
              <w:rPr>
                <w:rFonts w:ascii="Arial" w:cs="Arial" w:eastAsia="Arial" w:hAnsi="Arial"/>
                <w:sz w:val="14"/>
                <w:szCs w:val="14"/>
                <w:b w:val="1"/>
                <w:bCs w:val="1"/>
                <w:color w:val="auto"/>
                <w:w w:val="92"/>
              </w:rPr>
              <w:t>January 2,</w:t>
            </w:r>
          </w:p>
        </w:tc>
        <w:tc>
          <w:tcPr>
            <w:tcW w:w="1320" w:type="dxa"/>
            <w:vAlign w:val="bottom"/>
          </w:tcPr>
          <w:p>
            <w:pPr>
              <w:jc w:val="right"/>
              <w:ind w:right="279"/>
              <w:spacing w:after="0" w:line="153" w:lineRule="exact"/>
              <w:rPr>
                <w:sz w:val="20"/>
                <w:szCs w:val="20"/>
                <w:color w:val="auto"/>
              </w:rPr>
            </w:pPr>
            <w:r>
              <w:rPr>
                <w:rFonts w:ascii="Arial" w:cs="Arial" w:eastAsia="Arial" w:hAnsi="Arial"/>
                <w:sz w:val="14"/>
                <w:szCs w:val="14"/>
                <w:b w:val="1"/>
                <w:bCs w:val="1"/>
                <w:color w:val="auto"/>
              </w:rPr>
              <w:t>January 3,</w:t>
            </w:r>
          </w:p>
        </w:tc>
      </w:tr>
      <w:tr>
        <w:trPr>
          <w:trHeight w:val="192"/>
        </w:trPr>
        <w:tc>
          <w:tcPr>
            <w:tcW w:w="6100" w:type="dxa"/>
            <w:vAlign w:val="bottom"/>
            <w:tcBorders>
              <w:bottom w:val="single" w:sz="8" w:color="CCEEFF"/>
            </w:tcBorders>
          </w:tcPr>
          <w:p>
            <w:pPr>
              <w:spacing w:after="0"/>
              <w:rPr>
                <w:sz w:val="16"/>
                <w:szCs w:val="16"/>
                <w:color w:val="auto"/>
              </w:rPr>
            </w:pPr>
          </w:p>
        </w:tc>
        <w:tc>
          <w:tcPr>
            <w:tcW w:w="1340" w:type="dxa"/>
            <w:vAlign w:val="bottom"/>
            <w:tcBorders>
              <w:bottom w:val="single" w:sz="8" w:color="auto"/>
            </w:tcBorders>
          </w:tcPr>
          <w:p>
            <w:pPr>
              <w:jc w:val="right"/>
              <w:ind w:right="439"/>
              <w:spacing w:after="0"/>
              <w:rPr>
                <w:sz w:val="20"/>
                <w:szCs w:val="20"/>
                <w:color w:val="auto"/>
              </w:rPr>
            </w:pPr>
            <w:r>
              <w:rPr>
                <w:rFonts w:ascii="Arial" w:cs="Arial" w:eastAsia="Arial" w:hAnsi="Arial"/>
                <w:sz w:val="14"/>
                <w:szCs w:val="14"/>
                <w:b w:val="1"/>
                <w:bCs w:val="1"/>
                <w:color w:val="auto"/>
              </w:rPr>
              <w:t>2016</w:t>
            </w:r>
          </w:p>
        </w:tc>
        <w:tc>
          <w:tcPr>
            <w:tcW w:w="140" w:type="dxa"/>
            <w:vAlign w:val="bottom"/>
            <w:tcBorders>
              <w:bottom w:val="single" w:sz="8" w:color="CCEEFF"/>
            </w:tcBorders>
          </w:tcPr>
          <w:p>
            <w:pPr>
              <w:spacing w:after="0"/>
              <w:rPr>
                <w:sz w:val="16"/>
                <w:szCs w:val="16"/>
                <w:color w:val="auto"/>
              </w:rPr>
            </w:pPr>
          </w:p>
        </w:tc>
        <w:tc>
          <w:tcPr>
            <w:tcW w:w="13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2015</w:t>
            </w:r>
          </w:p>
        </w:tc>
        <w:tc>
          <w:tcPr>
            <w:tcW w:w="120" w:type="dxa"/>
            <w:vAlign w:val="bottom"/>
            <w:tcBorders>
              <w:bottom w:val="single" w:sz="8" w:color="CCEEFF"/>
            </w:tcBorders>
          </w:tcPr>
          <w:p>
            <w:pPr>
              <w:spacing w:after="0"/>
              <w:rPr>
                <w:sz w:val="16"/>
                <w:szCs w:val="16"/>
                <w:color w:val="auto"/>
              </w:rPr>
            </w:pPr>
          </w:p>
        </w:tc>
        <w:tc>
          <w:tcPr>
            <w:tcW w:w="1320" w:type="dxa"/>
            <w:vAlign w:val="bottom"/>
            <w:tcBorders>
              <w:bottom w:val="single" w:sz="8" w:color="auto"/>
            </w:tcBorders>
          </w:tcPr>
          <w:p>
            <w:pPr>
              <w:jc w:val="right"/>
              <w:ind w:right="439"/>
              <w:spacing w:after="0"/>
              <w:rPr>
                <w:sz w:val="20"/>
                <w:szCs w:val="20"/>
                <w:color w:val="auto"/>
              </w:rPr>
            </w:pPr>
            <w:r>
              <w:rPr>
                <w:rFonts w:ascii="Arial" w:cs="Arial" w:eastAsia="Arial" w:hAnsi="Arial"/>
                <w:sz w:val="14"/>
                <w:szCs w:val="14"/>
                <w:b w:val="1"/>
                <w:bCs w:val="1"/>
                <w:color w:val="auto"/>
              </w:rPr>
              <w:t>2014</w:t>
            </w:r>
          </w:p>
        </w:tc>
      </w:tr>
      <w:tr>
        <w:trPr>
          <w:trHeight w:val="250"/>
        </w:trPr>
        <w:tc>
          <w:tcPr>
            <w:tcW w:w="61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Time-vested stock options, restricted stock and restricted stock units</w:t>
            </w:r>
          </w:p>
        </w:tc>
        <w:tc>
          <w:tcPr>
            <w:tcW w:w="13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1,718,135</w:t>
            </w:r>
          </w:p>
        </w:tc>
        <w:tc>
          <w:tcPr>
            <w:tcW w:w="1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18"/>
                <w:szCs w:val="18"/>
                <w:color w:val="auto"/>
              </w:rPr>
              <w:t>175,549</w:t>
            </w:r>
          </w:p>
        </w:tc>
        <w:tc>
          <w:tcPr>
            <w:tcW w:w="1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18,480</w:t>
            </w:r>
          </w:p>
        </w:tc>
      </w:tr>
      <w:tr>
        <w:trPr>
          <w:trHeight w:val="243"/>
        </w:trPr>
        <w:tc>
          <w:tcPr>
            <w:tcW w:w="6100" w:type="dxa"/>
            <w:vAlign w:val="bottom"/>
          </w:tcPr>
          <w:p>
            <w:pPr>
              <w:ind w:left="20"/>
              <w:spacing w:after="0"/>
              <w:rPr>
                <w:sz w:val="20"/>
                <w:szCs w:val="20"/>
                <w:color w:val="auto"/>
              </w:rPr>
            </w:pPr>
            <w:r>
              <w:rPr>
                <w:rFonts w:ascii="Arial" w:cs="Arial" w:eastAsia="Arial" w:hAnsi="Arial"/>
                <w:sz w:val="18"/>
                <w:szCs w:val="18"/>
                <w:color w:val="auto"/>
              </w:rPr>
              <w:t>Performance-vested stock options and restricted stock units</w:t>
            </w:r>
          </w:p>
        </w:tc>
        <w:tc>
          <w:tcPr>
            <w:tcW w:w="1340" w:type="dxa"/>
            <w:vAlign w:val="bottom"/>
          </w:tcPr>
          <w:p>
            <w:pPr>
              <w:jc w:val="right"/>
              <w:ind w:right="19"/>
              <w:spacing w:after="0"/>
              <w:rPr>
                <w:sz w:val="20"/>
                <w:szCs w:val="20"/>
                <w:color w:val="auto"/>
              </w:rPr>
            </w:pPr>
            <w:r>
              <w:rPr>
                <w:rFonts w:ascii="Arial" w:cs="Arial" w:eastAsia="Arial" w:hAnsi="Arial"/>
                <w:sz w:val="18"/>
                <w:szCs w:val="18"/>
                <w:color w:val="auto"/>
              </w:rPr>
              <w:t>577,825</w:t>
            </w:r>
          </w:p>
        </w:tc>
        <w:tc>
          <w:tcPr>
            <w:tcW w:w="140" w:type="dxa"/>
            <w:vAlign w:val="bottom"/>
          </w:tcPr>
          <w:p>
            <w:pPr>
              <w:spacing w:after="0"/>
              <w:rPr>
                <w:sz w:val="21"/>
                <w:szCs w:val="21"/>
                <w:color w:val="auto"/>
              </w:rPr>
            </w:pPr>
          </w:p>
        </w:tc>
        <w:tc>
          <w:tcPr>
            <w:tcW w:w="14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320" w:type="dxa"/>
            <w:vAlign w:val="bottom"/>
          </w:tcPr>
          <w:p>
            <w:pPr>
              <w:jc w:val="right"/>
              <w:ind w:right="19"/>
              <w:spacing w:after="0"/>
              <w:rPr>
                <w:sz w:val="20"/>
                <w:szCs w:val="20"/>
                <w:color w:val="auto"/>
              </w:rPr>
            </w:pPr>
            <w:r>
              <w:rPr>
                <w:rFonts w:ascii="Arial" w:cs="Arial" w:eastAsia="Arial" w:hAnsi="Arial"/>
                <w:sz w:val="18"/>
                <w:szCs w:val="18"/>
                <w:color w:val="auto"/>
              </w:rPr>
              <w:t>—</w:t>
            </w:r>
          </w:p>
        </w:tc>
      </w:tr>
    </w:tbl>
    <w:p>
      <w:pPr>
        <w:spacing w:after="0" w:line="229" w:lineRule="exact"/>
        <w:rPr>
          <w:sz w:val="20"/>
          <w:szCs w:val="20"/>
          <w:color w:val="auto"/>
        </w:rPr>
      </w:pPr>
    </w:p>
    <w:p>
      <w:pPr>
        <w:ind w:left="465"/>
        <w:spacing w:after="0" w:line="277" w:lineRule="auto"/>
        <w:rPr>
          <w:sz w:val="20"/>
          <w:szCs w:val="20"/>
          <w:color w:val="auto"/>
        </w:rPr>
      </w:pPr>
      <w:r>
        <w:rPr>
          <w:rFonts w:ascii="Arial" w:cs="Arial" w:eastAsia="Arial" w:hAnsi="Arial"/>
          <w:sz w:val="18"/>
          <w:szCs w:val="18"/>
          <w:color w:val="auto"/>
        </w:rPr>
        <w:t>For the 2013 period, no shares related to CSN were included in the diluted EPS calculation as the average share price of the Company’s common stock for that period did not exceed CSN’s conversion price per share.</w:t>
      </w: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jc w:val="center"/>
        <w:ind w:right="-24"/>
        <w:spacing w:after="0"/>
        <w:rPr>
          <w:sz w:val="20"/>
          <w:szCs w:val="20"/>
          <w:color w:val="auto"/>
        </w:rPr>
      </w:pPr>
      <w:r>
        <w:rPr>
          <w:rFonts w:ascii="Arial" w:cs="Arial" w:eastAsia="Arial" w:hAnsi="Arial"/>
          <w:sz w:val="18"/>
          <w:szCs w:val="18"/>
          <w:color w:val="auto"/>
        </w:rPr>
        <w:t>- 104 -</w:t>
      </w:r>
    </w:p>
    <w:p>
      <w:pPr>
        <w:sectPr>
          <w:pgSz w:w="11900" w:h="16838" w:orient="portrait"/>
          <w:cols w:equalWidth="0" w:num="1">
            <w:col w:w="11325"/>
          </w:cols>
          <w:pgMar w:left="275" w:top="337" w:right="299" w:bottom="1440" w:gutter="0" w:footer="0" w:header="0"/>
        </w:sectPr>
      </w:pPr>
    </w:p>
    <w:bookmarkStart w:id="105" w:name="page106"/>
    <w:bookmarkEnd w:id="105"/>
    <w:p>
      <w:pPr>
        <w:jc w:val="center"/>
        <w:ind w:right="-4"/>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ind w:right="-4"/>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425" w:hanging="425"/>
        <w:spacing w:after="0"/>
        <w:tabs>
          <w:tab w:leader="none" w:pos="425" w:val="left"/>
        </w:tabs>
        <w:numPr>
          <w:ilvl w:val="0"/>
          <w:numId w:val="52"/>
        </w:numPr>
        <w:rPr>
          <w:rFonts w:ascii="Arial" w:cs="Arial" w:eastAsia="Arial" w:hAnsi="Arial"/>
          <w:sz w:val="18"/>
          <w:szCs w:val="18"/>
          <w:b w:val="1"/>
          <w:bCs w:val="1"/>
          <w:color w:val="auto"/>
        </w:rPr>
      </w:pPr>
      <w:r>
        <w:rPr>
          <w:rFonts w:ascii="Arial" w:cs="Arial" w:eastAsia="Arial" w:hAnsi="Arial"/>
          <w:sz w:val="18"/>
          <w:szCs w:val="18"/>
          <w:b w:val="1"/>
          <w:bCs w:val="1"/>
          <w:color w:val="auto"/>
        </w:rPr>
        <w:t>ACCUMULATED OTHER COMPREHENSIVE INCOME</w:t>
      </w:r>
    </w:p>
    <w:p>
      <w:pPr>
        <w:spacing w:after="0" w:line="148" w:lineRule="exact"/>
        <w:rPr>
          <w:sz w:val="20"/>
          <w:szCs w:val="20"/>
          <w:color w:val="auto"/>
        </w:rPr>
      </w:pPr>
    </w:p>
    <w:p>
      <w:pPr>
        <w:ind w:left="465"/>
        <w:spacing w:after="0"/>
        <w:rPr>
          <w:sz w:val="20"/>
          <w:szCs w:val="20"/>
          <w:color w:val="auto"/>
        </w:rPr>
      </w:pPr>
      <w:r>
        <w:rPr>
          <w:rFonts w:ascii="Arial" w:cs="Arial" w:eastAsia="Arial" w:hAnsi="Arial"/>
          <w:sz w:val="18"/>
          <w:szCs w:val="18"/>
          <w:color w:val="auto"/>
        </w:rPr>
        <w:t>Accumulated Other Comprehensive Income is comprised of the following (in thousands):</w:t>
      </w:r>
    </w:p>
    <w:p>
      <w:pPr>
        <w:spacing w:after="0" w:line="316" w:lineRule="exact"/>
        <w:rPr>
          <w:sz w:val="20"/>
          <w:szCs w:val="20"/>
          <w:color w:val="auto"/>
        </w:rPr>
      </w:pPr>
    </w:p>
    <w:tbl>
      <w:tblPr>
        <w:tblLayout w:type="fixed"/>
        <w:tblInd w:w="465" w:type="dxa"/>
        <w:tblCellMar>
          <w:top w:w="0" w:type="dxa"/>
          <w:left w:w="0" w:type="dxa"/>
          <w:bottom w:w="0" w:type="dxa"/>
          <w:right w:w="0" w:type="dxa"/>
        </w:tblCellMar>
      </w:tblPr>
      <w:tr>
        <w:trPr>
          <w:trHeight w:val="161"/>
        </w:trPr>
        <w:tc>
          <w:tcPr>
            <w:tcW w:w="29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20" w:type="dxa"/>
            <w:vAlign w:val="bottom"/>
            <w:gridSpan w:val="2"/>
          </w:tcPr>
          <w:p>
            <w:pPr>
              <w:ind w:left="120"/>
              <w:spacing w:after="0"/>
              <w:rPr>
                <w:sz w:val="20"/>
                <w:szCs w:val="20"/>
                <w:color w:val="auto"/>
              </w:rPr>
            </w:pPr>
            <w:r>
              <w:rPr>
                <w:rFonts w:ascii="Arial" w:cs="Arial" w:eastAsia="Arial" w:hAnsi="Arial"/>
                <w:sz w:val="14"/>
                <w:szCs w:val="14"/>
                <w:color w:val="auto"/>
              </w:rPr>
              <w:t>Defined</w:t>
            </w: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80" w:type="dxa"/>
            <w:vAlign w:val="bottom"/>
            <w:gridSpan w:val="2"/>
          </w:tcPr>
          <w:p>
            <w:pPr>
              <w:jc w:val="center"/>
              <w:ind w:right="180"/>
              <w:spacing w:after="0"/>
              <w:rPr>
                <w:sz w:val="20"/>
                <w:szCs w:val="20"/>
                <w:color w:val="auto"/>
              </w:rPr>
            </w:pPr>
            <w:r>
              <w:rPr>
                <w:rFonts w:ascii="Arial" w:cs="Arial" w:eastAsia="Arial" w:hAnsi="Arial"/>
                <w:sz w:val="14"/>
                <w:szCs w:val="14"/>
                <w:color w:val="auto"/>
                <w:w w:val="92"/>
              </w:rPr>
              <w:t>Foreign</w:t>
            </w: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149"/>
        </w:trPr>
        <w:tc>
          <w:tcPr>
            <w:tcW w:w="29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2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Benefit</w:t>
            </w: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20" w:type="dxa"/>
            <w:vAlign w:val="bottom"/>
            <w:gridSpan w:val="4"/>
          </w:tcPr>
          <w:p>
            <w:pPr>
              <w:jc w:val="center"/>
              <w:ind w:right="340"/>
              <w:spacing w:after="0" w:line="149" w:lineRule="exact"/>
              <w:rPr>
                <w:sz w:val="20"/>
                <w:szCs w:val="20"/>
                <w:color w:val="auto"/>
              </w:rPr>
            </w:pPr>
            <w:r>
              <w:rPr>
                <w:rFonts w:ascii="Arial" w:cs="Arial" w:eastAsia="Arial" w:hAnsi="Arial"/>
                <w:sz w:val="14"/>
                <w:szCs w:val="14"/>
                <w:color w:val="auto"/>
                <w:w w:val="85"/>
              </w:rPr>
              <w:t>Cash</w:t>
            </w:r>
          </w:p>
        </w:tc>
        <w:tc>
          <w:tcPr>
            <w:tcW w:w="160" w:type="dxa"/>
            <w:vAlign w:val="bottom"/>
          </w:tcPr>
          <w:p>
            <w:pPr>
              <w:spacing w:after="0"/>
              <w:rPr>
                <w:sz w:val="12"/>
                <w:szCs w:val="12"/>
                <w:color w:val="auto"/>
              </w:rPr>
            </w:pPr>
          </w:p>
        </w:tc>
        <w:tc>
          <w:tcPr>
            <w:tcW w:w="980" w:type="dxa"/>
            <w:vAlign w:val="bottom"/>
            <w:gridSpan w:val="2"/>
          </w:tcPr>
          <w:p>
            <w:pPr>
              <w:jc w:val="center"/>
              <w:ind w:right="160"/>
              <w:spacing w:after="0" w:line="149" w:lineRule="exact"/>
              <w:rPr>
                <w:sz w:val="20"/>
                <w:szCs w:val="20"/>
                <w:color w:val="auto"/>
              </w:rPr>
            </w:pPr>
            <w:r>
              <w:rPr>
                <w:rFonts w:ascii="Arial" w:cs="Arial" w:eastAsia="Arial" w:hAnsi="Arial"/>
                <w:sz w:val="14"/>
                <w:szCs w:val="14"/>
                <w:color w:val="auto"/>
                <w:w w:val="95"/>
              </w:rPr>
              <w:t>Currency</w:t>
            </w: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20" w:type="dxa"/>
            <w:vAlign w:val="bottom"/>
            <w:gridSpan w:val="4"/>
          </w:tcPr>
          <w:p>
            <w:pPr>
              <w:jc w:val="center"/>
              <w:ind w:right="320"/>
              <w:spacing w:after="0" w:line="149" w:lineRule="exact"/>
              <w:rPr>
                <w:sz w:val="20"/>
                <w:szCs w:val="20"/>
                <w:color w:val="auto"/>
              </w:rPr>
            </w:pPr>
            <w:r>
              <w:rPr>
                <w:rFonts w:ascii="Arial" w:cs="Arial" w:eastAsia="Arial" w:hAnsi="Arial"/>
                <w:sz w:val="14"/>
                <w:szCs w:val="14"/>
                <w:color w:val="auto"/>
                <w:w w:val="96"/>
              </w:rPr>
              <w:t>Total</w:t>
            </w:r>
          </w:p>
        </w:tc>
        <w:tc>
          <w:tcPr>
            <w:tcW w:w="28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20" w:type="dxa"/>
            <w:vAlign w:val="bottom"/>
          </w:tcPr>
          <w:p>
            <w:pPr>
              <w:spacing w:after="0"/>
              <w:rPr>
                <w:sz w:val="12"/>
                <w:szCs w:val="12"/>
                <w:color w:val="auto"/>
              </w:rPr>
            </w:pPr>
          </w:p>
        </w:tc>
      </w:tr>
      <w:tr>
        <w:trPr>
          <w:trHeight w:val="149"/>
        </w:trPr>
        <w:tc>
          <w:tcPr>
            <w:tcW w:w="29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20" w:type="dxa"/>
            <w:vAlign w:val="bottom"/>
            <w:gridSpan w:val="2"/>
          </w:tcPr>
          <w:p>
            <w:pPr>
              <w:ind w:left="240"/>
              <w:spacing w:after="0" w:line="149" w:lineRule="exact"/>
              <w:rPr>
                <w:sz w:val="20"/>
                <w:szCs w:val="20"/>
                <w:color w:val="auto"/>
              </w:rPr>
            </w:pPr>
            <w:r>
              <w:rPr>
                <w:rFonts w:ascii="Arial" w:cs="Arial" w:eastAsia="Arial" w:hAnsi="Arial"/>
                <w:sz w:val="14"/>
                <w:szCs w:val="14"/>
                <w:color w:val="auto"/>
              </w:rPr>
              <w:t>Plan</w:t>
            </w: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20" w:type="dxa"/>
            <w:vAlign w:val="bottom"/>
            <w:gridSpan w:val="4"/>
          </w:tcPr>
          <w:p>
            <w:pPr>
              <w:jc w:val="center"/>
              <w:ind w:right="320"/>
              <w:spacing w:after="0" w:line="149" w:lineRule="exact"/>
              <w:rPr>
                <w:sz w:val="20"/>
                <w:szCs w:val="20"/>
                <w:color w:val="auto"/>
              </w:rPr>
            </w:pPr>
            <w:r>
              <w:rPr>
                <w:rFonts w:ascii="Arial" w:cs="Arial" w:eastAsia="Arial" w:hAnsi="Arial"/>
                <w:sz w:val="14"/>
                <w:szCs w:val="14"/>
                <w:color w:val="auto"/>
              </w:rPr>
              <w:t>Flow</w:t>
            </w:r>
          </w:p>
        </w:tc>
        <w:tc>
          <w:tcPr>
            <w:tcW w:w="160" w:type="dxa"/>
            <w:vAlign w:val="bottom"/>
          </w:tcPr>
          <w:p>
            <w:pPr>
              <w:spacing w:after="0"/>
              <w:rPr>
                <w:sz w:val="12"/>
                <w:szCs w:val="12"/>
                <w:color w:val="auto"/>
              </w:rPr>
            </w:pPr>
          </w:p>
        </w:tc>
        <w:tc>
          <w:tcPr>
            <w:tcW w:w="980" w:type="dxa"/>
            <w:vAlign w:val="bottom"/>
            <w:gridSpan w:val="2"/>
          </w:tcPr>
          <w:p>
            <w:pPr>
              <w:jc w:val="center"/>
              <w:ind w:right="180"/>
              <w:spacing w:after="0" w:line="149" w:lineRule="exact"/>
              <w:rPr>
                <w:sz w:val="20"/>
                <w:szCs w:val="20"/>
                <w:color w:val="auto"/>
              </w:rPr>
            </w:pPr>
            <w:r>
              <w:rPr>
                <w:rFonts w:ascii="Arial" w:cs="Arial" w:eastAsia="Arial" w:hAnsi="Arial"/>
                <w:sz w:val="14"/>
                <w:szCs w:val="14"/>
                <w:color w:val="auto"/>
                <w:w w:val="92"/>
              </w:rPr>
              <w:t>Translation</w:t>
            </w: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20" w:type="dxa"/>
            <w:vAlign w:val="bottom"/>
            <w:gridSpan w:val="4"/>
          </w:tcPr>
          <w:p>
            <w:pPr>
              <w:jc w:val="center"/>
              <w:ind w:right="320"/>
              <w:spacing w:after="0" w:line="149" w:lineRule="exact"/>
              <w:rPr>
                <w:sz w:val="20"/>
                <w:szCs w:val="20"/>
                <w:color w:val="auto"/>
              </w:rPr>
            </w:pPr>
            <w:r>
              <w:rPr>
                <w:rFonts w:ascii="Arial" w:cs="Arial" w:eastAsia="Arial" w:hAnsi="Arial"/>
                <w:sz w:val="14"/>
                <w:szCs w:val="14"/>
                <w:color w:val="auto"/>
                <w:w w:val="92"/>
              </w:rPr>
              <w:t>Pre-Tax</w:t>
            </w:r>
          </w:p>
        </w:tc>
        <w:tc>
          <w:tcPr>
            <w:tcW w:w="28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60" w:type="dxa"/>
            <w:vAlign w:val="bottom"/>
            <w:gridSpan w:val="2"/>
          </w:tcPr>
          <w:p>
            <w:pPr>
              <w:jc w:val="center"/>
              <w:ind w:right="160"/>
              <w:spacing w:after="0" w:line="149" w:lineRule="exact"/>
              <w:rPr>
                <w:sz w:val="20"/>
                <w:szCs w:val="20"/>
                <w:color w:val="auto"/>
              </w:rPr>
            </w:pPr>
            <w:r>
              <w:rPr>
                <w:rFonts w:ascii="Arial" w:cs="Arial" w:eastAsia="Arial" w:hAnsi="Arial"/>
                <w:sz w:val="14"/>
                <w:szCs w:val="14"/>
                <w:color w:val="auto"/>
                <w:w w:val="96"/>
              </w:rPr>
              <w:t>Net-of-Tax</w:t>
            </w:r>
          </w:p>
        </w:tc>
      </w:tr>
      <w:tr>
        <w:trPr>
          <w:trHeight w:val="188"/>
        </w:trPr>
        <w:tc>
          <w:tcPr>
            <w:tcW w:w="2960" w:type="dxa"/>
            <w:vAlign w:val="bottom"/>
            <w:tcBorders>
              <w:bottom w:val="single" w:sz="8" w:color="CCEEFF"/>
            </w:tcBorders>
          </w:tcPr>
          <w:p>
            <w:pPr>
              <w:spacing w:after="0"/>
              <w:rPr>
                <w:sz w:val="16"/>
                <w:szCs w:val="16"/>
                <w:color w:val="auto"/>
              </w:rPr>
            </w:pPr>
          </w:p>
        </w:tc>
        <w:tc>
          <w:tcPr>
            <w:tcW w:w="4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gridSpan w:val="2"/>
          </w:tcPr>
          <w:p>
            <w:pPr>
              <w:ind w:left="120"/>
              <w:spacing w:after="0"/>
              <w:rPr>
                <w:sz w:val="20"/>
                <w:szCs w:val="20"/>
                <w:color w:val="auto"/>
              </w:rPr>
            </w:pPr>
            <w:r>
              <w:rPr>
                <w:rFonts w:ascii="Arial" w:cs="Arial" w:eastAsia="Arial" w:hAnsi="Arial"/>
                <w:sz w:val="14"/>
                <w:szCs w:val="14"/>
                <w:color w:val="auto"/>
              </w:rPr>
              <w:t>Liability</w:t>
            </w:r>
          </w:p>
        </w:tc>
        <w:tc>
          <w:tcPr>
            <w:tcW w:w="80" w:type="dxa"/>
            <w:vAlign w:val="bottom"/>
            <w:tcBorders>
              <w:bottom w:val="single" w:sz="8" w:color="CCEEFF"/>
            </w:tcBorders>
          </w:tcPr>
          <w:p>
            <w:pPr>
              <w:spacing w:after="0"/>
              <w:rPr>
                <w:sz w:val="16"/>
                <w:szCs w:val="16"/>
                <w:color w:val="auto"/>
              </w:rPr>
            </w:pPr>
          </w:p>
        </w:tc>
        <w:tc>
          <w:tcPr>
            <w:tcW w:w="4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gridSpan w:val="2"/>
          </w:tcPr>
          <w:p>
            <w:pPr>
              <w:jc w:val="center"/>
              <w:ind w:right="220"/>
              <w:spacing w:after="0"/>
              <w:rPr>
                <w:sz w:val="20"/>
                <w:szCs w:val="20"/>
                <w:color w:val="auto"/>
              </w:rPr>
            </w:pPr>
            <w:r>
              <w:rPr>
                <w:rFonts w:ascii="Arial" w:cs="Arial" w:eastAsia="Arial" w:hAnsi="Arial"/>
                <w:sz w:val="14"/>
                <w:szCs w:val="14"/>
                <w:color w:val="auto"/>
                <w:w w:val="91"/>
              </w:rPr>
              <w:t>Hedges</w:t>
            </w:r>
          </w:p>
        </w:tc>
        <w:tc>
          <w:tcPr>
            <w:tcW w:w="120" w:type="dxa"/>
            <w:vAlign w:val="bottom"/>
            <w:tcBorders>
              <w:bottom w:val="single" w:sz="8" w:color="CCEEFF"/>
            </w:tcBorders>
            <w:gridSpan w:val="2"/>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gridSpan w:val="2"/>
          </w:tcPr>
          <w:p>
            <w:pPr>
              <w:jc w:val="center"/>
              <w:ind w:right="180"/>
              <w:spacing w:after="0"/>
              <w:rPr>
                <w:sz w:val="20"/>
                <w:szCs w:val="20"/>
                <w:color w:val="auto"/>
              </w:rPr>
            </w:pPr>
            <w:r>
              <w:rPr>
                <w:rFonts w:ascii="Arial" w:cs="Arial" w:eastAsia="Arial" w:hAnsi="Arial"/>
                <w:sz w:val="14"/>
                <w:szCs w:val="14"/>
                <w:color w:val="auto"/>
                <w:w w:val="97"/>
              </w:rPr>
              <w:t>Adjustment</w:t>
            </w:r>
          </w:p>
        </w:tc>
        <w:tc>
          <w:tcPr>
            <w:tcW w:w="80" w:type="dxa"/>
            <w:vAlign w:val="bottom"/>
            <w:tcBorders>
              <w:bottom w:val="single" w:sz="8" w:color="CCEEFF"/>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gridSpan w:val="2"/>
          </w:tcPr>
          <w:p>
            <w:pPr>
              <w:jc w:val="center"/>
              <w:ind w:right="220"/>
              <w:spacing w:after="0"/>
              <w:rPr>
                <w:sz w:val="20"/>
                <w:szCs w:val="20"/>
                <w:color w:val="auto"/>
              </w:rPr>
            </w:pPr>
            <w:r>
              <w:rPr>
                <w:rFonts w:ascii="Arial" w:cs="Arial" w:eastAsia="Arial" w:hAnsi="Arial"/>
                <w:sz w:val="14"/>
                <w:szCs w:val="14"/>
                <w:color w:val="auto"/>
                <w:w w:val="95"/>
              </w:rPr>
              <w:t>Amount</w:t>
            </w:r>
          </w:p>
        </w:tc>
        <w:tc>
          <w:tcPr>
            <w:tcW w:w="100" w:type="dxa"/>
            <w:vAlign w:val="bottom"/>
            <w:tcBorders>
              <w:bottom w:val="single" w:sz="8" w:color="CCEEFF"/>
            </w:tcBorders>
            <w:gridSpan w:val="2"/>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gridSpan w:val="2"/>
          </w:tcPr>
          <w:p>
            <w:pPr>
              <w:ind w:left="180"/>
              <w:spacing w:after="0"/>
              <w:rPr>
                <w:sz w:val="20"/>
                <w:szCs w:val="20"/>
                <w:color w:val="auto"/>
              </w:rPr>
            </w:pPr>
            <w:r>
              <w:rPr>
                <w:rFonts w:ascii="Arial" w:cs="Arial" w:eastAsia="Arial" w:hAnsi="Arial"/>
                <w:sz w:val="14"/>
                <w:szCs w:val="14"/>
                <w:color w:val="auto"/>
              </w:rPr>
              <w:t>Tax</w:t>
            </w:r>
          </w:p>
        </w:tc>
        <w:tc>
          <w:tcPr>
            <w:tcW w:w="100" w:type="dxa"/>
            <w:vAlign w:val="bottom"/>
            <w:tcBorders>
              <w:bottom w:val="single" w:sz="8" w:color="CCEEFF"/>
            </w:tcBorders>
            <w:gridSpan w:val="2"/>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gridSpan w:val="2"/>
          </w:tcPr>
          <w:p>
            <w:pPr>
              <w:jc w:val="center"/>
              <w:ind w:right="180"/>
              <w:spacing w:after="0"/>
              <w:rPr>
                <w:sz w:val="20"/>
                <w:szCs w:val="20"/>
                <w:color w:val="auto"/>
              </w:rPr>
            </w:pPr>
            <w:r>
              <w:rPr>
                <w:rFonts w:ascii="Arial" w:cs="Arial" w:eastAsia="Arial" w:hAnsi="Arial"/>
                <w:sz w:val="14"/>
                <w:szCs w:val="14"/>
                <w:color w:val="auto"/>
                <w:w w:val="95"/>
              </w:rPr>
              <w:t>Amount</w:t>
            </w:r>
          </w:p>
        </w:tc>
      </w:tr>
      <w:tr>
        <w:trPr>
          <w:trHeight w:val="250"/>
        </w:trPr>
        <w:tc>
          <w:tcPr>
            <w:tcW w:w="30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At January 2, 2015</w:t>
            </w:r>
          </w:p>
        </w:tc>
        <w:tc>
          <w:tcPr>
            <w:tcW w:w="2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(1,181)</w:t>
            </w:r>
          </w:p>
        </w:tc>
        <w:tc>
          <w:tcPr>
            <w:tcW w:w="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(2,558)</w:t>
            </w: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11,450</w:t>
            </w:r>
          </w:p>
        </w:tc>
        <w:tc>
          <w:tcPr>
            <w:tcW w:w="4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7,711</w:t>
            </w:r>
          </w:p>
        </w:tc>
        <w:tc>
          <w:tcPr>
            <w:tcW w:w="4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1,412</w:t>
            </w:r>
          </w:p>
        </w:tc>
        <w:tc>
          <w:tcPr>
            <w:tcW w:w="4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9,123</w:t>
            </w:r>
          </w:p>
        </w:tc>
        <w:tc>
          <w:tcPr>
            <w:tcW w:w="20" w:type="dxa"/>
            <w:vAlign w:val="bottom"/>
            <w:tcBorders>
              <w:bottom w:val="single" w:sz="8" w:color="CCEEFF"/>
            </w:tcBorders>
            <w:shd w:val="clear" w:color="auto" w:fill="CCEEFF"/>
          </w:tcPr>
          <w:p>
            <w:pPr>
              <w:spacing w:after="0"/>
              <w:rPr>
                <w:sz w:val="21"/>
                <w:szCs w:val="21"/>
                <w:color w:val="auto"/>
              </w:rPr>
            </w:pPr>
          </w:p>
        </w:tc>
      </w:tr>
      <w:tr>
        <w:trPr>
          <w:trHeight w:val="243"/>
        </w:trPr>
        <w:tc>
          <w:tcPr>
            <w:tcW w:w="3000" w:type="dxa"/>
            <w:vAlign w:val="bottom"/>
            <w:gridSpan w:val="2"/>
          </w:tcPr>
          <w:p>
            <w:pPr>
              <w:ind w:left="20"/>
              <w:spacing w:after="0"/>
              <w:rPr>
                <w:sz w:val="20"/>
                <w:szCs w:val="20"/>
                <w:color w:val="auto"/>
              </w:rPr>
            </w:pPr>
            <w:r>
              <w:rPr>
                <w:rFonts w:ascii="Arial" w:cs="Arial" w:eastAsia="Arial" w:hAnsi="Arial"/>
                <w:sz w:val="18"/>
                <w:szCs w:val="18"/>
                <w:color w:val="auto"/>
              </w:rPr>
              <w:t>Unrealized loss on cash flow hedges</w:t>
            </w:r>
          </w:p>
        </w:tc>
        <w:tc>
          <w:tcPr>
            <w:tcW w:w="200" w:type="dxa"/>
            <w:vAlign w:val="bottom"/>
          </w:tcPr>
          <w:p>
            <w:pPr>
              <w:spacing w:after="0"/>
              <w:rPr>
                <w:sz w:val="21"/>
                <w:szCs w:val="21"/>
                <w:color w:val="auto"/>
              </w:rPr>
            </w:pPr>
          </w:p>
        </w:tc>
        <w:tc>
          <w:tcPr>
            <w:tcW w:w="92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(4,413)</w:t>
            </w: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(4,413)</w:t>
            </w:r>
          </w:p>
        </w:tc>
        <w:tc>
          <w:tcPr>
            <w:tcW w:w="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1,545</w:t>
            </w:r>
          </w:p>
        </w:tc>
        <w:tc>
          <w:tcPr>
            <w:tcW w:w="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(2,868)</w:t>
            </w:r>
          </w:p>
        </w:tc>
        <w:tc>
          <w:tcPr>
            <w:tcW w:w="20" w:type="dxa"/>
            <w:vAlign w:val="bottom"/>
          </w:tcPr>
          <w:p>
            <w:pPr>
              <w:spacing w:after="0"/>
              <w:rPr>
                <w:sz w:val="21"/>
                <w:szCs w:val="21"/>
                <w:color w:val="auto"/>
              </w:rPr>
            </w:pPr>
          </w:p>
        </w:tc>
      </w:tr>
      <w:tr>
        <w:trPr>
          <w:trHeight w:val="27"/>
        </w:trPr>
        <w:tc>
          <w:tcPr>
            <w:tcW w:w="2960" w:type="dxa"/>
            <w:vAlign w:val="bottom"/>
          </w:tcPr>
          <w:p>
            <w:pPr>
              <w:spacing w:after="0"/>
              <w:rPr>
                <w:sz w:val="2"/>
                <w:szCs w:val="2"/>
                <w:color w:val="auto"/>
              </w:rPr>
            </w:pPr>
          </w:p>
        </w:tc>
        <w:tc>
          <w:tcPr>
            <w:tcW w:w="40" w:type="dxa"/>
            <w:vAlign w:val="bottom"/>
          </w:tcPr>
          <w:p>
            <w:pPr>
              <w:spacing w:after="0"/>
              <w:rPr>
                <w:sz w:val="2"/>
                <w:szCs w:val="2"/>
                <w:color w:val="auto"/>
              </w:rPr>
            </w:pPr>
          </w:p>
        </w:tc>
        <w:tc>
          <w:tcPr>
            <w:tcW w:w="200" w:type="dxa"/>
            <w:vAlign w:val="bottom"/>
          </w:tcPr>
          <w:p>
            <w:pPr>
              <w:spacing w:after="0"/>
              <w:rPr>
                <w:sz w:val="2"/>
                <w:szCs w:val="2"/>
                <w:color w:val="auto"/>
              </w:rPr>
            </w:pPr>
          </w:p>
        </w:tc>
        <w:tc>
          <w:tcPr>
            <w:tcW w:w="90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40" w:type="dxa"/>
            <w:vAlign w:val="bottom"/>
          </w:tcPr>
          <w:p>
            <w:pPr>
              <w:spacing w:after="0"/>
              <w:rPr>
                <w:sz w:val="2"/>
                <w:szCs w:val="2"/>
                <w:color w:val="auto"/>
              </w:rPr>
            </w:pPr>
          </w:p>
        </w:tc>
        <w:tc>
          <w:tcPr>
            <w:tcW w:w="220" w:type="dxa"/>
            <w:vAlign w:val="bottom"/>
          </w:tcPr>
          <w:p>
            <w:pPr>
              <w:spacing w:after="0"/>
              <w:rPr>
                <w:sz w:val="2"/>
                <w:szCs w:val="2"/>
                <w:color w:val="auto"/>
              </w:rPr>
            </w:pPr>
          </w:p>
        </w:tc>
        <w:tc>
          <w:tcPr>
            <w:tcW w:w="88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40" w:type="dxa"/>
            <w:vAlign w:val="bottom"/>
          </w:tcPr>
          <w:p>
            <w:pPr>
              <w:spacing w:after="0"/>
              <w:rPr>
                <w:sz w:val="2"/>
                <w:szCs w:val="2"/>
                <w:color w:val="auto"/>
              </w:rPr>
            </w:pPr>
          </w:p>
        </w:tc>
        <w:tc>
          <w:tcPr>
            <w:tcW w:w="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80" w:type="dxa"/>
            <w:vAlign w:val="bottom"/>
          </w:tcPr>
          <w:p>
            <w:pPr>
              <w:spacing w:after="0"/>
              <w:rPr>
                <w:sz w:val="2"/>
                <w:szCs w:val="2"/>
                <w:color w:val="auto"/>
              </w:rPr>
            </w:pPr>
          </w:p>
        </w:tc>
        <w:tc>
          <w:tcPr>
            <w:tcW w:w="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280" w:type="dxa"/>
            <w:vAlign w:val="bottom"/>
          </w:tcPr>
          <w:p>
            <w:pPr>
              <w:spacing w:after="0"/>
              <w:rPr>
                <w:sz w:val="2"/>
                <w:szCs w:val="2"/>
                <w:color w:val="auto"/>
              </w:rPr>
            </w:pPr>
          </w:p>
        </w:tc>
        <w:tc>
          <w:tcPr>
            <w:tcW w:w="820" w:type="dxa"/>
            <w:vAlign w:val="bottom"/>
          </w:tcPr>
          <w:p>
            <w:pPr>
              <w:spacing w:after="0"/>
              <w:rPr>
                <w:sz w:val="2"/>
                <w:szCs w:val="2"/>
                <w:color w:val="auto"/>
              </w:rPr>
            </w:pPr>
          </w:p>
        </w:tc>
        <w:tc>
          <w:tcPr>
            <w:tcW w:w="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tcPr>
          <w:p>
            <w:pPr>
              <w:spacing w:after="0"/>
              <w:rPr>
                <w:sz w:val="2"/>
                <w:szCs w:val="2"/>
                <w:color w:val="auto"/>
              </w:rPr>
            </w:pPr>
          </w:p>
        </w:tc>
        <w:tc>
          <w:tcPr>
            <w:tcW w:w="20" w:type="dxa"/>
            <w:vAlign w:val="bottom"/>
          </w:tcPr>
          <w:p>
            <w:pPr>
              <w:spacing w:after="0"/>
              <w:rPr>
                <w:sz w:val="2"/>
                <w:szCs w:val="2"/>
                <w:color w:val="auto"/>
              </w:rPr>
            </w:pPr>
          </w:p>
        </w:tc>
      </w:tr>
      <w:tr>
        <w:trPr>
          <w:trHeight w:val="229"/>
        </w:trPr>
        <w:tc>
          <w:tcPr>
            <w:tcW w:w="300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Realized loss on foreign currency</w:t>
            </w:r>
          </w:p>
        </w:tc>
        <w:tc>
          <w:tcPr>
            <w:tcW w:w="20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r>
      <w:tr>
        <w:trPr>
          <w:trHeight w:val="237"/>
        </w:trPr>
        <w:tc>
          <w:tcPr>
            <w:tcW w:w="3000" w:type="dxa"/>
            <w:vAlign w:val="bottom"/>
            <w:tcBorders>
              <w:bottom w:val="single" w:sz="8" w:color="CCEEFF"/>
            </w:tcBorders>
            <w:gridSpan w:val="2"/>
            <w:shd w:val="clear" w:color="auto" w:fill="CCEEFF"/>
          </w:tcPr>
          <w:p>
            <w:pPr>
              <w:ind w:left="260"/>
              <w:spacing w:after="0"/>
              <w:rPr>
                <w:sz w:val="20"/>
                <w:szCs w:val="20"/>
                <w:color w:val="auto"/>
              </w:rPr>
            </w:pPr>
            <w:r>
              <w:rPr>
                <w:rFonts w:ascii="Arial" w:cs="Arial" w:eastAsia="Arial" w:hAnsi="Arial"/>
                <w:sz w:val="18"/>
                <w:szCs w:val="18"/>
                <w:color w:val="auto"/>
              </w:rPr>
              <w:t>hedges</w:t>
            </w:r>
          </w:p>
        </w:tc>
        <w:tc>
          <w:tcPr>
            <w:tcW w:w="200" w:type="dxa"/>
            <w:vAlign w:val="bottom"/>
            <w:tcBorders>
              <w:bottom w:val="single" w:sz="8" w:color="CCEEFF"/>
            </w:tcBorders>
            <w:shd w:val="clear" w:color="auto" w:fill="CCEEFF"/>
          </w:tcPr>
          <w:p>
            <w:pPr>
              <w:spacing w:after="0"/>
              <w:rPr>
                <w:sz w:val="20"/>
                <w:szCs w:val="20"/>
                <w:color w:val="auto"/>
              </w:rPr>
            </w:pPr>
          </w:p>
        </w:tc>
        <w:tc>
          <w:tcPr>
            <w:tcW w:w="92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80" w:type="dxa"/>
            <w:vAlign w:val="bottom"/>
            <w:tcBorders>
              <w:bottom w:val="single" w:sz="8" w:color="CCEEFF"/>
            </w:tcBorders>
            <w:shd w:val="clear" w:color="auto" w:fill="CCEEFF"/>
          </w:tcPr>
          <w:p>
            <w:pPr>
              <w:spacing w:after="0"/>
              <w:rPr>
                <w:sz w:val="20"/>
                <w:szCs w:val="20"/>
                <w:color w:val="auto"/>
              </w:rPr>
            </w:pPr>
          </w:p>
        </w:tc>
        <w:tc>
          <w:tcPr>
            <w:tcW w:w="4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1,948</w:t>
            </w:r>
          </w:p>
        </w:tc>
        <w:tc>
          <w:tcPr>
            <w:tcW w:w="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8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1,948</w:t>
            </w:r>
          </w:p>
        </w:tc>
        <w:tc>
          <w:tcPr>
            <w:tcW w:w="4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(682)</w:t>
            </w:r>
          </w:p>
        </w:tc>
        <w:tc>
          <w:tcPr>
            <w:tcW w:w="4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1,266</w:t>
            </w:r>
          </w:p>
        </w:tc>
        <w:tc>
          <w:tcPr>
            <w:tcW w:w="20" w:type="dxa"/>
            <w:vAlign w:val="bottom"/>
            <w:tcBorders>
              <w:bottom w:val="single" w:sz="8" w:color="CCEEFF"/>
            </w:tcBorders>
            <w:shd w:val="clear" w:color="auto" w:fill="CCEEFF"/>
          </w:tcPr>
          <w:p>
            <w:pPr>
              <w:spacing w:after="0"/>
              <w:rPr>
                <w:sz w:val="20"/>
                <w:szCs w:val="20"/>
                <w:color w:val="auto"/>
              </w:rPr>
            </w:pPr>
          </w:p>
        </w:tc>
      </w:tr>
      <w:tr>
        <w:trPr>
          <w:trHeight w:val="229"/>
        </w:trPr>
        <w:tc>
          <w:tcPr>
            <w:tcW w:w="3000" w:type="dxa"/>
            <w:vAlign w:val="bottom"/>
            <w:gridSpan w:val="2"/>
          </w:tcPr>
          <w:p>
            <w:pPr>
              <w:ind w:left="20"/>
              <w:spacing w:after="0"/>
              <w:rPr>
                <w:sz w:val="20"/>
                <w:szCs w:val="20"/>
                <w:color w:val="auto"/>
              </w:rPr>
            </w:pPr>
            <w:r>
              <w:rPr>
                <w:rFonts w:ascii="Arial" w:cs="Arial" w:eastAsia="Arial" w:hAnsi="Arial"/>
                <w:sz w:val="18"/>
                <w:szCs w:val="18"/>
                <w:color w:val="auto"/>
              </w:rPr>
              <w:t>Realized loss on interest rate swap</w:t>
            </w:r>
          </w:p>
        </w:tc>
        <w:tc>
          <w:tcPr>
            <w:tcW w:w="20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20" w:type="dxa"/>
            <w:vAlign w:val="bottom"/>
          </w:tcPr>
          <w:p>
            <w:pPr>
              <w:spacing w:after="0"/>
              <w:rPr>
                <w:sz w:val="19"/>
                <w:szCs w:val="19"/>
                <w:color w:val="auto"/>
              </w:rPr>
            </w:pPr>
          </w:p>
        </w:tc>
      </w:tr>
      <w:tr>
        <w:trPr>
          <w:trHeight w:val="230"/>
        </w:trPr>
        <w:tc>
          <w:tcPr>
            <w:tcW w:w="3000" w:type="dxa"/>
            <w:vAlign w:val="bottom"/>
            <w:gridSpan w:val="2"/>
          </w:tcPr>
          <w:p>
            <w:pPr>
              <w:ind w:left="260"/>
              <w:spacing w:after="0"/>
              <w:rPr>
                <w:sz w:val="20"/>
                <w:szCs w:val="20"/>
                <w:color w:val="auto"/>
              </w:rPr>
            </w:pPr>
            <w:r>
              <w:rPr>
                <w:rFonts w:ascii="Arial" w:cs="Arial" w:eastAsia="Arial" w:hAnsi="Arial"/>
                <w:sz w:val="18"/>
                <w:szCs w:val="18"/>
                <w:color w:val="auto"/>
              </w:rPr>
              <w:t>hedges</w:t>
            </w:r>
          </w:p>
        </w:tc>
        <w:tc>
          <w:tcPr>
            <w:tcW w:w="200" w:type="dxa"/>
            <w:vAlign w:val="bottom"/>
          </w:tcPr>
          <w:p>
            <w:pPr>
              <w:spacing w:after="0"/>
              <w:rPr>
                <w:sz w:val="20"/>
                <w:szCs w:val="20"/>
                <w:color w:val="auto"/>
              </w:rPr>
            </w:pPr>
          </w:p>
        </w:tc>
        <w:tc>
          <w:tcPr>
            <w:tcW w:w="92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2,631</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2,631</w:t>
            </w:r>
          </w:p>
        </w:tc>
        <w:tc>
          <w:tcPr>
            <w:tcW w:w="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(921)</w:t>
            </w:r>
          </w:p>
        </w:tc>
        <w:tc>
          <w:tcPr>
            <w:tcW w:w="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1,710</w:t>
            </w:r>
          </w:p>
        </w:tc>
        <w:tc>
          <w:tcPr>
            <w:tcW w:w="20" w:type="dxa"/>
            <w:vAlign w:val="bottom"/>
          </w:tcPr>
          <w:p>
            <w:pPr>
              <w:spacing w:after="0"/>
              <w:rPr>
                <w:sz w:val="20"/>
                <w:szCs w:val="20"/>
                <w:color w:val="auto"/>
              </w:rPr>
            </w:pPr>
          </w:p>
        </w:tc>
      </w:tr>
      <w:tr>
        <w:trPr>
          <w:trHeight w:val="27"/>
        </w:trPr>
        <w:tc>
          <w:tcPr>
            <w:tcW w:w="2960" w:type="dxa"/>
            <w:vAlign w:val="bottom"/>
          </w:tcPr>
          <w:p>
            <w:pPr>
              <w:spacing w:after="0"/>
              <w:rPr>
                <w:sz w:val="2"/>
                <w:szCs w:val="2"/>
                <w:color w:val="auto"/>
              </w:rPr>
            </w:pPr>
          </w:p>
        </w:tc>
        <w:tc>
          <w:tcPr>
            <w:tcW w:w="40" w:type="dxa"/>
            <w:vAlign w:val="bottom"/>
          </w:tcPr>
          <w:p>
            <w:pPr>
              <w:spacing w:after="0"/>
              <w:rPr>
                <w:sz w:val="2"/>
                <w:szCs w:val="2"/>
                <w:color w:val="auto"/>
              </w:rPr>
            </w:pPr>
          </w:p>
        </w:tc>
        <w:tc>
          <w:tcPr>
            <w:tcW w:w="200" w:type="dxa"/>
            <w:vAlign w:val="bottom"/>
          </w:tcPr>
          <w:p>
            <w:pPr>
              <w:spacing w:after="0"/>
              <w:rPr>
                <w:sz w:val="2"/>
                <w:szCs w:val="2"/>
                <w:color w:val="auto"/>
              </w:rPr>
            </w:pPr>
          </w:p>
        </w:tc>
        <w:tc>
          <w:tcPr>
            <w:tcW w:w="90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40" w:type="dxa"/>
            <w:vAlign w:val="bottom"/>
          </w:tcPr>
          <w:p>
            <w:pPr>
              <w:spacing w:after="0"/>
              <w:rPr>
                <w:sz w:val="2"/>
                <w:szCs w:val="2"/>
                <w:color w:val="auto"/>
              </w:rPr>
            </w:pPr>
          </w:p>
        </w:tc>
        <w:tc>
          <w:tcPr>
            <w:tcW w:w="220" w:type="dxa"/>
            <w:vAlign w:val="bottom"/>
          </w:tcPr>
          <w:p>
            <w:pPr>
              <w:spacing w:after="0"/>
              <w:rPr>
                <w:sz w:val="2"/>
                <w:szCs w:val="2"/>
                <w:color w:val="auto"/>
              </w:rPr>
            </w:pPr>
          </w:p>
        </w:tc>
        <w:tc>
          <w:tcPr>
            <w:tcW w:w="88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40" w:type="dxa"/>
            <w:vAlign w:val="bottom"/>
          </w:tcPr>
          <w:p>
            <w:pPr>
              <w:spacing w:after="0"/>
              <w:rPr>
                <w:sz w:val="2"/>
                <w:szCs w:val="2"/>
                <w:color w:val="auto"/>
              </w:rPr>
            </w:pPr>
          </w:p>
        </w:tc>
        <w:tc>
          <w:tcPr>
            <w:tcW w:w="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80" w:type="dxa"/>
            <w:vAlign w:val="bottom"/>
          </w:tcPr>
          <w:p>
            <w:pPr>
              <w:spacing w:after="0"/>
              <w:rPr>
                <w:sz w:val="2"/>
                <w:szCs w:val="2"/>
                <w:color w:val="auto"/>
              </w:rPr>
            </w:pPr>
          </w:p>
        </w:tc>
        <w:tc>
          <w:tcPr>
            <w:tcW w:w="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280" w:type="dxa"/>
            <w:vAlign w:val="bottom"/>
          </w:tcPr>
          <w:p>
            <w:pPr>
              <w:spacing w:after="0"/>
              <w:rPr>
                <w:sz w:val="2"/>
                <w:szCs w:val="2"/>
                <w:color w:val="auto"/>
              </w:rPr>
            </w:pPr>
          </w:p>
        </w:tc>
        <w:tc>
          <w:tcPr>
            <w:tcW w:w="820" w:type="dxa"/>
            <w:vAlign w:val="bottom"/>
          </w:tcPr>
          <w:p>
            <w:pPr>
              <w:spacing w:after="0"/>
              <w:rPr>
                <w:sz w:val="2"/>
                <w:szCs w:val="2"/>
                <w:color w:val="auto"/>
              </w:rPr>
            </w:pPr>
          </w:p>
        </w:tc>
        <w:tc>
          <w:tcPr>
            <w:tcW w:w="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tcPr>
          <w:p>
            <w:pPr>
              <w:spacing w:after="0"/>
              <w:rPr>
                <w:sz w:val="2"/>
                <w:szCs w:val="2"/>
                <w:color w:val="auto"/>
              </w:rPr>
            </w:pPr>
          </w:p>
        </w:tc>
        <w:tc>
          <w:tcPr>
            <w:tcW w:w="20" w:type="dxa"/>
            <w:vAlign w:val="bottom"/>
          </w:tcPr>
          <w:p>
            <w:pPr>
              <w:spacing w:after="0"/>
              <w:rPr>
                <w:sz w:val="2"/>
                <w:szCs w:val="2"/>
                <w:color w:val="auto"/>
              </w:rPr>
            </w:pPr>
          </w:p>
        </w:tc>
      </w:tr>
      <w:tr>
        <w:trPr>
          <w:trHeight w:val="229"/>
        </w:trPr>
        <w:tc>
          <w:tcPr>
            <w:tcW w:w="300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Net defined benefit plan liability</w:t>
            </w:r>
          </w:p>
        </w:tc>
        <w:tc>
          <w:tcPr>
            <w:tcW w:w="20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r>
      <w:tr>
        <w:trPr>
          <w:trHeight w:val="237"/>
        </w:trPr>
        <w:tc>
          <w:tcPr>
            <w:tcW w:w="3000" w:type="dxa"/>
            <w:vAlign w:val="bottom"/>
            <w:tcBorders>
              <w:bottom w:val="single" w:sz="8" w:color="CCEEFF"/>
            </w:tcBorders>
            <w:gridSpan w:val="2"/>
            <w:shd w:val="clear" w:color="auto" w:fill="CCEEFF"/>
          </w:tcPr>
          <w:p>
            <w:pPr>
              <w:ind w:left="260"/>
              <w:spacing w:after="0"/>
              <w:rPr>
                <w:sz w:val="20"/>
                <w:szCs w:val="20"/>
                <w:color w:val="auto"/>
              </w:rPr>
            </w:pPr>
            <w:r>
              <w:rPr>
                <w:rFonts w:ascii="Arial" w:cs="Arial" w:eastAsia="Arial" w:hAnsi="Arial"/>
                <w:sz w:val="18"/>
                <w:szCs w:val="18"/>
                <w:color w:val="auto"/>
              </w:rPr>
              <w:t>adjustments</w:t>
            </w:r>
          </w:p>
        </w:tc>
        <w:tc>
          <w:tcPr>
            <w:tcW w:w="20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2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4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gridSpan w:val="4"/>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8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4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w:t>
            </w:r>
          </w:p>
        </w:tc>
        <w:tc>
          <w:tcPr>
            <w:tcW w:w="4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w:t>
            </w:r>
          </w:p>
        </w:tc>
        <w:tc>
          <w:tcPr>
            <w:tcW w:w="20" w:type="dxa"/>
            <w:vAlign w:val="bottom"/>
            <w:tcBorders>
              <w:bottom w:val="single" w:sz="8" w:color="CCEEFF"/>
            </w:tcBorders>
            <w:shd w:val="clear" w:color="auto" w:fill="CCEEFF"/>
          </w:tcPr>
          <w:p>
            <w:pPr>
              <w:spacing w:after="0"/>
              <w:rPr>
                <w:sz w:val="20"/>
                <w:szCs w:val="20"/>
                <w:color w:val="auto"/>
              </w:rPr>
            </w:pPr>
          </w:p>
        </w:tc>
      </w:tr>
      <w:tr>
        <w:trPr>
          <w:trHeight w:val="243"/>
        </w:trPr>
        <w:tc>
          <w:tcPr>
            <w:tcW w:w="3000" w:type="dxa"/>
            <w:vAlign w:val="bottom"/>
            <w:gridSpan w:val="2"/>
          </w:tcPr>
          <w:p>
            <w:pPr>
              <w:ind w:left="20"/>
              <w:spacing w:after="0"/>
              <w:rPr>
                <w:sz w:val="20"/>
                <w:szCs w:val="20"/>
                <w:color w:val="auto"/>
              </w:rPr>
            </w:pPr>
            <w:r>
              <w:rPr>
                <w:rFonts w:ascii="Arial" w:cs="Arial" w:eastAsia="Arial" w:hAnsi="Arial"/>
                <w:sz w:val="18"/>
                <w:szCs w:val="18"/>
                <w:color w:val="auto"/>
              </w:rPr>
              <w:t>Foreign currency translation loss</w:t>
            </w:r>
          </w:p>
        </w:tc>
        <w:tc>
          <w:tcPr>
            <w:tcW w:w="200" w:type="dxa"/>
            <w:vAlign w:val="bottom"/>
          </w:tcPr>
          <w:p>
            <w:pPr>
              <w:spacing w:after="0"/>
              <w:rPr>
                <w:sz w:val="21"/>
                <w:szCs w:val="21"/>
                <w:color w:val="auto"/>
              </w:rPr>
            </w:pPr>
          </w:p>
        </w:tc>
        <w:tc>
          <w:tcPr>
            <w:tcW w:w="92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20" w:type="dxa"/>
            <w:vAlign w:val="bottom"/>
            <w:gridSpan w:val="4"/>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(7,841)</w:t>
            </w:r>
          </w:p>
        </w:tc>
        <w:tc>
          <w:tcPr>
            <w:tcW w:w="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(7,841)</w:t>
            </w:r>
          </w:p>
        </w:tc>
        <w:tc>
          <w:tcPr>
            <w:tcW w:w="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gridSpan w:val="4"/>
          </w:tcPr>
          <w:p>
            <w:pPr>
              <w:jc w:val="right"/>
              <w:ind w:right="2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(7,841)</w:t>
            </w:r>
          </w:p>
        </w:tc>
        <w:tc>
          <w:tcPr>
            <w:tcW w:w="20" w:type="dxa"/>
            <w:vAlign w:val="bottom"/>
          </w:tcPr>
          <w:p>
            <w:pPr>
              <w:spacing w:after="0"/>
              <w:rPr>
                <w:sz w:val="21"/>
                <w:szCs w:val="21"/>
                <w:color w:val="auto"/>
              </w:rPr>
            </w:pPr>
          </w:p>
        </w:tc>
      </w:tr>
      <w:tr>
        <w:trPr>
          <w:trHeight w:val="27"/>
        </w:trPr>
        <w:tc>
          <w:tcPr>
            <w:tcW w:w="2960" w:type="dxa"/>
            <w:vAlign w:val="bottom"/>
            <w:tcBorders>
              <w:bottom w:val="single" w:sz="8" w:color="CCEEFF"/>
            </w:tcBorders>
          </w:tcPr>
          <w:p>
            <w:pPr>
              <w:spacing w:after="0"/>
              <w:rPr>
                <w:sz w:val="2"/>
                <w:szCs w:val="2"/>
                <w:color w:val="auto"/>
              </w:rPr>
            </w:pPr>
          </w:p>
        </w:tc>
        <w:tc>
          <w:tcPr>
            <w:tcW w:w="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4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r>
      <w:tr>
        <w:trPr>
          <w:trHeight w:val="257"/>
        </w:trPr>
        <w:tc>
          <w:tcPr>
            <w:tcW w:w="300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At January 1, 2016</w:t>
            </w:r>
          </w:p>
        </w:tc>
        <w:tc>
          <w:tcPr>
            <w:tcW w:w="200" w:type="dxa"/>
            <w:vAlign w:val="bottom"/>
            <w:shd w:val="clear" w:color="auto" w:fill="CCEEFF"/>
          </w:tcPr>
          <w:p>
            <w:pPr>
              <w:ind w:left="20"/>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(1,179)</w:t>
            </w:r>
          </w:p>
        </w:tc>
        <w:tc>
          <w:tcPr>
            <w:tcW w:w="20" w:type="dxa"/>
            <w:vAlign w:val="bottom"/>
            <w:shd w:val="clear" w:color="auto" w:fill="CCEEFF"/>
          </w:tcPr>
          <w:p>
            <w:pPr>
              <w:spacing w:after="0"/>
              <w:rPr>
                <w:sz w:val="22"/>
                <w:szCs w:val="22"/>
                <w:color w:val="auto"/>
              </w:rPr>
            </w:pPr>
          </w:p>
        </w:tc>
        <w:tc>
          <w:tcPr>
            <w:tcW w:w="3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(2,392)</w:t>
            </w:r>
          </w:p>
        </w:tc>
        <w:tc>
          <w:tcPr>
            <w:tcW w:w="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2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3,609</w:t>
            </w:r>
          </w:p>
        </w:tc>
        <w:tc>
          <w:tcPr>
            <w:tcW w:w="40" w:type="dxa"/>
            <w:vAlign w:val="bottom"/>
            <w:shd w:val="clear" w:color="auto" w:fill="CCEEFF"/>
          </w:tcPr>
          <w:p>
            <w:pPr>
              <w:spacing w:after="0"/>
              <w:rPr>
                <w:sz w:val="22"/>
                <w:szCs w:val="22"/>
                <w:color w:val="auto"/>
              </w:rPr>
            </w:pPr>
          </w:p>
        </w:tc>
        <w:tc>
          <w:tcPr>
            <w:tcW w:w="3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w:t>
            </w:r>
          </w:p>
        </w:tc>
        <w:tc>
          <w:tcPr>
            <w:tcW w:w="40" w:type="dxa"/>
            <w:vAlign w:val="bottom"/>
            <w:shd w:val="clear" w:color="auto" w:fill="CCEEFF"/>
          </w:tcPr>
          <w:p>
            <w:pPr>
              <w:spacing w:after="0"/>
              <w:rPr>
                <w:sz w:val="22"/>
                <w:szCs w:val="22"/>
                <w:color w:val="auto"/>
              </w:rPr>
            </w:pPr>
          </w:p>
        </w:tc>
        <w:tc>
          <w:tcPr>
            <w:tcW w:w="80" w:type="dxa"/>
            <w:vAlign w:val="bottom"/>
            <w:shd w:val="clear" w:color="auto" w:fill="CCEEFF"/>
          </w:tcPr>
          <w:p>
            <w:pPr>
              <w:spacing w:after="0"/>
              <w:rPr>
                <w:sz w:val="22"/>
                <w:szCs w:val="22"/>
                <w:color w:val="auto"/>
              </w:rPr>
            </w:pPr>
          </w:p>
        </w:tc>
        <w:tc>
          <w:tcPr>
            <w:tcW w:w="20" w:type="dxa"/>
            <w:vAlign w:val="bottom"/>
            <w:shd w:val="clear" w:color="auto" w:fill="CCEEFF"/>
          </w:tcPr>
          <w:p>
            <w:pPr>
              <w:spacing w:after="0"/>
              <w:rPr>
                <w:sz w:val="22"/>
                <w:szCs w:val="22"/>
                <w:color w:val="auto"/>
              </w:rPr>
            </w:pPr>
          </w:p>
        </w:tc>
        <w:tc>
          <w:tcPr>
            <w:tcW w:w="2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1,332</w:t>
            </w:r>
          </w:p>
        </w:tc>
        <w:tc>
          <w:tcPr>
            <w:tcW w:w="40" w:type="dxa"/>
            <w:vAlign w:val="bottom"/>
            <w:shd w:val="clear" w:color="auto" w:fill="CCEEFF"/>
          </w:tcPr>
          <w:p>
            <w:pPr>
              <w:spacing w:after="0"/>
              <w:rPr>
                <w:sz w:val="22"/>
                <w:szCs w:val="22"/>
                <w:color w:val="auto"/>
              </w:rPr>
            </w:pPr>
          </w:p>
        </w:tc>
        <w:tc>
          <w:tcPr>
            <w:tcW w:w="80" w:type="dxa"/>
            <w:vAlign w:val="bottom"/>
            <w:shd w:val="clear" w:color="auto" w:fill="CCEEFF"/>
          </w:tcPr>
          <w:p>
            <w:pPr>
              <w:spacing w:after="0"/>
              <w:rPr>
                <w:sz w:val="22"/>
                <w:szCs w:val="22"/>
                <w:color w:val="auto"/>
              </w:rPr>
            </w:pPr>
          </w:p>
        </w:tc>
        <w:tc>
          <w:tcPr>
            <w:tcW w:w="20" w:type="dxa"/>
            <w:vAlign w:val="bottom"/>
            <w:shd w:val="clear" w:color="auto" w:fill="CCEEFF"/>
          </w:tcPr>
          <w:p>
            <w:pPr>
              <w:spacing w:after="0"/>
              <w:rPr>
                <w:sz w:val="22"/>
                <w:szCs w:val="22"/>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1,370</w:t>
            </w:r>
          </w:p>
        </w:tc>
        <w:tc>
          <w:tcPr>
            <w:tcW w:w="20" w:type="dxa"/>
            <w:vAlign w:val="bottom"/>
            <w:shd w:val="clear" w:color="auto" w:fill="CCEEFF"/>
          </w:tcPr>
          <w:p>
            <w:pPr>
              <w:spacing w:after="0"/>
              <w:rPr>
                <w:sz w:val="22"/>
                <w:szCs w:val="22"/>
                <w:color w:val="auto"/>
              </w:rPr>
            </w:pPr>
          </w:p>
        </w:tc>
      </w:tr>
      <w:tr>
        <w:trPr>
          <w:trHeight w:val="20"/>
        </w:trPr>
        <w:tc>
          <w:tcPr>
            <w:tcW w:w="296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r>
      <w:tr>
        <w:trPr>
          <w:trHeight w:val="333"/>
        </w:trPr>
        <w:tc>
          <w:tcPr>
            <w:tcW w:w="29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gridSpan w:val="2"/>
          </w:tcPr>
          <w:p>
            <w:pPr>
              <w:jc w:val="center"/>
              <w:ind w:right="260"/>
              <w:spacing w:after="0"/>
              <w:rPr>
                <w:sz w:val="20"/>
                <w:szCs w:val="20"/>
                <w:color w:val="auto"/>
              </w:rPr>
            </w:pPr>
            <w:r>
              <w:rPr>
                <w:rFonts w:ascii="Arial" w:cs="Arial" w:eastAsia="Arial" w:hAnsi="Arial"/>
                <w:sz w:val="14"/>
                <w:szCs w:val="14"/>
                <w:color w:val="auto"/>
                <w:w w:val="95"/>
              </w:rPr>
              <w:t>Defined</w:t>
            </w: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80" w:type="dxa"/>
            <w:vAlign w:val="bottom"/>
            <w:gridSpan w:val="2"/>
          </w:tcPr>
          <w:p>
            <w:pPr>
              <w:jc w:val="center"/>
              <w:ind w:right="220"/>
              <w:spacing w:after="0"/>
              <w:rPr>
                <w:sz w:val="20"/>
                <w:szCs w:val="20"/>
                <w:color w:val="auto"/>
              </w:rPr>
            </w:pPr>
            <w:r>
              <w:rPr>
                <w:rFonts w:ascii="Arial" w:cs="Arial" w:eastAsia="Arial" w:hAnsi="Arial"/>
                <w:sz w:val="14"/>
                <w:szCs w:val="14"/>
                <w:color w:val="auto"/>
                <w:w w:val="92"/>
              </w:rPr>
              <w:t>Foreign</w:t>
            </w: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149"/>
        </w:trPr>
        <w:tc>
          <w:tcPr>
            <w:tcW w:w="29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20" w:type="dxa"/>
            <w:vAlign w:val="bottom"/>
            <w:gridSpan w:val="2"/>
          </w:tcPr>
          <w:p>
            <w:pPr>
              <w:ind w:left="120"/>
              <w:spacing w:after="0" w:line="149" w:lineRule="exact"/>
              <w:rPr>
                <w:sz w:val="20"/>
                <w:szCs w:val="20"/>
                <w:color w:val="auto"/>
              </w:rPr>
            </w:pPr>
            <w:r>
              <w:rPr>
                <w:rFonts w:ascii="Arial" w:cs="Arial" w:eastAsia="Arial" w:hAnsi="Arial"/>
                <w:sz w:val="14"/>
                <w:szCs w:val="14"/>
                <w:color w:val="auto"/>
              </w:rPr>
              <w:t>Benefit</w:t>
            </w: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20" w:type="dxa"/>
            <w:vAlign w:val="bottom"/>
            <w:gridSpan w:val="4"/>
          </w:tcPr>
          <w:p>
            <w:pPr>
              <w:jc w:val="center"/>
              <w:ind w:right="380"/>
              <w:spacing w:after="0" w:line="149" w:lineRule="exact"/>
              <w:rPr>
                <w:sz w:val="20"/>
                <w:szCs w:val="20"/>
                <w:color w:val="auto"/>
              </w:rPr>
            </w:pPr>
            <w:r>
              <w:rPr>
                <w:rFonts w:ascii="Arial" w:cs="Arial" w:eastAsia="Arial" w:hAnsi="Arial"/>
                <w:sz w:val="14"/>
                <w:szCs w:val="14"/>
                <w:color w:val="auto"/>
                <w:w w:val="85"/>
              </w:rPr>
              <w:t>Cash</w:t>
            </w:r>
          </w:p>
        </w:tc>
        <w:tc>
          <w:tcPr>
            <w:tcW w:w="160" w:type="dxa"/>
            <w:vAlign w:val="bottom"/>
          </w:tcPr>
          <w:p>
            <w:pPr>
              <w:spacing w:after="0"/>
              <w:rPr>
                <w:sz w:val="12"/>
                <w:szCs w:val="12"/>
                <w:color w:val="auto"/>
              </w:rPr>
            </w:pPr>
          </w:p>
        </w:tc>
        <w:tc>
          <w:tcPr>
            <w:tcW w:w="980" w:type="dxa"/>
            <w:vAlign w:val="bottom"/>
            <w:gridSpan w:val="2"/>
          </w:tcPr>
          <w:p>
            <w:pPr>
              <w:jc w:val="center"/>
              <w:ind w:right="240"/>
              <w:spacing w:after="0" w:line="149" w:lineRule="exact"/>
              <w:rPr>
                <w:sz w:val="20"/>
                <w:szCs w:val="20"/>
                <w:color w:val="auto"/>
              </w:rPr>
            </w:pPr>
            <w:r>
              <w:rPr>
                <w:rFonts w:ascii="Arial" w:cs="Arial" w:eastAsia="Arial" w:hAnsi="Arial"/>
                <w:sz w:val="14"/>
                <w:szCs w:val="14"/>
                <w:color w:val="auto"/>
                <w:w w:val="95"/>
              </w:rPr>
              <w:t>Currency</w:t>
            </w: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20" w:type="dxa"/>
            <w:vAlign w:val="bottom"/>
            <w:gridSpan w:val="4"/>
          </w:tcPr>
          <w:p>
            <w:pPr>
              <w:jc w:val="center"/>
              <w:ind w:right="380"/>
              <w:spacing w:after="0" w:line="149" w:lineRule="exact"/>
              <w:rPr>
                <w:sz w:val="20"/>
                <w:szCs w:val="20"/>
                <w:color w:val="auto"/>
              </w:rPr>
            </w:pPr>
            <w:r>
              <w:rPr>
                <w:rFonts w:ascii="Arial" w:cs="Arial" w:eastAsia="Arial" w:hAnsi="Arial"/>
                <w:sz w:val="14"/>
                <w:szCs w:val="14"/>
                <w:color w:val="auto"/>
                <w:w w:val="89"/>
              </w:rPr>
              <w:t>Total</w:t>
            </w:r>
          </w:p>
        </w:tc>
        <w:tc>
          <w:tcPr>
            <w:tcW w:w="28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20" w:type="dxa"/>
            <w:vAlign w:val="bottom"/>
          </w:tcPr>
          <w:p>
            <w:pPr>
              <w:spacing w:after="0"/>
              <w:rPr>
                <w:sz w:val="12"/>
                <w:szCs w:val="12"/>
                <w:color w:val="auto"/>
              </w:rPr>
            </w:pPr>
          </w:p>
        </w:tc>
      </w:tr>
      <w:tr>
        <w:trPr>
          <w:trHeight w:val="149"/>
        </w:trPr>
        <w:tc>
          <w:tcPr>
            <w:tcW w:w="29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20" w:type="dxa"/>
            <w:vAlign w:val="bottom"/>
            <w:gridSpan w:val="2"/>
          </w:tcPr>
          <w:p>
            <w:pPr>
              <w:jc w:val="center"/>
              <w:ind w:right="260"/>
              <w:spacing w:after="0" w:line="149" w:lineRule="exact"/>
              <w:rPr>
                <w:sz w:val="20"/>
                <w:szCs w:val="20"/>
                <w:color w:val="auto"/>
              </w:rPr>
            </w:pPr>
            <w:r>
              <w:rPr>
                <w:rFonts w:ascii="Arial" w:cs="Arial" w:eastAsia="Arial" w:hAnsi="Arial"/>
                <w:sz w:val="14"/>
                <w:szCs w:val="14"/>
                <w:color w:val="auto"/>
                <w:w w:val="92"/>
              </w:rPr>
              <w:t>Plan</w:t>
            </w: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20" w:type="dxa"/>
            <w:vAlign w:val="bottom"/>
            <w:gridSpan w:val="4"/>
          </w:tcPr>
          <w:p>
            <w:pPr>
              <w:jc w:val="center"/>
              <w:ind w:right="400"/>
              <w:spacing w:after="0" w:line="149" w:lineRule="exact"/>
              <w:rPr>
                <w:sz w:val="20"/>
                <w:szCs w:val="20"/>
                <w:color w:val="auto"/>
              </w:rPr>
            </w:pPr>
            <w:r>
              <w:rPr>
                <w:rFonts w:ascii="Arial" w:cs="Arial" w:eastAsia="Arial" w:hAnsi="Arial"/>
                <w:sz w:val="14"/>
                <w:szCs w:val="14"/>
                <w:color w:val="auto"/>
              </w:rPr>
              <w:t>Flow</w:t>
            </w:r>
          </w:p>
        </w:tc>
        <w:tc>
          <w:tcPr>
            <w:tcW w:w="160" w:type="dxa"/>
            <w:vAlign w:val="bottom"/>
          </w:tcPr>
          <w:p>
            <w:pPr>
              <w:spacing w:after="0"/>
              <w:rPr>
                <w:sz w:val="12"/>
                <w:szCs w:val="12"/>
                <w:color w:val="auto"/>
              </w:rPr>
            </w:pPr>
          </w:p>
        </w:tc>
        <w:tc>
          <w:tcPr>
            <w:tcW w:w="980" w:type="dxa"/>
            <w:vAlign w:val="bottom"/>
            <w:gridSpan w:val="2"/>
          </w:tcPr>
          <w:p>
            <w:pPr>
              <w:jc w:val="center"/>
              <w:ind w:right="220"/>
              <w:spacing w:after="0" w:line="149" w:lineRule="exact"/>
              <w:rPr>
                <w:sz w:val="20"/>
                <w:szCs w:val="20"/>
                <w:color w:val="auto"/>
              </w:rPr>
            </w:pPr>
            <w:r>
              <w:rPr>
                <w:rFonts w:ascii="Arial" w:cs="Arial" w:eastAsia="Arial" w:hAnsi="Arial"/>
                <w:sz w:val="14"/>
                <w:szCs w:val="14"/>
                <w:color w:val="auto"/>
                <w:w w:val="92"/>
              </w:rPr>
              <w:t>Translation</w:t>
            </w: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20" w:type="dxa"/>
            <w:vAlign w:val="bottom"/>
            <w:gridSpan w:val="4"/>
          </w:tcPr>
          <w:p>
            <w:pPr>
              <w:jc w:val="center"/>
              <w:ind w:right="380"/>
              <w:spacing w:after="0" w:line="149" w:lineRule="exact"/>
              <w:rPr>
                <w:sz w:val="20"/>
                <w:szCs w:val="20"/>
                <w:color w:val="auto"/>
              </w:rPr>
            </w:pPr>
            <w:r>
              <w:rPr>
                <w:rFonts w:ascii="Arial" w:cs="Arial" w:eastAsia="Arial" w:hAnsi="Arial"/>
                <w:sz w:val="14"/>
                <w:szCs w:val="14"/>
                <w:color w:val="auto"/>
                <w:w w:val="88"/>
              </w:rPr>
              <w:t>Pre-Tax</w:t>
            </w:r>
          </w:p>
        </w:tc>
        <w:tc>
          <w:tcPr>
            <w:tcW w:w="28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60" w:type="dxa"/>
            <w:vAlign w:val="bottom"/>
            <w:gridSpan w:val="2"/>
          </w:tcPr>
          <w:p>
            <w:pPr>
              <w:ind w:left="40"/>
              <w:spacing w:after="0" w:line="149" w:lineRule="exact"/>
              <w:rPr>
                <w:sz w:val="20"/>
                <w:szCs w:val="20"/>
                <w:color w:val="auto"/>
              </w:rPr>
            </w:pPr>
            <w:r>
              <w:rPr>
                <w:rFonts w:ascii="Arial" w:cs="Arial" w:eastAsia="Arial" w:hAnsi="Arial"/>
                <w:sz w:val="14"/>
                <w:szCs w:val="14"/>
                <w:color w:val="auto"/>
              </w:rPr>
              <w:t>Net-of-Tax</w:t>
            </w:r>
          </w:p>
        </w:tc>
      </w:tr>
      <w:tr>
        <w:trPr>
          <w:trHeight w:val="188"/>
        </w:trPr>
        <w:tc>
          <w:tcPr>
            <w:tcW w:w="2960" w:type="dxa"/>
            <w:vAlign w:val="bottom"/>
            <w:tcBorders>
              <w:bottom w:val="single" w:sz="8" w:color="CCEEFF"/>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center"/>
              <w:ind w:right="157"/>
              <w:spacing w:after="0"/>
              <w:rPr>
                <w:sz w:val="20"/>
                <w:szCs w:val="20"/>
                <w:color w:val="auto"/>
              </w:rPr>
            </w:pPr>
            <w:r>
              <w:rPr>
                <w:rFonts w:ascii="Arial" w:cs="Arial" w:eastAsia="Arial" w:hAnsi="Arial"/>
                <w:sz w:val="14"/>
                <w:szCs w:val="14"/>
                <w:color w:val="auto"/>
              </w:rPr>
              <w:t>Liability</w:t>
            </w:r>
          </w:p>
        </w:tc>
        <w:tc>
          <w:tcPr>
            <w:tcW w:w="20" w:type="dxa"/>
            <w:vAlign w:val="bottom"/>
            <w:tcBorders>
              <w:bottom w:val="single" w:sz="8" w:color="CCEEFF"/>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center"/>
              <w:ind w:right="155"/>
              <w:spacing w:after="0"/>
              <w:rPr>
                <w:sz w:val="20"/>
                <w:szCs w:val="20"/>
                <w:color w:val="auto"/>
              </w:rPr>
            </w:pPr>
            <w:r>
              <w:rPr>
                <w:rFonts w:ascii="Arial" w:cs="Arial" w:eastAsia="Arial" w:hAnsi="Arial"/>
                <w:sz w:val="14"/>
                <w:szCs w:val="14"/>
                <w:color w:val="auto"/>
                <w:w w:val="91"/>
              </w:rPr>
              <w:t>Hedges</w:t>
            </w:r>
          </w:p>
        </w:tc>
        <w:tc>
          <w:tcPr>
            <w:tcW w:w="120" w:type="dxa"/>
            <w:vAlign w:val="bottom"/>
            <w:tcBorders>
              <w:bottom w:val="single" w:sz="8" w:color="CCEEFF"/>
            </w:tcBorders>
            <w:gridSpan w:val="2"/>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center"/>
              <w:ind w:right="97"/>
              <w:spacing w:after="0"/>
              <w:rPr>
                <w:sz w:val="20"/>
                <w:szCs w:val="20"/>
                <w:color w:val="auto"/>
              </w:rPr>
            </w:pPr>
            <w:r>
              <w:rPr>
                <w:rFonts w:ascii="Arial" w:cs="Arial" w:eastAsia="Arial" w:hAnsi="Arial"/>
                <w:sz w:val="14"/>
                <w:szCs w:val="14"/>
                <w:color w:val="auto"/>
                <w:w w:val="97"/>
              </w:rPr>
              <w:t>Adjustment</w:t>
            </w:r>
          </w:p>
        </w:tc>
        <w:tc>
          <w:tcPr>
            <w:tcW w:w="40" w:type="dxa"/>
            <w:vAlign w:val="bottom"/>
            <w:tcBorders>
              <w:bottom w:val="single" w:sz="8" w:color="CCEEFF"/>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center"/>
              <w:ind w:right="155"/>
              <w:spacing w:after="0"/>
              <w:rPr>
                <w:sz w:val="20"/>
                <w:szCs w:val="20"/>
                <w:color w:val="auto"/>
              </w:rPr>
            </w:pPr>
            <w:r>
              <w:rPr>
                <w:rFonts w:ascii="Arial" w:cs="Arial" w:eastAsia="Arial" w:hAnsi="Arial"/>
                <w:sz w:val="14"/>
                <w:szCs w:val="14"/>
                <w:color w:val="auto"/>
                <w:w w:val="99"/>
              </w:rPr>
              <w:t>Amount</w:t>
            </w:r>
          </w:p>
        </w:tc>
        <w:tc>
          <w:tcPr>
            <w:tcW w:w="120" w:type="dxa"/>
            <w:vAlign w:val="bottom"/>
            <w:tcBorders>
              <w:bottom w:val="single" w:sz="8" w:color="CCEEFF"/>
            </w:tcBorders>
            <w:gridSpan w:val="2"/>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jc w:val="right"/>
              <w:ind w:right="372"/>
              <w:spacing w:after="0"/>
              <w:rPr>
                <w:sz w:val="20"/>
                <w:szCs w:val="20"/>
                <w:color w:val="auto"/>
              </w:rPr>
            </w:pPr>
            <w:r>
              <w:rPr>
                <w:rFonts w:ascii="Arial" w:cs="Arial" w:eastAsia="Arial" w:hAnsi="Arial"/>
                <w:sz w:val="14"/>
                <w:szCs w:val="14"/>
                <w:color w:val="auto"/>
              </w:rPr>
              <w:t>Tax</w:t>
            </w:r>
          </w:p>
        </w:tc>
        <w:tc>
          <w:tcPr>
            <w:tcW w:w="120" w:type="dxa"/>
            <w:vAlign w:val="bottom"/>
            <w:tcBorders>
              <w:bottom w:val="single" w:sz="8" w:color="CCEEFF"/>
            </w:tcBorders>
            <w:gridSpan w:val="2"/>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254"/>
              <w:spacing w:after="0"/>
              <w:rPr>
                <w:sz w:val="20"/>
                <w:szCs w:val="20"/>
                <w:color w:val="auto"/>
              </w:rPr>
            </w:pPr>
            <w:r>
              <w:rPr>
                <w:rFonts w:ascii="Arial" w:cs="Arial" w:eastAsia="Arial" w:hAnsi="Arial"/>
                <w:sz w:val="14"/>
                <w:szCs w:val="14"/>
                <w:color w:val="auto"/>
              </w:rPr>
              <w:t>Amount</w:t>
            </w:r>
          </w:p>
        </w:tc>
        <w:tc>
          <w:tcPr>
            <w:tcW w:w="20" w:type="dxa"/>
            <w:vAlign w:val="bottom"/>
          </w:tcPr>
          <w:p>
            <w:pPr>
              <w:spacing w:after="0"/>
              <w:rPr>
                <w:sz w:val="16"/>
                <w:szCs w:val="16"/>
                <w:color w:val="auto"/>
              </w:rPr>
            </w:pPr>
          </w:p>
        </w:tc>
      </w:tr>
      <w:tr>
        <w:trPr>
          <w:trHeight w:val="250"/>
        </w:trPr>
        <w:tc>
          <w:tcPr>
            <w:tcW w:w="30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At January 3, 2014</w:t>
            </w:r>
          </w:p>
        </w:tc>
        <w:tc>
          <w:tcPr>
            <w:tcW w:w="2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w:t>
            </w: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(672)</w:t>
            </w:r>
          </w:p>
        </w:tc>
        <w:tc>
          <w:tcPr>
            <w:tcW w:w="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(468)</w:t>
            </w: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14,952</w:t>
            </w:r>
          </w:p>
        </w:tc>
        <w:tc>
          <w:tcPr>
            <w:tcW w:w="4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13,812</w:t>
            </w:r>
          </w:p>
        </w:tc>
        <w:tc>
          <w:tcPr>
            <w:tcW w:w="4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546</w:t>
            </w:r>
          </w:p>
        </w:tc>
        <w:tc>
          <w:tcPr>
            <w:tcW w:w="4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14,358</w:t>
            </w:r>
          </w:p>
        </w:tc>
        <w:tc>
          <w:tcPr>
            <w:tcW w:w="20" w:type="dxa"/>
            <w:vAlign w:val="bottom"/>
          </w:tcPr>
          <w:p>
            <w:pPr>
              <w:spacing w:after="0"/>
              <w:rPr>
                <w:sz w:val="21"/>
                <w:szCs w:val="21"/>
                <w:color w:val="auto"/>
              </w:rPr>
            </w:pPr>
          </w:p>
        </w:tc>
      </w:tr>
      <w:tr>
        <w:trPr>
          <w:trHeight w:val="243"/>
        </w:trPr>
        <w:tc>
          <w:tcPr>
            <w:tcW w:w="3000" w:type="dxa"/>
            <w:vAlign w:val="bottom"/>
            <w:gridSpan w:val="2"/>
          </w:tcPr>
          <w:p>
            <w:pPr>
              <w:ind w:left="20"/>
              <w:spacing w:after="0"/>
              <w:rPr>
                <w:sz w:val="20"/>
                <w:szCs w:val="20"/>
                <w:color w:val="auto"/>
              </w:rPr>
            </w:pPr>
            <w:r>
              <w:rPr>
                <w:rFonts w:ascii="Arial" w:cs="Arial" w:eastAsia="Arial" w:hAnsi="Arial"/>
                <w:sz w:val="18"/>
                <w:szCs w:val="18"/>
                <w:color w:val="auto"/>
              </w:rPr>
              <w:t>Unrealized loss on cash flow hedges</w:t>
            </w:r>
          </w:p>
        </w:tc>
        <w:tc>
          <w:tcPr>
            <w:tcW w:w="200" w:type="dxa"/>
            <w:vAlign w:val="bottom"/>
          </w:tcPr>
          <w:p>
            <w:pPr>
              <w:spacing w:after="0"/>
              <w:rPr>
                <w:sz w:val="21"/>
                <w:szCs w:val="21"/>
                <w:color w:val="auto"/>
              </w:rPr>
            </w:pPr>
          </w:p>
        </w:tc>
        <w:tc>
          <w:tcPr>
            <w:tcW w:w="9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(2,372)</w:t>
            </w: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(2,372)</w:t>
            </w:r>
          </w:p>
        </w:tc>
        <w:tc>
          <w:tcPr>
            <w:tcW w:w="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829</w:t>
            </w:r>
          </w:p>
        </w:tc>
        <w:tc>
          <w:tcPr>
            <w:tcW w:w="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(1,543)</w:t>
            </w:r>
          </w:p>
        </w:tc>
        <w:tc>
          <w:tcPr>
            <w:tcW w:w="20" w:type="dxa"/>
            <w:vAlign w:val="bottom"/>
          </w:tcPr>
          <w:p>
            <w:pPr>
              <w:spacing w:after="0"/>
              <w:rPr>
                <w:sz w:val="21"/>
                <w:szCs w:val="21"/>
                <w:color w:val="auto"/>
              </w:rPr>
            </w:pPr>
          </w:p>
        </w:tc>
      </w:tr>
      <w:tr>
        <w:trPr>
          <w:trHeight w:val="27"/>
        </w:trPr>
        <w:tc>
          <w:tcPr>
            <w:tcW w:w="2960" w:type="dxa"/>
            <w:vAlign w:val="bottom"/>
          </w:tcPr>
          <w:p>
            <w:pPr>
              <w:spacing w:after="0"/>
              <w:rPr>
                <w:sz w:val="2"/>
                <w:szCs w:val="2"/>
                <w:color w:val="auto"/>
              </w:rPr>
            </w:pPr>
          </w:p>
        </w:tc>
        <w:tc>
          <w:tcPr>
            <w:tcW w:w="40" w:type="dxa"/>
            <w:vAlign w:val="bottom"/>
          </w:tcPr>
          <w:p>
            <w:pPr>
              <w:spacing w:after="0"/>
              <w:rPr>
                <w:sz w:val="2"/>
                <w:szCs w:val="2"/>
                <w:color w:val="auto"/>
              </w:rPr>
            </w:pPr>
          </w:p>
        </w:tc>
        <w:tc>
          <w:tcPr>
            <w:tcW w:w="200" w:type="dxa"/>
            <w:vAlign w:val="bottom"/>
          </w:tcPr>
          <w:p>
            <w:pPr>
              <w:spacing w:after="0"/>
              <w:rPr>
                <w:sz w:val="2"/>
                <w:szCs w:val="2"/>
                <w:color w:val="auto"/>
              </w:rPr>
            </w:pPr>
          </w:p>
        </w:tc>
        <w:tc>
          <w:tcPr>
            <w:tcW w:w="90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40" w:type="dxa"/>
            <w:vAlign w:val="bottom"/>
          </w:tcPr>
          <w:p>
            <w:pPr>
              <w:spacing w:after="0"/>
              <w:rPr>
                <w:sz w:val="2"/>
                <w:szCs w:val="2"/>
                <w:color w:val="auto"/>
              </w:rPr>
            </w:pPr>
          </w:p>
        </w:tc>
        <w:tc>
          <w:tcPr>
            <w:tcW w:w="220" w:type="dxa"/>
            <w:vAlign w:val="bottom"/>
          </w:tcPr>
          <w:p>
            <w:pPr>
              <w:spacing w:after="0"/>
              <w:rPr>
                <w:sz w:val="2"/>
                <w:szCs w:val="2"/>
                <w:color w:val="auto"/>
              </w:rPr>
            </w:pPr>
          </w:p>
        </w:tc>
        <w:tc>
          <w:tcPr>
            <w:tcW w:w="88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40" w:type="dxa"/>
            <w:vAlign w:val="bottom"/>
          </w:tcPr>
          <w:p>
            <w:pPr>
              <w:spacing w:after="0"/>
              <w:rPr>
                <w:sz w:val="2"/>
                <w:szCs w:val="2"/>
                <w:color w:val="auto"/>
              </w:rPr>
            </w:pPr>
          </w:p>
        </w:tc>
        <w:tc>
          <w:tcPr>
            <w:tcW w:w="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80" w:type="dxa"/>
            <w:vAlign w:val="bottom"/>
          </w:tcPr>
          <w:p>
            <w:pPr>
              <w:spacing w:after="0"/>
              <w:rPr>
                <w:sz w:val="2"/>
                <w:szCs w:val="2"/>
                <w:color w:val="auto"/>
              </w:rPr>
            </w:pPr>
          </w:p>
        </w:tc>
        <w:tc>
          <w:tcPr>
            <w:tcW w:w="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280" w:type="dxa"/>
            <w:vAlign w:val="bottom"/>
          </w:tcPr>
          <w:p>
            <w:pPr>
              <w:spacing w:after="0"/>
              <w:rPr>
                <w:sz w:val="2"/>
                <w:szCs w:val="2"/>
                <w:color w:val="auto"/>
              </w:rPr>
            </w:pPr>
          </w:p>
        </w:tc>
        <w:tc>
          <w:tcPr>
            <w:tcW w:w="820" w:type="dxa"/>
            <w:vAlign w:val="bottom"/>
          </w:tcPr>
          <w:p>
            <w:pPr>
              <w:spacing w:after="0"/>
              <w:rPr>
                <w:sz w:val="2"/>
                <w:szCs w:val="2"/>
                <w:color w:val="auto"/>
              </w:rPr>
            </w:pPr>
          </w:p>
        </w:tc>
        <w:tc>
          <w:tcPr>
            <w:tcW w:w="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tcPr>
          <w:p>
            <w:pPr>
              <w:spacing w:after="0"/>
              <w:rPr>
                <w:sz w:val="2"/>
                <w:szCs w:val="2"/>
                <w:color w:val="auto"/>
              </w:rPr>
            </w:pPr>
          </w:p>
        </w:tc>
        <w:tc>
          <w:tcPr>
            <w:tcW w:w="20" w:type="dxa"/>
            <w:vAlign w:val="bottom"/>
          </w:tcPr>
          <w:p>
            <w:pPr>
              <w:spacing w:after="0"/>
              <w:rPr>
                <w:sz w:val="2"/>
                <w:szCs w:val="2"/>
                <w:color w:val="auto"/>
              </w:rPr>
            </w:pPr>
          </w:p>
        </w:tc>
      </w:tr>
      <w:tr>
        <w:trPr>
          <w:trHeight w:val="229"/>
        </w:trPr>
        <w:tc>
          <w:tcPr>
            <w:tcW w:w="300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Realized gain on foreign currency</w:t>
            </w:r>
          </w:p>
        </w:tc>
        <w:tc>
          <w:tcPr>
            <w:tcW w:w="20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20" w:type="dxa"/>
            <w:vAlign w:val="bottom"/>
          </w:tcPr>
          <w:p>
            <w:pPr>
              <w:spacing w:after="0"/>
              <w:rPr>
                <w:sz w:val="19"/>
                <w:szCs w:val="19"/>
                <w:color w:val="auto"/>
              </w:rPr>
            </w:pPr>
          </w:p>
        </w:tc>
      </w:tr>
      <w:tr>
        <w:trPr>
          <w:trHeight w:val="237"/>
        </w:trPr>
        <w:tc>
          <w:tcPr>
            <w:tcW w:w="3000" w:type="dxa"/>
            <w:vAlign w:val="bottom"/>
            <w:tcBorders>
              <w:bottom w:val="single" w:sz="8" w:color="CCEEFF"/>
            </w:tcBorders>
            <w:gridSpan w:val="2"/>
            <w:shd w:val="clear" w:color="auto" w:fill="CCEEFF"/>
          </w:tcPr>
          <w:p>
            <w:pPr>
              <w:ind w:left="260"/>
              <w:spacing w:after="0"/>
              <w:rPr>
                <w:sz w:val="20"/>
                <w:szCs w:val="20"/>
                <w:color w:val="auto"/>
              </w:rPr>
            </w:pPr>
            <w:r>
              <w:rPr>
                <w:rFonts w:ascii="Arial" w:cs="Arial" w:eastAsia="Arial" w:hAnsi="Arial"/>
                <w:sz w:val="18"/>
                <w:szCs w:val="18"/>
                <w:color w:val="auto"/>
              </w:rPr>
              <w:t>hedges</w:t>
            </w:r>
          </w:p>
        </w:tc>
        <w:tc>
          <w:tcPr>
            <w:tcW w:w="200" w:type="dxa"/>
            <w:vAlign w:val="bottom"/>
            <w:tcBorders>
              <w:bottom w:val="single" w:sz="8" w:color="CCEEFF"/>
            </w:tcBorders>
            <w:shd w:val="clear" w:color="auto" w:fill="CCEEFF"/>
          </w:tcPr>
          <w:p>
            <w:pPr>
              <w:spacing w:after="0"/>
              <w:rPr>
                <w:sz w:val="20"/>
                <w:szCs w:val="20"/>
                <w:color w:val="auto"/>
              </w:rPr>
            </w:pPr>
          </w:p>
        </w:tc>
        <w:tc>
          <w:tcPr>
            <w:tcW w:w="92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80" w:type="dxa"/>
            <w:vAlign w:val="bottom"/>
            <w:tcBorders>
              <w:bottom w:val="single" w:sz="8" w:color="CCEEFF"/>
            </w:tcBorders>
            <w:shd w:val="clear" w:color="auto" w:fill="CCEEFF"/>
          </w:tcPr>
          <w:p>
            <w:pPr>
              <w:spacing w:after="0"/>
              <w:rPr>
                <w:sz w:val="20"/>
                <w:szCs w:val="20"/>
                <w:color w:val="auto"/>
              </w:rPr>
            </w:pPr>
          </w:p>
        </w:tc>
        <w:tc>
          <w:tcPr>
            <w:tcW w:w="4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(168)</w:t>
            </w:r>
          </w:p>
        </w:tc>
        <w:tc>
          <w:tcPr>
            <w:tcW w:w="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8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(168)</w:t>
            </w:r>
          </w:p>
        </w:tc>
        <w:tc>
          <w:tcPr>
            <w:tcW w:w="4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59</w:t>
            </w:r>
          </w:p>
        </w:tc>
        <w:tc>
          <w:tcPr>
            <w:tcW w:w="4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(109)</w:t>
            </w:r>
          </w:p>
        </w:tc>
        <w:tc>
          <w:tcPr>
            <w:tcW w:w="20" w:type="dxa"/>
            <w:vAlign w:val="bottom"/>
          </w:tcPr>
          <w:p>
            <w:pPr>
              <w:spacing w:after="0"/>
              <w:rPr>
                <w:sz w:val="20"/>
                <w:szCs w:val="20"/>
                <w:color w:val="auto"/>
              </w:rPr>
            </w:pPr>
          </w:p>
        </w:tc>
      </w:tr>
      <w:tr>
        <w:trPr>
          <w:trHeight w:val="229"/>
        </w:trPr>
        <w:tc>
          <w:tcPr>
            <w:tcW w:w="3000" w:type="dxa"/>
            <w:vAlign w:val="bottom"/>
            <w:gridSpan w:val="2"/>
          </w:tcPr>
          <w:p>
            <w:pPr>
              <w:ind w:left="20"/>
              <w:spacing w:after="0"/>
              <w:rPr>
                <w:sz w:val="20"/>
                <w:szCs w:val="20"/>
                <w:color w:val="auto"/>
              </w:rPr>
            </w:pPr>
            <w:r>
              <w:rPr>
                <w:rFonts w:ascii="Arial" w:cs="Arial" w:eastAsia="Arial" w:hAnsi="Arial"/>
                <w:sz w:val="18"/>
                <w:szCs w:val="18"/>
                <w:color w:val="auto"/>
              </w:rPr>
              <w:t>Realized loss on interest rate swap</w:t>
            </w:r>
          </w:p>
        </w:tc>
        <w:tc>
          <w:tcPr>
            <w:tcW w:w="20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20" w:type="dxa"/>
            <w:vAlign w:val="bottom"/>
          </w:tcPr>
          <w:p>
            <w:pPr>
              <w:spacing w:after="0"/>
              <w:rPr>
                <w:sz w:val="19"/>
                <w:szCs w:val="19"/>
                <w:color w:val="auto"/>
              </w:rPr>
            </w:pPr>
          </w:p>
        </w:tc>
      </w:tr>
      <w:tr>
        <w:trPr>
          <w:trHeight w:val="230"/>
        </w:trPr>
        <w:tc>
          <w:tcPr>
            <w:tcW w:w="3000" w:type="dxa"/>
            <w:vAlign w:val="bottom"/>
            <w:gridSpan w:val="2"/>
          </w:tcPr>
          <w:p>
            <w:pPr>
              <w:ind w:left="260"/>
              <w:spacing w:after="0"/>
              <w:rPr>
                <w:sz w:val="20"/>
                <w:szCs w:val="20"/>
                <w:color w:val="auto"/>
              </w:rPr>
            </w:pPr>
            <w:r>
              <w:rPr>
                <w:rFonts w:ascii="Arial" w:cs="Arial" w:eastAsia="Arial" w:hAnsi="Arial"/>
                <w:sz w:val="18"/>
                <w:szCs w:val="18"/>
                <w:color w:val="auto"/>
              </w:rPr>
              <w:t>hedges</w:t>
            </w:r>
          </w:p>
        </w:tc>
        <w:tc>
          <w:tcPr>
            <w:tcW w:w="200" w:type="dxa"/>
            <w:vAlign w:val="bottom"/>
          </w:tcPr>
          <w:p>
            <w:pPr>
              <w:spacing w:after="0"/>
              <w:rPr>
                <w:sz w:val="20"/>
                <w:szCs w:val="20"/>
                <w:color w:val="auto"/>
              </w:rPr>
            </w:pPr>
          </w:p>
        </w:tc>
        <w:tc>
          <w:tcPr>
            <w:tcW w:w="9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80" w:type="dxa"/>
            <w:vAlign w:val="bottom"/>
          </w:tcPr>
          <w:p>
            <w:pPr>
              <w:jc w:val="right"/>
              <w:ind w:right="15"/>
              <w:spacing w:after="0"/>
              <w:rPr>
                <w:sz w:val="20"/>
                <w:szCs w:val="20"/>
                <w:color w:val="auto"/>
              </w:rPr>
            </w:pPr>
            <w:r>
              <w:rPr>
                <w:rFonts w:ascii="Arial" w:cs="Arial" w:eastAsia="Arial" w:hAnsi="Arial"/>
                <w:sz w:val="18"/>
                <w:szCs w:val="18"/>
                <w:color w:val="auto"/>
              </w:rPr>
              <w:t>450</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450</w:t>
            </w:r>
          </w:p>
        </w:tc>
        <w:tc>
          <w:tcPr>
            <w:tcW w:w="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(157)</w:t>
            </w:r>
          </w:p>
        </w:tc>
        <w:tc>
          <w:tcPr>
            <w:tcW w:w="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40" w:type="dxa"/>
            <w:vAlign w:val="bottom"/>
          </w:tcPr>
          <w:p>
            <w:pPr>
              <w:jc w:val="right"/>
              <w:ind w:right="14"/>
              <w:spacing w:after="0"/>
              <w:rPr>
                <w:sz w:val="20"/>
                <w:szCs w:val="20"/>
                <w:color w:val="auto"/>
              </w:rPr>
            </w:pPr>
            <w:r>
              <w:rPr>
                <w:rFonts w:ascii="Arial" w:cs="Arial" w:eastAsia="Arial" w:hAnsi="Arial"/>
                <w:sz w:val="18"/>
                <w:szCs w:val="18"/>
                <w:color w:val="auto"/>
              </w:rPr>
              <w:t>293</w:t>
            </w:r>
          </w:p>
        </w:tc>
        <w:tc>
          <w:tcPr>
            <w:tcW w:w="20" w:type="dxa"/>
            <w:vAlign w:val="bottom"/>
          </w:tcPr>
          <w:p>
            <w:pPr>
              <w:spacing w:after="0"/>
              <w:rPr>
                <w:sz w:val="20"/>
                <w:szCs w:val="20"/>
                <w:color w:val="auto"/>
              </w:rPr>
            </w:pPr>
          </w:p>
        </w:tc>
      </w:tr>
      <w:tr>
        <w:trPr>
          <w:trHeight w:val="27"/>
        </w:trPr>
        <w:tc>
          <w:tcPr>
            <w:tcW w:w="2960" w:type="dxa"/>
            <w:vAlign w:val="bottom"/>
          </w:tcPr>
          <w:p>
            <w:pPr>
              <w:spacing w:after="0"/>
              <w:rPr>
                <w:sz w:val="2"/>
                <w:szCs w:val="2"/>
                <w:color w:val="auto"/>
              </w:rPr>
            </w:pPr>
          </w:p>
        </w:tc>
        <w:tc>
          <w:tcPr>
            <w:tcW w:w="40" w:type="dxa"/>
            <w:vAlign w:val="bottom"/>
          </w:tcPr>
          <w:p>
            <w:pPr>
              <w:spacing w:after="0"/>
              <w:rPr>
                <w:sz w:val="2"/>
                <w:szCs w:val="2"/>
                <w:color w:val="auto"/>
              </w:rPr>
            </w:pPr>
          </w:p>
        </w:tc>
        <w:tc>
          <w:tcPr>
            <w:tcW w:w="200" w:type="dxa"/>
            <w:vAlign w:val="bottom"/>
          </w:tcPr>
          <w:p>
            <w:pPr>
              <w:spacing w:after="0"/>
              <w:rPr>
                <w:sz w:val="2"/>
                <w:szCs w:val="2"/>
                <w:color w:val="auto"/>
              </w:rPr>
            </w:pPr>
          </w:p>
        </w:tc>
        <w:tc>
          <w:tcPr>
            <w:tcW w:w="90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40" w:type="dxa"/>
            <w:vAlign w:val="bottom"/>
          </w:tcPr>
          <w:p>
            <w:pPr>
              <w:spacing w:after="0"/>
              <w:rPr>
                <w:sz w:val="2"/>
                <w:szCs w:val="2"/>
                <w:color w:val="auto"/>
              </w:rPr>
            </w:pPr>
          </w:p>
        </w:tc>
        <w:tc>
          <w:tcPr>
            <w:tcW w:w="220" w:type="dxa"/>
            <w:vAlign w:val="bottom"/>
          </w:tcPr>
          <w:p>
            <w:pPr>
              <w:spacing w:after="0"/>
              <w:rPr>
                <w:sz w:val="2"/>
                <w:szCs w:val="2"/>
                <w:color w:val="auto"/>
              </w:rPr>
            </w:pPr>
          </w:p>
        </w:tc>
        <w:tc>
          <w:tcPr>
            <w:tcW w:w="88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40" w:type="dxa"/>
            <w:vAlign w:val="bottom"/>
          </w:tcPr>
          <w:p>
            <w:pPr>
              <w:spacing w:after="0"/>
              <w:rPr>
                <w:sz w:val="2"/>
                <w:szCs w:val="2"/>
                <w:color w:val="auto"/>
              </w:rPr>
            </w:pPr>
          </w:p>
        </w:tc>
        <w:tc>
          <w:tcPr>
            <w:tcW w:w="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80" w:type="dxa"/>
            <w:vAlign w:val="bottom"/>
          </w:tcPr>
          <w:p>
            <w:pPr>
              <w:spacing w:after="0"/>
              <w:rPr>
                <w:sz w:val="2"/>
                <w:szCs w:val="2"/>
                <w:color w:val="auto"/>
              </w:rPr>
            </w:pPr>
          </w:p>
        </w:tc>
        <w:tc>
          <w:tcPr>
            <w:tcW w:w="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280" w:type="dxa"/>
            <w:vAlign w:val="bottom"/>
          </w:tcPr>
          <w:p>
            <w:pPr>
              <w:spacing w:after="0"/>
              <w:rPr>
                <w:sz w:val="2"/>
                <w:szCs w:val="2"/>
                <w:color w:val="auto"/>
              </w:rPr>
            </w:pPr>
          </w:p>
        </w:tc>
        <w:tc>
          <w:tcPr>
            <w:tcW w:w="820" w:type="dxa"/>
            <w:vAlign w:val="bottom"/>
          </w:tcPr>
          <w:p>
            <w:pPr>
              <w:spacing w:after="0"/>
              <w:rPr>
                <w:sz w:val="2"/>
                <w:szCs w:val="2"/>
                <w:color w:val="auto"/>
              </w:rPr>
            </w:pPr>
          </w:p>
        </w:tc>
        <w:tc>
          <w:tcPr>
            <w:tcW w:w="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tcPr>
          <w:p>
            <w:pPr>
              <w:spacing w:after="0"/>
              <w:rPr>
                <w:sz w:val="2"/>
                <w:szCs w:val="2"/>
                <w:color w:val="auto"/>
              </w:rPr>
            </w:pPr>
          </w:p>
        </w:tc>
        <w:tc>
          <w:tcPr>
            <w:tcW w:w="20" w:type="dxa"/>
            <w:vAlign w:val="bottom"/>
          </w:tcPr>
          <w:p>
            <w:pPr>
              <w:spacing w:after="0"/>
              <w:rPr>
                <w:sz w:val="2"/>
                <w:szCs w:val="2"/>
                <w:color w:val="auto"/>
              </w:rPr>
            </w:pPr>
          </w:p>
        </w:tc>
      </w:tr>
      <w:tr>
        <w:trPr>
          <w:trHeight w:val="229"/>
        </w:trPr>
        <w:tc>
          <w:tcPr>
            <w:tcW w:w="300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Net defined benefit plan liability</w:t>
            </w:r>
          </w:p>
        </w:tc>
        <w:tc>
          <w:tcPr>
            <w:tcW w:w="20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20" w:type="dxa"/>
            <w:vAlign w:val="bottom"/>
          </w:tcPr>
          <w:p>
            <w:pPr>
              <w:spacing w:after="0"/>
              <w:rPr>
                <w:sz w:val="19"/>
                <w:szCs w:val="19"/>
                <w:color w:val="auto"/>
              </w:rPr>
            </w:pPr>
          </w:p>
        </w:tc>
      </w:tr>
      <w:tr>
        <w:trPr>
          <w:trHeight w:val="237"/>
        </w:trPr>
        <w:tc>
          <w:tcPr>
            <w:tcW w:w="3000" w:type="dxa"/>
            <w:vAlign w:val="bottom"/>
            <w:tcBorders>
              <w:bottom w:val="single" w:sz="8" w:color="CCEEFF"/>
            </w:tcBorders>
            <w:gridSpan w:val="2"/>
            <w:shd w:val="clear" w:color="auto" w:fill="CCEEFF"/>
          </w:tcPr>
          <w:p>
            <w:pPr>
              <w:ind w:left="260"/>
              <w:spacing w:after="0"/>
              <w:rPr>
                <w:sz w:val="20"/>
                <w:szCs w:val="20"/>
                <w:color w:val="auto"/>
              </w:rPr>
            </w:pPr>
            <w:r>
              <w:rPr>
                <w:rFonts w:ascii="Arial" w:cs="Arial" w:eastAsia="Arial" w:hAnsi="Arial"/>
                <w:sz w:val="18"/>
                <w:szCs w:val="18"/>
                <w:color w:val="auto"/>
              </w:rPr>
              <w:t>adjustments</w:t>
            </w:r>
          </w:p>
        </w:tc>
        <w:tc>
          <w:tcPr>
            <w:tcW w:w="20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(509)</w:t>
            </w:r>
          </w:p>
        </w:tc>
        <w:tc>
          <w:tcPr>
            <w:tcW w:w="2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4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gridSpan w:val="4"/>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8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(509)</w:t>
            </w:r>
          </w:p>
        </w:tc>
        <w:tc>
          <w:tcPr>
            <w:tcW w:w="4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135</w:t>
            </w:r>
          </w:p>
        </w:tc>
        <w:tc>
          <w:tcPr>
            <w:tcW w:w="4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(374)</w:t>
            </w:r>
          </w:p>
        </w:tc>
        <w:tc>
          <w:tcPr>
            <w:tcW w:w="20" w:type="dxa"/>
            <w:vAlign w:val="bottom"/>
          </w:tcPr>
          <w:p>
            <w:pPr>
              <w:spacing w:after="0"/>
              <w:rPr>
                <w:sz w:val="20"/>
                <w:szCs w:val="20"/>
                <w:color w:val="auto"/>
              </w:rPr>
            </w:pPr>
          </w:p>
        </w:tc>
      </w:tr>
      <w:tr>
        <w:trPr>
          <w:trHeight w:val="243"/>
        </w:trPr>
        <w:tc>
          <w:tcPr>
            <w:tcW w:w="3000" w:type="dxa"/>
            <w:vAlign w:val="bottom"/>
            <w:gridSpan w:val="2"/>
          </w:tcPr>
          <w:p>
            <w:pPr>
              <w:ind w:left="20"/>
              <w:spacing w:after="0"/>
              <w:rPr>
                <w:sz w:val="20"/>
                <w:szCs w:val="20"/>
                <w:color w:val="auto"/>
              </w:rPr>
            </w:pPr>
            <w:r>
              <w:rPr>
                <w:rFonts w:ascii="Arial" w:cs="Arial" w:eastAsia="Arial" w:hAnsi="Arial"/>
                <w:sz w:val="18"/>
                <w:szCs w:val="18"/>
                <w:color w:val="auto"/>
              </w:rPr>
              <w:t>Foreign currency translation loss</w:t>
            </w:r>
          </w:p>
        </w:tc>
        <w:tc>
          <w:tcPr>
            <w:tcW w:w="200" w:type="dxa"/>
            <w:vAlign w:val="bottom"/>
          </w:tcPr>
          <w:p>
            <w:pPr>
              <w:spacing w:after="0"/>
              <w:rPr>
                <w:sz w:val="21"/>
                <w:szCs w:val="21"/>
                <w:color w:val="auto"/>
              </w:rPr>
            </w:pPr>
          </w:p>
        </w:tc>
        <w:tc>
          <w:tcPr>
            <w:tcW w:w="9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20" w:type="dxa"/>
            <w:vAlign w:val="bottom"/>
            <w:gridSpan w:val="4"/>
          </w:tcPr>
          <w:p>
            <w:pPr>
              <w:jc w:val="right"/>
              <w:ind w:right="24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(3,502)</w:t>
            </w:r>
          </w:p>
        </w:tc>
        <w:tc>
          <w:tcPr>
            <w:tcW w:w="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(3,502)</w:t>
            </w:r>
          </w:p>
        </w:tc>
        <w:tc>
          <w:tcPr>
            <w:tcW w:w="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gridSpan w:val="4"/>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(3,502)</w:t>
            </w:r>
          </w:p>
        </w:tc>
        <w:tc>
          <w:tcPr>
            <w:tcW w:w="20" w:type="dxa"/>
            <w:vAlign w:val="bottom"/>
          </w:tcPr>
          <w:p>
            <w:pPr>
              <w:spacing w:after="0"/>
              <w:rPr>
                <w:sz w:val="21"/>
                <w:szCs w:val="21"/>
                <w:color w:val="auto"/>
              </w:rPr>
            </w:pPr>
          </w:p>
        </w:tc>
      </w:tr>
      <w:tr>
        <w:trPr>
          <w:trHeight w:val="27"/>
        </w:trPr>
        <w:tc>
          <w:tcPr>
            <w:tcW w:w="2960" w:type="dxa"/>
            <w:vAlign w:val="bottom"/>
            <w:tcBorders>
              <w:bottom w:val="single" w:sz="8" w:color="CCEEFF"/>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gridSpan w:val="2"/>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40" w:type="dxa"/>
            <w:vAlign w:val="bottom"/>
            <w:tcBorders>
              <w:bottom w:val="single" w:sz="8" w:color="CCEEFF"/>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gridSpan w:val="2"/>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40" w:type="dxa"/>
            <w:vAlign w:val="bottom"/>
            <w:tcBorders>
              <w:bottom w:val="single" w:sz="8" w:color="CCEEFF"/>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40" w:type="dxa"/>
            <w:vAlign w:val="bottom"/>
            <w:tcBorders>
              <w:bottom w:val="single" w:sz="8" w:color="CCEEFF"/>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r>
      <w:tr>
        <w:trPr>
          <w:trHeight w:val="257"/>
        </w:trPr>
        <w:tc>
          <w:tcPr>
            <w:tcW w:w="300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At January 2, 2015</w:t>
            </w:r>
          </w:p>
        </w:tc>
        <w:tc>
          <w:tcPr>
            <w:tcW w:w="2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(1,181)</w:t>
            </w:r>
          </w:p>
        </w:tc>
        <w:tc>
          <w:tcPr>
            <w:tcW w:w="20" w:type="dxa"/>
            <w:vAlign w:val="bottom"/>
            <w:shd w:val="clear" w:color="auto" w:fill="CCEEFF"/>
          </w:tcPr>
          <w:p>
            <w:pPr>
              <w:spacing w:after="0"/>
              <w:rPr>
                <w:sz w:val="22"/>
                <w:szCs w:val="22"/>
                <w:color w:val="auto"/>
              </w:rPr>
            </w:pPr>
          </w:p>
        </w:tc>
        <w:tc>
          <w:tcPr>
            <w:tcW w:w="34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(2,558)</w:t>
            </w:r>
          </w:p>
        </w:tc>
        <w:tc>
          <w:tcPr>
            <w:tcW w:w="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2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11,450</w:t>
            </w:r>
          </w:p>
        </w:tc>
        <w:tc>
          <w:tcPr>
            <w:tcW w:w="40" w:type="dxa"/>
            <w:vAlign w:val="bottom"/>
            <w:shd w:val="clear" w:color="auto" w:fill="CCEEFF"/>
          </w:tcPr>
          <w:p>
            <w:pPr>
              <w:spacing w:after="0"/>
              <w:rPr>
                <w:sz w:val="22"/>
                <w:szCs w:val="22"/>
                <w:color w:val="auto"/>
              </w:rPr>
            </w:pPr>
          </w:p>
        </w:tc>
        <w:tc>
          <w:tcPr>
            <w:tcW w:w="32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7,711</w:t>
            </w:r>
          </w:p>
        </w:tc>
        <w:tc>
          <w:tcPr>
            <w:tcW w:w="40" w:type="dxa"/>
            <w:vAlign w:val="bottom"/>
            <w:shd w:val="clear" w:color="auto" w:fill="CCEEFF"/>
          </w:tcPr>
          <w:p>
            <w:pPr>
              <w:spacing w:after="0"/>
              <w:rPr>
                <w:sz w:val="22"/>
                <w:szCs w:val="22"/>
                <w:color w:val="auto"/>
              </w:rPr>
            </w:pPr>
          </w:p>
        </w:tc>
        <w:tc>
          <w:tcPr>
            <w:tcW w:w="80" w:type="dxa"/>
            <w:vAlign w:val="bottom"/>
            <w:shd w:val="clear" w:color="auto" w:fill="CCEEFF"/>
          </w:tcPr>
          <w:p>
            <w:pPr>
              <w:spacing w:after="0"/>
              <w:rPr>
                <w:sz w:val="22"/>
                <w:szCs w:val="22"/>
                <w:color w:val="auto"/>
              </w:rPr>
            </w:pPr>
          </w:p>
        </w:tc>
        <w:tc>
          <w:tcPr>
            <w:tcW w:w="20" w:type="dxa"/>
            <w:vAlign w:val="bottom"/>
            <w:shd w:val="clear" w:color="auto" w:fill="CCEEFF"/>
          </w:tcPr>
          <w:p>
            <w:pPr>
              <w:spacing w:after="0"/>
              <w:rPr>
                <w:sz w:val="22"/>
                <w:szCs w:val="22"/>
                <w:color w:val="auto"/>
              </w:rPr>
            </w:pPr>
          </w:p>
        </w:tc>
        <w:tc>
          <w:tcPr>
            <w:tcW w:w="28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1,412</w:t>
            </w:r>
          </w:p>
        </w:tc>
        <w:tc>
          <w:tcPr>
            <w:tcW w:w="40" w:type="dxa"/>
            <w:vAlign w:val="bottom"/>
            <w:shd w:val="clear" w:color="auto" w:fill="CCEEFF"/>
          </w:tcPr>
          <w:p>
            <w:pPr>
              <w:spacing w:after="0"/>
              <w:rPr>
                <w:sz w:val="22"/>
                <w:szCs w:val="22"/>
                <w:color w:val="auto"/>
              </w:rPr>
            </w:pPr>
          </w:p>
        </w:tc>
        <w:tc>
          <w:tcPr>
            <w:tcW w:w="80" w:type="dxa"/>
            <w:vAlign w:val="bottom"/>
            <w:shd w:val="clear" w:color="auto" w:fill="CCEEFF"/>
          </w:tcPr>
          <w:p>
            <w:pPr>
              <w:spacing w:after="0"/>
              <w:rPr>
                <w:sz w:val="22"/>
                <w:szCs w:val="22"/>
                <w:color w:val="auto"/>
              </w:rPr>
            </w:pPr>
          </w:p>
        </w:tc>
        <w:tc>
          <w:tcPr>
            <w:tcW w:w="20" w:type="dxa"/>
            <w:vAlign w:val="bottom"/>
            <w:shd w:val="clear" w:color="auto" w:fill="CCEEFF"/>
          </w:tcPr>
          <w:p>
            <w:pPr>
              <w:spacing w:after="0"/>
              <w:rPr>
                <w:sz w:val="22"/>
                <w:szCs w:val="22"/>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9,123</w:t>
            </w:r>
          </w:p>
        </w:tc>
        <w:tc>
          <w:tcPr>
            <w:tcW w:w="20" w:type="dxa"/>
            <w:vAlign w:val="bottom"/>
          </w:tcPr>
          <w:p>
            <w:pPr>
              <w:spacing w:after="0"/>
              <w:rPr>
                <w:sz w:val="22"/>
                <w:szCs w:val="22"/>
                <w:color w:val="auto"/>
              </w:rPr>
            </w:pPr>
          </w:p>
        </w:tc>
      </w:tr>
      <w:tr>
        <w:trPr>
          <w:trHeight w:val="20"/>
        </w:trPr>
        <w:tc>
          <w:tcPr>
            <w:tcW w:w="296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94" w:lineRule="exact"/>
        <w:rPr>
          <w:sz w:val="20"/>
          <w:szCs w:val="20"/>
          <w:color w:val="auto"/>
        </w:rPr>
      </w:pPr>
    </w:p>
    <w:p>
      <w:pPr>
        <w:ind w:left="465" w:right="120"/>
        <w:spacing w:after="0" w:line="264" w:lineRule="auto"/>
        <w:rPr>
          <w:sz w:val="20"/>
          <w:szCs w:val="20"/>
          <w:color w:val="auto"/>
        </w:rPr>
      </w:pPr>
      <w:r>
        <w:rPr>
          <w:rFonts w:ascii="Arial" w:cs="Arial" w:eastAsia="Arial" w:hAnsi="Arial"/>
          <w:sz w:val="18"/>
          <w:szCs w:val="18"/>
          <w:color w:val="auto"/>
        </w:rPr>
        <w:t>The realized loss (gain) relating to the Company’s foreign currency and interest rate swap hedges were reclassified from Accumulated Other Comprehensive Income and included in Cost of Sales and Interest Expense, respectively, in the Consolidated Statements of Operations. Refer to Note 10 “Benefit Plans” for details on the change in defined benefit plan liability adjustments.</w:t>
      </w:r>
    </w:p>
    <w:p>
      <w:pPr>
        <w:spacing w:after="0" w:line="339" w:lineRule="exact"/>
        <w:rPr>
          <w:sz w:val="20"/>
          <w:szCs w:val="20"/>
          <w:color w:val="auto"/>
        </w:rPr>
      </w:pPr>
    </w:p>
    <w:p>
      <w:pPr>
        <w:ind w:left="425" w:hanging="425"/>
        <w:spacing w:after="0"/>
        <w:tabs>
          <w:tab w:leader="none" w:pos="425" w:val="left"/>
        </w:tabs>
        <w:numPr>
          <w:ilvl w:val="0"/>
          <w:numId w:val="53"/>
        </w:numPr>
        <w:rPr>
          <w:rFonts w:ascii="Arial" w:cs="Arial" w:eastAsia="Arial" w:hAnsi="Arial"/>
          <w:sz w:val="18"/>
          <w:szCs w:val="18"/>
          <w:b w:val="1"/>
          <w:bCs w:val="1"/>
          <w:color w:val="auto"/>
        </w:rPr>
      </w:pPr>
      <w:r>
        <w:rPr>
          <w:rFonts w:ascii="Arial" w:cs="Arial" w:eastAsia="Arial" w:hAnsi="Arial"/>
          <w:sz w:val="18"/>
          <w:szCs w:val="18"/>
          <w:b w:val="1"/>
          <w:bCs w:val="1"/>
          <w:color w:val="auto"/>
        </w:rPr>
        <w:t>FAIR VALUE MEASUREMENTS</w:t>
      </w:r>
    </w:p>
    <w:p>
      <w:pPr>
        <w:spacing w:after="0" w:line="94" w:lineRule="exact"/>
        <w:rPr>
          <w:sz w:val="20"/>
          <w:szCs w:val="20"/>
          <w:color w:val="auto"/>
        </w:rPr>
      </w:pPr>
    </w:p>
    <w:p>
      <w:pPr>
        <w:ind w:left="465"/>
        <w:spacing w:after="0"/>
        <w:rPr>
          <w:sz w:val="20"/>
          <w:szCs w:val="20"/>
          <w:color w:val="auto"/>
        </w:rPr>
      </w:pPr>
      <w:r>
        <w:rPr>
          <w:rFonts w:ascii="Arial" w:cs="Arial" w:eastAsia="Arial" w:hAnsi="Arial"/>
          <w:sz w:val="18"/>
          <w:szCs w:val="18"/>
          <w:b w:val="1"/>
          <w:bCs w:val="1"/>
          <w:i w:val="1"/>
          <w:iCs w:val="1"/>
          <w:u w:val="single" w:color="auto"/>
          <w:color w:val="auto"/>
        </w:rPr>
        <w:t>Assets and Liabilities Measured at Fair Value on a Recurring Basis</w:t>
      </w:r>
    </w:p>
    <w:p>
      <w:pPr>
        <w:spacing w:after="0" w:line="171" w:lineRule="exact"/>
        <w:rPr>
          <w:sz w:val="20"/>
          <w:szCs w:val="20"/>
          <w:color w:val="auto"/>
        </w:rPr>
      </w:pPr>
    </w:p>
    <w:p>
      <w:pPr>
        <w:ind w:left="465" w:right="120"/>
        <w:spacing w:after="0" w:line="264" w:lineRule="auto"/>
        <w:rPr>
          <w:sz w:val="20"/>
          <w:szCs w:val="20"/>
          <w:color w:val="auto"/>
        </w:rPr>
      </w:pPr>
      <w:r>
        <w:rPr>
          <w:rFonts w:ascii="Arial" w:cs="Arial" w:eastAsia="Arial" w:hAnsi="Arial"/>
          <w:sz w:val="18"/>
          <w:szCs w:val="18"/>
          <w:color w:val="auto"/>
        </w:rPr>
        <w:t>Fair value measurement standards apply to certain financial assets and liabilities that are measured at fair value on a recurring basis (each reporting period). For the Company, these financial assets and liabilities include its derivative instruments. The Company does not have any nonfinancial assets or liabilities that are measured at fair value on a recurring basis.</w:t>
      </w:r>
    </w:p>
    <w:p>
      <w:pPr>
        <w:spacing w:after="0" w:line="127" w:lineRule="exact"/>
        <w:rPr>
          <w:sz w:val="20"/>
          <w:szCs w:val="20"/>
          <w:color w:val="auto"/>
        </w:rPr>
      </w:pPr>
    </w:p>
    <w:p>
      <w:pPr>
        <w:ind w:left="465"/>
        <w:spacing w:after="0" w:line="273" w:lineRule="auto"/>
        <w:rPr>
          <w:sz w:val="20"/>
          <w:szCs w:val="20"/>
          <w:color w:val="auto"/>
        </w:rPr>
      </w:pPr>
      <w:r>
        <w:rPr>
          <w:rFonts w:ascii="Arial" w:cs="Arial" w:eastAsia="Arial" w:hAnsi="Arial"/>
          <w:sz w:val="17"/>
          <w:szCs w:val="17"/>
          <w:b w:val="1"/>
          <w:bCs w:val="1"/>
          <w:i w:val="1"/>
          <w:iCs w:val="1"/>
          <w:color w:val="auto"/>
        </w:rPr>
        <w:t xml:space="preserve">Foreign Currency Contracts </w:t>
      </w:r>
      <w:r>
        <w:rPr>
          <w:rFonts w:ascii="Arial" w:cs="Arial" w:eastAsia="Arial" w:hAnsi="Arial"/>
          <w:sz w:val="17"/>
          <w:szCs w:val="17"/>
          <w:color w:val="auto"/>
        </w:rPr>
        <w:t>– The fair value of foreign currency contracts are determined through the use of cash flow models that utilize observable</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market data inputs to estimate fair value. These observable market data inputs include foreign exchange rate and credit spread curves. In addition to the above, the Company received fair value estimates from the foreign currency contract counterparty to verify the reasonableness of the Company’s estimates. The Company’s foreign currency contracts are categorized in Level 2 of the fair value hierarchy. The fair value of the Company’s foreign currency contracts will be realized as Cost of Sales as the inventory, which the contracts are hedging the cash flows to produce, is sold. Approximately $2.4 million is expected to be realized as additional Cost of Sales over the next twelve months.</w:t>
      </w:r>
    </w:p>
    <w:p>
      <w:pPr>
        <w:sectPr>
          <w:pgSz w:w="11900" w:h="16838" w:orient="portrait"/>
          <w:cols w:equalWidth="0" w:num="1">
            <w:col w:w="11365"/>
          </w:cols>
          <w:pgMar w:left="275" w:top="337" w:right="259" w:bottom="1440" w:gutter="0" w:footer="0" w:header="0"/>
        </w:sectPr>
      </w:pPr>
    </w:p>
    <w:p>
      <w:pPr>
        <w:spacing w:after="0" w:line="314" w:lineRule="exact"/>
        <w:rPr>
          <w:sz w:val="20"/>
          <w:szCs w:val="20"/>
          <w:color w:val="auto"/>
        </w:rPr>
      </w:pPr>
    </w:p>
    <w:p>
      <w:pPr>
        <w:jc w:val="center"/>
        <w:ind w:right="-4"/>
        <w:spacing w:after="0"/>
        <w:rPr>
          <w:sz w:val="20"/>
          <w:szCs w:val="20"/>
          <w:color w:val="auto"/>
        </w:rPr>
      </w:pPr>
      <w:r>
        <w:rPr>
          <w:rFonts w:ascii="Arial" w:cs="Arial" w:eastAsia="Arial" w:hAnsi="Arial"/>
          <w:sz w:val="16"/>
          <w:szCs w:val="16"/>
          <w:color w:val="auto"/>
        </w:rPr>
        <w:t>- 105 -</w:t>
      </w:r>
    </w:p>
    <w:p>
      <w:pPr>
        <w:sectPr>
          <w:pgSz w:w="11900" w:h="16838" w:orient="portrait"/>
          <w:cols w:equalWidth="0" w:num="1">
            <w:col w:w="11365"/>
          </w:cols>
          <w:pgMar w:left="275" w:top="337" w:right="259" w:bottom="1440" w:gutter="0" w:footer="0" w:header="0"/>
          <w:type w:val="continuous"/>
        </w:sectPr>
      </w:pPr>
    </w:p>
    <w:bookmarkStart w:id="106" w:name="page107"/>
    <w:bookmarkEnd w:id="106"/>
    <w:p>
      <w:pPr>
        <w:jc w:val="center"/>
        <w:ind w:right="460"/>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ind w:right="46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ind w:right="100"/>
        <w:spacing w:after="0" w:line="279" w:lineRule="auto"/>
        <w:rPr>
          <w:sz w:val="20"/>
          <w:szCs w:val="20"/>
          <w:color w:val="auto"/>
        </w:rPr>
      </w:pPr>
      <w:r>
        <w:rPr>
          <w:rFonts w:ascii="Arial" w:cs="Arial" w:eastAsia="Arial" w:hAnsi="Arial"/>
          <w:sz w:val="17"/>
          <w:szCs w:val="17"/>
          <w:b w:val="1"/>
          <w:bCs w:val="1"/>
          <w:i w:val="1"/>
          <w:iCs w:val="1"/>
          <w:color w:val="auto"/>
        </w:rPr>
        <w:t xml:space="preserve">Interest Rate Swaps </w:t>
      </w:r>
      <w:r>
        <w:rPr>
          <w:rFonts w:ascii="Arial" w:cs="Arial" w:eastAsia="Arial" w:hAnsi="Arial"/>
          <w:sz w:val="17"/>
          <w:szCs w:val="17"/>
          <w:color w:val="auto"/>
        </w:rPr>
        <w:t>– The fair value of the Company’s interest rate swaps outstanding at January 2, 2015 was determined through the use of a cash</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flow model that utilized observable market data inputs. These observable market data inputs included LIBOR, swap rates, and credit spread curves. In addition to the above, the Company received a fair value estimate from the interest rate swap counterparty to verify the reasonableness of the Company’s estimate. This fair value calculation was categorized in Level 2 of the fair value hierarchy.</w:t>
      </w:r>
    </w:p>
    <w:p>
      <w:pPr>
        <w:spacing w:after="0" w:line="77"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tables provide information regarding assets and liabilities recorded at fair value on a recurring basis (in thousands):</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398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2740" w:type="dxa"/>
            <w:vAlign w:val="bottom"/>
            <w:tcBorders>
              <w:bottom w:val="single" w:sz="8" w:color="auto"/>
            </w:tcBorders>
            <w:gridSpan w:val="5"/>
          </w:tcPr>
          <w:p>
            <w:pPr>
              <w:ind w:left="320"/>
              <w:spacing w:after="0"/>
              <w:rPr>
                <w:sz w:val="20"/>
                <w:szCs w:val="20"/>
                <w:color w:val="auto"/>
              </w:rPr>
            </w:pPr>
            <w:r>
              <w:rPr>
                <w:rFonts w:ascii="Arial" w:cs="Arial" w:eastAsia="Arial" w:hAnsi="Arial"/>
                <w:sz w:val="14"/>
                <w:szCs w:val="14"/>
                <w:b w:val="1"/>
                <w:bCs w:val="1"/>
                <w:color w:val="auto"/>
              </w:rPr>
              <w:t>Fair Value Measurements Using</w:t>
            </w:r>
          </w:p>
        </w:tc>
        <w:tc>
          <w:tcPr>
            <w:tcW w:w="20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39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300" w:type="dxa"/>
            <w:vAlign w:val="bottom"/>
            <w:gridSpan w:val="2"/>
          </w:tcPr>
          <w:p>
            <w:pPr>
              <w:jc w:val="center"/>
              <w:ind w:right="280"/>
              <w:spacing w:after="0" w:line="153" w:lineRule="exact"/>
              <w:rPr>
                <w:sz w:val="20"/>
                <w:szCs w:val="20"/>
                <w:color w:val="auto"/>
              </w:rPr>
            </w:pPr>
            <w:r>
              <w:rPr>
                <w:rFonts w:ascii="Arial" w:cs="Arial" w:eastAsia="Arial" w:hAnsi="Arial"/>
                <w:sz w:val="14"/>
                <w:szCs w:val="14"/>
                <w:b w:val="1"/>
                <w:bCs w:val="1"/>
                <w:color w:val="auto"/>
                <w:w w:val="93"/>
              </w:rPr>
              <w:t>Quoted</w:t>
            </w:r>
          </w:p>
        </w:tc>
        <w:tc>
          <w:tcPr>
            <w:tcW w:w="220" w:type="dxa"/>
            <w:vAlign w:val="bottom"/>
          </w:tcPr>
          <w:p>
            <w:pPr>
              <w:spacing w:after="0"/>
              <w:rPr>
                <w:sz w:val="13"/>
                <w:szCs w:val="13"/>
                <w:color w:val="auto"/>
              </w:rPr>
            </w:pPr>
          </w:p>
        </w:tc>
        <w:tc>
          <w:tcPr>
            <w:tcW w:w="1220" w:type="dxa"/>
            <w:vAlign w:val="bottom"/>
            <w:gridSpan w:val="2"/>
            <w:vMerge w:val="restart"/>
          </w:tcPr>
          <w:p>
            <w:pPr>
              <w:jc w:val="center"/>
              <w:ind w:right="320"/>
              <w:spacing w:after="0"/>
              <w:rPr>
                <w:sz w:val="20"/>
                <w:szCs w:val="20"/>
                <w:color w:val="auto"/>
              </w:rPr>
            </w:pPr>
            <w:r>
              <w:rPr>
                <w:rFonts w:ascii="Arial" w:cs="Arial" w:eastAsia="Arial" w:hAnsi="Arial"/>
                <w:sz w:val="14"/>
                <w:szCs w:val="14"/>
                <w:b w:val="1"/>
                <w:bCs w:val="1"/>
                <w:color w:val="auto"/>
                <w:w w:val="92"/>
              </w:rPr>
              <w:t>Significant</w:t>
            </w:r>
          </w:p>
        </w:tc>
        <w:tc>
          <w:tcPr>
            <w:tcW w:w="20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39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30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2"/>
              </w:rPr>
              <w:t>Prices in</w:t>
            </w:r>
          </w:p>
        </w:tc>
        <w:tc>
          <w:tcPr>
            <w:tcW w:w="220" w:type="dxa"/>
            <w:vAlign w:val="bottom"/>
          </w:tcPr>
          <w:p>
            <w:pPr>
              <w:spacing w:after="0"/>
              <w:rPr>
                <w:sz w:val="12"/>
                <w:szCs w:val="12"/>
                <w:color w:val="auto"/>
              </w:rPr>
            </w:pPr>
          </w:p>
        </w:tc>
        <w:tc>
          <w:tcPr>
            <w:tcW w:w="1220" w:type="dxa"/>
            <w:vAlign w:val="bottom"/>
            <w:gridSpan w:val="2"/>
            <w:vMerge w:val="continue"/>
          </w:tcPr>
          <w:p>
            <w:pPr>
              <w:spacing w:after="0"/>
              <w:rPr>
                <w:sz w:val="12"/>
                <w:szCs w:val="12"/>
                <w:color w:val="auto"/>
              </w:rPr>
            </w:pPr>
          </w:p>
        </w:tc>
        <w:tc>
          <w:tcPr>
            <w:tcW w:w="200" w:type="dxa"/>
            <w:vAlign w:val="bottom"/>
          </w:tcPr>
          <w:p>
            <w:pPr>
              <w:spacing w:after="0"/>
              <w:rPr>
                <w:sz w:val="12"/>
                <w:szCs w:val="12"/>
                <w:color w:val="auto"/>
              </w:rPr>
            </w:pPr>
          </w:p>
        </w:tc>
        <w:tc>
          <w:tcPr>
            <w:tcW w:w="1160" w:type="dxa"/>
            <w:vAlign w:val="bottom"/>
            <w:vMerge w:val="restart"/>
          </w:tcPr>
          <w:p>
            <w:pPr>
              <w:jc w:val="center"/>
              <w:ind w:right="103"/>
              <w:spacing w:after="0"/>
              <w:rPr>
                <w:sz w:val="20"/>
                <w:szCs w:val="20"/>
                <w:color w:val="auto"/>
              </w:rPr>
            </w:pPr>
            <w:r>
              <w:rPr>
                <w:rFonts w:ascii="Arial" w:cs="Arial" w:eastAsia="Arial" w:hAnsi="Arial"/>
                <w:sz w:val="14"/>
                <w:szCs w:val="14"/>
                <w:b w:val="1"/>
                <w:bCs w:val="1"/>
                <w:color w:val="auto"/>
                <w:w w:val="92"/>
              </w:rPr>
              <w:t>Significant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39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30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5"/>
              </w:rPr>
              <w:t>Active Markets</w:t>
            </w:r>
          </w:p>
        </w:tc>
        <w:tc>
          <w:tcPr>
            <w:tcW w:w="220" w:type="dxa"/>
            <w:vAlign w:val="bottom"/>
          </w:tcPr>
          <w:p>
            <w:pPr>
              <w:spacing w:after="0"/>
              <w:rPr>
                <w:sz w:val="12"/>
                <w:szCs w:val="12"/>
                <w:color w:val="auto"/>
              </w:rPr>
            </w:pPr>
          </w:p>
        </w:tc>
        <w:tc>
          <w:tcPr>
            <w:tcW w:w="122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6"/>
              </w:rPr>
              <w:t>Other</w:t>
            </w:r>
          </w:p>
        </w:tc>
        <w:tc>
          <w:tcPr>
            <w:tcW w:w="200" w:type="dxa"/>
            <w:vAlign w:val="bottom"/>
          </w:tcPr>
          <w:p>
            <w:pPr>
              <w:spacing w:after="0"/>
              <w:rPr>
                <w:sz w:val="12"/>
                <w:szCs w:val="12"/>
                <w:color w:val="auto"/>
              </w:rPr>
            </w:pPr>
          </w:p>
        </w:tc>
        <w:tc>
          <w:tcPr>
            <w:tcW w:w="11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39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30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5"/>
              </w:rPr>
              <w:t>for Identical</w:t>
            </w:r>
          </w:p>
        </w:tc>
        <w:tc>
          <w:tcPr>
            <w:tcW w:w="220" w:type="dxa"/>
            <w:vAlign w:val="bottom"/>
          </w:tcPr>
          <w:p>
            <w:pPr>
              <w:spacing w:after="0"/>
              <w:rPr>
                <w:sz w:val="12"/>
                <w:szCs w:val="12"/>
                <w:color w:val="auto"/>
              </w:rPr>
            </w:pPr>
          </w:p>
        </w:tc>
        <w:tc>
          <w:tcPr>
            <w:tcW w:w="122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1"/>
              </w:rPr>
              <w:t>Observable</w:t>
            </w:r>
          </w:p>
        </w:tc>
        <w:tc>
          <w:tcPr>
            <w:tcW w:w="200" w:type="dxa"/>
            <w:vAlign w:val="bottom"/>
          </w:tcPr>
          <w:p>
            <w:pPr>
              <w:spacing w:after="0"/>
              <w:rPr>
                <w:sz w:val="12"/>
                <w:szCs w:val="12"/>
                <w:color w:val="auto"/>
              </w:rPr>
            </w:pPr>
          </w:p>
        </w:tc>
        <w:tc>
          <w:tcPr>
            <w:tcW w:w="1160" w:type="dxa"/>
            <w:vAlign w:val="bottom"/>
          </w:tcPr>
          <w:p>
            <w:pPr>
              <w:jc w:val="center"/>
              <w:ind w:right="123"/>
              <w:spacing w:after="0" w:line="149" w:lineRule="exact"/>
              <w:rPr>
                <w:sz w:val="20"/>
                <w:szCs w:val="20"/>
                <w:color w:val="auto"/>
              </w:rPr>
            </w:pPr>
            <w:r>
              <w:rPr>
                <w:rFonts w:ascii="Arial" w:cs="Arial" w:eastAsia="Arial" w:hAnsi="Arial"/>
                <w:sz w:val="14"/>
                <w:szCs w:val="14"/>
                <w:b w:val="1"/>
                <w:bCs w:val="1"/>
                <w:color w:val="auto"/>
                <w:w w:val="90"/>
              </w:rPr>
              <w:t>Unobservable</w:t>
            </w:r>
          </w:p>
        </w:tc>
        <w:tc>
          <w:tcPr>
            <w:tcW w:w="0" w:type="dxa"/>
            <w:vAlign w:val="bottom"/>
          </w:tcPr>
          <w:p>
            <w:pPr>
              <w:spacing w:after="0"/>
              <w:rPr>
                <w:sz w:val="1"/>
                <w:szCs w:val="1"/>
                <w:color w:val="auto"/>
              </w:rPr>
            </w:pPr>
          </w:p>
        </w:tc>
      </w:tr>
      <w:tr>
        <w:trPr>
          <w:trHeight w:val="149"/>
        </w:trPr>
        <w:tc>
          <w:tcPr>
            <w:tcW w:w="4720" w:type="dxa"/>
            <w:vAlign w:val="bottom"/>
            <w:gridSpan w:val="3"/>
            <w:vMerge w:val="restart"/>
          </w:tcPr>
          <w:p>
            <w:pPr>
              <w:ind w:left="20"/>
              <w:spacing w:after="0"/>
              <w:rPr>
                <w:sz w:val="20"/>
                <w:szCs w:val="20"/>
                <w:color w:val="auto"/>
              </w:rPr>
            </w:pPr>
            <w:r>
              <w:rPr>
                <w:rFonts w:ascii="Arial" w:cs="Arial" w:eastAsia="Arial" w:hAnsi="Arial"/>
                <w:sz w:val="14"/>
                <w:szCs w:val="14"/>
                <w:b w:val="1"/>
                <w:bCs w:val="1"/>
                <w:color w:val="auto"/>
              </w:rPr>
              <w:t>Description</w:t>
            </w:r>
          </w:p>
        </w:tc>
        <w:tc>
          <w:tcPr>
            <w:tcW w:w="1360" w:type="dxa"/>
            <w:vAlign w:val="bottom"/>
            <w:gridSpan w:val="3"/>
            <w:vMerge w:val="restart"/>
          </w:tcPr>
          <w:p>
            <w:pPr>
              <w:ind w:left="40"/>
              <w:spacing w:after="0"/>
              <w:rPr>
                <w:sz w:val="20"/>
                <w:szCs w:val="20"/>
                <w:color w:val="auto"/>
              </w:rPr>
            </w:pPr>
            <w:r>
              <w:rPr>
                <w:rFonts w:ascii="Arial" w:cs="Arial" w:eastAsia="Arial" w:hAnsi="Arial"/>
                <w:sz w:val="14"/>
                <w:szCs w:val="14"/>
                <w:b w:val="1"/>
                <w:bCs w:val="1"/>
                <w:color w:val="auto"/>
              </w:rPr>
              <w:t>At January 1, 2016</w:t>
            </w:r>
          </w:p>
        </w:tc>
        <w:tc>
          <w:tcPr>
            <w:tcW w:w="160" w:type="dxa"/>
            <w:vAlign w:val="bottom"/>
          </w:tcPr>
          <w:p>
            <w:pPr>
              <w:spacing w:after="0"/>
              <w:rPr>
                <w:sz w:val="12"/>
                <w:szCs w:val="12"/>
                <w:color w:val="auto"/>
              </w:rPr>
            </w:pPr>
          </w:p>
        </w:tc>
        <w:tc>
          <w:tcPr>
            <w:tcW w:w="130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2"/>
              </w:rPr>
              <w:t>Assets</w:t>
            </w:r>
          </w:p>
        </w:tc>
        <w:tc>
          <w:tcPr>
            <w:tcW w:w="220" w:type="dxa"/>
            <w:vAlign w:val="bottom"/>
          </w:tcPr>
          <w:p>
            <w:pPr>
              <w:spacing w:after="0"/>
              <w:rPr>
                <w:sz w:val="12"/>
                <w:szCs w:val="12"/>
                <w:color w:val="auto"/>
              </w:rPr>
            </w:pPr>
          </w:p>
        </w:tc>
        <w:tc>
          <w:tcPr>
            <w:tcW w:w="122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5"/>
              </w:rPr>
              <w:t>Inputs</w:t>
            </w:r>
          </w:p>
        </w:tc>
        <w:tc>
          <w:tcPr>
            <w:tcW w:w="200" w:type="dxa"/>
            <w:vAlign w:val="bottom"/>
          </w:tcPr>
          <w:p>
            <w:pPr>
              <w:spacing w:after="0"/>
              <w:rPr>
                <w:sz w:val="12"/>
                <w:szCs w:val="12"/>
                <w:color w:val="auto"/>
              </w:rPr>
            </w:pPr>
          </w:p>
        </w:tc>
        <w:tc>
          <w:tcPr>
            <w:tcW w:w="1160" w:type="dxa"/>
            <w:vAlign w:val="bottom"/>
          </w:tcPr>
          <w:p>
            <w:pPr>
              <w:jc w:val="center"/>
              <w:ind w:right="123"/>
              <w:spacing w:after="0" w:line="149" w:lineRule="exact"/>
              <w:rPr>
                <w:sz w:val="20"/>
                <w:szCs w:val="20"/>
                <w:color w:val="auto"/>
              </w:rPr>
            </w:pPr>
            <w:r>
              <w:rPr>
                <w:rFonts w:ascii="Arial" w:cs="Arial" w:eastAsia="Arial" w:hAnsi="Arial"/>
                <w:sz w:val="14"/>
                <w:szCs w:val="14"/>
                <w:b w:val="1"/>
                <w:bCs w:val="1"/>
                <w:color w:val="auto"/>
                <w:w w:val="95"/>
              </w:rPr>
              <w:t>Inputs</w:t>
            </w:r>
          </w:p>
        </w:tc>
        <w:tc>
          <w:tcPr>
            <w:tcW w:w="0" w:type="dxa"/>
            <w:vAlign w:val="bottom"/>
          </w:tcPr>
          <w:p>
            <w:pPr>
              <w:spacing w:after="0"/>
              <w:rPr>
                <w:sz w:val="1"/>
                <w:szCs w:val="1"/>
                <w:color w:val="auto"/>
              </w:rPr>
            </w:pPr>
          </w:p>
        </w:tc>
      </w:tr>
      <w:tr>
        <w:trPr>
          <w:trHeight w:val="158"/>
        </w:trPr>
        <w:tc>
          <w:tcPr>
            <w:tcW w:w="4720" w:type="dxa"/>
            <w:vAlign w:val="bottom"/>
            <w:gridSpan w:val="3"/>
            <w:vMerge w:val="continue"/>
          </w:tcPr>
          <w:p>
            <w:pPr>
              <w:spacing w:after="0"/>
              <w:rPr>
                <w:sz w:val="13"/>
                <w:szCs w:val="13"/>
                <w:color w:val="auto"/>
              </w:rPr>
            </w:pPr>
          </w:p>
        </w:tc>
        <w:tc>
          <w:tcPr>
            <w:tcW w:w="1360" w:type="dxa"/>
            <w:vAlign w:val="bottom"/>
            <w:gridSpan w:val="3"/>
            <w:vMerge w:val="continue"/>
          </w:tcPr>
          <w:p>
            <w:pPr>
              <w:spacing w:after="0"/>
              <w:rPr>
                <w:sz w:val="13"/>
                <w:szCs w:val="13"/>
                <w:color w:val="auto"/>
              </w:rPr>
            </w:pPr>
          </w:p>
        </w:tc>
        <w:tc>
          <w:tcPr>
            <w:tcW w:w="160" w:type="dxa"/>
            <w:vAlign w:val="bottom"/>
          </w:tcPr>
          <w:p>
            <w:pPr>
              <w:spacing w:after="0"/>
              <w:rPr>
                <w:sz w:val="13"/>
                <w:szCs w:val="13"/>
                <w:color w:val="auto"/>
              </w:rPr>
            </w:pPr>
          </w:p>
        </w:tc>
        <w:tc>
          <w:tcPr>
            <w:tcW w:w="1300" w:type="dxa"/>
            <w:vAlign w:val="bottom"/>
            <w:gridSpan w:val="2"/>
          </w:tcPr>
          <w:p>
            <w:pPr>
              <w:jc w:val="center"/>
              <w:ind w:right="280"/>
              <w:spacing w:after="0" w:line="158" w:lineRule="exact"/>
              <w:rPr>
                <w:sz w:val="20"/>
                <w:szCs w:val="20"/>
                <w:color w:val="auto"/>
              </w:rPr>
            </w:pPr>
            <w:r>
              <w:rPr>
                <w:rFonts w:ascii="Arial" w:cs="Arial" w:eastAsia="Arial" w:hAnsi="Arial"/>
                <w:sz w:val="14"/>
                <w:szCs w:val="14"/>
                <w:b w:val="1"/>
                <w:bCs w:val="1"/>
                <w:color w:val="auto"/>
                <w:w w:val="94"/>
              </w:rPr>
              <w:t>(Level 1)</w:t>
            </w:r>
          </w:p>
        </w:tc>
        <w:tc>
          <w:tcPr>
            <w:tcW w:w="220" w:type="dxa"/>
            <w:vAlign w:val="bottom"/>
          </w:tcPr>
          <w:p>
            <w:pPr>
              <w:spacing w:after="0"/>
              <w:rPr>
                <w:sz w:val="13"/>
                <w:szCs w:val="13"/>
                <w:color w:val="auto"/>
              </w:rPr>
            </w:pPr>
          </w:p>
        </w:tc>
        <w:tc>
          <w:tcPr>
            <w:tcW w:w="1220" w:type="dxa"/>
            <w:vAlign w:val="bottom"/>
            <w:gridSpan w:val="2"/>
          </w:tcPr>
          <w:p>
            <w:pPr>
              <w:jc w:val="center"/>
              <w:ind w:right="320"/>
              <w:spacing w:after="0" w:line="158" w:lineRule="exact"/>
              <w:rPr>
                <w:sz w:val="20"/>
                <w:szCs w:val="20"/>
                <w:color w:val="auto"/>
              </w:rPr>
            </w:pPr>
            <w:r>
              <w:rPr>
                <w:rFonts w:ascii="Arial" w:cs="Arial" w:eastAsia="Arial" w:hAnsi="Arial"/>
                <w:sz w:val="14"/>
                <w:szCs w:val="14"/>
                <w:b w:val="1"/>
                <w:bCs w:val="1"/>
                <w:color w:val="auto"/>
                <w:w w:val="94"/>
              </w:rPr>
              <w:t>(Level 2)</w:t>
            </w:r>
          </w:p>
        </w:tc>
        <w:tc>
          <w:tcPr>
            <w:tcW w:w="200" w:type="dxa"/>
            <w:vAlign w:val="bottom"/>
          </w:tcPr>
          <w:p>
            <w:pPr>
              <w:spacing w:after="0"/>
              <w:rPr>
                <w:sz w:val="13"/>
                <w:szCs w:val="13"/>
                <w:color w:val="auto"/>
              </w:rPr>
            </w:pPr>
          </w:p>
        </w:tc>
        <w:tc>
          <w:tcPr>
            <w:tcW w:w="1160" w:type="dxa"/>
            <w:vAlign w:val="bottom"/>
          </w:tcPr>
          <w:p>
            <w:pPr>
              <w:jc w:val="center"/>
              <w:ind w:right="103"/>
              <w:spacing w:after="0" w:line="158" w:lineRule="exact"/>
              <w:rPr>
                <w:sz w:val="20"/>
                <w:szCs w:val="20"/>
                <w:color w:val="auto"/>
              </w:rPr>
            </w:pPr>
            <w:r>
              <w:rPr>
                <w:rFonts w:ascii="Arial" w:cs="Arial" w:eastAsia="Arial" w:hAnsi="Arial"/>
                <w:sz w:val="14"/>
                <w:szCs w:val="14"/>
                <w:b w:val="1"/>
                <w:bCs w:val="1"/>
                <w:color w:val="auto"/>
                <w:w w:val="94"/>
              </w:rPr>
              <w:t>(Level 3)</w:t>
            </w:r>
          </w:p>
        </w:tc>
        <w:tc>
          <w:tcPr>
            <w:tcW w:w="0" w:type="dxa"/>
            <w:vAlign w:val="bottom"/>
          </w:tcPr>
          <w:p>
            <w:pPr>
              <w:spacing w:after="0"/>
              <w:rPr>
                <w:sz w:val="1"/>
                <w:szCs w:val="1"/>
                <w:color w:val="auto"/>
              </w:rPr>
            </w:pPr>
          </w:p>
        </w:tc>
      </w:tr>
      <w:tr>
        <w:trPr>
          <w:trHeight w:val="21"/>
        </w:trPr>
        <w:tc>
          <w:tcPr>
            <w:tcW w:w="20" w:type="dxa"/>
            <w:vAlign w:val="bottom"/>
            <w:tcBorders>
              <w:bottom w:val="single" w:sz="8" w:color="CCEEFF"/>
            </w:tcBorders>
          </w:tcPr>
          <w:p>
            <w:pPr>
              <w:spacing w:after="0" w:line="20" w:lineRule="exact"/>
              <w:rPr>
                <w:sz w:val="1"/>
                <w:szCs w:val="1"/>
                <w:color w:val="auto"/>
              </w:rPr>
            </w:pPr>
          </w:p>
        </w:tc>
        <w:tc>
          <w:tcPr>
            <w:tcW w:w="720" w:type="dxa"/>
            <w:vAlign w:val="bottom"/>
            <w:tcBorders>
              <w:top w:val="single" w:sz="8" w:color="auto"/>
              <w:bottom w:val="single" w:sz="8" w:color="CCEEFF"/>
            </w:tcBorders>
          </w:tcPr>
          <w:p>
            <w:pPr>
              <w:spacing w:after="0" w:line="20" w:lineRule="exact"/>
              <w:rPr>
                <w:sz w:val="1"/>
                <w:szCs w:val="1"/>
                <w:color w:val="auto"/>
              </w:rPr>
            </w:pPr>
          </w:p>
        </w:tc>
        <w:tc>
          <w:tcPr>
            <w:tcW w:w="398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44"/>
        </w:trPr>
        <w:tc>
          <w:tcPr>
            <w:tcW w:w="472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8"/>
                <w:szCs w:val="18"/>
                <w:b w:val="1"/>
                <w:bCs w:val="1"/>
                <w:color w:val="auto"/>
              </w:rPr>
              <w:t>Liabilities</w:t>
            </w: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720" w:type="dxa"/>
            <w:vAlign w:val="bottom"/>
            <w:gridSpan w:val="3"/>
          </w:tcPr>
          <w:p>
            <w:pPr>
              <w:ind w:left="20"/>
              <w:spacing w:after="0"/>
              <w:rPr>
                <w:sz w:val="20"/>
                <w:szCs w:val="20"/>
                <w:color w:val="auto"/>
              </w:rPr>
            </w:pPr>
            <w:r>
              <w:rPr>
                <w:rFonts w:ascii="Arial" w:cs="Arial" w:eastAsia="Arial" w:hAnsi="Arial"/>
                <w:sz w:val="18"/>
                <w:szCs w:val="18"/>
                <w:color w:val="auto"/>
              </w:rPr>
              <w:t>Foreign currency contracts (Note 15)</w:t>
            </w:r>
          </w:p>
        </w:tc>
        <w:tc>
          <w:tcPr>
            <w:tcW w:w="160" w:type="dxa"/>
            <w:vAlign w:val="bottom"/>
          </w:tcPr>
          <w:p>
            <w:pPr>
              <w:ind w:left="20"/>
              <w:spacing w:after="0"/>
              <w:rPr>
                <w:sz w:val="20"/>
                <w:szCs w:val="20"/>
                <w:color w:val="auto"/>
              </w:rPr>
            </w:pPr>
            <w:r>
              <w:rPr>
                <w:rFonts w:ascii="Arial" w:cs="Arial" w:eastAsia="Arial" w:hAnsi="Arial"/>
                <w:sz w:val="18"/>
                <w:szCs w:val="18"/>
                <w:color w:val="auto"/>
              </w:rPr>
              <w:t>$</w:t>
            </w:r>
          </w:p>
        </w:tc>
        <w:tc>
          <w:tcPr>
            <w:tcW w:w="1080" w:type="dxa"/>
            <w:vAlign w:val="bottom"/>
          </w:tcPr>
          <w:p>
            <w:pPr>
              <w:jc w:val="right"/>
              <w:ind w:right="17"/>
              <w:spacing w:after="0"/>
              <w:rPr>
                <w:sz w:val="20"/>
                <w:szCs w:val="20"/>
                <w:color w:val="auto"/>
              </w:rPr>
            </w:pPr>
            <w:r>
              <w:rPr>
                <w:rFonts w:ascii="Arial" w:cs="Arial" w:eastAsia="Arial" w:hAnsi="Arial"/>
                <w:sz w:val="18"/>
                <w:szCs w:val="18"/>
                <w:color w:val="auto"/>
              </w:rPr>
              <w:t>307</w:t>
            </w:r>
          </w:p>
        </w:tc>
        <w:tc>
          <w:tcPr>
            <w:tcW w:w="12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00" w:type="dxa"/>
            <w:vAlign w:val="bottom"/>
            <w:gridSpan w:val="2"/>
          </w:tcPr>
          <w:p>
            <w:pPr>
              <w:ind w:left="900"/>
              <w:spacing w:after="0"/>
              <w:rPr>
                <w:sz w:val="20"/>
                <w:szCs w:val="20"/>
                <w:color w:val="auto"/>
              </w:rPr>
            </w:pPr>
            <w:r>
              <w:rPr>
                <w:rFonts w:ascii="Arial" w:cs="Arial" w:eastAsia="Arial" w:hAnsi="Arial"/>
                <w:sz w:val="18"/>
                <w:szCs w:val="18"/>
                <w:color w:val="auto"/>
              </w:rPr>
              <w:t>—</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tcPr>
          <w:p>
            <w:pPr>
              <w:jc w:val="right"/>
              <w:ind w:right="24"/>
              <w:spacing w:after="0"/>
              <w:rPr>
                <w:sz w:val="20"/>
                <w:szCs w:val="20"/>
                <w:color w:val="auto"/>
              </w:rPr>
            </w:pPr>
            <w:r>
              <w:rPr>
                <w:rFonts w:ascii="Arial" w:cs="Arial" w:eastAsia="Arial" w:hAnsi="Arial"/>
                <w:sz w:val="18"/>
                <w:szCs w:val="18"/>
                <w:color w:val="auto"/>
              </w:rPr>
              <w:t>307</w:t>
            </w:r>
          </w:p>
        </w:tc>
        <w:tc>
          <w:tcPr>
            <w:tcW w:w="10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60" w:type="dxa"/>
            <w:vAlign w:val="bottom"/>
          </w:tcPr>
          <w:p>
            <w:pPr>
              <w:ind w:left="8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359"/>
        </w:trPr>
        <w:tc>
          <w:tcPr>
            <w:tcW w:w="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398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740" w:type="dxa"/>
            <w:vAlign w:val="bottom"/>
            <w:tcBorders>
              <w:bottom w:val="single" w:sz="8" w:color="auto"/>
            </w:tcBorders>
            <w:gridSpan w:val="5"/>
          </w:tcPr>
          <w:p>
            <w:pPr>
              <w:ind w:left="320"/>
              <w:spacing w:after="0"/>
              <w:rPr>
                <w:sz w:val="20"/>
                <w:szCs w:val="20"/>
                <w:color w:val="auto"/>
              </w:rPr>
            </w:pPr>
            <w:r>
              <w:rPr>
                <w:rFonts w:ascii="Arial" w:cs="Arial" w:eastAsia="Arial" w:hAnsi="Arial"/>
                <w:sz w:val="14"/>
                <w:szCs w:val="14"/>
                <w:b w:val="1"/>
                <w:bCs w:val="1"/>
                <w:color w:val="auto"/>
              </w:rPr>
              <w:t>Fair Value Measurements Using</w:t>
            </w:r>
          </w:p>
        </w:tc>
        <w:tc>
          <w:tcPr>
            <w:tcW w:w="20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2"/>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39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300" w:type="dxa"/>
            <w:vAlign w:val="bottom"/>
            <w:gridSpan w:val="2"/>
          </w:tcPr>
          <w:p>
            <w:pPr>
              <w:jc w:val="center"/>
              <w:ind w:right="280"/>
              <w:spacing w:after="0" w:line="153" w:lineRule="exact"/>
              <w:rPr>
                <w:sz w:val="20"/>
                <w:szCs w:val="20"/>
                <w:color w:val="auto"/>
              </w:rPr>
            </w:pPr>
            <w:r>
              <w:rPr>
                <w:rFonts w:ascii="Arial" w:cs="Arial" w:eastAsia="Arial" w:hAnsi="Arial"/>
                <w:sz w:val="14"/>
                <w:szCs w:val="14"/>
                <w:b w:val="1"/>
                <w:bCs w:val="1"/>
                <w:color w:val="auto"/>
                <w:w w:val="93"/>
              </w:rPr>
              <w:t>Quoted</w:t>
            </w:r>
          </w:p>
        </w:tc>
        <w:tc>
          <w:tcPr>
            <w:tcW w:w="220" w:type="dxa"/>
            <w:vAlign w:val="bottom"/>
          </w:tcPr>
          <w:p>
            <w:pPr>
              <w:spacing w:after="0"/>
              <w:rPr>
                <w:sz w:val="13"/>
                <w:szCs w:val="13"/>
                <w:color w:val="auto"/>
              </w:rPr>
            </w:pPr>
          </w:p>
        </w:tc>
        <w:tc>
          <w:tcPr>
            <w:tcW w:w="1220" w:type="dxa"/>
            <w:vAlign w:val="bottom"/>
            <w:gridSpan w:val="2"/>
            <w:vMerge w:val="restart"/>
          </w:tcPr>
          <w:p>
            <w:pPr>
              <w:jc w:val="center"/>
              <w:ind w:right="320"/>
              <w:spacing w:after="0"/>
              <w:rPr>
                <w:sz w:val="20"/>
                <w:szCs w:val="20"/>
                <w:color w:val="auto"/>
              </w:rPr>
            </w:pPr>
            <w:r>
              <w:rPr>
                <w:rFonts w:ascii="Arial" w:cs="Arial" w:eastAsia="Arial" w:hAnsi="Arial"/>
                <w:sz w:val="14"/>
                <w:szCs w:val="14"/>
                <w:b w:val="1"/>
                <w:bCs w:val="1"/>
                <w:color w:val="auto"/>
                <w:w w:val="92"/>
              </w:rPr>
              <w:t>Significant</w:t>
            </w:r>
          </w:p>
        </w:tc>
        <w:tc>
          <w:tcPr>
            <w:tcW w:w="20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39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30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2"/>
              </w:rPr>
              <w:t>Prices in</w:t>
            </w:r>
          </w:p>
        </w:tc>
        <w:tc>
          <w:tcPr>
            <w:tcW w:w="220" w:type="dxa"/>
            <w:vAlign w:val="bottom"/>
          </w:tcPr>
          <w:p>
            <w:pPr>
              <w:spacing w:after="0"/>
              <w:rPr>
                <w:sz w:val="12"/>
                <w:szCs w:val="12"/>
                <w:color w:val="auto"/>
              </w:rPr>
            </w:pPr>
          </w:p>
        </w:tc>
        <w:tc>
          <w:tcPr>
            <w:tcW w:w="1220" w:type="dxa"/>
            <w:vAlign w:val="bottom"/>
            <w:gridSpan w:val="2"/>
            <w:vMerge w:val="continue"/>
          </w:tcPr>
          <w:p>
            <w:pPr>
              <w:spacing w:after="0"/>
              <w:rPr>
                <w:sz w:val="12"/>
                <w:szCs w:val="12"/>
                <w:color w:val="auto"/>
              </w:rPr>
            </w:pPr>
          </w:p>
        </w:tc>
        <w:tc>
          <w:tcPr>
            <w:tcW w:w="200" w:type="dxa"/>
            <w:vAlign w:val="bottom"/>
          </w:tcPr>
          <w:p>
            <w:pPr>
              <w:spacing w:after="0"/>
              <w:rPr>
                <w:sz w:val="12"/>
                <w:szCs w:val="12"/>
                <w:color w:val="auto"/>
              </w:rPr>
            </w:pPr>
          </w:p>
        </w:tc>
        <w:tc>
          <w:tcPr>
            <w:tcW w:w="1160" w:type="dxa"/>
            <w:vAlign w:val="bottom"/>
            <w:vMerge w:val="restart"/>
          </w:tcPr>
          <w:p>
            <w:pPr>
              <w:jc w:val="center"/>
              <w:ind w:right="103"/>
              <w:spacing w:after="0"/>
              <w:rPr>
                <w:sz w:val="20"/>
                <w:szCs w:val="20"/>
                <w:color w:val="auto"/>
              </w:rPr>
            </w:pPr>
            <w:r>
              <w:rPr>
                <w:rFonts w:ascii="Arial" w:cs="Arial" w:eastAsia="Arial" w:hAnsi="Arial"/>
                <w:sz w:val="14"/>
                <w:szCs w:val="14"/>
                <w:b w:val="1"/>
                <w:bCs w:val="1"/>
                <w:color w:val="auto"/>
                <w:w w:val="92"/>
              </w:rPr>
              <w:t>Significant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39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30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5"/>
              </w:rPr>
              <w:t>Active Markets</w:t>
            </w:r>
          </w:p>
        </w:tc>
        <w:tc>
          <w:tcPr>
            <w:tcW w:w="220" w:type="dxa"/>
            <w:vAlign w:val="bottom"/>
          </w:tcPr>
          <w:p>
            <w:pPr>
              <w:spacing w:after="0"/>
              <w:rPr>
                <w:sz w:val="12"/>
                <w:szCs w:val="12"/>
                <w:color w:val="auto"/>
              </w:rPr>
            </w:pPr>
          </w:p>
        </w:tc>
        <w:tc>
          <w:tcPr>
            <w:tcW w:w="122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6"/>
              </w:rPr>
              <w:t>Other</w:t>
            </w:r>
          </w:p>
        </w:tc>
        <w:tc>
          <w:tcPr>
            <w:tcW w:w="200" w:type="dxa"/>
            <w:vAlign w:val="bottom"/>
          </w:tcPr>
          <w:p>
            <w:pPr>
              <w:spacing w:after="0"/>
              <w:rPr>
                <w:sz w:val="12"/>
                <w:szCs w:val="12"/>
                <w:color w:val="auto"/>
              </w:rPr>
            </w:pPr>
          </w:p>
        </w:tc>
        <w:tc>
          <w:tcPr>
            <w:tcW w:w="11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39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At January 2,</w:t>
            </w:r>
          </w:p>
        </w:tc>
        <w:tc>
          <w:tcPr>
            <w:tcW w:w="160" w:type="dxa"/>
            <w:vAlign w:val="bottom"/>
          </w:tcPr>
          <w:p>
            <w:pPr>
              <w:spacing w:after="0"/>
              <w:rPr>
                <w:sz w:val="12"/>
                <w:szCs w:val="12"/>
                <w:color w:val="auto"/>
              </w:rPr>
            </w:pPr>
          </w:p>
        </w:tc>
        <w:tc>
          <w:tcPr>
            <w:tcW w:w="130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5"/>
              </w:rPr>
              <w:t>for Identical</w:t>
            </w:r>
          </w:p>
        </w:tc>
        <w:tc>
          <w:tcPr>
            <w:tcW w:w="220" w:type="dxa"/>
            <w:vAlign w:val="bottom"/>
          </w:tcPr>
          <w:p>
            <w:pPr>
              <w:spacing w:after="0"/>
              <w:rPr>
                <w:sz w:val="12"/>
                <w:szCs w:val="12"/>
                <w:color w:val="auto"/>
              </w:rPr>
            </w:pPr>
          </w:p>
        </w:tc>
        <w:tc>
          <w:tcPr>
            <w:tcW w:w="122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1"/>
              </w:rPr>
              <w:t>Observable</w:t>
            </w:r>
          </w:p>
        </w:tc>
        <w:tc>
          <w:tcPr>
            <w:tcW w:w="200" w:type="dxa"/>
            <w:vAlign w:val="bottom"/>
          </w:tcPr>
          <w:p>
            <w:pPr>
              <w:spacing w:after="0"/>
              <w:rPr>
                <w:sz w:val="12"/>
                <w:szCs w:val="12"/>
                <w:color w:val="auto"/>
              </w:rPr>
            </w:pPr>
          </w:p>
        </w:tc>
        <w:tc>
          <w:tcPr>
            <w:tcW w:w="1160" w:type="dxa"/>
            <w:vAlign w:val="bottom"/>
          </w:tcPr>
          <w:p>
            <w:pPr>
              <w:jc w:val="center"/>
              <w:ind w:right="123"/>
              <w:spacing w:after="0" w:line="149" w:lineRule="exact"/>
              <w:rPr>
                <w:sz w:val="20"/>
                <w:szCs w:val="20"/>
                <w:color w:val="auto"/>
              </w:rPr>
            </w:pPr>
            <w:r>
              <w:rPr>
                <w:rFonts w:ascii="Arial" w:cs="Arial" w:eastAsia="Arial" w:hAnsi="Arial"/>
                <w:sz w:val="14"/>
                <w:szCs w:val="14"/>
                <w:b w:val="1"/>
                <w:bCs w:val="1"/>
                <w:color w:val="auto"/>
                <w:w w:val="90"/>
              </w:rPr>
              <w:t>Unobservable</w:t>
            </w:r>
          </w:p>
        </w:tc>
        <w:tc>
          <w:tcPr>
            <w:tcW w:w="0" w:type="dxa"/>
            <w:vAlign w:val="bottom"/>
          </w:tcPr>
          <w:p>
            <w:pPr>
              <w:spacing w:after="0"/>
              <w:rPr>
                <w:sz w:val="1"/>
                <w:szCs w:val="1"/>
                <w:color w:val="auto"/>
              </w:rPr>
            </w:pPr>
          </w:p>
        </w:tc>
      </w:tr>
      <w:tr>
        <w:trPr>
          <w:trHeight w:val="149"/>
        </w:trPr>
        <w:tc>
          <w:tcPr>
            <w:tcW w:w="4720" w:type="dxa"/>
            <w:vAlign w:val="bottom"/>
            <w:gridSpan w:val="3"/>
            <w:vMerge w:val="restart"/>
          </w:tcPr>
          <w:p>
            <w:pPr>
              <w:ind w:left="20"/>
              <w:spacing w:after="0"/>
              <w:rPr>
                <w:sz w:val="20"/>
                <w:szCs w:val="20"/>
                <w:color w:val="auto"/>
              </w:rPr>
            </w:pPr>
            <w:r>
              <w:rPr>
                <w:rFonts w:ascii="Arial" w:cs="Arial" w:eastAsia="Arial" w:hAnsi="Arial"/>
                <w:sz w:val="14"/>
                <w:szCs w:val="14"/>
                <w:b w:val="1"/>
                <w:bCs w:val="1"/>
                <w:color w:val="auto"/>
              </w:rPr>
              <w:t>Description</w:t>
            </w:r>
          </w:p>
        </w:tc>
        <w:tc>
          <w:tcPr>
            <w:tcW w:w="160" w:type="dxa"/>
            <w:vAlign w:val="bottom"/>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30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2"/>
              </w:rPr>
              <w:t>Assets</w:t>
            </w:r>
          </w:p>
        </w:tc>
        <w:tc>
          <w:tcPr>
            <w:tcW w:w="220" w:type="dxa"/>
            <w:vAlign w:val="bottom"/>
          </w:tcPr>
          <w:p>
            <w:pPr>
              <w:spacing w:after="0"/>
              <w:rPr>
                <w:sz w:val="12"/>
                <w:szCs w:val="12"/>
                <w:color w:val="auto"/>
              </w:rPr>
            </w:pPr>
          </w:p>
        </w:tc>
        <w:tc>
          <w:tcPr>
            <w:tcW w:w="122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5"/>
              </w:rPr>
              <w:t>Inputs</w:t>
            </w:r>
          </w:p>
        </w:tc>
        <w:tc>
          <w:tcPr>
            <w:tcW w:w="200" w:type="dxa"/>
            <w:vAlign w:val="bottom"/>
          </w:tcPr>
          <w:p>
            <w:pPr>
              <w:spacing w:after="0"/>
              <w:rPr>
                <w:sz w:val="12"/>
                <w:szCs w:val="12"/>
                <w:color w:val="auto"/>
              </w:rPr>
            </w:pPr>
          </w:p>
        </w:tc>
        <w:tc>
          <w:tcPr>
            <w:tcW w:w="1160" w:type="dxa"/>
            <w:vAlign w:val="bottom"/>
          </w:tcPr>
          <w:p>
            <w:pPr>
              <w:jc w:val="center"/>
              <w:ind w:right="123"/>
              <w:spacing w:after="0" w:line="149" w:lineRule="exact"/>
              <w:rPr>
                <w:sz w:val="20"/>
                <w:szCs w:val="20"/>
                <w:color w:val="auto"/>
              </w:rPr>
            </w:pPr>
            <w:r>
              <w:rPr>
                <w:rFonts w:ascii="Arial" w:cs="Arial" w:eastAsia="Arial" w:hAnsi="Arial"/>
                <w:sz w:val="14"/>
                <w:szCs w:val="14"/>
                <w:b w:val="1"/>
                <w:bCs w:val="1"/>
                <w:color w:val="auto"/>
                <w:w w:val="95"/>
              </w:rPr>
              <w:t>Inputs</w:t>
            </w:r>
          </w:p>
        </w:tc>
        <w:tc>
          <w:tcPr>
            <w:tcW w:w="0" w:type="dxa"/>
            <w:vAlign w:val="bottom"/>
          </w:tcPr>
          <w:p>
            <w:pPr>
              <w:spacing w:after="0"/>
              <w:rPr>
                <w:sz w:val="1"/>
                <w:szCs w:val="1"/>
                <w:color w:val="auto"/>
              </w:rPr>
            </w:pPr>
          </w:p>
        </w:tc>
      </w:tr>
      <w:tr>
        <w:trPr>
          <w:trHeight w:val="158"/>
        </w:trPr>
        <w:tc>
          <w:tcPr>
            <w:tcW w:w="4720" w:type="dxa"/>
            <w:vAlign w:val="bottom"/>
            <w:gridSpan w:val="3"/>
            <w:vMerge w:val="continue"/>
          </w:tcPr>
          <w:p>
            <w:pPr>
              <w:spacing w:after="0"/>
              <w:rPr>
                <w:sz w:val="13"/>
                <w:szCs w:val="13"/>
                <w:color w:val="auto"/>
              </w:rPr>
            </w:pPr>
          </w:p>
        </w:tc>
        <w:tc>
          <w:tcPr>
            <w:tcW w:w="160" w:type="dxa"/>
            <w:vAlign w:val="bottom"/>
          </w:tcPr>
          <w:p>
            <w:pPr>
              <w:spacing w:after="0"/>
              <w:rPr>
                <w:sz w:val="13"/>
                <w:szCs w:val="13"/>
                <w:color w:val="auto"/>
              </w:rPr>
            </w:pPr>
          </w:p>
        </w:tc>
        <w:tc>
          <w:tcPr>
            <w:tcW w:w="1080" w:type="dxa"/>
            <w:vAlign w:val="bottom"/>
          </w:tcPr>
          <w:p>
            <w:pPr>
              <w:jc w:val="right"/>
              <w:ind w:right="397"/>
              <w:spacing w:after="0" w:line="158" w:lineRule="exact"/>
              <w:rPr>
                <w:sz w:val="20"/>
                <w:szCs w:val="20"/>
                <w:color w:val="auto"/>
              </w:rPr>
            </w:pPr>
            <w:r>
              <w:rPr>
                <w:rFonts w:ascii="Arial" w:cs="Arial" w:eastAsia="Arial" w:hAnsi="Arial"/>
                <w:sz w:val="14"/>
                <w:szCs w:val="14"/>
                <w:b w:val="1"/>
                <w:bCs w:val="1"/>
                <w:color w:val="auto"/>
              </w:rPr>
              <w:t>2015</w:t>
            </w: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300" w:type="dxa"/>
            <w:vAlign w:val="bottom"/>
            <w:gridSpan w:val="2"/>
          </w:tcPr>
          <w:p>
            <w:pPr>
              <w:jc w:val="center"/>
              <w:ind w:right="280"/>
              <w:spacing w:after="0" w:line="158" w:lineRule="exact"/>
              <w:rPr>
                <w:sz w:val="20"/>
                <w:szCs w:val="20"/>
                <w:color w:val="auto"/>
              </w:rPr>
            </w:pPr>
            <w:r>
              <w:rPr>
                <w:rFonts w:ascii="Arial" w:cs="Arial" w:eastAsia="Arial" w:hAnsi="Arial"/>
                <w:sz w:val="14"/>
                <w:szCs w:val="14"/>
                <w:b w:val="1"/>
                <w:bCs w:val="1"/>
                <w:color w:val="auto"/>
                <w:w w:val="94"/>
              </w:rPr>
              <w:t>(Level 1)</w:t>
            </w:r>
          </w:p>
        </w:tc>
        <w:tc>
          <w:tcPr>
            <w:tcW w:w="220" w:type="dxa"/>
            <w:vAlign w:val="bottom"/>
          </w:tcPr>
          <w:p>
            <w:pPr>
              <w:spacing w:after="0"/>
              <w:rPr>
                <w:sz w:val="13"/>
                <w:szCs w:val="13"/>
                <w:color w:val="auto"/>
              </w:rPr>
            </w:pPr>
          </w:p>
        </w:tc>
        <w:tc>
          <w:tcPr>
            <w:tcW w:w="1220" w:type="dxa"/>
            <w:vAlign w:val="bottom"/>
            <w:gridSpan w:val="2"/>
          </w:tcPr>
          <w:p>
            <w:pPr>
              <w:jc w:val="center"/>
              <w:ind w:right="320"/>
              <w:spacing w:after="0" w:line="158" w:lineRule="exact"/>
              <w:rPr>
                <w:sz w:val="20"/>
                <w:szCs w:val="20"/>
                <w:color w:val="auto"/>
              </w:rPr>
            </w:pPr>
            <w:r>
              <w:rPr>
                <w:rFonts w:ascii="Arial" w:cs="Arial" w:eastAsia="Arial" w:hAnsi="Arial"/>
                <w:sz w:val="14"/>
                <w:szCs w:val="14"/>
                <w:b w:val="1"/>
                <w:bCs w:val="1"/>
                <w:color w:val="auto"/>
                <w:w w:val="94"/>
              </w:rPr>
              <w:t>(Level 2)</w:t>
            </w:r>
          </w:p>
        </w:tc>
        <w:tc>
          <w:tcPr>
            <w:tcW w:w="200" w:type="dxa"/>
            <w:vAlign w:val="bottom"/>
          </w:tcPr>
          <w:p>
            <w:pPr>
              <w:spacing w:after="0"/>
              <w:rPr>
                <w:sz w:val="13"/>
                <w:szCs w:val="13"/>
                <w:color w:val="auto"/>
              </w:rPr>
            </w:pPr>
          </w:p>
        </w:tc>
        <w:tc>
          <w:tcPr>
            <w:tcW w:w="1160" w:type="dxa"/>
            <w:vAlign w:val="bottom"/>
          </w:tcPr>
          <w:p>
            <w:pPr>
              <w:jc w:val="center"/>
              <w:ind w:right="103"/>
              <w:spacing w:after="0" w:line="158" w:lineRule="exact"/>
              <w:rPr>
                <w:sz w:val="20"/>
                <w:szCs w:val="20"/>
                <w:color w:val="auto"/>
              </w:rPr>
            </w:pPr>
            <w:r>
              <w:rPr>
                <w:rFonts w:ascii="Arial" w:cs="Arial" w:eastAsia="Arial" w:hAnsi="Arial"/>
                <w:sz w:val="14"/>
                <w:szCs w:val="14"/>
                <w:b w:val="1"/>
                <w:bCs w:val="1"/>
                <w:color w:val="auto"/>
                <w:w w:val="94"/>
              </w:rPr>
              <w:t>(Level 3)</w:t>
            </w:r>
          </w:p>
        </w:tc>
        <w:tc>
          <w:tcPr>
            <w:tcW w:w="0" w:type="dxa"/>
            <w:vAlign w:val="bottom"/>
          </w:tcPr>
          <w:p>
            <w:pPr>
              <w:spacing w:after="0"/>
              <w:rPr>
                <w:sz w:val="1"/>
                <w:szCs w:val="1"/>
                <w:color w:val="auto"/>
              </w:rPr>
            </w:pPr>
          </w:p>
        </w:tc>
      </w:tr>
      <w:tr>
        <w:trPr>
          <w:trHeight w:val="21"/>
        </w:trPr>
        <w:tc>
          <w:tcPr>
            <w:tcW w:w="20" w:type="dxa"/>
            <w:vAlign w:val="bottom"/>
            <w:tcBorders>
              <w:bottom w:val="single" w:sz="8" w:color="CCEEFF"/>
            </w:tcBorders>
          </w:tcPr>
          <w:p>
            <w:pPr>
              <w:spacing w:after="0" w:line="20" w:lineRule="exact"/>
              <w:rPr>
                <w:sz w:val="1"/>
                <w:szCs w:val="1"/>
                <w:color w:val="auto"/>
              </w:rPr>
            </w:pPr>
          </w:p>
        </w:tc>
        <w:tc>
          <w:tcPr>
            <w:tcW w:w="720" w:type="dxa"/>
            <w:vAlign w:val="bottom"/>
            <w:tcBorders>
              <w:top w:val="single" w:sz="8" w:color="auto"/>
              <w:bottom w:val="single" w:sz="8" w:color="CCEEFF"/>
            </w:tcBorders>
          </w:tcPr>
          <w:p>
            <w:pPr>
              <w:spacing w:after="0" w:line="20" w:lineRule="exact"/>
              <w:rPr>
                <w:sz w:val="1"/>
                <w:szCs w:val="1"/>
                <w:color w:val="auto"/>
              </w:rPr>
            </w:pPr>
          </w:p>
        </w:tc>
        <w:tc>
          <w:tcPr>
            <w:tcW w:w="398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44"/>
        </w:trPr>
        <w:tc>
          <w:tcPr>
            <w:tcW w:w="472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8"/>
                <w:szCs w:val="18"/>
                <w:b w:val="1"/>
                <w:bCs w:val="1"/>
                <w:color w:val="auto"/>
              </w:rPr>
              <w:t>Liabilities</w:t>
            </w: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720" w:type="dxa"/>
            <w:vAlign w:val="bottom"/>
            <w:gridSpan w:val="3"/>
          </w:tcPr>
          <w:p>
            <w:pPr>
              <w:ind w:left="20"/>
              <w:spacing w:after="0"/>
              <w:rPr>
                <w:sz w:val="20"/>
                <w:szCs w:val="20"/>
                <w:color w:val="auto"/>
              </w:rPr>
            </w:pPr>
            <w:r>
              <w:rPr>
                <w:rFonts w:ascii="Arial" w:cs="Arial" w:eastAsia="Arial" w:hAnsi="Arial"/>
                <w:sz w:val="18"/>
                <w:szCs w:val="18"/>
                <w:color w:val="auto"/>
              </w:rPr>
              <w:t>Foreign currency contracts</w:t>
            </w:r>
          </w:p>
        </w:tc>
        <w:tc>
          <w:tcPr>
            <w:tcW w:w="160" w:type="dxa"/>
            <w:vAlign w:val="bottom"/>
          </w:tcPr>
          <w:p>
            <w:pPr>
              <w:ind w:left="20"/>
              <w:spacing w:after="0"/>
              <w:rPr>
                <w:sz w:val="20"/>
                <w:szCs w:val="20"/>
                <w:color w:val="auto"/>
              </w:rPr>
            </w:pPr>
            <w:r>
              <w:rPr>
                <w:rFonts w:ascii="Arial" w:cs="Arial" w:eastAsia="Arial" w:hAnsi="Arial"/>
                <w:sz w:val="18"/>
                <w:szCs w:val="18"/>
                <w:color w:val="auto"/>
              </w:rPr>
              <w:t>$</w:t>
            </w:r>
          </w:p>
        </w:tc>
        <w:tc>
          <w:tcPr>
            <w:tcW w:w="1080" w:type="dxa"/>
            <w:vAlign w:val="bottom"/>
          </w:tcPr>
          <w:p>
            <w:pPr>
              <w:jc w:val="right"/>
              <w:ind w:right="17"/>
              <w:spacing w:after="0"/>
              <w:rPr>
                <w:sz w:val="20"/>
                <w:szCs w:val="20"/>
                <w:color w:val="auto"/>
              </w:rPr>
            </w:pPr>
            <w:r>
              <w:rPr>
                <w:rFonts w:ascii="Arial" w:cs="Arial" w:eastAsia="Arial" w:hAnsi="Arial"/>
                <w:sz w:val="18"/>
                <w:szCs w:val="18"/>
                <w:color w:val="auto"/>
              </w:rPr>
              <w:t>1,568</w:t>
            </w:r>
          </w:p>
        </w:tc>
        <w:tc>
          <w:tcPr>
            <w:tcW w:w="12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00" w:type="dxa"/>
            <w:vAlign w:val="bottom"/>
            <w:gridSpan w:val="2"/>
          </w:tcPr>
          <w:p>
            <w:pPr>
              <w:ind w:left="900"/>
              <w:spacing w:after="0"/>
              <w:rPr>
                <w:sz w:val="20"/>
                <w:szCs w:val="20"/>
                <w:color w:val="auto"/>
              </w:rPr>
            </w:pPr>
            <w:r>
              <w:rPr>
                <w:rFonts w:ascii="Arial" w:cs="Arial" w:eastAsia="Arial" w:hAnsi="Arial"/>
                <w:sz w:val="18"/>
                <w:szCs w:val="18"/>
                <w:color w:val="auto"/>
              </w:rPr>
              <w:t>—</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tcPr>
          <w:p>
            <w:pPr>
              <w:jc w:val="right"/>
              <w:ind w:right="24"/>
              <w:spacing w:after="0"/>
              <w:rPr>
                <w:sz w:val="20"/>
                <w:szCs w:val="20"/>
                <w:color w:val="auto"/>
              </w:rPr>
            </w:pPr>
            <w:r>
              <w:rPr>
                <w:rFonts w:ascii="Arial" w:cs="Arial" w:eastAsia="Arial" w:hAnsi="Arial"/>
                <w:sz w:val="18"/>
                <w:szCs w:val="18"/>
                <w:color w:val="auto"/>
              </w:rPr>
              <w:t>1,568</w:t>
            </w:r>
          </w:p>
        </w:tc>
        <w:tc>
          <w:tcPr>
            <w:tcW w:w="10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60" w:type="dxa"/>
            <w:vAlign w:val="bottom"/>
          </w:tcPr>
          <w:p>
            <w:pPr>
              <w:ind w:left="8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720" w:type="dxa"/>
            <w:vAlign w:val="bottom"/>
          </w:tcPr>
          <w:p>
            <w:pPr>
              <w:spacing w:after="0"/>
              <w:rPr>
                <w:sz w:val="2"/>
                <w:szCs w:val="2"/>
                <w:color w:val="auto"/>
              </w:rPr>
            </w:pPr>
          </w:p>
        </w:tc>
        <w:tc>
          <w:tcPr>
            <w:tcW w:w="39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0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3"/>
        </w:trPr>
        <w:tc>
          <w:tcPr>
            <w:tcW w:w="4720" w:type="dxa"/>
            <w:vAlign w:val="bottom"/>
            <w:gridSpan w:val="3"/>
            <w:shd w:val="clear" w:color="auto" w:fill="CCEEFF"/>
          </w:tcPr>
          <w:p>
            <w:pPr>
              <w:ind w:left="20"/>
              <w:spacing w:after="0"/>
              <w:rPr>
                <w:sz w:val="20"/>
                <w:szCs w:val="20"/>
                <w:color w:val="auto"/>
              </w:rPr>
            </w:pPr>
            <w:r>
              <w:rPr>
                <w:rFonts w:ascii="Arial" w:cs="Arial" w:eastAsia="Arial" w:hAnsi="Arial"/>
                <w:sz w:val="18"/>
                <w:szCs w:val="18"/>
                <w:color w:val="auto"/>
              </w:rPr>
              <w:t>Interest rate swaps</w:t>
            </w:r>
          </w:p>
        </w:tc>
        <w:tc>
          <w:tcPr>
            <w:tcW w:w="160" w:type="dxa"/>
            <w:vAlign w:val="bottom"/>
            <w:shd w:val="clear" w:color="auto" w:fill="CCEEFF"/>
          </w:tcPr>
          <w:p>
            <w:pPr>
              <w:spacing w:after="0"/>
              <w:rPr>
                <w:sz w:val="21"/>
                <w:szCs w:val="21"/>
                <w:color w:val="auto"/>
              </w:rPr>
            </w:pPr>
          </w:p>
        </w:tc>
        <w:tc>
          <w:tcPr>
            <w:tcW w:w="108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rPr>
              <w:t>990</w:t>
            </w:r>
          </w:p>
        </w:tc>
        <w:tc>
          <w:tcPr>
            <w:tcW w:w="12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300" w:type="dxa"/>
            <w:vAlign w:val="bottom"/>
            <w:gridSpan w:val="2"/>
            <w:shd w:val="clear" w:color="auto" w:fill="CCEEFF"/>
          </w:tcPr>
          <w:p>
            <w:pPr>
              <w:ind w:left="90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21"/>
                <w:szCs w:val="21"/>
                <w:color w:val="auto"/>
              </w:rPr>
            </w:pPr>
          </w:p>
        </w:tc>
        <w:tc>
          <w:tcPr>
            <w:tcW w:w="1120" w:type="dxa"/>
            <w:vAlign w:val="bottom"/>
            <w:shd w:val="clear" w:color="auto" w:fill="CCEEFF"/>
          </w:tcPr>
          <w:p>
            <w:pPr>
              <w:jc w:val="right"/>
              <w:ind w:right="24"/>
              <w:spacing w:after="0"/>
              <w:rPr>
                <w:sz w:val="20"/>
                <w:szCs w:val="20"/>
                <w:color w:val="auto"/>
              </w:rPr>
            </w:pPr>
            <w:r>
              <w:rPr>
                <w:rFonts w:ascii="Arial" w:cs="Arial" w:eastAsia="Arial" w:hAnsi="Arial"/>
                <w:sz w:val="18"/>
                <w:szCs w:val="18"/>
                <w:color w:val="auto"/>
              </w:rPr>
              <w:t>990</w:t>
            </w:r>
          </w:p>
        </w:tc>
        <w:tc>
          <w:tcPr>
            <w:tcW w:w="10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1160" w:type="dxa"/>
            <w:vAlign w:val="bottom"/>
            <w:shd w:val="clear" w:color="auto" w:fill="CCEEFF"/>
          </w:tcPr>
          <w:p>
            <w:pPr>
              <w:ind w:left="8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20" w:type="dxa"/>
            <w:vAlign w:val="bottom"/>
            <w:shd w:val="clear" w:color="auto" w:fill="CCEEFF"/>
          </w:tcPr>
          <w:p>
            <w:pPr>
              <w:spacing w:after="0"/>
              <w:rPr>
                <w:sz w:val="2"/>
                <w:szCs w:val="2"/>
                <w:color w:val="auto"/>
              </w:rPr>
            </w:pPr>
          </w:p>
        </w:tc>
        <w:tc>
          <w:tcPr>
            <w:tcW w:w="720" w:type="dxa"/>
            <w:vAlign w:val="bottom"/>
            <w:shd w:val="clear" w:color="auto" w:fill="CCEEFF"/>
          </w:tcPr>
          <w:p>
            <w:pPr>
              <w:spacing w:after="0"/>
              <w:rPr>
                <w:sz w:val="2"/>
                <w:szCs w:val="2"/>
                <w:color w:val="auto"/>
              </w:rPr>
            </w:pPr>
          </w:p>
        </w:tc>
        <w:tc>
          <w:tcPr>
            <w:tcW w:w="3980" w:type="dxa"/>
            <w:vAlign w:val="bottom"/>
            <w:shd w:val="clear" w:color="auto" w:fill="CCEEFF"/>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10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11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116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u w:val="single" w:color="auto"/>
          <w:color w:val="auto"/>
        </w:rPr>
        <w:t>Assets and Liabilities Measured at Fair Value on a Nonrecurring Basis</w:t>
      </w:r>
    </w:p>
    <w:p>
      <w:pPr>
        <w:spacing w:after="0" w:line="225" w:lineRule="exact"/>
        <w:rPr>
          <w:sz w:val="20"/>
          <w:szCs w:val="20"/>
          <w:color w:val="auto"/>
        </w:rPr>
      </w:pPr>
    </w:p>
    <w:p>
      <w:pPr>
        <w:ind w:right="40"/>
        <w:spacing w:after="0" w:line="286" w:lineRule="auto"/>
        <w:rPr>
          <w:sz w:val="20"/>
          <w:szCs w:val="20"/>
          <w:color w:val="auto"/>
        </w:rPr>
      </w:pPr>
      <w:r>
        <w:rPr>
          <w:rFonts w:ascii="Arial" w:cs="Arial" w:eastAsia="Arial" w:hAnsi="Arial"/>
          <w:sz w:val="17"/>
          <w:szCs w:val="17"/>
          <w:color w:val="auto"/>
        </w:rPr>
        <w:t>Fair value standards also apply to certain assets and liabilities that are measured at fair value on a nonrecurring basis. The carrying amounts of cash, accounts receivable, accounts payable and accrued expenses approximate fair value due to the short-term nature of these items. Refer to Note 9 “Debt” for further discussion regarding the fair value of the Company’s Senior Secured Credit Facilities and Senior Notes.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color w:val="auto"/>
        </w:rPr>
        <w:t>A summary of the valuation methodologies for assets and liabilities measured on a nonrecurring basis is as follows:</w:t>
      </w:r>
    </w:p>
    <w:p>
      <w:pPr>
        <w:spacing w:after="0" w:line="225" w:lineRule="exact"/>
        <w:rPr>
          <w:sz w:val="20"/>
          <w:szCs w:val="20"/>
          <w:color w:val="auto"/>
        </w:rPr>
      </w:pPr>
    </w:p>
    <w:p>
      <w:pPr>
        <w:ind w:right="100"/>
        <w:spacing w:after="0" w:line="289" w:lineRule="auto"/>
        <w:rPr>
          <w:sz w:val="20"/>
          <w:szCs w:val="20"/>
          <w:color w:val="auto"/>
        </w:rPr>
      </w:pPr>
      <w:r>
        <w:rPr>
          <w:rFonts w:ascii="Arial" w:cs="Arial" w:eastAsia="Arial" w:hAnsi="Arial"/>
          <w:sz w:val="16"/>
          <w:szCs w:val="16"/>
          <w:b w:val="1"/>
          <w:bCs w:val="1"/>
          <w:i w:val="1"/>
          <w:iCs w:val="1"/>
          <w:color w:val="auto"/>
        </w:rPr>
        <w:t xml:space="preserve">Cost and Equity Method Investments </w:t>
      </w:r>
      <w:r>
        <w:rPr>
          <w:rFonts w:ascii="Arial" w:cs="Arial" w:eastAsia="Arial" w:hAnsi="Arial"/>
          <w:sz w:val="16"/>
          <w:szCs w:val="16"/>
          <w:color w:val="auto"/>
        </w:rPr>
        <w:t>– The Company holds investments in equity and other securities that are accounted for as either cost or equity</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method investments, which are classified in Other Assets on the Consolidated Balance Sheets. The total carrying value of these investments is reviewed quarterly for changes in circumstance or the occurrence of events that suggest the Company’s investment may not be recoverable. The fair value of cost or equity method investments is not adjusted if there are no identified events or changes in circumstances that may have a material effect on the fair value of the investments. Gains and losses realized on cost and equity method investments are recorded in Other (Income) Expense, Net, unless separately stated. The aggregate recorded amount of cost and equity method investments at January 1, 2016 and January 2, 2015 was $20.6 million and $14.5 million, respectively. The Company’s equity method investment is in a Chinese venture capital fund focused on investing in life sciences companies. This fund accounts for its investments at fair value with the unrealized change in fair value of these investments recorded as income or loss to the fund in the period of change. As of January 1, 2016, the Company owned 6.7% of this fund.</w:t>
      </w:r>
    </w:p>
    <w:p>
      <w:pPr>
        <w:spacing w:after="0" w:line="167" w:lineRule="exact"/>
        <w:rPr>
          <w:sz w:val="20"/>
          <w:szCs w:val="20"/>
          <w:color w:val="auto"/>
        </w:rPr>
      </w:pPr>
    </w:p>
    <w:p>
      <w:pPr>
        <w:spacing w:after="0"/>
        <w:rPr>
          <w:sz w:val="20"/>
          <w:szCs w:val="20"/>
          <w:color w:val="auto"/>
        </w:rPr>
      </w:pPr>
      <w:r>
        <w:rPr>
          <w:rFonts w:ascii="Arial" w:cs="Arial" w:eastAsia="Arial" w:hAnsi="Arial"/>
          <w:sz w:val="16"/>
          <w:szCs w:val="16"/>
          <w:color w:val="auto"/>
        </w:rPr>
        <w:t>During 2015, 2014 and 2013, the Company recognized impairment charges related to its cost method investments of $1.4 million, $0.0 million and</w:t>
      </w:r>
    </w:p>
    <w:p>
      <w:pPr>
        <w:spacing w:after="0" w:line="46" w:lineRule="exact"/>
        <w:rPr>
          <w:sz w:val="20"/>
          <w:szCs w:val="20"/>
          <w:color w:val="auto"/>
        </w:rPr>
      </w:pPr>
    </w:p>
    <w:p>
      <w:pPr>
        <w:spacing w:after="0" w:line="252" w:lineRule="auto"/>
        <w:rPr>
          <w:sz w:val="20"/>
          <w:szCs w:val="20"/>
          <w:color w:val="auto"/>
        </w:rPr>
      </w:pPr>
      <w:r>
        <w:rPr>
          <w:rFonts w:ascii="Arial" w:cs="Arial" w:eastAsia="Arial" w:hAnsi="Arial"/>
          <w:sz w:val="18"/>
          <w:szCs w:val="18"/>
          <w:color w:val="auto"/>
        </w:rPr>
        <w:t>$0.5 million, respectively. The fair value of these investments were determined by reference to recent sales data of similar shares to independent parties in an inactive market. This fair value calculation is categorized in Level 2 of the fair value hierarchy. During 2015, 2014, and 2013, the Company recognized a net gain (loss) on equity method investments of $4.7 million, $1.2 million, and $(0.2) million, respectively. During 2015, the Company recorded a gain and received a $3.6 million cash distribution from its equity method investment, which was classified as a cash flow from operating activities in the Consolidated Statement of Cash Flows as it represented a return on investment. During 2014, the Company sold one of its cost method investments, which resulted in a pre-tax gain of $3.2 million.</w:t>
      </w:r>
    </w:p>
    <w:p>
      <w:pPr>
        <w:spacing w:after="0" w:line="194"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b w:val="1"/>
          <w:bCs w:val="1"/>
          <w:i w:val="1"/>
          <w:iCs w:val="1"/>
          <w:color w:val="auto"/>
        </w:rPr>
        <w:t xml:space="preserve">Long-Lived Assets </w:t>
      </w:r>
      <w:r>
        <w:rPr>
          <w:rFonts w:ascii="Arial" w:cs="Arial" w:eastAsia="Arial" w:hAnsi="Arial"/>
          <w:sz w:val="18"/>
          <w:szCs w:val="18"/>
          <w:color w:val="auto"/>
        </w:rPr>
        <w:t>– The Company reviews the carrying amount of its long-lived assets to be held and used for potential impairment whenever certain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indicators are present as described in Note 1 “Summary of Significant Accounting</w:t>
      </w:r>
    </w:p>
    <w:p>
      <w:pPr>
        <w:spacing w:after="0" w:line="306" w:lineRule="exact"/>
        <w:rPr>
          <w:sz w:val="20"/>
          <w:szCs w:val="20"/>
          <w:color w:val="auto"/>
        </w:rPr>
      </w:pPr>
    </w:p>
    <w:p>
      <w:pPr>
        <w:jc w:val="center"/>
        <w:ind w:right="460"/>
        <w:spacing w:after="0"/>
        <w:rPr>
          <w:sz w:val="20"/>
          <w:szCs w:val="20"/>
          <w:color w:val="auto"/>
        </w:rPr>
      </w:pPr>
      <w:r>
        <w:rPr>
          <w:rFonts w:ascii="Arial" w:cs="Arial" w:eastAsia="Arial" w:hAnsi="Arial"/>
          <w:sz w:val="18"/>
          <w:szCs w:val="18"/>
          <w:color w:val="auto"/>
        </w:rPr>
        <w:t>- 106 -</w:t>
      </w:r>
    </w:p>
    <w:p>
      <w:pPr>
        <w:sectPr>
          <w:pgSz w:w="11900" w:h="16838" w:orient="portrait"/>
          <w:cols w:equalWidth="0" w:num="1">
            <w:col w:w="10900"/>
          </w:cols>
          <w:pgMar w:left="740" w:top="337" w:right="259" w:bottom="1440" w:gutter="0" w:footer="0" w:header="0"/>
        </w:sectPr>
      </w:pPr>
    </w:p>
    <w:bookmarkStart w:id="107" w:name="page108"/>
    <w:bookmarkEnd w:id="107"/>
    <w:p>
      <w:pPr>
        <w:jc w:val="center"/>
        <w:ind w:right="-4"/>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ind w:right="-4"/>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left="465" w:right="40"/>
        <w:spacing w:after="0" w:line="272" w:lineRule="auto"/>
        <w:rPr>
          <w:sz w:val="20"/>
          <w:szCs w:val="20"/>
          <w:color w:val="auto"/>
        </w:rPr>
      </w:pPr>
      <w:r>
        <w:rPr>
          <w:rFonts w:ascii="Arial" w:cs="Arial" w:eastAsia="Arial" w:hAnsi="Arial"/>
          <w:sz w:val="17"/>
          <w:szCs w:val="17"/>
          <w:color w:val="auto"/>
        </w:rPr>
        <w:t>Policies.” There were no impairment charges recorded during 2015 related to the Company’s long-lived assets. During 2014, the Company recorded a $0.4 million impairment charge related to its Orvin, Switzerland property held for sale. The fair value of these assets were determined based upon recent sales data of similar assets and discussions with potential buyers, and was categorized in Level 2 of the fair value hierarchy. During 2013, the Company wrote off $0.5 million of IPR&amp;D allocated to its QiG segment as these projects were discontinued prior to reaching technological feasibility. Additionally, during 2013, the Company wrote off $0.9 million of inventory and technology related to Greatbatch Medical’s wireless sensing product line held for sale, as an agreement could not be reached with potential buyers. The above impairment charges were recorded in Other Operating Expenses, Net. Refer to Note 13 “Other Operating Expenses, Net” for further discussion.</w:t>
      </w:r>
    </w:p>
    <w:p>
      <w:pPr>
        <w:spacing w:after="0" w:line="178" w:lineRule="exact"/>
        <w:rPr>
          <w:sz w:val="20"/>
          <w:szCs w:val="20"/>
          <w:color w:val="auto"/>
        </w:rPr>
      </w:pPr>
    </w:p>
    <w:p>
      <w:pPr>
        <w:ind w:left="465"/>
        <w:spacing w:after="0"/>
        <w:rPr>
          <w:sz w:val="20"/>
          <w:szCs w:val="20"/>
          <w:color w:val="auto"/>
        </w:rPr>
      </w:pPr>
      <w:r>
        <w:rPr>
          <w:rFonts w:ascii="Arial" w:cs="Arial" w:eastAsia="Arial" w:hAnsi="Arial"/>
          <w:sz w:val="17"/>
          <w:szCs w:val="17"/>
          <w:color w:val="auto"/>
        </w:rPr>
        <w:t>The following table provides information regarding assets and liabilities recorded at fair value on a nonrecurring basis as of January 1, 2016 and</w:t>
      </w:r>
    </w:p>
    <w:p>
      <w:pPr>
        <w:spacing w:after="0" w:line="35" w:lineRule="exact"/>
        <w:rPr>
          <w:sz w:val="20"/>
          <w:szCs w:val="20"/>
          <w:color w:val="auto"/>
        </w:rPr>
      </w:pPr>
    </w:p>
    <w:p>
      <w:pPr>
        <w:ind w:left="465"/>
        <w:spacing w:after="0"/>
        <w:rPr>
          <w:sz w:val="20"/>
          <w:szCs w:val="20"/>
          <w:color w:val="auto"/>
        </w:rPr>
      </w:pPr>
      <w:r>
        <w:rPr>
          <w:rFonts w:ascii="Arial" w:cs="Arial" w:eastAsia="Arial" w:hAnsi="Arial"/>
          <w:sz w:val="18"/>
          <w:szCs w:val="18"/>
          <w:color w:val="auto"/>
        </w:rPr>
        <w:t>January 2, 2015 respectively (in thousands):</w:t>
      </w:r>
    </w:p>
    <w:p>
      <w:pPr>
        <w:spacing w:after="0" w:line="148" w:lineRule="exact"/>
        <w:rPr>
          <w:sz w:val="20"/>
          <w:szCs w:val="20"/>
          <w:color w:val="auto"/>
        </w:rPr>
      </w:pPr>
    </w:p>
    <w:tbl>
      <w:tblPr>
        <w:tblLayout w:type="fixed"/>
        <w:tblInd w:w="465" w:type="dxa"/>
        <w:tblCellMar>
          <w:top w:w="0" w:type="dxa"/>
          <w:left w:w="0" w:type="dxa"/>
          <w:bottom w:w="0" w:type="dxa"/>
          <w:right w:w="0" w:type="dxa"/>
        </w:tblCellMar>
      </w:tblPr>
      <w:tr>
        <w:trPr>
          <w:trHeight w:val="192"/>
        </w:trPr>
        <w:tc>
          <w:tcPr>
            <w:tcW w:w="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3760" w:type="dxa"/>
            <w:vAlign w:val="bottom"/>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44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2700" w:type="dxa"/>
            <w:vAlign w:val="bottom"/>
            <w:tcBorders>
              <w:bottom w:val="single" w:sz="8" w:color="auto"/>
            </w:tcBorders>
            <w:gridSpan w:val="8"/>
          </w:tcPr>
          <w:p>
            <w:pPr>
              <w:ind w:left="240"/>
              <w:spacing w:after="0"/>
              <w:rPr>
                <w:sz w:val="20"/>
                <w:szCs w:val="20"/>
                <w:color w:val="auto"/>
              </w:rPr>
            </w:pPr>
            <w:r>
              <w:rPr>
                <w:rFonts w:ascii="Arial" w:cs="Arial" w:eastAsia="Arial" w:hAnsi="Arial"/>
                <w:sz w:val="14"/>
                <w:szCs w:val="14"/>
                <w:b w:val="1"/>
                <w:bCs w:val="1"/>
                <w:color w:val="auto"/>
              </w:rPr>
              <w:t>Fair Value Measurements Using</w:t>
            </w:r>
          </w:p>
        </w:tc>
        <w:tc>
          <w:tcPr>
            <w:tcW w:w="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37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60" w:type="dxa"/>
            <w:vAlign w:val="bottom"/>
            <w:gridSpan w:val="3"/>
          </w:tcPr>
          <w:p>
            <w:pPr>
              <w:jc w:val="center"/>
              <w:ind w:right="260"/>
              <w:spacing w:after="0" w:line="153" w:lineRule="exact"/>
              <w:rPr>
                <w:sz w:val="20"/>
                <w:szCs w:val="20"/>
                <w:color w:val="auto"/>
              </w:rPr>
            </w:pPr>
            <w:r>
              <w:rPr>
                <w:rFonts w:ascii="Arial" w:cs="Arial" w:eastAsia="Arial" w:hAnsi="Arial"/>
                <w:sz w:val="14"/>
                <w:szCs w:val="14"/>
                <w:b w:val="1"/>
                <w:bCs w:val="1"/>
                <w:color w:val="auto"/>
                <w:w w:val="89"/>
              </w:rPr>
              <w:t>Quoted</w:t>
            </w:r>
          </w:p>
        </w:tc>
        <w:tc>
          <w:tcPr>
            <w:tcW w:w="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200" w:type="dxa"/>
            <w:vAlign w:val="bottom"/>
            <w:gridSpan w:val="3"/>
            <w:vMerge w:val="restart"/>
          </w:tcPr>
          <w:p>
            <w:pPr>
              <w:jc w:val="center"/>
              <w:ind w:right="340"/>
              <w:spacing w:after="0"/>
              <w:rPr>
                <w:sz w:val="20"/>
                <w:szCs w:val="20"/>
                <w:color w:val="auto"/>
              </w:rPr>
            </w:pPr>
            <w:r>
              <w:rPr>
                <w:rFonts w:ascii="Arial" w:cs="Arial" w:eastAsia="Arial" w:hAnsi="Arial"/>
                <w:sz w:val="14"/>
                <w:szCs w:val="14"/>
                <w:b w:val="1"/>
                <w:bCs w:val="1"/>
                <w:color w:val="auto"/>
                <w:w w:val="92"/>
              </w:rPr>
              <w:t>Significant</w:t>
            </w:r>
          </w:p>
        </w:tc>
        <w:tc>
          <w:tcPr>
            <w:tcW w:w="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37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60" w:type="dxa"/>
            <w:vAlign w:val="bottom"/>
            <w:gridSpan w:val="3"/>
          </w:tcPr>
          <w:p>
            <w:pPr>
              <w:jc w:val="center"/>
              <w:ind w:right="260"/>
              <w:spacing w:after="0" w:line="149" w:lineRule="exact"/>
              <w:rPr>
                <w:sz w:val="20"/>
                <w:szCs w:val="20"/>
                <w:color w:val="auto"/>
              </w:rPr>
            </w:pPr>
            <w:r>
              <w:rPr>
                <w:rFonts w:ascii="Arial" w:cs="Arial" w:eastAsia="Arial" w:hAnsi="Arial"/>
                <w:sz w:val="14"/>
                <w:szCs w:val="14"/>
                <w:b w:val="1"/>
                <w:bCs w:val="1"/>
                <w:color w:val="auto"/>
                <w:w w:val="89"/>
              </w:rPr>
              <w:t>Prices in</w:t>
            </w: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0" w:type="dxa"/>
            <w:vAlign w:val="bottom"/>
            <w:gridSpan w:val="3"/>
            <w:vMerge w:val="continue"/>
          </w:tcPr>
          <w:p>
            <w:pPr>
              <w:spacing w:after="0"/>
              <w:rPr>
                <w:sz w:val="12"/>
                <w:szCs w:val="12"/>
                <w:color w:val="auto"/>
              </w:rPr>
            </w:pPr>
          </w:p>
        </w:tc>
        <w:tc>
          <w:tcPr>
            <w:tcW w:w="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20" w:type="dxa"/>
            <w:vAlign w:val="bottom"/>
            <w:vMerge w:val="restart"/>
          </w:tcPr>
          <w:p>
            <w:pPr>
              <w:jc w:val="center"/>
              <w:ind w:right="124"/>
              <w:spacing w:after="0"/>
              <w:rPr>
                <w:sz w:val="20"/>
                <w:szCs w:val="20"/>
                <w:color w:val="auto"/>
              </w:rPr>
            </w:pPr>
            <w:r>
              <w:rPr>
                <w:rFonts w:ascii="Arial" w:cs="Arial" w:eastAsia="Arial" w:hAnsi="Arial"/>
                <w:sz w:val="14"/>
                <w:szCs w:val="14"/>
                <w:b w:val="1"/>
                <w:bCs w:val="1"/>
                <w:color w:val="auto"/>
                <w:w w:val="94"/>
              </w:rPr>
              <w:t>Significant</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37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60" w:type="dxa"/>
            <w:vAlign w:val="bottom"/>
            <w:gridSpan w:val="3"/>
          </w:tcPr>
          <w:p>
            <w:pPr>
              <w:jc w:val="center"/>
              <w:ind w:right="260"/>
              <w:spacing w:after="0" w:line="149" w:lineRule="exact"/>
              <w:rPr>
                <w:sz w:val="20"/>
                <w:szCs w:val="20"/>
                <w:color w:val="auto"/>
              </w:rPr>
            </w:pPr>
            <w:r>
              <w:rPr>
                <w:rFonts w:ascii="Arial" w:cs="Arial" w:eastAsia="Arial" w:hAnsi="Arial"/>
                <w:sz w:val="14"/>
                <w:szCs w:val="14"/>
                <w:b w:val="1"/>
                <w:bCs w:val="1"/>
                <w:color w:val="auto"/>
                <w:w w:val="97"/>
              </w:rPr>
              <w:t>Active Markets</w:t>
            </w: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0" w:type="dxa"/>
            <w:vAlign w:val="bottom"/>
            <w:gridSpan w:val="3"/>
          </w:tcPr>
          <w:p>
            <w:pPr>
              <w:jc w:val="center"/>
              <w:ind w:right="340"/>
              <w:spacing w:after="0" w:line="149" w:lineRule="exact"/>
              <w:rPr>
                <w:sz w:val="20"/>
                <w:szCs w:val="20"/>
                <w:color w:val="auto"/>
              </w:rPr>
            </w:pPr>
            <w:r>
              <w:rPr>
                <w:rFonts w:ascii="Arial" w:cs="Arial" w:eastAsia="Arial" w:hAnsi="Arial"/>
                <w:sz w:val="14"/>
                <w:szCs w:val="14"/>
                <w:b w:val="1"/>
                <w:bCs w:val="1"/>
                <w:color w:val="auto"/>
              </w:rPr>
              <w:t>Other</w:t>
            </w:r>
          </w:p>
        </w:tc>
        <w:tc>
          <w:tcPr>
            <w:tcW w:w="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2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37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60" w:type="dxa"/>
            <w:vAlign w:val="bottom"/>
            <w:gridSpan w:val="3"/>
          </w:tcPr>
          <w:p>
            <w:pPr>
              <w:jc w:val="center"/>
              <w:ind w:right="260"/>
              <w:spacing w:after="0" w:line="149" w:lineRule="exact"/>
              <w:rPr>
                <w:sz w:val="20"/>
                <w:szCs w:val="20"/>
                <w:color w:val="auto"/>
              </w:rPr>
            </w:pPr>
            <w:r>
              <w:rPr>
                <w:rFonts w:ascii="Arial" w:cs="Arial" w:eastAsia="Arial" w:hAnsi="Arial"/>
                <w:sz w:val="14"/>
                <w:szCs w:val="14"/>
                <w:b w:val="1"/>
                <w:bCs w:val="1"/>
                <w:color w:val="auto"/>
                <w:w w:val="95"/>
              </w:rPr>
              <w:t>for Identical</w:t>
            </w: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0" w:type="dxa"/>
            <w:vAlign w:val="bottom"/>
            <w:gridSpan w:val="3"/>
          </w:tcPr>
          <w:p>
            <w:pPr>
              <w:jc w:val="center"/>
              <w:ind w:right="340"/>
              <w:spacing w:after="0" w:line="149" w:lineRule="exact"/>
              <w:rPr>
                <w:sz w:val="20"/>
                <w:szCs w:val="20"/>
                <w:color w:val="auto"/>
              </w:rPr>
            </w:pPr>
            <w:r>
              <w:rPr>
                <w:rFonts w:ascii="Arial" w:cs="Arial" w:eastAsia="Arial" w:hAnsi="Arial"/>
                <w:sz w:val="14"/>
                <w:szCs w:val="14"/>
                <w:b w:val="1"/>
                <w:bCs w:val="1"/>
                <w:color w:val="auto"/>
                <w:w w:val="91"/>
              </w:rPr>
              <w:t>Observable</w:t>
            </w:r>
          </w:p>
        </w:tc>
        <w:tc>
          <w:tcPr>
            <w:tcW w:w="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20" w:type="dxa"/>
            <w:vAlign w:val="bottom"/>
          </w:tcPr>
          <w:p>
            <w:pPr>
              <w:jc w:val="center"/>
              <w:ind w:right="124"/>
              <w:spacing w:after="0" w:line="149" w:lineRule="exact"/>
              <w:rPr>
                <w:sz w:val="20"/>
                <w:szCs w:val="20"/>
                <w:color w:val="auto"/>
              </w:rPr>
            </w:pPr>
            <w:r>
              <w:rPr>
                <w:rFonts w:ascii="Arial" w:cs="Arial" w:eastAsia="Arial" w:hAnsi="Arial"/>
                <w:sz w:val="14"/>
                <w:szCs w:val="14"/>
                <w:b w:val="1"/>
                <w:bCs w:val="1"/>
                <w:color w:val="auto"/>
                <w:w w:val="90"/>
              </w:rPr>
              <w:t>Unobservable</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500" w:type="dxa"/>
            <w:vAlign w:val="bottom"/>
            <w:gridSpan w:val="3"/>
            <w:vMerge w:val="restart"/>
          </w:tcPr>
          <w:p>
            <w:pPr>
              <w:ind w:left="20"/>
              <w:spacing w:after="0"/>
              <w:rPr>
                <w:sz w:val="20"/>
                <w:szCs w:val="20"/>
                <w:color w:val="auto"/>
              </w:rPr>
            </w:pPr>
            <w:r>
              <w:rPr>
                <w:rFonts w:ascii="Arial" w:cs="Arial" w:eastAsia="Arial" w:hAnsi="Arial"/>
                <w:sz w:val="14"/>
                <w:szCs w:val="14"/>
                <w:b w:val="1"/>
                <w:bCs w:val="1"/>
                <w:color w:val="auto"/>
              </w:rPr>
              <w:t>Description</w:t>
            </w:r>
          </w:p>
        </w:tc>
        <w:tc>
          <w:tcPr>
            <w:tcW w:w="40" w:type="dxa"/>
            <w:vAlign w:val="bottom"/>
          </w:tcPr>
          <w:p>
            <w:pPr>
              <w:spacing w:after="0"/>
              <w:rPr>
                <w:sz w:val="12"/>
                <w:szCs w:val="12"/>
                <w:color w:val="auto"/>
              </w:rPr>
            </w:pPr>
          </w:p>
        </w:tc>
        <w:tc>
          <w:tcPr>
            <w:tcW w:w="1400" w:type="dxa"/>
            <w:vAlign w:val="bottom"/>
            <w:gridSpan w:val="4"/>
            <w:vMerge w:val="restart"/>
          </w:tcPr>
          <w:p>
            <w:pPr>
              <w:ind w:left="40"/>
              <w:spacing w:after="0"/>
              <w:rPr>
                <w:sz w:val="20"/>
                <w:szCs w:val="20"/>
                <w:color w:val="auto"/>
              </w:rPr>
            </w:pPr>
            <w:r>
              <w:rPr>
                <w:rFonts w:ascii="Arial" w:cs="Arial" w:eastAsia="Arial" w:hAnsi="Arial"/>
                <w:sz w:val="14"/>
                <w:szCs w:val="14"/>
                <w:b w:val="1"/>
                <w:bCs w:val="1"/>
                <w:color w:val="auto"/>
              </w:rPr>
              <w:t>At January 1, 2016</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60" w:type="dxa"/>
            <w:vAlign w:val="bottom"/>
            <w:gridSpan w:val="3"/>
          </w:tcPr>
          <w:p>
            <w:pPr>
              <w:jc w:val="center"/>
              <w:ind w:right="260"/>
              <w:spacing w:after="0" w:line="149" w:lineRule="exact"/>
              <w:rPr>
                <w:sz w:val="20"/>
                <w:szCs w:val="20"/>
                <w:color w:val="auto"/>
              </w:rPr>
            </w:pPr>
            <w:r>
              <w:rPr>
                <w:rFonts w:ascii="Arial" w:cs="Arial" w:eastAsia="Arial" w:hAnsi="Arial"/>
                <w:sz w:val="14"/>
                <w:szCs w:val="14"/>
                <w:b w:val="1"/>
                <w:bCs w:val="1"/>
                <w:color w:val="auto"/>
                <w:w w:val="87"/>
              </w:rPr>
              <w:t>Assets</w:t>
            </w: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0" w:type="dxa"/>
            <w:vAlign w:val="bottom"/>
            <w:gridSpan w:val="3"/>
          </w:tcPr>
          <w:p>
            <w:pPr>
              <w:jc w:val="center"/>
              <w:ind w:right="360"/>
              <w:spacing w:after="0" w:line="149" w:lineRule="exact"/>
              <w:rPr>
                <w:sz w:val="20"/>
                <w:szCs w:val="20"/>
                <w:color w:val="auto"/>
              </w:rPr>
            </w:pPr>
            <w:r>
              <w:rPr>
                <w:rFonts w:ascii="Arial" w:cs="Arial" w:eastAsia="Arial" w:hAnsi="Arial"/>
                <w:sz w:val="14"/>
                <w:szCs w:val="14"/>
                <w:b w:val="1"/>
                <w:bCs w:val="1"/>
                <w:color w:val="auto"/>
                <w:w w:val="95"/>
              </w:rPr>
              <w:t>Inputs</w:t>
            </w:r>
          </w:p>
        </w:tc>
        <w:tc>
          <w:tcPr>
            <w:tcW w:w="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20" w:type="dxa"/>
            <w:vAlign w:val="bottom"/>
          </w:tcPr>
          <w:p>
            <w:pPr>
              <w:jc w:val="center"/>
              <w:ind w:right="124"/>
              <w:spacing w:after="0" w:line="149" w:lineRule="exact"/>
              <w:rPr>
                <w:sz w:val="20"/>
                <w:szCs w:val="20"/>
                <w:color w:val="auto"/>
              </w:rPr>
            </w:pPr>
            <w:r>
              <w:rPr>
                <w:rFonts w:ascii="Arial" w:cs="Arial" w:eastAsia="Arial" w:hAnsi="Arial"/>
                <w:sz w:val="14"/>
                <w:szCs w:val="14"/>
                <w:b w:val="1"/>
                <w:bCs w:val="1"/>
                <w:color w:val="auto"/>
                <w:w w:val="95"/>
              </w:rPr>
              <w:t>Inputs</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8"/>
        </w:trPr>
        <w:tc>
          <w:tcPr>
            <w:tcW w:w="4500" w:type="dxa"/>
            <w:vAlign w:val="bottom"/>
            <w:gridSpan w:val="3"/>
            <w:vMerge w:val="continue"/>
          </w:tcPr>
          <w:p>
            <w:pPr>
              <w:spacing w:after="0"/>
              <w:rPr>
                <w:sz w:val="13"/>
                <w:szCs w:val="13"/>
                <w:color w:val="auto"/>
              </w:rPr>
            </w:pPr>
          </w:p>
        </w:tc>
        <w:tc>
          <w:tcPr>
            <w:tcW w:w="40" w:type="dxa"/>
            <w:vAlign w:val="bottom"/>
          </w:tcPr>
          <w:p>
            <w:pPr>
              <w:spacing w:after="0"/>
              <w:rPr>
                <w:sz w:val="13"/>
                <w:szCs w:val="13"/>
                <w:color w:val="auto"/>
              </w:rPr>
            </w:pPr>
          </w:p>
        </w:tc>
        <w:tc>
          <w:tcPr>
            <w:tcW w:w="1400" w:type="dxa"/>
            <w:vAlign w:val="bottom"/>
            <w:gridSpan w:val="4"/>
            <w:vMerge w:val="continue"/>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60" w:type="dxa"/>
            <w:vAlign w:val="bottom"/>
            <w:gridSpan w:val="3"/>
          </w:tcPr>
          <w:p>
            <w:pPr>
              <w:jc w:val="center"/>
              <w:ind w:right="280"/>
              <w:spacing w:after="0" w:line="158" w:lineRule="exact"/>
              <w:rPr>
                <w:sz w:val="20"/>
                <w:szCs w:val="20"/>
                <w:color w:val="auto"/>
              </w:rPr>
            </w:pPr>
            <w:r>
              <w:rPr>
                <w:rFonts w:ascii="Arial" w:cs="Arial" w:eastAsia="Arial" w:hAnsi="Arial"/>
                <w:sz w:val="14"/>
                <w:szCs w:val="14"/>
                <w:b w:val="1"/>
                <w:bCs w:val="1"/>
                <w:color w:val="auto"/>
                <w:w w:val="94"/>
              </w:rPr>
              <w:t>(Level 1)</w:t>
            </w:r>
          </w:p>
        </w:tc>
        <w:tc>
          <w:tcPr>
            <w:tcW w:w="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200" w:type="dxa"/>
            <w:vAlign w:val="bottom"/>
            <w:gridSpan w:val="3"/>
          </w:tcPr>
          <w:p>
            <w:pPr>
              <w:jc w:val="center"/>
              <w:ind w:right="340"/>
              <w:spacing w:after="0" w:line="158" w:lineRule="exact"/>
              <w:rPr>
                <w:sz w:val="20"/>
                <w:szCs w:val="20"/>
                <w:color w:val="auto"/>
              </w:rPr>
            </w:pPr>
            <w:r>
              <w:rPr>
                <w:rFonts w:ascii="Arial" w:cs="Arial" w:eastAsia="Arial" w:hAnsi="Arial"/>
                <w:sz w:val="14"/>
                <w:szCs w:val="14"/>
                <w:b w:val="1"/>
                <w:bCs w:val="1"/>
                <w:color w:val="auto"/>
                <w:w w:val="94"/>
              </w:rPr>
              <w:t>(Level 2)</w:t>
            </w:r>
          </w:p>
        </w:tc>
        <w:tc>
          <w:tcPr>
            <w:tcW w:w="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20" w:type="dxa"/>
            <w:vAlign w:val="bottom"/>
          </w:tcPr>
          <w:p>
            <w:pPr>
              <w:jc w:val="center"/>
              <w:ind w:right="104"/>
              <w:spacing w:after="0" w:line="158" w:lineRule="exact"/>
              <w:rPr>
                <w:sz w:val="20"/>
                <w:szCs w:val="20"/>
                <w:color w:val="auto"/>
              </w:rPr>
            </w:pPr>
            <w:r>
              <w:rPr>
                <w:rFonts w:ascii="Arial" w:cs="Arial" w:eastAsia="Arial" w:hAnsi="Arial"/>
                <w:sz w:val="14"/>
                <w:szCs w:val="14"/>
                <w:b w:val="1"/>
                <w:bCs w:val="1"/>
                <w:color w:val="auto"/>
                <w:w w:val="94"/>
              </w:rPr>
              <w:t>(Level 3)</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
        </w:trPr>
        <w:tc>
          <w:tcPr>
            <w:tcW w:w="20" w:type="dxa"/>
            <w:vAlign w:val="bottom"/>
            <w:tcBorders>
              <w:bottom w:val="single" w:sz="8" w:color="CCEEFF"/>
            </w:tcBorders>
          </w:tcPr>
          <w:p>
            <w:pPr>
              <w:spacing w:after="0" w:line="20" w:lineRule="exact"/>
              <w:rPr>
                <w:sz w:val="1"/>
                <w:szCs w:val="1"/>
                <w:color w:val="auto"/>
              </w:rPr>
            </w:pPr>
          </w:p>
        </w:tc>
        <w:tc>
          <w:tcPr>
            <w:tcW w:w="720" w:type="dxa"/>
            <w:vAlign w:val="bottom"/>
            <w:tcBorders>
              <w:top w:val="single" w:sz="8" w:color="auto"/>
              <w:bottom w:val="single" w:sz="8" w:color="CCEEFF"/>
            </w:tcBorders>
          </w:tcPr>
          <w:p>
            <w:pPr>
              <w:spacing w:after="0" w:line="20" w:lineRule="exact"/>
              <w:rPr>
                <w:sz w:val="1"/>
                <w:szCs w:val="1"/>
                <w:color w:val="auto"/>
              </w:rPr>
            </w:pPr>
          </w:p>
        </w:tc>
        <w:tc>
          <w:tcPr>
            <w:tcW w:w="3760" w:type="dxa"/>
            <w:vAlign w:val="bottom"/>
            <w:tcBorders>
              <w:bottom w:val="single" w:sz="8" w:color="CCEEFF"/>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44"/>
        </w:trPr>
        <w:tc>
          <w:tcPr>
            <w:tcW w:w="450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8"/>
                <w:szCs w:val="18"/>
                <w:b w:val="1"/>
                <w:bCs w:val="1"/>
                <w:color w:val="auto"/>
              </w:rPr>
              <w:t>Assets</w:t>
            </w:r>
          </w:p>
        </w:tc>
        <w:tc>
          <w:tcPr>
            <w:tcW w:w="4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500" w:type="dxa"/>
            <w:vAlign w:val="bottom"/>
            <w:gridSpan w:val="3"/>
          </w:tcPr>
          <w:p>
            <w:pPr>
              <w:ind w:left="20"/>
              <w:spacing w:after="0"/>
              <w:rPr>
                <w:sz w:val="20"/>
                <w:szCs w:val="20"/>
                <w:color w:val="auto"/>
              </w:rPr>
            </w:pPr>
            <w:r>
              <w:rPr>
                <w:rFonts w:ascii="Arial" w:cs="Arial" w:eastAsia="Arial" w:hAnsi="Arial"/>
                <w:sz w:val="18"/>
                <w:szCs w:val="18"/>
                <w:color w:val="auto"/>
              </w:rPr>
              <w:t>Cost method investment</w:t>
            </w:r>
          </w:p>
        </w:tc>
        <w:tc>
          <w:tcPr>
            <w:tcW w:w="480" w:type="dxa"/>
            <w:vAlign w:val="bottom"/>
            <w:gridSpan w:val="2"/>
          </w:tcPr>
          <w:p>
            <w:pPr>
              <w:jc w:val="right"/>
              <w:ind w:right="288"/>
              <w:spacing w:after="0"/>
              <w:rPr>
                <w:sz w:val="20"/>
                <w:szCs w:val="20"/>
                <w:color w:val="auto"/>
              </w:rPr>
            </w:pPr>
            <w:r>
              <w:rPr>
                <w:rFonts w:ascii="Arial" w:cs="Arial" w:eastAsia="Arial" w:hAnsi="Arial"/>
                <w:sz w:val="18"/>
                <w:szCs w:val="18"/>
                <w:color w:val="auto"/>
                <w:w w:val="99"/>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1,100</w:t>
            </w:r>
          </w:p>
        </w:tc>
        <w:tc>
          <w:tcPr>
            <w:tcW w:w="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60" w:type="dxa"/>
            <w:vAlign w:val="bottom"/>
            <w:gridSpan w:val="2"/>
          </w:tcPr>
          <w:p>
            <w:pPr>
              <w:jc w:val="right"/>
              <w:ind w:right="40"/>
              <w:spacing w:after="0"/>
              <w:rPr>
                <w:sz w:val="20"/>
                <w:szCs w:val="20"/>
                <w:color w:val="auto"/>
              </w:rPr>
            </w:pPr>
            <w:r>
              <w:rPr>
                <w:rFonts w:ascii="Arial" w:cs="Arial" w:eastAsia="Arial" w:hAnsi="Arial"/>
                <w:sz w:val="18"/>
                <w:szCs w:val="18"/>
                <w:color w:val="auto"/>
                <w:w w:val="99"/>
              </w:rPr>
              <w:t>$</w:t>
            </w:r>
          </w:p>
        </w:tc>
        <w:tc>
          <w:tcPr>
            <w:tcW w:w="1260" w:type="dxa"/>
            <w:vAlign w:val="bottom"/>
            <w:gridSpan w:val="3"/>
          </w:tcPr>
          <w:p>
            <w:pPr>
              <w:ind w:left="880"/>
              <w:spacing w:after="0"/>
              <w:rPr>
                <w:sz w:val="20"/>
                <w:szCs w:val="20"/>
                <w:color w:val="auto"/>
              </w:rPr>
            </w:pPr>
            <w:r>
              <w:rPr>
                <w:rFonts w:ascii="Arial" w:cs="Arial" w:eastAsia="Arial" w:hAnsi="Arial"/>
                <w:sz w:val="18"/>
                <w:szCs w:val="18"/>
                <w:color w:val="auto"/>
              </w:rPr>
              <w:t>—</w:t>
            </w:r>
          </w:p>
        </w:tc>
        <w:tc>
          <w:tcPr>
            <w:tcW w:w="240" w:type="dxa"/>
            <w:vAlign w:val="bottom"/>
            <w:gridSpan w:val="2"/>
          </w:tcPr>
          <w:p>
            <w:pPr>
              <w:jc w:val="right"/>
              <w:ind w:right="12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25"/>
              <w:spacing w:after="0"/>
              <w:rPr>
                <w:sz w:val="20"/>
                <w:szCs w:val="20"/>
                <w:color w:val="auto"/>
              </w:rPr>
            </w:pPr>
            <w:r>
              <w:rPr>
                <w:rFonts w:ascii="Arial" w:cs="Arial" w:eastAsia="Arial" w:hAnsi="Arial"/>
                <w:sz w:val="18"/>
                <w:szCs w:val="18"/>
                <w:color w:val="auto"/>
              </w:rPr>
              <w:t>1,100</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0" w:type="dxa"/>
            <w:vAlign w:val="bottom"/>
            <w:gridSpan w:val="2"/>
          </w:tcPr>
          <w:p>
            <w:pPr>
              <w:jc w:val="right"/>
              <w:ind w:right="80"/>
              <w:spacing w:after="0"/>
              <w:rPr>
                <w:sz w:val="20"/>
                <w:szCs w:val="20"/>
                <w:color w:val="auto"/>
              </w:rPr>
            </w:pPr>
            <w:r>
              <w:rPr>
                <w:rFonts w:ascii="Arial" w:cs="Arial" w:eastAsia="Arial" w:hAnsi="Arial"/>
                <w:sz w:val="18"/>
                <w:szCs w:val="18"/>
                <w:color w:val="auto"/>
                <w:w w:val="99"/>
              </w:rPr>
              <w:t>$</w:t>
            </w:r>
          </w:p>
        </w:tc>
        <w:tc>
          <w:tcPr>
            <w:tcW w:w="1120" w:type="dxa"/>
            <w:vAlign w:val="bottom"/>
          </w:tcPr>
          <w:p>
            <w:pPr>
              <w:ind w:left="84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548"/>
        </w:trPr>
        <w:tc>
          <w:tcPr>
            <w:tcW w:w="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37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700" w:type="dxa"/>
            <w:vAlign w:val="bottom"/>
            <w:tcBorders>
              <w:bottom w:val="single" w:sz="8" w:color="auto"/>
            </w:tcBorders>
            <w:gridSpan w:val="8"/>
          </w:tcPr>
          <w:p>
            <w:pPr>
              <w:ind w:left="260"/>
              <w:spacing w:after="0"/>
              <w:rPr>
                <w:sz w:val="20"/>
                <w:szCs w:val="20"/>
                <w:color w:val="auto"/>
              </w:rPr>
            </w:pPr>
            <w:r>
              <w:rPr>
                <w:rFonts w:ascii="Arial" w:cs="Arial" w:eastAsia="Arial" w:hAnsi="Arial"/>
                <w:sz w:val="14"/>
                <w:szCs w:val="14"/>
                <w:b w:val="1"/>
                <w:bCs w:val="1"/>
                <w:color w:val="auto"/>
              </w:rPr>
              <w:t>Fair Value Measurements Using</w:t>
            </w:r>
          </w:p>
        </w:tc>
        <w:tc>
          <w:tcPr>
            <w:tcW w:w="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2"/>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37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60" w:type="dxa"/>
            <w:vAlign w:val="bottom"/>
            <w:gridSpan w:val="3"/>
          </w:tcPr>
          <w:p>
            <w:pPr>
              <w:jc w:val="center"/>
              <w:ind w:right="200"/>
              <w:spacing w:after="0" w:line="153" w:lineRule="exact"/>
              <w:rPr>
                <w:sz w:val="20"/>
                <w:szCs w:val="20"/>
                <w:color w:val="auto"/>
              </w:rPr>
            </w:pPr>
            <w:r>
              <w:rPr>
                <w:rFonts w:ascii="Arial" w:cs="Arial" w:eastAsia="Arial" w:hAnsi="Arial"/>
                <w:sz w:val="14"/>
                <w:szCs w:val="14"/>
                <w:b w:val="1"/>
                <w:bCs w:val="1"/>
                <w:color w:val="auto"/>
                <w:w w:val="93"/>
              </w:rPr>
              <w:t>Quoted</w:t>
            </w:r>
          </w:p>
        </w:tc>
        <w:tc>
          <w:tcPr>
            <w:tcW w:w="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200" w:type="dxa"/>
            <w:vAlign w:val="bottom"/>
            <w:gridSpan w:val="3"/>
            <w:vMerge w:val="restart"/>
          </w:tcPr>
          <w:p>
            <w:pPr>
              <w:jc w:val="center"/>
              <w:ind w:right="300"/>
              <w:spacing w:after="0"/>
              <w:rPr>
                <w:sz w:val="20"/>
                <w:szCs w:val="20"/>
                <w:color w:val="auto"/>
              </w:rPr>
            </w:pPr>
            <w:r>
              <w:rPr>
                <w:rFonts w:ascii="Arial" w:cs="Arial" w:eastAsia="Arial" w:hAnsi="Arial"/>
                <w:sz w:val="14"/>
                <w:szCs w:val="14"/>
                <w:b w:val="1"/>
                <w:bCs w:val="1"/>
                <w:color w:val="auto"/>
                <w:w w:val="92"/>
              </w:rPr>
              <w:t>Significant</w:t>
            </w:r>
          </w:p>
        </w:tc>
        <w:tc>
          <w:tcPr>
            <w:tcW w:w="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37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60" w:type="dxa"/>
            <w:vAlign w:val="bottom"/>
            <w:gridSpan w:val="3"/>
          </w:tcPr>
          <w:p>
            <w:pPr>
              <w:jc w:val="center"/>
              <w:ind w:right="200"/>
              <w:spacing w:after="0" w:line="149" w:lineRule="exact"/>
              <w:rPr>
                <w:sz w:val="20"/>
                <w:szCs w:val="20"/>
                <w:color w:val="auto"/>
              </w:rPr>
            </w:pPr>
            <w:r>
              <w:rPr>
                <w:rFonts w:ascii="Arial" w:cs="Arial" w:eastAsia="Arial" w:hAnsi="Arial"/>
                <w:sz w:val="14"/>
                <w:szCs w:val="14"/>
                <w:b w:val="1"/>
                <w:bCs w:val="1"/>
                <w:color w:val="auto"/>
                <w:w w:val="92"/>
              </w:rPr>
              <w:t>Prices in</w:t>
            </w: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0" w:type="dxa"/>
            <w:vAlign w:val="bottom"/>
            <w:gridSpan w:val="3"/>
            <w:vMerge w:val="continue"/>
          </w:tcPr>
          <w:p>
            <w:pPr>
              <w:spacing w:after="0"/>
              <w:rPr>
                <w:sz w:val="12"/>
                <w:szCs w:val="12"/>
                <w:color w:val="auto"/>
              </w:rPr>
            </w:pPr>
          </w:p>
        </w:tc>
        <w:tc>
          <w:tcPr>
            <w:tcW w:w="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20" w:type="dxa"/>
            <w:vAlign w:val="bottom"/>
            <w:vMerge w:val="restart"/>
          </w:tcPr>
          <w:p>
            <w:pPr>
              <w:jc w:val="center"/>
              <w:ind w:right="64"/>
              <w:spacing w:after="0"/>
              <w:rPr>
                <w:sz w:val="20"/>
                <w:szCs w:val="20"/>
                <w:color w:val="auto"/>
              </w:rPr>
            </w:pPr>
            <w:r>
              <w:rPr>
                <w:rFonts w:ascii="Arial" w:cs="Arial" w:eastAsia="Arial" w:hAnsi="Arial"/>
                <w:sz w:val="14"/>
                <w:szCs w:val="14"/>
                <w:b w:val="1"/>
                <w:bCs w:val="1"/>
                <w:color w:val="auto"/>
                <w:w w:val="92"/>
              </w:rPr>
              <w:t>Significant</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37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60" w:type="dxa"/>
            <w:vAlign w:val="bottom"/>
            <w:gridSpan w:val="3"/>
          </w:tcPr>
          <w:p>
            <w:pPr>
              <w:jc w:val="center"/>
              <w:ind w:right="200"/>
              <w:spacing w:after="0" w:line="149" w:lineRule="exact"/>
              <w:rPr>
                <w:sz w:val="20"/>
                <w:szCs w:val="20"/>
                <w:color w:val="auto"/>
              </w:rPr>
            </w:pPr>
            <w:r>
              <w:rPr>
                <w:rFonts w:ascii="Arial" w:cs="Arial" w:eastAsia="Arial" w:hAnsi="Arial"/>
                <w:sz w:val="14"/>
                <w:szCs w:val="14"/>
                <w:b w:val="1"/>
                <w:bCs w:val="1"/>
                <w:color w:val="auto"/>
                <w:w w:val="95"/>
              </w:rPr>
              <w:t>Active Markets</w:t>
            </w: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0" w:type="dxa"/>
            <w:vAlign w:val="bottom"/>
            <w:gridSpan w:val="3"/>
          </w:tcPr>
          <w:p>
            <w:pPr>
              <w:jc w:val="center"/>
              <w:ind w:right="280"/>
              <w:spacing w:after="0" w:line="149" w:lineRule="exact"/>
              <w:rPr>
                <w:sz w:val="20"/>
                <w:szCs w:val="20"/>
                <w:color w:val="auto"/>
              </w:rPr>
            </w:pPr>
            <w:r>
              <w:rPr>
                <w:rFonts w:ascii="Arial" w:cs="Arial" w:eastAsia="Arial" w:hAnsi="Arial"/>
                <w:sz w:val="14"/>
                <w:szCs w:val="14"/>
                <w:b w:val="1"/>
                <w:bCs w:val="1"/>
                <w:color w:val="auto"/>
                <w:w w:val="96"/>
              </w:rPr>
              <w:t>Other</w:t>
            </w:r>
          </w:p>
        </w:tc>
        <w:tc>
          <w:tcPr>
            <w:tcW w:w="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2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37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60" w:type="dxa"/>
            <w:vAlign w:val="bottom"/>
            <w:gridSpan w:val="3"/>
          </w:tcPr>
          <w:p>
            <w:pPr>
              <w:jc w:val="center"/>
              <w:ind w:right="220"/>
              <w:spacing w:after="0" w:line="149" w:lineRule="exact"/>
              <w:rPr>
                <w:sz w:val="20"/>
                <w:szCs w:val="20"/>
                <w:color w:val="auto"/>
              </w:rPr>
            </w:pPr>
            <w:r>
              <w:rPr>
                <w:rFonts w:ascii="Arial" w:cs="Arial" w:eastAsia="Arial" w:hAnsi="Arial"/>
                <w:sz w:val="14"/>
                <w:szCs w:val="14"/>
                <w:b w:val="1"/>
                <w:bCs w:val="1"/>
                <w:color w:val="auto"/>
                <w:w w:val="95"/>
              </w:rPr>
              <w:t>for Identical</w:t>
            </w: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0" w:type="dxa"/>
            <w:vAlign w:val="bottom"/>
            <w:gridSpan w:val="3"/>
          </w:tcPr>
          <w:p>
            <w:pPr>
              <w:jc w:val="center"/>
              <w:ind w:right="300"/>
              <w:spacing w:after="0" w:line="149" w:lineRule="exact"/>
              <w:rPr>
                <w:sz w:val="20"/>
                <w:szCs w:val="20"/>
                <w:color w:val="auto"/>
              </w:rPr>
            </w:pPr>
            <w:r>
              <w:rPr>
                <w:rFonts w:ascii="Arial" w:cs="Arial" w:eastAsia="Arial" w:hAnsi="Arial"/>
                <w:sz w:val="14"/>
                <w:szCs w:val="14"/>
                <w:b w:val="1"/>
                <w:bCs w:val="1"/>
                <w:color w:val="auto"/>
                <w:w w:val="91"/>
              </w:rPr>
              <w:t>Observable</w:t>
            </w:r>
          </w:p>
        </w:tc>
        <w:tc>
          <w:tcPr>
            <w:tcW w:w="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20" w:type="dxa"/>
            <w:vAlign w:val="bottom"/>
          </w:tcPr>
          <w:p>
            <w:pPr>
              <w:jc w:val="center"/>
              <w:ind w:right="64"/>
              <w:spacing w:after="0" w:line="149" w:lineRule="exact"/>
              <w:rPr>
                <w:sz w:val="20"/>
                <w:szCs w:val="20"/>
                <w:color w:val="auto"/>
              </w:rPr>
            </w:pPr>
            <w:r>
              <w:rPr>
                <w:rFonts w:ascii="Arial" w:cs="Arial" w:eastAsia="Arial" w:hAnsi="Arial"/>
                <w:sz w:val="14"/>
                <w:szCs w:val="14"/>
                <w:b w:val="1"/>
                <w:bCs w:val="1"/>
                <w:color w:val="auto"/>
                <w:w w:val="92"/>
              </w:rPr>
              <w:t>Unobservable</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500" w:type="dxa"/>
            <w:vAlign w:val="bottom"/>
            <w:gridSpan w:val="3"/>
            <w:vMerge w:val="restart"/>
          </w:tcPr>
          <w:p>
            <w:pPr>
              <w:ind w:left="20"/>
              <w:spacing w:after="0"/>
              <w:rPr>
                <w:sz w:val="20"/>
                <w:szCs w:val="20"/>
                <w:color w:val="auto"/>
              </w:rPr>
            </w:pPr>
            <w:r>
              <w:rPr>
                <w:rFonts w:ascii="Arial" w:cs="Arial" w:eastAsia="Arial" w:hAnsi="Arial"/>
                <w:sz w:val="14"/>
                <w:szCs w:val="14"/>
                <w:b w:val="1"/>
                <w:bCs w:val="1"/>
                <w:color w:val="auto"/>
              </w:rPr>
              <w:t>Description</w:t>
            </w:r>
          </w:p>
        </w:tc>
        <w:tc>
          <w:tcPr>
            <w:tcW w:w="40" w:type="dxa"/>
            <w:vAlign w:val="bottom"/>
          </w:tcPr>
          <w:p>
            <w:pPr>
              <w:spacing w:after="0"/>
              <w:rPr>
                <w:sz w:val="12"/>
                <w:szCs w:val="12"/>
                <w:color w:val="auto"/>
              </w:rPr>
            </w:pPr>
          </w:p>
        </w:tc>
        <w:tc>
          <w:tcPr>
            <w:tcW w:w="1400" w:type="dxa"/>
            <w:vAlign w:val="bottom"/>
            <w:gridSpan w:val="4"/>
            <w:vMerge w:val="restart"/>
          </w:tcPr>
          <w:p>
            <w:pPr>
              <w:ind w:left="80"/>
              <w:spacing w:after="0"/>
              <w:rPr>
                <w:sz w:val="20"/>
                <w:szCs w:val="20"/>
                <w:color w:val="auto"/>
              </w:rPr>
            </w:pPr>
            <w:r>
              <w:rPr>
                <w:rFonts w:ascii="Arial" w:cs="Arial" w:eastAsia="Arial" w:hAnsi="Arial"/>
                <w:sz w:val="14"/>
                <w:szCs w:val="14"/>
                <w:b w:val="1"/>
                <w:bCs w:val="1"/>
                <w:color w:val="auto"/>
              </w:rPr>
              <w:t>At January 2, 2015</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60" w:type="dxa"/>
            <w:vAlign w:val="bottom"/>
            <w:gridSpan w:val="3"/>
          </w:tcPr>
          <w:p>
            <w:pPr>
              <w:jc w:val="center"/>
              <w:ind w:right="200"/>
              <w:spacing w:after="0" w:line="149" w:lineRule="exact"/>
              <w:rPr>
                <w:sz w:val="20"/>
                <w:szCs w:val="20"/>
                <w:color w:val="auto"/>
              </w:rPr>
            </w:pPr>
            <w:r>
              <w:rPr>
                <w:rFonts w:ascii="Arial" w:cs="Arial" w:eastAsia="Arial" w:hAnsi="Arial"/>
                <w:sz w:val="14"/>
                <w:szCs w:val="14"/>
                <w:b w:val="1"/>
                <w:bCs w:val="1"/>
                <w:color w:val="auto"/>
                <w:w w:val="82"/>
              </w:rPr>
              <w:t>Assets</w:t>
            </w: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0" w:type="dxa"/>
            <w:vAlign w:val="bottom"/>
            <w:gridSpan w:val="3"/>
          </w:tcPr>
          <w:p>
            <w:pPr>
              <w:jc w:val="center"/>
              <w:ind w:right="280"/>
              <w:spacing w:after="0" w:line="149" w:lineRule="exact"/>
              <w:rPr>
                <w:sz w:val="20"/>
                <w:szCs w:val="20"/>
                <w:color w:val="auto"/>
              </w:rPr>
            </w:pPr>
            <w:r>
              <w:rPr>
                <w:rFonts w:ascii="Arial" w:cs="Arial" w:eastAsia="Arial" w:hAnsi="Arial"/>
                <w:sz w:val="14"/>
                <w:szCs w:val="14"/>
                <w:b w:val="1"/>
                <w:bCs w:val="1"/>
                <w:color w:val="auto"/>
                <w:w w:val="95"/>
              </w:rPr>
              <w:t>Inputs</w:t>
            </w:r>
          </w:p>
        </w:tc>
        <w:tc>
          <w:tcPr>
            <w:tcW w:w="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20" w:type="dxa"/>
            <w:vAlign w:val="bottom"/>
          </w:tcPr>
          <w:p>
            <w:pPr>
              <w:jc w:val="center"/>
              <w:ind w:right="84"/>
              <w:spacing w:after="0" w:line="149" w:lineRule="exact"/>
              <w:rPr>
                <w:sz w:val="20"/>
                <w:szCs w:val="20"/>
                <w:color w:val="auto"/>
              </w:rPr>
            </w:pPr>
            <w:r>
              <w:rPr>
                <w:rFonts w:ascii="Arial" w:cs="Arial" w:eastAsia="Arial" w:hAnsi="Arial"/>
                <w:sz w:val="14"/>
                <w:szCs w:val="14"/>
                <w:b w:val="1"/>
                <w:bCs w:val="1"/>
                <w:color w:val="auto"/>
                <w:w w:val="95"/>
              </w:rPr>
              <w:t>Inputs</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8"/>
        </w:trPr>
        <w:tc>
          <w:tcPr>
            <w:tcW w:w="4500" w:type="dxa"/>
            <w:vAlign w:val="bottom"/>
            <w:gridSpan w:val="3"/>
            <w:vMerge w:val="continue"/>
          </w:tcPr>
          <w:p>
            <w:pPr>
              <w:spacing w:after="0"/>
              <w:rPr>
                <w:sz w:val="13"/>
                <w:szCs w:val="13"/>
                <w:color w:val="auto"/>
              </w:rPr>
            </w:pPr>
          </w:p>
        </w:tc>
        <w:tc>
          <w:tcPr>
            <w:tcW w:w="40" w:type="dxa"/>
            <w:vAlign w:val="bottom"/>
          </w:tcPr>
          <w:p>
            <w:pPr>
              <w:spacing w:after="0"/>
              <w:rPr>
                <w:sz w:val="13"/>
                <w:szCs w:val="13"/>
                <w:color w:val="auto"/>
              </w:rPr>
            </w:pPr>
          </w:p>
        </w:tc>
        <w:tc>
          <w:tcPr>
            <w:tcW w:w="1400" w:type="dxa"/>
            <w:vAlign w:val="bottom"/>
            <w:gridSpan w:val="4"/>
            <w:vMerge w:val="continue"/>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60" w:type="dxa"/>
            <w:vAlign w:val="bottom"/>
            <w:gridSpan w:val="3"/>
          </w:tcPr>
          <w:p>
            <w:pPr>
              <w:jc w:val="center"/>
              <w:ind w:right="200"/>
              <w:spacing w:after="0" w:line="158" w:lineRule="exact"/>
              <w:rPr>
                <w:sz w:val="20"/>
                <w:szCs w:val="20"/>
                <w:color w:val="auto"/>
              </w:rPr>
            </w:pPr>
            <w:r>
              <w:rPr>
                <w:rFonts w:ascii="Arial" w:cs="Arial" w:eastAsia="Arial" w:hAnsi="Arial"/>
                <w:sz w:val="14"/>
                <w:szCs w:val="14"/>
                <w:b w:val="1"/>
                <w:bCs w:val="1"/>
                <w:color w:val="auto"/>
                <w:w w:val="94"/>
              </w:rPr>
              <w:t>(Level 1)</w:t>
            </w:r>
          </w:p>
        </w:tc>
        <w:tc>
          <w:tcPr>
            <w:tcW w:w="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200" w:type="dxa"/>
            <w:vAlign w:val="bottom"/>
            <w:gridSpan w:val="3"/>
          </w:tcPr>
          <w:p>
            <w:pPr>
              <w:jc w:val="center"/>
              <w:ind w:right="300"/>
              <w:spacing w:after="0" w:line="158" w:lineRule="exact"/>
              <w:rPr>
                <w:sz w:val="20"/>
                <w:szCs w:val="20"/>
                <w:color w:val="auto"/>
              </w:rPr>
            </w:pPr>
            <w:r>
              <w:rPr>
                <w:rFonts w:ascii="Arial" w:cs="Arial" w:eastAsia="Arial" w:hAnsi="Arial"/>
                <w:sz w:val="14"/>
                <w:szCs w:val="14"/>
                <w:b w:val="1"/>
                <w:bCs w:val="1"/>
                <w:color w:val="auto"/>
                <w:w w:val="94"/>
              </w:rPr>
              <w:t>(Level 2)</w:t>
            </w:r>
          </w:p>
        </w:tc>
        <w:tc>
          <w:tcPr>
            <w:tcW w:w="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20" w:type="dxa"/>
            <w:vAlign w:val="bottom"/>
          </w:tcPr>
          <w:p>
            <w:pPr>
              <w:jc w:val="center"/>
              <w:ind w:right="64"/>
              <w:spacing w:after="0" w:line="158" w:lineRule="exact"/>
              <w:rPr>
                <w:sz w:val="20"/>
                <w:szCs w:val="20"/>
                <w:color w:val="auto"/>
              </w:rPr>
            </w:pPr>
            <w:r>
              <w:rPr>
                <w:rFonts w:ascii="Arial" w:cs="Arial" w:eastAsia="Arial" w:hAnsi="Arial"/>
                <w:sz w:val="14"/>
                <w:szCs w:val="14"/>
                <w:b w:val="1"/>
                <w:bCs w:val="1"/>
                <w:color w:val="auto"/>
                <w:w w:val="94"/>
              </w:rPr>
              <w:t>(Level 3)</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
        </w:trPr>
        <w:tc>
          <w:tcPr>
            <w:tcW w:w="20" w:type="dxa"/>
            <w:vAlign w:val="bottom"/>
            <w:tcBorders>
              <w:bottom w:val="single" w:sz="8" w:color="CCEEFF"/>
            </w:tcBorders>
          </w:tcPr>
          <w:p>
            <w:pPr>
              <w:spacing w:after="0" w:line="20" w:lineRule="exact"/>
              <w:rPr>
                <w:sz w:val="1"/>
                <w:szCs w:val="1"/>
                <w:color w:val="auto"/>
              </w:rPr>
            </w:pPr>
          </w:p>
        </w:tc>
        <w:tc>
          <w:tcPr>
            <w:tcW w:w="720" w:type="dxa"/>
            <w:vAlign w:val="bottom"/>
            <w:tcBorders>
              <w:top w:val="single" w:sz="8" w:color="auto"/>
              <w:bottom w:val="single" w:sz="8" w:color="CCEEFF"/>
            </w:tcBorders>
          </w:tcPr>
          <w:p>
            <w:pPr>
              <w:spacing w:after="0" w:line="20" w:lineRule="exact"/>
              <w:rPr>
                <w:sz w:val="1"/>
                <w:szCs w:val="1"/>
                <w:color w:val="auto"/>
              </w:rPr>
            </w:pPr>
          </w:p>
        </w:tc>
        <w:tc>
          <w:tcPr>
            <w:tcW w:w="3760" w:type="dxa"/>
            <w:vAlign w:val="bottom"/>
            <w:tcBorders>
              <w:bottom w:val="single" w:sz="8" w:color="CCEEFF"/>
            </w:tcBorders>
          </w:tcPr>
          <w:p>
            <w:pPr>
              <w:spacing w:after="0" w:line="20" w:lineRule="exact"/>
              <w:rPr>
                <w:sz w:val="1"/>
                <w:szCs w:val="1"/>
                <w:color w:val="auto"/>
              </w:rPr>
            </w:pPr>
          </w:p>
        </w:tc>
        <w:tc>
          <w:tcPr>
            <w:tcW w:w="40" w:type="dxa"/>
            <w:vAlign w:val="bottom"/>
            <w:tcBorders>
              <w:bottom w:val="single" w:sz="8" w:color="CCEEFF"/>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4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44"/>
        </w:trPr>
        <w:tc>
          <w:tcPr>
            <w:tcW w:w="450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8"/>
                <w:szCs w:val="18"/>
                <w:b w:val="1"/>
                <w:bCs w:val="1"/>
                <w:color w:val="auto"/>
              </w:rPr>
              <w:t>Assets</w:t>
            </w:r>
          </w:p>
        </w:tc>
        <w:tc>
          <w:tcPr>
            <w:tcW w:w="4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500" w:type="dxa"/>
            <w:vAlign w:val="bottom"/>
            <w:gridSpan w:val="3"/>
          </w:tcPr>
          <w:p>
            <w:pPr>
              <w:ind w:left="20"/>
              <w:spacing w:after="0"/>
              <w:rPr>
                <w:sz w:val="20"/>
                <w:szCs w:val="20"/>
                <w:color w:val="auto"/>
              </w:rPr>
            </w:pPr>
            <w:r>
              <w:rPr>
                <w:rFonts w:ascii="Arial" w:cs="Arial" w:eastAsia="Arial" w:hAnsi="Arial"/>
                <w:sz w:val="18"/>
                <w:szCs w:val="18"/>
                <w:color w:val="auto"/>
              </w:rPr>
              <w:t>Assets Held for Sale</w:t>
            </w:r>
          </w:p>
        </w:tc>
        <w:tc>
          <w:tcPr>
            <w:tcW w:w="480" w:type="dxa"/>
            <w:vAlign w:val="bottom"/>
            <w:gridSpan w:val="2"/>
          </w:tcPr>
          <w:p>
            <w:pPr>
              <w:jc w:val="right"/>
              <w:ind w:right="268"/>
              <w:spacing w:after="0"/>
              <w:rPr>
                <w:sz w:val="20"/>
                <w:szCs w:val="20"/>
                <w:color w:val="auto"/>
              </w:rPr>
            </w:pPr>
            <w:r>
              <w:rPr>
                <w:rFonts w:ascii="Arial" w:cs="Arial" w:eastAsia="Arial" w:hAnsi="Arial"/>
                <w:sz w:val="18"/>
                <w:szCs w:val="18"/>
                <w:color w:val="auto"/>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1,635</w:t>
            </w:r>
          </w:p>
        </w:tc>
        <w:tc>
          <w:tcPr>
            <w:tcW w:w="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260" w:type="dxa"/>
            <w:vAlign w:val="bottom"/>
            <w:gridSpan w:val="3"/>
          </w:tcPr>
          <w:p>
            <w:pPr>
              <w:ind w:left="920"/>
              <w:spacing w:after="0"/>
              <w:rPr>
                <w:sz w:val="20"/>
                <w:szCs w:val="20"/>
                <w:color w:val="auto"/>
              </w:rPr>
            </w:pPr>
            <w:r>
              <w:rPr>
                <w:rFonts w:ascii="Arial" w:cs="Arial" w:eastAsia="Arial" w:hAnsi="Arial"/>
                <w:sz w:val="18"/>
                <w:szCs w:val="18"/>
                <w:color w:val="auto"/>
              </w:rPr>
              <w:t>—</w:t>
            </w:r>
          </w:p>
        </w:tc>
        <w:tc>
          <w:tcPr>
            <w:tcW w:w="24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5"/>
              <w:spacing w:after="0"/>
              <w:rPr>
                <w:sz w:val="20"/>
                <w:szCs w:val="20"/>
                <w:color w:val="auto"/>
              </w:rPr>
            </w:pPr>
            <w:r>
              <w:rPr>
                <w:rFonts w:ascii="Arial" w:cs="Arial" w:eastAsia="Arial" w:hAnsi="Arial"/>
                <w:sz w:val="18"/>
                <w:szCs w:val="18"/>
                <w:color w:val="auto"/>
              </w:rPr>
              <w:t>1,635</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120" w:type="dxa"/>
            <w:vAlign w:val="bottom"/>
          </w:tcPr>
          <w:p>
            <w:pPr>
              <w:ind w:left="88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bl>
    <w:p>
      <w:pPr>
        <w:spacing w:after="0" w:line="121" w:lineRule="exact"/>
        <w:rPr>
          <w:sz w:val="20"/>
          <w:szCs w:val="20"/>
          <w:color w:val="auto"/>
        </w:rPr>
      </w:pPr>
    </w:p>
    <w:p>
      <w:pPr>
        <w:ind w:left="465"/>
        <w:spacing w:after="0"/>
        <w:rPr>
          <w:sz w:val="20"/>
          <w:szCs w:val="20"/>
          <w:color w:val="auto"/>
        </w:rPr>
      </w:pPr>
      <w:r>
        <w:rPr>
          <w:rFonts w:ascii="Arial" w:cs="Arial" w:eastAsia="Arial" w:hAnsi="Arial"/>
          <w:sz w:val="18"/>
          <w:szCs w:val="18"/>
          <w:b w:val="1"/>
          <w:bCs w:val="1"/>
          <w:i w:val="1"/>
          <w:iCs w:val="1"/>
          <w:u w:val="single" w:color="auto"/>
          <w:color w:val="auto"/>
        </w:rPr>
        <w:t>Fair Value of Other Financial Instruments</w:t>
      </w:r>
    </w:p>
    <w:p>
      <w:pPr>
        <w:spacing w:after="0" w:line="225" w:lineRule="exact"/>
        <w:rPr>
          <w:sz w:val="20"/>
          <w:szCs w:val="20"/>
          <w:color w:val="auto"/>
        </w:rPr>
      </w:pPr>
    </w:p>
    <w:p>
      <w:pPr>
        <w:jc w:val="both"/>
        <w:ind w:left="465" w:right="120"/>
        <w:spacing w:after="0" w:line="259" w:lineRule="auto"/>
        <w:rPr>
          <w:sz w:val="20"/>
          <w:szCs w:val="20"/>
          <w:color w:val="auto"/>
        </w:rPr>
      </w:pPr>
      <w:r>
        <w:rPr>
          <w:rFonts w:ascii="Arial" w:cs="Arial" w:eastAsia="Arial" w:hAnsi="Arial"/>
          <w:sz w:val="18"/>
          <w:szCs w:val="18"/>
          <w:b w:val="1"/>
          <w:bCs w:val="1"/>
          <w:i w:val="1"/>
          <w:iCs w:val="1"/>
          <w:color w:val="auto"/>
        </w:rPr>
        <w:t xml:space="preserve">Pension Plan Assets </w:t>
      </w:r>
      <w:r>
        <w:rPr>
          <w:rFonts w:ascii="Arial" w:cs="Arial" w:eastAsia="Arial" w:hAnsi="Arial"/>
          <w:sz w:val="18"/>
          <w:szCs w:val="18"/>
          <w:color w:val="auto"/>
        </w:rPr>
        <w:t>– The fair value of the Company’s pension plan assets disclosed in Note 10 “Benefit Plans” are determined based upon quoted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market prices in inactive markets or valuation models with observable market data inputs to estimate fair value. These observable market data inputs include benchmark yields, reported trades, broker/dealer quotes, issuer spreads, benchmark securities, bids, offers and reference data. The Company’s pension plan assets are categorized Level 2 of the fair value hierarchy.</w:t>
      </w:r>
    </w:p>
    <w:p>
      <w:pPr>
        <w:spacing w:after="0" w:line="237" w:lineRule="exact"/>
        <w:rPr>
          <w:sz w:val="20"/>
          <w:szCs w:val="20"/>
          <w:color w:val="auto"/>
        </w:rPr>
      </w:pPr>
    </w:p>
    <w:p>
      <w:pPr>
        <w:ind w:left="425" w:hanging="425"/>
        <w:spacing w:after="0"/>
        <w:tabs>
          <w:tab w:leader="none" w:pos="425" w:val="left"/>
        </w:tabs>
        <w:numPr>
          <w:ilvl w:val="0"/>
          <w:numId w:val="54"/>
        </w:numPr>
        <w:rPr>
          <w:rFonts w:ascii="Arial" w:cs="Arial" w:eastAsia="Arial" w:hAnsi="Arial"/>
          <w:sz w:val="18"/>
          <w:szCs w:val="18"/>
          <w:b w:val="1"/>
          <w:bCs w:val="1"/>
          <w:color w:val="auto"/>
        </w:rPr>
      </w:pPr>
      <w:r>
        <w:rPr>
          <w:rFonts w:ascii="Arial" w:cs="Arial" w:eastAsia="Arial" w:hAnsi="Arial"/>
          <w:sz w:val="18"/>
          <w:szCs w:val="18"/>
          <w:b w:val="1"/>
          <w:bCs w:val="1"/>
          <w:color w:val="auto"/>
        </w:rPr>
        <w:t>BUSINESS SEGMENT, GEOGRAPHIC AND CONCENTRATION RISK INFORMATION</w:t>
      </w:r>
    </w:p>
    <w:p>
      <w:pPr>
        <w:spacing w:after="0" w:line="148" w:lineRule="exact"/>
        <w:rPr>
          <w:sz w:val="20"/>
          <w:szCs w:val="20"/>
          <w:color w:val="auto"/>
        </w:rPr>
      </w:pPr>
    </w:p>
    <w:p>
      <w:pPr>
        <w:ind w:left="385" w:right="40"/>
        <w:spacing w:after="0" w:line="286" w:lineRule="auto"/>
        <w:rPr>
          <w:sz w:val="20"/>
          <w:szCs w:val="20"/>
          <w:color w:val="auto"/>
        </w:rPr>
      </w:pPr>
      <w:r>
        <w:rPr>
          <w:rFonts w:ascii="Arial" w:cs="Arial" w:eastAsia="Arial" w:hAnsi="Arial"/>
          <w:sz w:val="16"/>
          <w:szCs w:val="16"/>
          <w:color w:val="auto"/>
        </w:rPr>
        <w:t>On October 27, 2015, the Company acquired all of the outstanding common stock of Lake Region Medical. As a result, the Company now has three reportable segments: Greatbatch Medical, QiG and Lake Region Medical. In February 2016, Greatbatch announced that its Board of Directors approved the spin-off of a portion of its QiG segment through a tax-free distribution of its QiG Group LLC subsidiary to the stockholders of Greatbatch on a pro rata basis. The portion of the QiG segment being spun-off will consist of QiG Group LLC and its subsidiaries: (i) Algostim, (ii) PelviStim, and</w:t>
      </w:r>
    </w:p>
    <w:p>
      <w:pPr>
        <w:spacing w:after="0" w:line="2" w:lineRule="exact"/>
        <w:rPr>
          <w:sz w:val="20"/>
          <w:szCs w:val="20"/>
          <w:color w:val="auto"/>
        </w:rPr>
      </w:pPr>
    </w:p>
    <w:p>
      <w:pPr>
        <w:ind w:left="385" w:hanging="7"/>
        <w:spacing w:after="0" w:line="270" w:lineRule="auto"/>
        <w:tabs>
          <w:tab w:leader="none" w:pos="700" w:val="left"/>
        </w:tabs>
        <w:numPr>
          <w:ilvl w:val="0"/>
          <w:numId w:val="55"/>
        </w:numPr>
        <w:rPr>
          <w:rFonts w:ascii="Arial" w:cs="Arial" w:eastAsia="Arial" w:hAnsi="Arial"/>
          <w:sz w:val="17"/>
          <w:szCs w:val="17"/>
          <w:color w:val="auto"/>
        </w:rPr>
      </w:pPr>
      <w:r>
        <w:rPr>
          <w:rFonts w:ascii="Arial" w:cs="Arial" w:eastAsia="Arial" w:hAnsi="Arial"/>
          <w:sz w:val="17"/>
          <w:szCs w:val="17"/>
          <w:color w:val="auto"/>
        </w:rPr>
        <w:t>Greatbatch’s NeuroNexus subsidiary. It is expected that Greatbatch stockholders will receive one share of Nuvectra common stock for every three shares of Greatbatch common stock held as of the record date. Upon completion of the pending Spin-off, Nuvectra will be an independent, publicly-traded company and Greatbatch will not own any shares of Nuvectra common stock. The operations of CCC and certain other existing QiG research and development capabilities will be retained by Greatbatch and not included as part of the Spin-off. The Spin-off is expected to be completed in March 2016. As a result of the Lake Region Medical acquisition and pending Spin-off, the Company is reevaluating its operating and reporting segments, which is expected to be finalized in 2016 once the corporate and management reporting structure realignment is completed.</w:t>
      </w:r>
    </w:p>
    <w:p>
      <w:pPr>
        <w:spacing w:after="0" w:line="179" w:lineRule="exact"/>
        <w:rPr>
          <w:sz w:val="20"/>
          <w:szCs w:val="20"/>
          <w:color w:val="auto"/>
        </w:rPr>
      </w:pPr>
    </w:p>
    <w:p>
      <w:pPr>
        <w:ind w:left="385" w:right="80"/>
        <w:spacing w:after="0" w:line="259" w:lineRule="auto"/>
        <w:rPr>
          <w:sz w:val="20"/>
          <w:szCs w:val="20"/>
          <w:color w:val="auto"/>
        </w:rPr>
      </w:pPr>
      <w:r>
        <w:rPr>
          <w:rFonts w:ascii="Arial" w:cs="Arial" w:eastAsia="Arial" w:hAnsi="Arial"/>
          <w:sz w:val="18"/>
          <w:szCs w:val="18"/>
          <w:color w:val="auto"/>
        </w:rPr>
        <w:t>Greatbatch Medical designs and manufactures medical devices and components where Greatbatch either owns the intellectual property or has unique manufacturing and assembly expertise. Greatbatch Medical provides medical devices and components to the cardiac, neuromodulation, orthopaedics, portable medical, vascular and energy markets among others. Greatbatch Medical also offers value-added assembly and design engineering services for medical devices that utilize its component products.</w:t>
      </w:r>
    </w:p>
    <w:p>
      <w:pPr>
        <w:spacing w:after="0" w:line="322" w:lineRule="exact"/>
        <w:rPr>
          <w:sz w:val="20"/>
          <w:szCs w:val="20"/>
          <w:color w:val="auto"/>
        </w:rPr>
      </w:pPr>
    </w:p>
    <w:p>
      <w:pPr>
        <w:jc w:val="center"/>
        <w:ind w:right="-4"/>
        <w:spacing w:after="0"/>
        <w:rPr>
          <w:sz w:val="20"/>
          <w:szCs w:val="20"/>
          <w:color w:val="auto"/>
        </w:rPr>
      </w:pPr>
      <w:r>
        <w:rPr>
          <w:rFonts w:ascii="Arial" w:cs="Arial" w:eastAsia="Arial" w:hAnsi="Arial"/>
          <w:sz w:val="18"/>
          <w:szCs w:val="18"/>
          <w:color w:val="auto"/>
        </w:rPr>
        <w:t>- 107 -</w:t>
      </w:r>
    </w:p>
    <w:p>
      <w:pPr>
        <w:sectPr>
          <w:pgSz w:w="11900" w:h="16838" w:orient="portrait"/>
          <w:cols w:equalWidth="0" w:num="1">
            <w:col w:w="11365"/>
          </w:cols>
          <w:pgMar w:left="275" w:top="337" w:right="259" w:bottom="1440" w:gutter="0" w:footer="0" w:header="0"/>
        </w:sectPr>
      </w:pPr>
    </w:p>
    <w:bookmarkStart w:id="108" w:name="page109"/>
    <w:bookmarkEnd w:id="108"/>
    <w:p>
      <w:pPr>
        <w:jc w:val="center"/>
        <w:ind w:right="353"/>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ind w:right="353"/>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left="7"/>
        <w:spacing w:after="0" w:line="269" w:lineRule="auto"/>
        <w:rPr>
          <w:sz w:val="20"/>
          <w:szCs w:val="20"/>
          <w:color w:val="auto"/>
        </w:rPr>
      </w:pPr>
      <w:r>
        <w:rPr>
          <w:rFonts w:ascii="Arial" w:cs="Arial" w:eastAsia="Arial" w:hAnsi="Arial"/>
          <w:sz w:val="17"/>
          <w:szCs w:val="17"/>
          <w:color w:val="auto"/>
        </w:rPr>
        <w:t>The QiG segment focuses on the design and development of medical device systems and components. QiG is in the process of developing applications for its neurostimulation technology platform for emerging indications such as SCS, SNS, and DBS, among others. The QiG segment is comprised of the QiG Group, LLC, NeuroNexus, and CCC. QiG facilitates the development of medical device systems through the establishment of limited liability companies (“LLCs”). These LLCs do not own, but have the exclusive right to use the technology of Greatbatch in specific fields of use and have an exclusive manufacturing agreement with Greatbatch Medical. As of January 2, 2015, QiG Group LLC owned 89% of two LLCs, Algostim and PelviStim, but was responsible for 100% of the expenses incurred by these LLCs. However, no distributions were to be made to the minority holders of the LLCs until QiG was reimbursed for all expenses paid. Minority interests in these LLCs were held by key opinion leaders and clinicians. During 2015, the Company purchased the non-controlling interest in these LLCs for $16.7 million. Of this amount, $6.8 million remained payable as of January 1, 2016 and was recorded in Accrued Expenses in the Consolidated Balance Sheet. For purposes of the Consolidated Statement of Cash Flows for the year ended January 1, 2016, this liability was treated as a non-cash financing transaction. As of January 1, 2016, QiG Group LLC now owns 100% of Algostim and PelviStim.</w:t>
      </w:r>
    </w:p>
    <w:p>
      <w:pPr>
        <w:spacing w:after="0" w:line="183" w:lineRule="exact"/>
        <w:rPr>
          <w:sz w:val="20"/>
          <w:szCs w:val="20"/>
          <w:color w:val="auto"/>
        </w:rPr>
      </w:pPr>
    </w:p>
    <w:p>
      <w:pPr>
        <w:ind w:left="7" w:right="440"/>
        <w:spacing w:after="0" w:line="279" w:lineRule="auto"/>
        <w:rPr>
          <w:sz w:val="20"/>
          <w:szCs w:val="20"/>
          <w:color w:val="auto"/>
        </w:rPr>
      </w:pPr>
      <w:r>
        <w:rPr>
          <w:rFonts w:ascii="Arial" w:cs="Arial" w:eastAsia="Arial" w:hAnsi="Arial"/>
          <w:sz w:val="17"/>
          <w:szCs w:val="17"/>
          <w:color w:val="auto"/>
        </w:rPr>
        <w:t>The purchase of outstanding non-controlling interests included $6.9 million paid to Drees Holding LLC, of which Scott F. Drees, Chief Executive Officer (“CEO”) of Nuvectra, is the principal owner and the sole managing director. Mr. Drees received his interests in Algostim and PelviStim in connection with entering into a long-term consulting agreement with Nuvectra and prior to being appointed as its CEO in July 2015. Mr. Drees’ consulting agreement was terminated in connection with his agreeing to serve in the role of Nuvectra CEO.</w:t>
      </w:r>
    </w:p>
    <w:p>
      <w:pPr>
        <w:spacing w:after="0" w:line="171" w:lineRule="exact"/>
        <w:rPr>
          <w:sz w:val="20"/>
          <w:szCs w:val="20"/>
          <w:color w:val="auto"/>
        </w:rPr>
      </w:pPr>
    </w:p>
    <w:p>
      <w:pPr>
        <w:ind w:left="7" w:right="100"/>
        <w:spacing w:after="0" w:line="259" w:lineRule="auto"/>
        <w:rPr>
          <w:sz w:val="20"/>
          <w:szCs w:val="20"/>
          <w:color w:val="auto"/>
        </w:rPr>
      </w:pPr>
      <w:r>
        <w:rPr>
          <w:rFonts w:ascii="Arial" w:cs="Arial" w:eastAsia="Arial" w:hAnsi="Arial"/>
          <w:sz w:val="18"/>
          <w:szCs w:val="18"/>
          <w:color w:val="auto"/>
        </w:rPr>
        <w:t>Algostim is focused on the development and commercialization of its Algovita SCS system, the first application of QiG’s neurostimulation technology platform. Algovita is indicated for the treatment of chronic pain of the trunk and limbs. Algovita received CE Mark approval during 2014. During the fourth quarter of 2015, QiG received final approval of its PMA application for Algovita, which it anticipates launching commercially in the United States during the first half of 2016.</w:t>
      </w:r>
    </w:p>
    <w:p>
      <w:pPr>
        <w:spacing w:after="0" w:line="187" w:lineRule="exact"/>
        <w:rPr>
          <w:sz w:val="20"/>
          <w:szCs w:val="20"/>
          <w:color w:val="auto"/>
        </w:rPr>
      </w:pPr>
    </w:p>
    <w:p>
      <w:pPr>
        <w:ind w:left="7"/>
        <w:spacing w:after="0" w:line="255" w:lineRule="auto"/>
        <w:rPr>
          <w:sz w:val="20"/>
          <w:szCs w:val="20"/>
          <w:color w:val="auto"/>
        </w:rPr>
      </w:pPr>
      <w:r>
        <w:rPr>
          <w:rFonts w:ascii="Arial" w:cs="Arial" w:eastAsia="Arial" w:hAnsi="Arial"/>
          <w:sz w:val="18"/>
          <w:szCs w:val="18"/>
          <w:color w:val="auto"/>
        </w:rPr>
        <w:t>QiG revenue includes sales of neural interface technology, components and systems to the neuroscience and clinical markets from NeuroNexus, a limited release of Algovita in Europe, and CCC sales of various medical device products such as implantable pulse generators, programmer systems, battery chargers, patient wands and leads to medical device companies. Once the medical devices developed by CCC reach significant production levels, the responsibility for manufacturing these products may be transferred to Greatbatch Medical. After the pending Spin-off is completed, the Company’s design and development of complete medical device systems will be completed by the combined teams in Greatbatch Medical, Lake Region Medical, and CCC.</w:t>
      </w:r>
    </w:p>
    <w:p>
      <w:pPr>
        <w:spacing w:after="0" w:line="193" w:lineRule="exact"/>
        <w:rPr>
          <w:sz w:val="20"/>
          <w:szCs w:val="20"/>
          <w:color w:val="auto"/>
        </w:rPr>
      </w:pPr>
    </w:p>
    <w:p>
      <w:pPr>
        <w:ind w:left="7" w:right="100"/>
        <w:spacing w:after="0" w:line="257" w:lineRule="auto"/>
        <w:rPr>
          <w:sz w:val="20"/>
          <w:szCs w:val="20"/>
          <w:color w:val="auto"/>
        </w:rPr>
      </w:pPr>
      <w:r>
        <w:rPr>
          <w:rFonts w:ascii="Arial" w:cs="Arial" w:eastAsia="Arial" w:hAnsi="Arial"/>
          <w:sz w:val="18"/>
          <w:szCs w:val="18"/>
          <w:color w:val="auto"/>
        </w:rPr>
        <w:t>Lake Region Medical has operated as a segment for Greatbatch since it was acquired during the fourth quarter of 2015. This segment specializes in the design, development, and manufacturing of products across the medical component and device spectrum, primarily serving the cardio, vascular and advanced surgical markets. Lake Region Medical offers fully integrated outsourced manufacturing, regulatory and engineering services, contract manufacturing, finished device assembly services, original device development, and supply chain management to its customers, who are located worldwide.</w:t>
      </w:r>
    </w:p>
    <w:p>
      <w:pPr>
        <w:spacing w:after="0" w:line="188" w:lineRule="exact"/>
        <w:rPr>
          <w:sz w:val="20"/>
          <w:szCs w:val="20"/>
          <w:color w:val="auto"/>
        </w:rPr>
      </w:pPr>
    </w:p>
    <w:p>
      <w:pPr>
        <w:jc w:val="both"/>
        <w:ind w:left="7" w:right="120"/>
        <w:spacing w:after="0" w:line="264" w:lineRule="auto"/>
        <w:rPr>
          <w:sz w:val="20"/>
          <w:szCs w:val="20"/>
          <w:color w:val="auto"/>
        </w:rPr>
      </w:pPr>
      <w:r>
        <w:rPr>
          <w:rFonts w:ascii="Arial" w:cs="Arial" w:eastAsia="Arial" w:hAnsi="Arial"/>
          <w:sz w:val="18"/>
          <w:szCs w:val="18"/>
          <w:color w:val="auto"/>
        </w:rPr>
        <w:t>As a result of the Lake Region Medical acquisition and pending Spin-off, the Company has recast its product line sales to reflect the reclassification of Greatbatch, Inc. and Lake Region net sales from the historical product lines to the product lines associated with those revenues that will be utilized for future revenue reporting.</w:t>
      </w:r>
    </w:p>
    <w:p>
      <w:pPr>
        <w:spacing w:after="0" w:line="181" w:lineRule="exact"/>
        <w:rPr>
          <w:sz w:val="20"/>
          <w:szCs w:val="20"/>
          <w:color w:val="auto"/>
        </w:rPr>
      </w:pPr>
    </w:p>
    <w:p>
      <w:pPr>
        <w:ind w:left="7"/>
        <w:spacing w:after="0"/>
        <w:rPr>
          <w:sz w:val="20"/>
          <w:szCs w:val="20"/>
          <w:color w:val="auto"/>
        </w:rPr>
      </w:pPr>
      <w:r>
        <w:rPr>
          <w:rFonts w:ascii="Arial" w:cs="Arial" w:eastAsia="Arial" w:hAnsi="Arial"/>
          <w:sz w:val="18"/>
          <w:szCs w:val="18"/>
          <w:color w:val="auto"/>
        </w:rPr>
        <w:t>As of January 1, 2016, the Company’s product lines consist of the following:</w:t>
      </w:r>
    </w:p>
    <w:p>
      <w:pPr>
        <w:spacing w:after="0" w:line="221" w:lineRule="exact"/>
        <w:rPr>
          <w:sz w:val="20"/>
          <w:szCs w:val="20"/>
          <w:color w:val="auto"/>
        </w:rPr>
      </w:pPr>
    </w:p>
    <w:p>
      <w:pPr>
        <w:ind w:left="247" w:right="80" w:hanging="247"/>
        <w:spacing w:after="0" w:line="274" w:lineRule="auto"/>
        <w:tabs>
          <w:tab w:leader="none" w:pos="247" w:val="left"/>
        </w:tabs>
        <w:numPr>
          <w:ilvl w:val="0"/>
          <w:numId w:val="56"/>
        </w:numPr>
        <w:rPr>
          <w:rFonts w:ascii="Arial" w:cs="Arial" w:eastAsia="Arial" w:hAnsi="Arial"/>
          <w:sz w:val="17"/>
          <w:szCs w:val="17"/>
          <w:b w:val="1"/>
          <w:bCs w:val="1"/>
          <w:color w:val="auto"/>
        </w:rPr>
      </w:pPr>
      <w:r>
        <w:rPr>
          <w:rFonts w:ascii="Arial" w:cs="Arial" w:eastAsia="Arial" w:hAnsi="Arial"/>
          <w:sz w:val="17"/>
          <w:szCs w:val="17"/>
          <w:b w:val="1"/>
          <w:bCs w:val="1"/>
          <w:color w:val="auto"/>
        </w:rPr>
        <w:t xml:space="preserve">Advanced Surgical, Orthopaedics, and Portable Medical: </w:t>
      </w:r>
      <w:r>
        <w:rPr>
          <w:rFonts w:ascii="Arial" w:cs="Arial" w:eastAsia="Arial" w:hAnsi="Arial"/>
          <w:sz w:val="17"/>
          <w:szCs w:val="17"/>
          <w:color w:val="auto"/>
        </w:rPr>
        <w:t>Includes legacy Greatbatch Orthopaedics and Portable Medical product line sales plus</w:t>
      </w:r>
      <w:r>
        <w:rPr>
          <w:rFonts w:ascii="Arial" w:cs="Arial" w:eastAsia="Arial" w:hAnsi="Arial"/>
          <w:sz w:val="17"/>
          <w:szCs w:val="17"/>
          <w:b w:val="1"/>
          <w:bCs w:val="1"/>
          <w:color w:val="auto"/>
        </w:rPr>
        <w:t xml:space="preserve"> </w:t>
      </w:r>
      <w:r>
        <w:rPr>
          <w:rFonts w:ascii="Arial" w:cs="Arial" w:eastAsia="Arial" w:hAnsi="Arial"/>
          <w:sz w:val="17"/>
          <w:szCs w:val="17"/>
          <w:color w:val="auto"/>
        </w:rPr>
        <w:t>the legacy Lake Region Medical Advanced Surgical product line sales. Products include components, sub-assemblies, finished devices, implants, instruments and delivery systems for a range of surgical technologies to the advanced surgical market, including laparoscopy, orthopaedics and general surgery, biopsy and drug delivery, joint preservation and reconstruction, arthroscopy, and engineered tubing solutions. Products also include life-saving and life-enhancing applications comprising of automated external defibrillators, portable oxygen concentrators, ventilators, and powered surgical tools for the portable medical markets.</w:t>
      </w:r>
    </w:p>
    <w:p>
      <w:pPr>
        <w:spacing w:after="0" w:line="173" w:lineRule="exact"/>
        <w:rPr>
          <w:rFonts w:ascii="Arial" w:cs="Arial" w:eastAsia="Arial" w:hAnsi="Arial"/>
          <w:sz w:val="17"/>
          <w:szCs w:val="17"/>
          <w:b w:val="1"/>
          <w:bCs w:val="1"/>
          <w:color w:val="auto"/>
        </w:rPr>
      </w:pPr>
    </w:p>
    <w:p>
      <w:pPr>
        <w:ind w:left="247" w:hanging="247"/>
        <w:spacing w:after="0" w:line="258" w:lineRule="auto"/>
        <w:tabs>
          <w:tab w:leader="none" w:pos="247" w:val="left"/>
        </w:tabs>
        <w:numPr>
          <w:ilvl w:val="0"/>
          <w:numId w:val="56"/>
        </w:numPr>
        <w:rPr>
          <w:rFonts w:ascii="Arial" w:cs="Arial" w:eastAsia="Arial" w:hAnsi="Arial"/>
          <w:sz w:val="18"/>
          <w:szCs w:val="18"/>
          <w:color w:val="auto"/>
        </w:rPr>
      </w:pPr>
      <w:r>
        <w:rPr>
          <w:rFonts w:ascii="Arial" w:cs="Arial" w:eastAsia="Arial" w:hAnsi="Arial"/>
          <w:sz w:val="18"/>
          <w:szCs w:val="18"/>
          <w:b w:val="1"/>
          <w:bCs w:val="1"/>
          <w:color w:val="auto"/>
        </w:rPr>
        <w:t xml:space="preserve">Cardio and Vascular: </w:t>
      </w:r>
      <w:r>
        <w:rPr>
          <w:rFonts w:ascii="Arial" w:cs="Arial" w:eastAsia="Arial" w:hAnsi="Arial"/>
          <w:sz w:val="18"/>
          <w:szCs w:val="18"/>
          <w:color w:val="auto"/>
        </w:rPr>
        <w:t>Includes the legacy Greatbatch Vascular product line sales plus the legacy Lake Region Medical Cardio and Vascular product</w:t>
      </w:r>
      <w:r>
        <w:rPr>
          <w:rFonts w:ascii="Arial" w:cs="Arial" w:eastAsia="Arial" w:hAnsi="Arial"/>
          <w:sz w:val="18"/>
          <w:szCs w:val="18"/>
          <w:b w:val="1"/>
          <w:bCs w:val="1"/>
          <w:color w:val="auto"/>
        </w:rPr>
        <w:t xml:space="preserve"> </w:t>
      </w:r>
      <w:r>
        <w:rPr>
          <w:rFonts w:ascii="Arial" w:cs="Arial" w:eastAsia="Arial" w:hAnsi="Arial"/>
          <w:sz w:val="18"/>
          <w:szCs w:val="18"/>
          <w:color w:val="auto"/>
        </w:rPr>
        <w:t>line sales less the legacy Lake Region Medical Cardiac/Neuromodulation sales. Products include introducers, steerable sheaths, guidewires, catheters, and stimulation therapy components, subassemblies and finished devices that deliver therapies for various markets such as coronary and neurovascular disease, peripheral vascular disease, interventional radiology, vascular access, atrial fibrillation, and interventional cardiology, plus products for medical imaging and pharmaceutical delivery.</w:t>
      </w:r>
    </w:p>
    <w:p>
      <w:pPr>
        <w:sectPr>
          <w:pgSz w:w="11900" w:h="16838" w:orient="portrait"/>
          <w:cols w:equalWidth="0" w:num="1">
            <w:col w:w="10967"/>
          </w:cols>
          <w:pgMar w:left="653" w:top="337" w:right="279" w:bottom="1440" w:gutter="0" w:footer="0" w:header="0"/>
        </w:sectPr>
      </w:pPr>
    </w:p>
    <w:p>
      <w:pPr>
        <w:spacing w:after="0" w:line="323" w:lineRule="exact"/>
        <w:rPr>
          <w:sz w:val="20"/>
          <w:szCs w:val="20"/>
          <w:color w:val="auto"/>
        </w:rPr>
      </w:pPr>
    </w:p>
    <w:p>
      <w:pPr>
        <w:jc w:val="center"/>
        <w:ind w:right="353"/>
        <w:spacing w:after="0"/>
        <w:rPr>
          <w:sz w:val="20"/>
          <w:szCs w:val="20"/>
          <w:color w:val="auto"/>
        </w:rPr>
      </w:pPr>
      <w:r>
        <w:rPr>
          <w:rFonts w:ascii="Arial" w:cs="Arial" w:eastAsia="Arial" w:hAnsi="Arial"/>
          <w:sz w:val="16"/>
          <w:szCs w:val="16"/>
          <w:color w:val="auto"/>
        </w:rPr>
        <w:t>- 108 -</w:t>
      </w:r>
    </w:p>
    <w:p>
      <w:pPr>
        <w:sectPr>
          <w:pgSz w:w="11900" w:h="16838" w:orient="portrait"/>
          <w:cols w:equalWidth="0" w:num="1">
            <w:col w:w="10967"/>
          </w:cols>
          <w:pgMar w:left="653" w:top="337" w:right="279" w:bottom="1440" w:gutter="0" w:footer="0" w:header="0"/>
          <w:type w:val="continuous"/>
        </w:sectPr>
      </w:pPr>
    </w:p>
    <w:bookmarkStart w:id="109" w:name="page110"/>
    <w:bookmarkEnd w:id="109"/>
    <w:p>
      <w:pPr>
        <w:jc w:val="center"/>
        <w:ind w:right="233"/>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ind w:right="233"/>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247" w:right="120" w:hanging="247"/>
        <w:spacing w:after="0" w:line="314" w:lineRule="auto"/>
        <w:tabs>
          <w:tab w:leader="none" w:pos="247" w:val="left"/>
        </w:tabs>
        <w:numPr>
          <w:ilvl w:val="0"/>
          <w:numId w:val="57"/>
        </w:numPr>
        <w:rPr>
          <w:rFonts w:ascii="Arial" w:cs="Arial" w:eastAsia="Arial" w:hAnsi="Arial"/>
          <w:sz w:val="16"/>
          <w:szCs w:val="16"/>
          <w:color w:val="auto"/>
        </w:rPr>
      </w:pPr>
      <w:r>
        <w:rPr>
          <w:rFonts w:ascii="Arial" w:cs="Arial" w:eastAsia="Arial" w:hAnsi="Arial"/>
          <w:sz w:val="16"/>
          <w:szCs w:val="16"/>
          <w:b w:val="1"/>
          <w:bCs w:val="1"/>
          <w:color w:val="auto"/>
        </w:rPr>
        <w:t xml:space="preserve">Cardiac/Neuromodulation: </w:t>
      </w:r>
      <w:r>
        <w:rPr>
          <w:rFonts w:ascii="Arial" w:cs="Arial" w:eastAsia="Arial" w:hAnsi="Arial"/>
          <w:sz w:val="16"/>
          <w:szCs w:val="16"/>
          <w:color w:val="auto"/>
        </w:rPr>
        <w:t>Includes the legacy Greatbatch Cardiac/Neuromodulation and QiG sales plus the legacy Lake Region Medical</w:t>
      </w:r>
      <w:r>
        <w:rPr>
          <w:rFonts w:ascii="Arial" w:cs="Arial" w:eastAsia="Arial" w:hAnsi="Arial"/>
          <w:sz w:val="16"/>
          <w:szCs w:val="16"/>
          <w:b w:val="1"/>
          <w:bCs w:val="1"/>
          <w:color w:val="auto"/>
        </w:rPr>
        <w:t xml:space="preserve"> </w:t>
      </w:r>
      <w:r>
        <w:rPr>
          <w:rFonts w:ascii="Arial" w:cs="Arial" w:eastAsia="Arial" w:hAnsi="Arial"/>
          <w:sz w:val="16"/>
          <w:szCs w:val="16"/>
          <w:color w:val="auto"/>
        </w:rPr>
        <w:t>Cardiac/Neuromodulation sales previously included in their Cardio and Vascular product line sales. Products include batteries, capacitors, filtered and unfiltered feed-throughs, engineered components, implantable stimulation leads, and enclosures used in implantable medical devices.</w:t>
      </w:r>
    </w:p>
    <w:p>
      <w:pPr>
        <w:spacing w:after="0" w:line="142" w:lineRule="exact"/>
        <w:rPr>
          <w:rFonts w:ascii="Arial" w:cs="Arial" w:eastAsia="Arial" w:hAnsi="Arial"/>
          <w:sz w:val="16"/>
          <w:szCs w:val="16"/>
          <w:color w:val="auto"/>
        </w:rPr>
      </w:pPr>
    </w:p>
    <w:p>
      <w:pPr>
        <w:ind w:left="247" w:right="180" w:hanging="247"/>
        <w:spacing w:after="0" w:line="282" w:lineRule="auto"/>
        <w:tabs>
          <w:tab w:leader="none" w:pos="247" w:val="left"/>
        </w:tabs>
        <w:numPr>
          <w:ilvl w:val="0"/>
          <w:numId w:val="57"/>
        </w:numPr>
        <w:rPr>
          <w:rFonts w:ascii="Arial" w:cs="Arial" w:eastAsia="Arial" w:hAnsi="Arial"/>
          <w:sz w:val="18"/>
          <w:szCs w:val="18"/>
          <w:color w:val="auto"/>
        </w:rPr>
      </w:pPr>
      <w:r>
        <w:rPr>
          <w:rFonts w:ascii="Arial" w:cs="Arial" w:eastAsia="Arial" w:hAnsi="Arial"/>
          <w:sz w:val="18"/>
          <w:szCs w:val="18"/>
          <w:b w:val="1"/>
          <w:bCs w:val="1"/>
          <w:color w:val="auto"/>
        </w:rPr>
        <w:t>Electrochem</w:t>
      </w:r>
      <w:r>
        <w:rPr>
          <w:rFonts w:ascii="Arial" w:cs="Arial" w:eastAsia="Arial" w:hAnsi="Arial"/>
          <w:sz w:val="18"/>
          <w:szCs w:val="18"/>
          <w:color w:val="auto"/>
        </w:rPr>
        <w:t>: Includes the legacy Greatbatch Energy, Military and Environmental product line sales. Products include primary and rechargeable</w:t>
      </w:r>
      <w:r>
        <w:rPr>
          <w:rFonts w:ascii="Arial" w:cs="Arial" w:eastAsia="Arial" w:hAnsi="Arial"/>
          <w:sz w:val="18"/>
          <w:szCs w:val="18"/>
          <w:b w:val="1"/>
          <w:bCs w:val="1"/>
          <w:color w:val="auto"/>
        </w:rPr>
        <w:t xml:space="preserve"> </w:t>
      </w:r>
      <w:r>
        <w:rPr>
          <w:rFonts w:ascii="Arial" w:cs="Arial" w:eastAsia="Arial" w:hAnsi="Arial"/>
          <w:sz w:val="18"/>
          <w:szCs w:val="18"/>
          <w:color w:val="auto"/>
        </w:rPr>
        <w:t>batteries and battery packs for demanding applications such as down hole drilling tools.</w:t>
      </w:r>
    </w:p>
    <w:p>
      <w:pPr>
        <w:spacing w:after="0" w:line="166" w:lineRule="exact"/>
        <w:rPr>
          <w:sz w:val="20"/>
          <w:szCs w:val="20"/>
          <w:color w:val="auto"/>
        </w:rPr>
      </w:pPr>
    </w:p>
    <w:p>
      <w:pPr>
        <w:ind w:left="7"/>
        <w:spacing w:after="0" w:line="302" w:lineRule="auto"/>
        <w:rPr>
          <w:sz w:val="20"/>
          <w:szCs w:val="20"/>
          <w:color w:val="auto"/>
        </w:rPr>
      </w:pPr>
      <w:r>
        <w:rPr>
          <w:rFonts w:ascii="Arial" w:cs="Arial" w:eastAsia="Arial" w:hAnsi="Arial"/>
          <w:sz w:val="16"/>
          <w:szCs w:val="16"/>
          <w:color w:val="auto"/>
        </w:rPr>
        <w:t>An analysis and reconciliation of the Company’s business segments, product lines and geographic information to the respective information in the Consolidated Financial Statements follows. Intersegment sales between Greatbatch Medical and QiG were not material for 2014 or 2013. Approximately $1.8 million of intersegment sales are included in Greatbatch Medical and $1.2 million intersegment sales are included in Lake Region Medical. Sales by geographic area are presented by allocating sales from external customers based on where the products are shipped (in thousands):</w:t>
      </w:r>
    </w:p>
    <w:p>
      <w:pPr>
        <w:spacing w:after="0" w:line="200" w:lineRule="exact"/>
        <w:rPr>
          <w:sz w:val="20"/>
          <w:szCs w:val="20"/>
          <w:color w:val="auto"/>
        </w:rPr>
      </w:pPr>
    </w:p>
    <w:tbl>
      <w:tblPr>
        <w:tblLayout w:type="fixed"/>
        <w:tblInd w:w="87" w:type="dxa"/>
        <w:tblCellMar>
          <w:top w:w="0" w:type="dxa"/>
          <w:left w:w="0" w:type="dxa"/>
          <w:bottom w:w="0" w:type="dxa"/>
          <w:right w:w="0" w:type="dxa"/>
        </w:tblCellMar>
      </w:tblPr>
      <w:tr>
        <w:trPr>
          <w:trHeight w:val="192"/>
        </w:trPr>
        <w:tc>
          <w:tcPr>
            <w:tcW w:w="300" w:type="dxa"/>
            <w:vAlign w:val="bottom"/>
          </w:tcPr>
          <w:p>
            <w:pPr>
              <w:spacing w:after="0"/>
              <w:rPr>
                <w:sz w:val="16"/>
                <w:szCs w:val="16"/>
                <w:color w:val="auto"/>
              </w:rPr>
            </w:pPr>
          </w:p>
        </w:tc>
        <w:tc>
          <w:tcPr>
            <w:tcW w:w="4340" w:type="dxa"/>
            <w:vAlign w:val="bottom"/>
          </w:tcPr>
          <w:p>
            <w:pPr>
              <w:spacing w:after="0"/>
              <w:rPr>
                <w:sz w:val="16"/>
                <w:szCs w:val="16"/>
                <w:color w:val="auto"/>
              </w:rPr>
            </w:pPr>
          </w:p>
        </w:tc>
        <w:tc>
          <w:tcPr>
            <w:tcW w:w="144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b w:val="1"/>
                <w:bCs w:val="1"/>
                <w:color w:val="auto"/>
              </w:rPr>
              <w:t>Year Ended</w:t>
            </w: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00" w:type="dxa"/>
            <w:vAlign w:val="bottom"/>
          </w:tcPr>
          <w:p>
            <w:pPr>
              <w:spacing w:after="0"/>
              <w:rPr>
                <w:sz w:val="13"/>
                <w:szCs w:val="13"/>
                <w:color w:val="auto"/>
              </w:rPr>
            </w:pPr>
          </w:p>
        </w:tc>
        <w:tc>
          <w:tcPr>
            <w:tcW w:w="4340" w:type="dxa"/>
            <w:vAlign w:val="bottom"/>
          </w:tcPr>
          <w:p>
            <w:pPr>
              <w:spacing w:after="0"/>
              <w:rPr>
                <w:sz w:val="13"/>
                <w:szCs w:val="13"/>
                <w:color w:val="auto"/>
              </w:rPr>
            </w:pPr>
          </w:p>
        </w:tc>
        <w:tc>
          <w:tcPr>
            <w:tcW w:w="14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180" w:type="dxa"/>
            <w:vAlign w:val="bottom"/>
            <w:gridSpan w:val="3"/>
          </w:tcPr>
          <w:p>
            <w:pPr>
              <w:ind w:left="40"/>
              <w:spacing w:after="0" w:line="153" w:lineRule="exact"/>
              <w:rPr>
                <w:sz w:val="20"/>
                <w:szCs w:val="20"/>
                <w:color w:val="auto"/>
              </w:rPr>
            </w:pPr>
            <w:r>
              <w:rPr>
                <w:rFonts w:ascii="Arial" w:cs="Arial" w:eastAsia="Arial" w:hAnsi="Arial"/>
                <w:sz w:val="14"/>
                <w:szCs w:val="14"/>
                <w:b w:val="1"/>
                <w:bCs w:val="1"/>
                <w:color w:val="auto"/>
              </w:rPr>
              <w:t>January 1,</w:t>
            </w: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60" w:type="dxa"/>
            <w:vAlign w:val="bottom"/>
            <w:gridSpan w:val="2"/>
          </w:tcPr>
          <w:p>
            <w:pPr>
              <w:ind w:left="40"/>
              <w:spacing w:after="0" w:line="153" w:lineRule="exact"/>
              <w:rPr>
                <w:sz w:val="20"/>
                <w:szCs w:val="20"/>
                <w:color w:val="auto"/>
              </w:rPr>
            </w:pPr>
            <w:r>
              <w:rPr>
                <w:rFonts w:ascii="Arial" w:cs="Arial" w:eastAsia="Arial" w:hAnsi="Arial"/>
                <w:sz w:val="14"/>
                <w:szCs w:val="14"/>
                <w:b w:val="1"/>
                <w:bCs w:val="1"/>
                <w:color w:val="auto"/>
              </w:rPr>
              <w:t>January 2,</w:t>
            </w: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360" w:type="dxa"/>
            <w:vAlign w:val="bottom"/>
            <w:gridSpan w:val="3"/>
          </w:tcPr>
          <w:p>
            <w:pPr>
              <w:ind w:left="40"/>
              <w:spacing w:after="0" w:line="153" w:lineRule="exact"/>
              <w:rPr>
                <w:sz w:val="20"/>
                <w:szCs w:val="20"/>
                <w:color w:val="auto"/>
              </w:rPr>
            </w:pPr>
            <w:r>
              <w:rPr>
                <w:rFonts w:ascii="Arial" w:cs="Arial" w:eastAsia="Arial" w:hAnsi="Arial"/>
                <w:sz w:val="14"/>
                <w:szCs w:val="14"/>
                <w:b w:val="1"/>
                <w:bCs w:val="1"/>
                <w:color w:val="auto"/>
              </w:rPr>
              <w:t>January 3,</w:t>
            </w:r>
          </w:p>
        </w:tc>
        <w:tc>
          <w:tcPr>
            <w:tcW w:w="0" w:type="dxa"/>
            <w:vAlign w:val="bottom"/>
          </w:tcPr>
          <w:p>
            <w:pPr>
              <w:spacing w:after="0"/>
              <w:rPr>
                <w:sz w:val="1"/>
                <w:szCs w:val="1"/>
                <w:color w:val="auto"/>
              </w:rPr>
            </w:pPr>
          </w:p>
        </w:tc>
      </w:tr>
      <w:tr>
        <w:trPr>
          <w:trHeight w:val="192"/>
        </w:trPr>
        <w:tc>
          <w:tcPr>
            <w:tcW w:w="300" w:type="dxa"/>
            <w:vAlign w:val="bottom"/>
            <w:tcBorders>
              <w:bottom w:val="single" w:sz="8" w:color="CCEEFF"/>
            </w:tcBorders>
          </w:tcPr>
          <w:p>
            <w:pPr>
              <w:spacing w:after="0"/>
              <w:rPr>
                <w:sz w:val="16"/>
                <w:szCs w:val="16"/>
                <w:color w:val="auto"/>
              </w:rPr>
            </w:pPr>
          </w:p>
        </w:tc>
        <w:tc>
          <w:tcPr>
            <w:tcW w:w="4340" w:type="dxa"/>
            <w:vAlign w:val="bottom"/>
            <w:tcBorders>
              <w:bottom w:val="single" w:sz="8" w:color="CCEEFF"/>
            </w:tcBorders>
          </w:tcPr>
          <w:p>
            <w:pPr>
              <w:spacing w:after="0"/>
              <w:rPr>
                <w:sz w:val="16"/>
                <w:szCs w:val="16"/>
                <w:color w:val="auto"/>
              </w:rPr>
            </w:pPr>
          </w:p>
        </w:tc>
        <w:tc>
          <w:tcPr>
            <w:tcW w:w="144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433"/>
              <w:spacing w:after="0"/>
              <w:rPr>
                <w:sz w:val="20"/>
                <w:szCs w:val="20"/>
                <w:color w:val="auto"/>
              </w:rPr>
            </w:pPr>
            <w:r>
              <w:rPr>
                <w:rFonts w:ascii="Arial" w:cs="Arial" w:eastAsia="Arial" w:hAnsi="Arial"/>
                <w:sz w:val="14"/>
                <w:szCs w:val="14"/>
                <w:b w:val="1"/>
                <w:bCs w:val="1"/>
                <w:color w:val="auto"/>
              </w:rPr>
              <w:t>2016</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454"/>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453"/>
              <w:spacing w:after="0"/>
              <w:rPr>
                <w:sz w:val="20"/>
                <w:szCs w:val="20"/>
                <w:color w:val="auto"/>
              </w:rPr>
            </w:pPr>
            <w:r>
              <w:rPr>
                <w:rFonts w:ascii="Arial" w:cs="Arial" w:eastAsia="Arial" w:hAnsi="Arial"/>
                <w:sz w:val="14"/>
                <w:szCs w:val="14"/>
                <w:b w:val="1"/>
                <w:bCs w:val="1"/>
                <w:color w:val="auto"/>
              </w:rPr>
              <w:t>2014</w:t>
            </w: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46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Product line sales:</w:t>
            </w:r>
          </w:p>
        </w:tc>
        <w:tc>
          <w:tcPr>
            <w:tcW w:w="144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640" w:type="dxa"/>
            <w:vAlign w:val="bottom"/>
            <w:gridSpan w:val="2"/>
          </w:tcPr>
          <w:p>
            <w:pPr>
              <w:ind w:left="260"/>
              <w:spacing w:after="0"/>
              <w:rPr>
                <w:sz w:val="20"/>
                <w:szCs w:val="20"/>
                <w:color w:val="auto"/>
              </w:rPr>
            </w:pPr>
            <w:r>
              <w:rPr>
                <w:rFonts w:ascii="Arial" w:cs="Arial" w:eastAsia="Arial" w:hAnsi="Arial"/>
                <w:sz w:val="18"/>
                <w:szCs w:val="18"/>
                <w:color w:val="auto"/>
                <w:w w:val="97"/>
              </w:rPr>
              <w:t>Advanced Surgical, Orthopaedics, and Portable Medical</w:t>
            </w:r>
          </w:p>
        </w:tc>
        <w:tc>
          <w:tcPr>
            <w:tcW w:w="172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880" w:type="dxa"/>
            <w:vAlign w:val="bottom"/>
          </w:tcPr>
          <w:p>
            <w:pPr>
              <w:jc w:val="right"/>
              <w:ind w:right="13"/>
              <w:spacing w:after="0"/>
              <w:rPr>
                <w:sz w:val="20"/>
                <w:szCs w:val="20"/>
                <w:color w:val="auto"/>
              </w:rPr>
            </w:pPr>
            <w:r>
              <w:rPr>
                <w:rFonts w:ascii="Arial" w:cs="Arial" w:eastAsia="Arial" w:hAnsi="Arial"/>
                <w:sz w:val="18"/>
                <w:szCs w:val="18"/>
                <w:color w:val="auto"/>
              </w:rPr>
              <w:t>243,385</w:t>
            </w:r>
          </w:p>
        </w:tc>
        <w:tc>
          <w:tcPr>
            <w:tcW w:w="12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80" w:type="dxa"/>
            <w:vAlign w:val="bottom"/>
          </w:tcPr>
          <w:p>
            <w:pPr>
              <w:jc w:val="right"/>
              <w:ind w:right="14"/>
              <w:spacing w:after="0"/>
              <w:rPr>
                <w:sz w:val="20"/>
                <w:szCs w:val="20"/>
                <w:color w:val="auto"/>
              </w:rPr>
            </w:pPr>
            <w:r>
              <w:rPr>
                <w:rFonts w:ascii="Arial" w:cs="Arial" w:eastAsia="Arial" w:hAnsi="Arial"/>
                <w:sz w:val="18"/>
                <w:szCs w:val="18"/>
                <w:color w:val="auto"/>
              </w:rPr>
              <w:t>216,339</w:t>
            </w:r>
          </w:p>
        </w:tc>
        <w:tc>
          <w:tcPr>
            <w:tcW w:w="3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80" w:type="dxa"/>
            <w:vAlign w:val="bottom"/>
          </w:tcPr>
          <w:p>
            <w:pPr>
              <w:jc w:val="right"/>
              <w:ind w:right="13"/>
              <w:spacing w:after="0"/>
              <w:rPr>
                <w:sz w:val="20"/>
                <w:szCs w:val="20"/>
                <w:color w:val="auto"/>
              </w:rPr>
            </w:pPr>
            <w:r>
              <w:rPr>
                <w:rFonts w:ascii="Arial" w:cs="Arial" w:eastAsia="Arial" w:hAnsi="Arial"/>
                <w:sz w:val="18"/>
                <w:szCs w:val="18"/>
                <w:color w:val="auto"/>
              </w:rPr>
              <w:t>208,990</w:t>
            </w:r>
          </w:p>
        </w:tc>
        <w:tc>
          <w:tcPr>
            <w:tcW w:w="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300" w:type="dxa"/>
            <w:vAlign w:val="bottom"/>
          </w:tcPr>
          <w:p>
            <w:pPr>
              <w:spacing w:after="0"/>
              <w:rPr>
                <w:sz w:val="2"/>
                <w:szCs w:val="2"/>
                <w:color w:val="auto"/>
              </w:rPr>
            </w:pPr>
          </w:p>
        </w:tc>
        <w:tc>
          <w:tcPr>
            <w:tcW w:w="4340" w:type="dxa"/>
            <w:vAlign w:val="bottom"/>
          </w:tcPr>
          <w:p>
            <w:pPr>
              <w:spacing w:after="0"/>
              <w:rPr>
                <w:sz w:val="2"/>
                <w:szCs w:val="2"/>
                <w:color w:val="auto"/>
              </w:rPr>
            </w:pPr>
          </w:p>
        </w:tc>
        <w:tc>
          <w:tcPr>
            <w:tcW w:w="14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8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80" w:type="dxa"/>
            <w:vAlign w:val="bottom"/>
          </w:tcPr>
          <w:p>
            <w:pPr>
              <w:spacing w:after="0"/>
              <w:rPr>
                <w:sz w:val="2"/>
                <w:szCs w:val="2"/>
                <w:color w:val="auto"/>
              </w:rPr>
            </w:pPr>
          </w:p>
        </w:tc>
        <w:tc>
          <w:tcPr>
            <w:tcW w:w="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40" w:type="dxa"/>
            <w:vAlign w:val="bottom"/>
            <w:tcBorders>
              <w:bottom w:val="single" w:sz="8" w:color="CCEEFF"/>
            </w:tcBorders>
            <w:gridSpan w:val="2"/>
            <w:shd w:val="clear" w:color="auto" w:fill="CCEEFF"/>
          </w:tcPr>
          <w:p>
            <w:pPr>
              <w:ind w:left="260"/>
              <w:spacing w:after="0"/>
              <w:rPr>
                <w:sz w:val="20"/>
                <w:szCs w:val="20"/>
                <w:color w:val="auto"/>
              </w:rPr>
            </w:pPr>
            <w:r>
              <w:rPr>
                <w:rFonts w:ascii="Arial" w:cs="Arial" w:eastAsia="Arial" w:hAnsi="Arial"/>
                <w:sz w:val="18"/>
                <w:szCs w:val="18"/>
                <w:color w:val="auto"/>
              </w:rPr>
              <w:t>Cardio and Vascular</w:t>
            </w:r>
          </w:p>
        </w:tc>
        <w:tc>
          <w:tcPr>
            <w:tcW w:w="144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143,260</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58,770</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48,357</w:t>
            </w:r>
          </w:p>
        </w:tc>
        <w:tc>
          <w:tcPr>
            <w:tcW w:w="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640" w:type="dxa"/>
            <w:vAlign w:val="bottom"/>
            <w:gridSpan w:val="2"/>
          </w:tcPr>
          <w:p>
            <w:pPr>
              <w:ind w:left="260"/>
              <w:spacing w:after="0"/>
              <w:rPr>
                <w:sz w:val="20"/>
                <w:szCs w:val="20"/>
                <w:color w:val="auto"/>
              </w:rPr>
            </w:pPr>
            <w:r>
              <w:rPr>
                <w:rFonts w:ascii="Arial" w:cs="Arial" w:eastAsia="Arial" w:hAnsi="Arial"/>
                <w:sz w:val="18"/>
                <w:szCs w:val="18"/>
                <w:color w:val="auto"/>
              </w:rPr>
              <w:t>Cardiac/Neuromodulation</w:t>
            </w:r>
          </w:p>
        </w:tc>
        <w:tc>
          <w:tcPr>
            <w:tcW w:w="14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80" w:type="dxa"/>
            <w:vAlign w:val="bottom"/>
          </w:tcPr>
          <w:p>
            <w:pPr>
              <w:jc w:val="right"/>
              <w:ind w:right="13"/>
              <w:spacing w:after="0"/>
              <w:rPr>
                <w:sz w:val="20"/>
                <w:szCs w:val="20"/>
                <w:color w:val="auto"/>
              </w:rPr>
            </w:pPr>
            <w:r>
              <w:rPr>
                <w:rFonts w:ascii="Arial" w:cs="Arial" w:eastAsia="Arial" w:hAnsi="Arial"/>
                <w:sz w:val="18"/>
                <w:szCs w:val="18"/>
                <w:color w:val="auto"/>
              </w:rPr>
              <w:t>356,064</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80" w:type="dxa"/>
            <w:vAlign w:val="bottom"/>
          </w:tcPr>
          <w:p>
            <w:pPr>
              <w:jc w:val="right"/>
              <w:ind w:right="14"/>
              <w:spacing w:after="0"/>
              <w:rPr>
                <w:sz w:val="20"/>
                <w:szCs w:val="20"/>
                <w:color w:val="auto"/>
              </w:rPr>
            </w:pPr>
            <w:r>
              <w:rPr>
                <w:rFonts w:ascii="Arial" w:cs="Arial" w:eastAsia="Arial" w:hAnsi="Arial"/>
                <w:sz w:val="18"/>
                <w:szCs w:val="18"/>
                <w:color w:val="auto"/>
              </w:rPr>
              <w:t>330,921</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80" w:type="dxa"/>
            <w:vAlign w:val="bottom"/>
          </w:tcPr>
          <w:p>
            <w:pPr>
              <w:jc w:val="right"/>
              <w:ind w:right="13"/>
              <w:spacing w:after="0"/>
              <w:rPr>
                <w:sz w:val="20"/>
                <w:szCs w:val="20"/>
                <w:color w:val="auto"/>
              </w:rPr>
            </w:pPr>
            <w:r>
              <w:rPr>
                <w:rFonts w:ascii="Arial" w:cs="Arial" w:eastAsia="Arial" w:hAnsi="Arial"/>
                <w:sz w:val="18"/>
                <w:szCs w:val="18"/>
                <w:color w:val="auto"/>
              </w:rPr>
              <w:t>328,455</w:t>
            </w:r>
          </w:p>
        </w:tc>
        <w:tc>
          <w:tcPr>
            <w:tcW w:w="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300" w:type="dxa"/>
            <w:vAlign w:val="bottom"/>
          </w:tcPr>
          <w:p>
            <w:pPr>
              <w:spacing w:after="0"/>
              <w:rPr>
                <w:sz w:val="2"/>
                <w:szCs w:val="2"/>
                <w:color w:val="auto"/>
              </w:rPr>
            </w:pPr>
          </w:p>
        </w:tc>
        <w:tc>
          <w:tcPr>
            <w:tcW w:w="4340" w:type="dxa"/>
            <w:vAlign w:val="bottom"/>
          </w:tcPr>
          <w:p>
            <w:pPr>
              <w:spacing w:after="0"/>
              <w:rPr>
                <w:sz w:val="2"/>
                <w:szCs w:val="2"/>
                <w:color w:val="auto"/>
              </w:rPr>
            </w:pPr>
          </w:p>
        </w:tc>
        <w:tc>
          <w:tcPr>
            <w:tcW w:w="14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8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80" w:type="dxa"/>
            <w:vAlign w:val="bottom"/>
          </w:tcPr>
          <w:p>
            <w:pPr>
              <w:spacing w:after="0"/>
              <w:rPr>
                <w:sz w:val="2"/>
                <w:szCs w:val="2"/>
                <w:color w:val="auto"/>
              </w:rPr>
            </w:pPr>
          </w:p>
        </w:tc>
        <w:tc>
          <w:tcPr>
            <w:tcW w:w="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40" w:type="dxa"/>
            <w:vAlign w:val="bottom"/>
            <w:tcBorders>
              <w:bottom w:val="single" w:sz="8" w:color="CCEEFF"/>
            </w:tcBorders>
            <w:gridSpan w:val="2"/>
            <w:shd w:val="clear" w:color="auto" w:fill="CCEEFF"/>
          </w:tcPr>
          <w:p>
            <w:pPr>
              <w:ind w:left="260"/>
              <w:spacing w:after="0"/>
              <w:rPr>
                <w:sz w:val="20"/>
                <w:szCs w:val="20"/>
                <w:color w:val="auto"/>
              </w:rPr>
            </w:pPr>
            <w:r>
              <w:rPr>
                <w:rFonts w:ascii="Arial" w:cs="Arial" w:eastAsia="Arial" w:hAnsi="Arial"/>
                <w:sz w:val="18"/>
                <w:szCs w:val="18"/>
                <w:color w:val="auto"/>
              </w:rPr>
              <w:t>Electrochem</w:t>
            </w:r>
          </w:p>
        </w:tc>
        <w:tc>
          <w:tcPr>
            <w:tcW w:w="144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59,449</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81,757</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78,143</w:t>
            </w:r>
          </w:p>
        </w:tc>
        <w:tc>
          <w:tcPr>
            <w:tcW w:w="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640" w:type="dxa"/>
            <w:vAlign w:val="bottom"/>
            <w:gridSpan w:val="2"/>
          </w:tcPr>
          <w:p>
            <w:pPr>
              <w:ind w:left="260"/>
              <w:spacing w:after="0"/>
              <w:rPr>
                <w:sz w:val="20"/>
                <w:szCs w:val="20"/>
                <w:color w:val="auto"/>
              </w:rPr>
            </w:pPr>
            <w:r>
              <w:rPr>
                <w:rFonts w:ascii="Arial" w:cs="Arial" w:eastAsia="Arial" w:hAnsi="Arial"/>
                <w:sz w:val="18"/>
                <w:szCs w:val="18"/>
                <w:color w:val="auto"/>
              </w:rPr>
              <w:t>Elimination of interproduct line sales</w:t>
            </w:r>
          </w:p>
        </w:tc>
        <w:tc>
          <w:tcPr>
            <w:tcW w:w="14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(1,744)</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80" w:type="dxa"/>
            <w:vAlign w:val="bottom"/>
          </w:tcPr>
          <w:p>
            <w:pPr>
              <w:jc w:val="right"/>
              <w:ind w:right="14"/>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gridSpan w:val="2"/>
          </w:tcPr>
          <w:p>
            <w:pPr>
              <w:jc w:val="right"/>
              <w:ind w:right="3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300" w:type="dxa"/>
            <w:vAlign w:val="bottom"/>
            <w:tcBorders>
              <w:bottom w:val="single" w:sz="8" w:color="CCEEFF"/>
            </w:tcBorders>
          </w:tcPr>
          <w:p>
            <w:pPr>
              <w:spacing w:after="0"/>
              <w:rPr>
                <w:sz w:val="2"/>
                <w:szCs w:val="2"/>
                <w:color w:val="auto"/>
              </w:rPr>
            </w:pPr>
          </w:p>
        </w:tc>
        <w:tc>
          <w:tcPr>
            <w:tcW w:w="4340" w:type="dxa"/>
            <w:vAlign w:val="bottom"/>
            <w:tcBorders>
              <w:bottom w:val="single" w:sz="8" w:color="CCEEFF"/>
            </w:tcBorders>
          </w:tcPr>
          <w:p>
            <w:pPr>
              <w:spacing w:after="0"/>
              <w:rPr>
                <w:sz w:val="2"/>
                <w:szCs w:val="2"/>
                <w:color w:val="auto"/>
              </w:rPr>
            </w:pPr>
          </w:p>
        </w:tc>
        <w:tc>
          <w:tcPr>
            <w:tcW w:w="144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3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64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Total sales</w:t>
            </w:r>
          </w:p>
        </w:tc>
        <w:tc>
          <w:tcPr>
            <w:tcW w:w="17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22"/>
                <w:szCs w:val="22"/>
                <w:color w:val="auto"/>
              </w:rPr>
            </w:pPr>
          </w:p>
        </w:tc>
        <w:tc>
          <w:tcPr>
            <w:tcW w:w="88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800,414</w:t>
            </w: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88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687,787</w:t>
            </w:r>
          </w:p>
        </w:tc>
        <w:tc>
          <w:tcPr>
            <w:tcW w:w="3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88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663,945</w:t>
            </w:r>
          </w:p>
        </w:tc>
        <w:tc>
          <w:tcPr>
            <w:tcW w:w="3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300" w:type="dxa"/>
            <w:vAlign w:val="bottom"/>
            <w:tcBorders>
              <w:top w:val="single" w:sz="8" w:color="CCEEFF"/>
            </w:tcBorders>
          </w:tcPr>
          <w:p>
            <w:pPr>
              <w:spacing w:after="0" w:line="20" w:lineRule="exact"/>
              <w:rPr>
                <w:sz w:val="1"/>
                <w:szCs w:val="1"/>
                <w:color w:val="auto"/>
              </w:rPr>
            </w:pPr>
          </w:p>
        </w:tc>
        <w:tc>
          <w:tcPr>
            <w:tcW w:w="4340" w:type="dxa"/>
            <w:vAlign w:val="bottom"/>
            <w:tcBorders>
              <w:top w:val="single" w:sz="8" w:color="CCEEFF"/>
            </w:tcBorders>
          </w:tcPr>
          <w:p>
            <w:pPr>
              <w:spacing w:after="0" w:line="20" w:lineRule="exact"/>
              <w:rPr>
                <w:sz w:val="1"/>
                <w:szCs w:val="1"/>
                <w:color w:val="auto"/>
              </w:rPr>
            </w:pPr>
          </w:p>
        </w:tc>
        <w:tc>
          <w:tcPr>
            <w:tcW w:w="144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48"/>
        </w:trPr>
        <w:tc>
          <w:tcPr>
            <w:tcW w:w="300" w:type="dxa"/>
            <w:vAlign w:val="bottom"/>
          </w:tcPr>
          <w:p>
            <w:pPr>
              <w:spacing w:after="0"/>
              <w:rPr>
                <w:sz w:val="24"/>
                <w:szCs w:val="24"/>
                <w:color w:val="auto"/>
              </w:rPr>
            </w:pPr>
          </w:p>
        </w:tc>
        <w:tc>
          <w:tcPr>
            <w:tcW w:w="434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ind w:left="140"/>
              <w:spacing w:after="0"/>
              <w:rPr>
                <w:sz w:val="20"/>
                <w:szCs w:val="20"/>
                <w:color w:val="auto"/>
              </w:rPr>
            </w:pPr>
            <w:r>
              <w:rPr>
                <w:rFonts w:ascii="Arial" w:cs="Arial" w:eastAsia="Arial" w:hAnsi="Arial"/>
                <w:sz w:val="14"/>
                <w:szCs w:val="14"/>
                <w:b w:val="1"/>
                <w:bCs w:val="1"/>
                <w:color w:val="auto"/>
                <w:w w:val="93"/>
              </w:rPr>
              <w:t>Year Ended</w:t>
            </w:r>
          </w:p>
        </w:tc>
        <w:tc>
          <w:tcPr>
            <w:tcW w:w="10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2"/>
        </w:trPr>
        <w:tc>
          <w:tcPr>
            <w:tcW w:w="300" w:type="dxa"/>
            <w:vAlign w:val="bottom"/>
          </w:tcPr>
          <w:p>
            <w:pPr>
              <w:spacing w:after="0"/>
              <w:rPr>
                <w:sz w:val="13"/>
                <w:szCs w:val="13"/>
                <w:color w:val="auto"/>
              </w:rPr>
            </w:pPr>
          </w:p>
        </w:tc>
        <w:tc>
          <w:tcPr>
            <w:tcW w:w="4340" w:type="dxa"/>
            <w:vAlign w:val="bottom"/>
          </w:tcPr>
          <w:p>
            <w:pPr>
              <w:spacing w:after="0"/>
              <w:rPr>
                <w:sz w:val="13"/>
                <w:szCs w:val="13"/>
                <w:color w:val="auto"/>
              </w:rPr>
            </w:pPr>
          </w:p>
        </w:tc>
        <w:tc>
          <w:tcPr>
            <w:tcW w:w="14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0" w:type="dxa"/>
            <w:vAlign w:val="bottom"/>
            <w:gridSpan w:val="2"/>
          </w:tcPr>
          <w:p>
            <w:pPr>
              <w:ind w:left="160"/>
              <w:spacing w:after="0" w:line="153" w:lineRule="exact"/>
              <w:rPr>
                <w:sz w:val="20"/>
                <w:szCs w:val="20"/>
                <w:color w:val="auto"/>
              </w:rPr>
            </w:pPr>
            <w:r>
              <w:rPr>
                <w:rFonts w:ascii="Arial" w:cs="Arial" w:eastAsia="Arial" w:hAnsi="Arial"/>
                <w:sz w:val="14"/>
                <w:szCs w:val="14"/>
                <w:b w:val="1"/>
                <w:bCs w:val="1"/>
                <w:color w:val="auto"/>
              </w:rPr>
              <w:t>January 1,</w:t>
            </w: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80" w:type="dxa"/>
            <w:vAlign w:val="bottom"/>
          </w:tcPr>
          <w:p>
            <w:pPr>
              <w:ind w:left="160"/>
              <w:spacing w:after="0" w:line="153" w:lineRule="exact"/>
              <w:rPr>
                <w:sz w:val="20"/>
                <w:szCs w:val="20"/>
                <w:color w:val="auto"/>
              </w:rPr>
            </w:pPr>
            <w:r>
              <w:rPr>
                <w:rFonts w:ascii="Arial" w:cs="Arial" w:eastAsia="Arial" w:hAnsi="Arial"/>
                <w:sz w:val="14"/>
                <w:szCs w:val="14"/>
                <w:b w:val="1"/>
                <w:bCs w:val="1"/>
                <w:color w:val="auto"/>
              </w:rPr>
              <w:t>January 2,</w:t>
            </w: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80" w:type="dxa"/>
            <w:vAlign w:val="bottom"/>
            <w:gridSpan w:val="2"/>
          </w:tcPr>
          <w:p>
            <w:pPr>
              <w:jc w:val="right"/>
              <w:ind w:right="290"/>
              <w:spacing w:after="0" w:line="153" w:lineRule="exact"/>
              <w:rPr>
                <w:sz w:val="20"/>
                <w:szCs w:val="20"/>
                <w:color w:val="auto"/>
              </w:rPr>
            </w:pPr>
            <w:r>
              <w:rPr>
                <w:rFonts w:ascii="Arial" w:cs="Arial" w:eastAsia="Arial" w:hAnsi="Arial"/>
                <w:sz w:val="14"/>
                <w:szCs w:val="14"/>
                <w:b w:val="1"/>
                <w:bCs w:val="1"/>
                <w:color w:val="auto"/>
              </w:rPr>
              <w:t>January 3,</w:t>
            </w:r>
          </w:p>
        </w:tc>
        <w:tc>
          <w:tcPr>
            <w:tcW w:w="0" w:type="dxa"/>
            <w:vAlign w:val="bottom"/>
          </w:tcPr>
          <w:p>
            <w:pPr>
              <w:spacing w:after="0"/>
              <w:rPr>
                <w:sz w:val="1"/>
                <w:szCs w:val="1"/>
                <w:color w:val="auto"/>
              </w:rPr>
            </w:pPr>
          </w:p>
        </w:tc>
      </w:tr>
      <w:tr>
        <w:trPr>
          <w:trHeight w:val="192"/>
        </w:trPr>
        <w:tc>
          <w:tcPr>
            <w:tcW w:w="300" w:type="dxa"/>
            <w:vAlign w:val="bottom"/>
          </w:tcPr>
          <w:p>
            <w:pPr>
              <w:spacing w:after="0"/>
              <w:rPr>
                <w:sz w:val="16"/>
                <w:szCs w:val="16"/>
                <w:color w:val="auto"/>
              </w:rPr>
            </w:pPr>
          </w:p>
        </w:tc>
        <w:tc>
          <w:tcPr>
            <w:tcW w:w="4340" w:type="dxa"/>
            <w:vAlign w:val="bottom"/>
            <w:tcBorders>
              <w:bottom w:val="single" w:sz="8" w:color="CCEEFF"/>
            </w:tcBorders>
          </w:tcPr>
          <w:p>
            <w:pPr>
              <w:spacing w:after="0"/>
              <w:rPr>
                <w:sz w:val="16"/>
                <w:szCs w:val="16"/>
                <w:color w:val="auto"/>
              </w:rPr>
            </w:pPr>
          </w:p>
        </w:tc>
        <w:tc>
          <w:tcPr>
            <w:tcW w:w="1440" w:type="dxa"/>
            <w:vAlign w:val="bottom"/>
            <w:tcBorders>
              <w:bottom w:val="single" w:sz="8" w:color="CCEEFF"/>
            </w:tcBorders>
          </w:tcPr>
          <w:p>
            <w:pPr>
              <w:spacing w:after="0"/>
              <w:rPr>
                <w:sz w:val="16"/>
                <w:szCs w:val="16"/>
                <w:color w:val="auto"/>
              </w:rPr>
            </w:pPr>
          </w:p>
        </w:tc>
        <w:tc>
          <w:tcPr>
            <w:tcW w:w="28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153"/>
              <w:spacing w:after="0"/>
              <w:rPr>
                <w:sz w:val="20"/>
                <w:szCs w:val="20"/>
                <w:color w:val="auto"/>
              </w:rPr>
            </w:pPr>
            <w:r>
              <w:rPr>
                <w:rFonts w:ascii="Arial" w:cs="Arial" w:eastAsia="Arial" w:hAnsi="Arial"/>
                <w:sz w:val="14"/>
                <w:szCs w:val="14"/>
                <w:b w:val="1"/>
                <w:bCs w:val="1"/>
                <w:color w:val="auto"/>
              </w:rPr>
              <w:t>2016</w:t>
            </w:r>
          </w:p>
        </w:tc>
        <w:tc>
          <w:tcPr>
            <w:tcW w:w="1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154"/>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153"/>
              <w:spacing w:after="0"/>
              <w:rPr>
                <w:sz w:val="20"/>
                <w:szCs w:val="20"/>
                <w:color w:val="auto"/>
              </w:rPr>
            </w:pPr>
            <w:r>
              <w:rPr>
                <w:rFonts w:ascii="Arial" w:cs="Arial" w:eastAsia="Arial" w:hAnsi="Arial"/>
                <w:sz w:val="14"/>
                <w:szCs w:val="14"/>
                <w:b w:val="1"/>
                <w:bCs w:val="1"/>
                <w:color w:val="auto"/>
              </w:rPr>
              <w:t>2014</w:t>
            </w:r>
          </w:p>
        </w:tc>
        <w:tc>
          <w:tcPr>
            <w:tcW w:w="3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300" w:type="dxa"/>
            <w:vAlign w:val="bottom"/>
          </w:tcPr>
          <w:p>
            <w:pPr>
              <w:spacing w:after="0"/>
              <w:rPr>
                <w:sz w:val="21"/>
                <w:szCs w:val="21"/>
                <w:color w:val="auto"/>
              </w:rPr>
            </w:pPr>
          </w:p>
        </w:tc>
        <w:tc>
          <w:tcPr>
            <w:tcW w:w="43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Business segment sales:</w:t>
            </w:r>
          </w:p>
        </w:tc>
        <w:tc>
          <w:tcPr>
            <w:tcW w:w="144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00" w:type="dxa"/>
            <w:vAlign w:val="bottom"/>
          </w:tcPr>
          <w:p>
            <w:pPr>
              <w:spacing w:after="0"/>
              <w:rPr>
                <w:sz w:val="21"/>
                <w:szCs w:val="21"/>
                <w:color w:val="auto"/>
              </w:rPr>
            </w:pPr>
          </w:p>
        </w:tc>
        <w:tc>
          <w:tcPr>
            <w:tcW w:w="4340" w:type="dxa"/>
            <w:vAlign w:val="bottom"/>
          </w:tcPr>
          <w:p>
            <w:pPr>
              <w:ind w:left="260"/>
              <w:spacing w:after="0"/>
              <w:rPr>
                <w:sz w:val="20"/>
                <w:szCs w:val="20"/>
                <w:color w:val="auto"/>
              </w:rPr>
            </w:pPr>
            <w:r>
              <w:rPr>
                <w:rFonts w:ascii="Arial" w:cs="Arial" w:eastAsia="Arial" w:hAnsi="Arial"/>
                <w:sz w:val="18"/>
                <w:szCs w:val="18"/>
                <w:color w:val="auto"/>
              </w:rPr>
              <w:t>Greatbatch Medical</w:t>
            </w:r>
          </w:p>
        </w:tc>
        <w:tc>
          <w:tcPr>
            <w:tcW w:w="1900" w:type="dxa"/>
            <w:vAlign w:val="bottom"/>
            <w:gridSpan w:val="3"/>
          </w:tcPr>
          <w:p>
            <w:pPr>
              <w:ind w:left="1740"/>
              <w:spacing w:after="0"/>
              <w:rPr>
                <w:sz w:val="20"/>
                <w:szCs w:val="20"/>
                <w:color w:val="auto"/>
              </w:rPr>
            </w:pPr>
            <w:r>
              <w:rPr>
                <w:rFonts w:ascii="Arial" w:cs="Arial" w:eastAsia="Arial" w:hAnsi="Arial"/>
                <w:sz w:val="18"/>
                <w:szCs w:val="18"/>
                <w:color w:val="auto"/>
              </w:rPr>
              <w:t>$</w:t>
            </w:r>
          </w:p>
        </w:tc>
        <w:tc>
          <w:tcPr>
            <w:tcW w:w="1180" w:type="dxa"/>
            <w:vAlign w:val="bottom"/>
            <w:gridSpan w:val="3"/>
          </w:tcPr>
          <w:p>
            <w:pPr>
              <w:jc w:val="right"/>
              <w:ind w:right="10"/>
              <w:spacing w:after="0"/>
              <w:rPr>
                <w:sz w:val="20"/>
                <w:szCs w:val="20"/>
                <w:color w:val="auto"/>
              </w:rPr>
            </w:pPr>
            <w:r>
              <w:rPr>
                <w:rFonts w:ascii="Arial" w:cs="Arial" w:eastAsia="Arial" w:hAnsi="Arial"/>
                <w:sz w:val="18"/>
                <w:szCs w:val="18"/>
                <w:color w:val="auto"/>
              </w:rPr>
              <w:t>649,977</w:t>
            </w:r>
          </w:p>
        </w:tc>
        <w:tc>
          <w:tcPr>
            <w:tcW w:w="100" w:type="dxa"/>
            <w:vAlign w:val="bottom"/>
          </w:tcPr>
          <w:p>
            <w:pPr>
              <w:spacing w:after="0"/>
              <w:rPr>
                <w:sz w:val="21"/>
                <w:szCs w:val="21"/>
                <w:color w:val="auto"/>
              </w:rPr>
            </w:pPr>
          </w:p>
        </w:tc>
        <w:tc>
          <w:tcPr>
            <w:tcW w:w="180" w:type="dxa"/>
            <w:vAlign w:val="bottom"/>
          </w:tcPr>
          <w:p>
            <w:pPr>
              <w:ind w:left="20"/>
              <w:spacing w:after="0"/>
              <w:rPr>
                <w:sz w:val="20"/>
                <w:szCs w:val="20"/>
                <w:color w:val="auto"/>
              </w:rPr>
            </w:pPr>
            <w:r>
              <w:rPr>
                <w:rFonts w:ascii="Arial" w:cs="Arial" w:eastAsia="Arial" w:hAnsi="Arial"/>
                <w:sz w:val="18"/>
                <w:szCs w:val="18"/>
                <w:color w:val="auto"/>
              </w:rPr>
              <w:t>$</w:t>
            </w:r>
          </w:p>
        </w:tc>
        <w:tc>
          <w:tcPr>
            <w:tcW w:w="1180" w:type="dxa"/>
            <w:vAlign w:val="bottom"/>
            <w:gridSpan w:val="3"/>
          </w:tcPr>
          <w:p>
            <w:pPr>
              <w:jc w:val="right"/>
              <w:ind w:right="100"/>
              <w:spacing w:after="0"/>
              <w:rPr>
                <w:sz w:val="20"/>
                <w:szCs w:val="20"/>
                <w:color w:val="auto"/>
              </w:rPr>
            </w:pPr>
            <w:r>
              <w:rPr>
                <w:rFonts w:ascii="Arial" w:cs="Arial" w:eastAsia="Arial" w:hAnsi="Arial"/>
                <w:sz w:val="18"/>
                <w:szCs w:val="18"/>
                <w:color w:val="auto"/>
              </w:rPr>
              <w:t>678,285</w:t>
            </w:r>
          </w:p>
        </w:tc>
        <w:tc>
          <w:tcPr>
            <w:tcW w:w="100" w:type="dxa"/>
            <w:vAlign w:val="bottom"/>
          </w:tcPr>
          <w:p>
            <w:pPr>
              <w:spacing w:after="0"/>
              <w:rPr>
                <w:sz w:val="21"/>
                <w:szCs w:val="21"/>
                <w:color w:val="auto"/>
              </w:rPr>
            </w:pPr>
          </w:p>
        </w:tc>
        <w:tc>
          <w:tcPr>
            <w:tcW w:w="180" w:type="dxa"/>
            <w:vAlign w:val="bottom"/>
          </w:tcPr>
          <w:p>
            <w:pPr>
              <w:ind w:left="20"/>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right"/>
              <w:ind w:right="10"/>
              <w:spacing w:after="0"/>
              <w:rPr>
                <w:sz w:val="20"/>
                <w:szCs w:val="20"/>
                <w:color w:val="auto"/>
              </w:rPr>
            </w:pPr>
            <w:r>
              <w:rPr>
                <w:rFonts w:ascii="Arial" w:cs="Arial" w:eastAsia="Arial" w:hAnsi="Arial"/>
                <w:sz w:val="18"/>
                <w:szCs w:val="18"/>
                <w:color w:val="auto"/>
              </w:rPr>
              <w:t>660,902</w:t>
            </w:r>
          </w:p>
        </w:tc>
        <w:tc>
          <w:tcPr>
            <w:tcW w:w="0" w:type="dxa"/>
            <w:vAlign w:val="bottom"/>
          </w:tcPr>
          <w:p>
            <w:pPr>
              <w:spacing w:after="0"/>
              <w:rPr>
                <w:sz w:val="1"/>
                <w:szCs w:val="1"/>
                <w:color w:val="auto"/>
              </w:rPr>
            </w:pPr>
          </w:p>
        </w:tc>
      </w:tr>
      <w:tr>
        <w:trPr>
          <w:trHeight w:val="27"/>
        </w:trPr>
        <w:tc>
          <w:tcPr>
            <w:tcW w:w="300" w:type="dxa"/>
            <w:vAlign w:val="bottom"/>
          </w:tcPr>
          <w:p>
            <w:pPr>
              <w:spacing w:after="0"/>
              <w:rPr>
                <w:sz w:val="2"/>
                <w:szCs w:val="2"/>
                <w:color w:val="auto"/>
              </w:rPr>
            </w:pPr>
          </w:p>
        </w:tc>
        <w:tc>
          <w:tcPr>
            <w:tcW w:w="4340" w:type="dxa"/>
            <w:vAlign w:val="bottom"/>
          </w:tcPr>
          <w:p>
            <w:pPr>
              <w:spacing w:after="0"/>
              <w:rPr>
                <w:sz w:val="2"/>
                <w:szCs w:val="2"/>
                <w:color w:val="auto"/>
              </w:rPr>
            </w:pPr>
          </w:p>
        </w:tc>
        <w:tc>
          <w:tcPr>
            <w:tcW w:w="14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gridSpan w:val="3"/>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gridSpan w:val="3"/>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00" w:type="dxa"/>
            <w:vAlign w:val="bottom"/>
          </w:tcPr>
          <w:p>
            <w:pPr>
              <w:spacing w:after="0"/>
              <w:rPr>
                <w:sz w:val="21"/>
                <w:szCs w:val="21"/>
                <w:color w:val="auto"/>
              </w:rPr>
            </w:pPr>
          </w:p>
        </w:tc>
        <w:tc>
          <w:tcPr>
            <w:tcW w:w="434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QiG</w:t>
            </w:r>
          </w:p>
        </w:tc>
        <w:tc>
          <w:tcPr>
            <w:tcW w:w="144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3"/>
            <w:shd w:val="clear" w:color="auto" w:fill="CCEEFF"/>
          </w:tcPr>
          <w:p>
            <w:pPr>
              <w:jc w:val="right"/>
              <w:ind w:right="10"/>
              <w:spacing w:after="0"/>
              <w:rPr>
                <w:sz w:val="20"/>
                <w:szCs w:val="20"/>
                <w:color w:val="auto"/>
              </w:rPr>
            </w:pPr>
            <w:r>
              <w:rPr>
                <w:rFonts w:ascii="Arial" w:cs="Arial" w:eastAsia="Arial" w:hAnsi="Arial"/>
                <w:sz w:val="18"/>
                <w:szCs w:val="18"/>
                <w:color w:val="auto"/>
              </w:rPr>
              <w:t>13,571</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9,502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3,043</w:t>
            </w:r>
          </w:p>
        </w:tc>
        <w:tc>
          <w:tcPr>
            <w:tcW w:w="0" w:type="dxa"/>
            <w:vAlign w:val="bottom"/>
          </w:tcPr>
          <w:p>
            <w:pPr>
              <w:spacing w:after="0"/>
              <w:rPr>
                <w:sz w:val="1"/>
                <w:szCs w:val="1"/>
                <w:color w:val="auto"/>
              </w:rPr>
            </w:pPr>
          </w:p>
        </w:tc>
      </w:tr>
      <w:tr>
        <w:trPr>
          <w:trHeight w:val="243"/>
        </w:trPr>
        <w:tc>
          <w:tcPr>
            <w:tcW w:w="300" w:type="dxa"/>
            <w:vAlign w:val="bottom"/>
          </w:tcPr>
          <w:p>
            <w:pPr>
              <w:spacing w:after="0"/>
              <w:rPr>
                <w:sz w:val="21"/>
                <w:szCs w:val="21"/>
                <w:color w:val="auto"/>
              </w:rPr>
            </w:pPr>
          </w:p>
        </w:tc>
        <w:tc>
          <w:tcPr>
            <w:tcW w:w="4340" w:type="dxa"/>
            <w:vAlign w:val="bottom"/>
          </w:tcPr>
          <w:p>
            <w:pPr>
              <w:ind w:left="260"/>
              <w:spacing w:after="0"/>
              <w:rPr>
                <w:sz w:val="20"/>
                <w:szCs w:val="20"/>
                <w:color w:val="auto"/>
              </w:rPr>
            </w:pPr>
            <w:r>
              <w:rPr>
                <w:rFonts w:ascii="Arial" w:cs="Arial" w:eastAsia="Arial" w:hAnsi="Arial"/>
                <w:sz w:val="18"/>
                <w:szCs w:val="18"/>
                <w:color w:val="auto"/>
              </w:rPr>
              <w:t>Lake Region Medical</w:t>
            </w:r>
          </w:p>
        </w:tc>
        <w:tc>
          <w:tcPr>
            <w:tcW w:w="14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gridSpan w:val="3"/>
          </w:tcPr>
          <w:p>
            <w:pPr>
              <w:jc w:val="right"/>
              <w:ind w:right="10"/>
              <w:spacing w:after="0"/>
              <w:rPr>
                <w:sz w:val="20"/>
                <w:szCs w:val="20"/>
                <w:color w:val="auto"/>
              </w:rPr>
            </w:pPr>
            <w:r>
              <w:rPr>
                <w:rFonts w:ascii="Arial" w:cs="Arial" w:eastAsia="Arial" w:hAnsi="Arial"/>
                <w:sz w:val="18"/>
                <w:szCs w:val="18"/>
                <w:color w:val="auto"/>
              </w:rPr>
              <w:t>139,819</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400" w:type="dxa"/>
            <w:vAlign w:val="bottom"/>
            <w:gridSpan w:val="3"/>
          </w:tcPr>
          <w:p>
            <w:pPr>
              <w:jc w:val="right"/>
              <w:ind w:right="200"/>
              <w:spacing w:after="0"/>
              <w:rPr>
                <w:sz w:val="20"/>
                <w:szCs w:val="20"/>
                <w:color w:val="auto"/>
              </w:rPr>
            </w:pPr>
            <w:r>
              <w:rPr>
                <w:rFonts w:ascii="Arial" w:cs="Arial" w:eastAsia="Arial" w:hAnsi="Arial"/>
                <w:sz w:val="18"/>
                <w:szCs w:val="18"/>
                <w:color w:val="auto"/>
                <w:w w:val="99"/>
              </w:rPr>
              <w:t>—</w:t>
            </w:r>
          </w:p>
        </w:tc>
        <w:tc>
          <w:tcPr>
            <w:tcW w:w="18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30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r>
        <w:trPr>
          <w:trHeight w:val="27"/>
        </w:trPr>
        <w:tc>
          <w:tcPr>
            <w:tcW w:w="300" w:type="dxa"/>
            <w:vAlign w:val="bottom"/>
          </w:tcPr>
          <w:p>
            <w:pPr>
              <w:spacing w:after="0"/>
              <w:rPr>
                <w:sz w:val="2"/>
                <w:szCs w:val="2"/>
                <w:color w:val="auto"/>
              </w:rPr>
            </w:pPr>
          </w:p>
        </w:tc>
        <w:tc>
          <w:tcPr>
            <w:tcW w:w="4340" w:type="dxa"/>
            <w:vAlign w:val="bottom"/>
          </w:tcPr>
          <w:p>
            <w:pPr>
              <w:spacing w:after="0"/>
              <w:rPr>
                <w:sz w:val="2"/>
                <w:szCs w:val="2"/>
                <w:color w:val="auto"/>
              </w:rPr>
            </w:pPr>
          </w:p>
        </w:tc>
        <w:tc>
          <w:tcPr>
            <w:tcW w:w="14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gridSpan w:val="3"/>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80" w:type="dxa"/>
            <w:vAlign w:val="bottom"/>
          </w:tcPr>
          <w:p>
            <w:pPr>
              <w:spacing w:after="0"/>
              <w:rPr>
                <w:sz w:val="2"/>
                <w:szCs w:val="2"/>
                <w:color w:val="auto"/>
              </w:rPr>
            </w:pPr>
          </w:p>
        </w:tc>
        <w:tc>
          <w:tcPr>
            <w:tcW w:w="30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80" w:type="dxa"/>
            <w:vAlign w:val="bottom"/>
          </w:tcPr>
          <w:p>
            <w:pPr>
              <w:spacing w:after="0"/>
              <w:rPr>
                <w:sz w:val="2"/>
                <w:szCs w:val="2"/>
                <w:color w:val="auto"/>
              </w:rPr>
            </w:pPr>
          </w:p>
        </w:tc>
        <w:tc>
          <w:tcPr>
            <w:tcW w:w="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00" w:type="dxa"/>
            <w:vAlign w:val="bottom"/>
          </w:tcPr>
          <w:p>
            <w:pPr>
              <w:spacing w:after="0"/>
              <w:rPr>
                <w:sz w:val="23"/>
                <w:szCs w:val="23"/>
                <w:color w:val="auto"/>
              </w:rPr>
            </w:pPr>
          </w:p>
        </w:tc>
        <w:tc>
          <w:tcPr>
            <w:tcW w:w="434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Elimination of intersegment sales</w:t>
            </w:r>
          </w:p>
        </w:tc>
        <w:tc>
          <w:tcPr>
            <w:tcW w:w="144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(2,953)</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CCEEFF"/>
            </w:tcBorders>
            <w:gridSpan w:val="3"/>
            <w:shd w:val="clear" w:color="auto" w:fill="CCEEFF"/>
          </w:tcPr>
          <w:p>
            <w:pPr>
              <w:jc w:val="right"/>
              <w:ind w:right="200"/>
              <w:spacing w:after="0"/>
              <w:rPr>
                <w:sz w:val="20"/>
                <w:szCs w:val="20"/>
                <w:color w:val="auto"/>
              </w:rPr>
            </w:pPr>
            <w:r>
              <w:rPr>
                <w:rFonts w:ascii="Arial" w:cs="Arial" w:eastAsia="Arial" w:hAnsi="Arial"/>
                <w:sz w:val="18"/>
                <w:szCs w:val="18"/>
                <w:color w:val="auto"/>
                <w:w w:val="99"/>
              </w:rPr>
              <w:t>—</w:t>
            </w:r>
          </w:p>
        </w:tc>
        <w:tc>
          <w:tcPr>
            <w:tcW w:w="18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r>
        <w:trPr>
          <w:trHeight w:val="257"/>
        </w:trPr>
        <w:tc>
          <w:tcPr>
            <w:tcW w:w="300" w:type="dxa"/>
            <w:vAlign w:val="bottom"/>
          </w:tcPr>
          <w:p>
            <w:pPr>
              <w:spacing w:after="0"/>
              <w:rPr>
                <w:sz w:val="22"/>
                <w:szCs w:val="22"/>
                <w:color w:val="auto"/>
              </w:rPr>
            </w:pPr>
          </w:p>
        </w:tc>
        <w:tc>
          <w:tcPr>
            <w:tcW w:w="4340" w:type="dxa"/>
            <w:vAlign w:val="bottom"/>
          </w:tcPr>
          <w:p>
            <w:pPr>
              <w:ind w:left="20"/>
              <w:spacing w:after="0"/>
              <w:rPr>
                <w:sz w:val="20"/>
                <w:szCs w:val="20"/>
                <w:color w:val="auto"/>
              </w:rPr>
            </w:pPr>
            <w:r>
              <w:rPr>
                <w:rFonts w:ascii="Arial" w:cs="Arial" w:eastAsia="Arial" w:hAnsi="Arial"/>
                <w:sz w:val="18"/>
                <w:szCs w:val="18"/>
                <w:color w:val="auto"/>
              </w:rPr>
              <w:t>Total sales</w:t>
            </w:r>
          </w:p>
        </w:tc>
        <w:tc>
          <w:tcPr>
            <w:tcW w:w="1720" w:type="dxa"/>
            <w:vAlign w:val="bottom"/>
            <w:gridSpan w:val="2"/>
          </w:tcPr>
          <w:p>
            <w:pPr>
              <w:spacing w:after="0"/>
              <w:rPr>
                <w:sz w:val="22"/>
                <w:szCs w:val="22"/>
                <w:color w:val="auto"/>
              </w:rPr>
            </w:pPr>
          </w:p>
        </w:tc>
        <w:tc>
          <w:tcPr>
            <w:tcW w:w="18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8"/>
                <w:szCs w:val="18"/>
                <w:color w:val="auto"/>
              </w:rPr>
              <w:t>$</w:t>
            </w:r>
          </w:p>
        </w:tc>
        <w:tc>
          <w:tcPr>
            <w:tcW w:w="1180" w:type="dxa"/>
            <w:vAlign w:val="bottom"/>
            <w:tcBorders>
              <w:top w:val="single" w:sz="8" w:color="auto"/>
              <w:bottom w:val="single" w:sz="8" w:color="auto"/>
            </w:tcBorders>
            <w:gridSpan w:val="3"/>
          </w:tcPr>
          <w:p>
            <w:pPr>
              <w:jc w:val="right"/>
              <w:ind w:right="10"/>
              <w:spacing w:after="0"/>
              <w:rPr>
                <w:sz w:val="20"/>
                <w:szCs w:val="20"/>
                <w:color w:val="auto"/>
              </w:rPr>
            </w:pPr>
            <w:r>
              <w:rPr>
                <w:rFonts w:ascii="Arial" w:cs="Arial" w:eastAsia="Arial" w:hAnsi="Arial"/>
                <w:sz w:val="18"/>
                <w:szCs w:val="18"/>
                <w:color w:val="auto"/>
              </w:rPr>
              <w:t>800,414</w:t>
            </w: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8"/>
                <w:szCs w:val="18"/>
                <w:color w:val="auto"/>
              </w:rPr>
              <w:t>$</w:t>
            </w:r>
          </w:p>
        </w:tc>
        <w:tc>
          <w:tcPr>
            <w:tcW w:w="1180" w:type="dxa"/>
            <w:vAlign w:val="bottom"/>
            <w:tcBorders>
              <w:top w:val="single" w:sz="8" w:color="auto"/>
              <w:bottom w:val="single" w:sz="8" w:color="auto"/>
            </w:tcBorders>
            <w:gridSpan w:val="3"/>
          </w:tcPr>
          <w:p>
            <w:pPr>
              <w:jc w:val="right"/>
              <w:ind w:right="100"/>
              <w:spacing w:after="0"/>
              <w:rPr>
                <w:sz w:val="20"/>
                <w:szCs w:val="20"/>
                <w:color w:val="auto"/>
              </w:rPr>
            </w:pPr>
            <w:r>
              <w:rPr>
                <w:rFonts w:ascii="Arial" w:cs="Arial" w:eastAsia="Arial" w:hAnsi="Arial"/>
                <w:sz w:val="18"/>
                <w:szCs w:val="18"/>
                <w:color w:val="auto"/>
              </w:rPr>
              <w:t>687,787</w:t>
            </w: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8"/>
                <w:szCs w:val="18"/>
                <w:color w:val="auto"/>
              </w:rPr>
              <w:t>$</w:t>
            </w:r>
          </w:p>
        </w:tc>
        <w:tc>
          <w:tcPr>
            <w:tcW w:w="1180" w:type="dxa"/>
            <w:vAlign w:val="bottom"/>
            <w:tcBorders>
              <w:top w:val="single" w:sz="8" w:color="auto"/>
              <w:bottom w:val="single" w:sz="8" w:color="auto"/>
            </w:tcBorders>
            <w:gridSpan w:val="2"/>
          </w:tcPr>
          <w:p>
            <w:pPr>
              <w:jc w:val="right"/>
              <w:ind w:right="10"/>
              <w:spacing w:after="0"/>
              <w:rPr>
                <w:sz w:val="20"/>
                <w:szCs w:val="20"/>
                <w:color w:val="auto"/>
              </w:rPr>
            </w:pPr>
            <w:r>
              <w:rPr>
                <w:rFonts w:ascii="Arial" w:cs="Arial" w:eastAsia="Arial" w:hAnsi="Arial"/>
                <w:sz w:val="18"/>
                <w:szCs w:val="18"/>
                <w:color w:val="auto"/>
              </w:rPr>
              <w:t>663,945</w:t>
            </w:r>
          </w:p>
        </w:tc>
        <w:tc>
          <w:tcPr>
            <w:tcW w:w="0" w:type="dxa"/>
            <w:vAlign w:val="bottom"/>
          </w:tcPr>
          <w:p>
            <w:pPr>
              <w:spacing w:after="0"/>
              <w:rPr>
                <w:sz w:val="1"/>
                <w:szCs w:val="1"/>
                <w:color w:val="auto"/>
              </w:rPr>
            </w:pPr>
          </w:p>
        </w:tc>
      </w:tr>
      <w:tr>
        <w:trPr>
          <w:trHeight w:val="20"/>
        </w:trPr>
        <w:tc>
          <w:tcPr>
            <w:tcW w:w="300" w:type="dxa"/>
            <w:vAlign w:val="bottom"/>
          </w:tcPr>
          <w:p>
            <w:pPr>
              <w:spacing w:after="0" w:line="20" w:lineRule="exact"/>
              <w:rPr>
                <w:sz w:val="1"/>
                <w:szCs w:val="1"/>
                <w:color w:val="auto"/>
              </w:rPr>
            </w:pPr>
          </w:p>
        </w:tc>
        <w:tc>
          <w:tcPr>
            <w:tcW w:w="434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60" w:type="dxa"/>
            <w:vAlign w:val="bottom"/>
            <w:tcBorders>
              <w:bottom w:val="single" w:sz="8" w:color="auto"/>
            </w:tcBorders>
            <w:gridSpan w:val="2"/>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81"/>
        </w:trPr>
        <w:tc>
          <w:tcPr>
            <w:tcW w:w="300" w:type="dxa"/>
            <w:vAlign w:val="bottom"/>
          </w:tcPr>
          <w:p>
            <w:pPr>
              <w:spacing w:after="0"/>
              <w:rPr>
                <w:sz w:val="24"/>
                <w:szCs w:val="24"/>
                <w:color w:val="auto"/>
              </w:rPr>
            </w:pPr>
          </w:p>
        </w:tc>
        <w:tc>
          <w:tcPr>
            <w:tcW w:w="434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b w:val="1"/>
                <w:bCs w:val="1"/>
                <w:color w:val="auto"/>
              </w:rPr>
              <w:t>Year Ended</w:t>
            </w:r>
          </w:p>
        </w:tc>
        <w:tc>
          <w:tcPr>
            <w:tcW w:w="10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2"/>
        </w:trPr>
        <w:tc>
          <w:tcPr>
            <w:tcW w:w="300" w:type="dxa"/>
            <w:vAlign w:val="bottom"/>
          </w:tcPr>
          <w:p>
            <w:pPr>
              <w:spacing w:after="0"/>
              <w:rPr>
                <w:sz w:val="13"/>
                <w:szCs w:val="13"/>
                <w:color w:val="auto"/>
              </w:rPr>
            </w:pPr>
          </w:p>
        </w:tc>
        <w:tc>
          <w:tcPr>
            <w:tcW w:w="4340" w:type="dxa"/>
            <w:vAlign w:val="bottom"/>
          </w:tcPr>
          <w:p>
            <w:pPr>
              <w:spacing w:after="0"/>
              <w:rPr>
                <w:sz w:val="13"/>
                <w:szCs w:val="13"/>
                <w:color w:val="auto"/>
              </w:rPr>
            </w:pPr>
          </w:p>
        </w:tc>
        <w:tc>
          <w:tcPr>
            <w:tcW w:w="14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180" w:type="dxa"/>
            <w:vAlign w:val="bottom"/>
            <w:gridSpan w:val="3"/>
          </w:tcPr>
          <w:p>
            <w:pPr>
              <w:ind w:left="40"/>
              <w:spacing w:after="0" w:line="153" w:lineRule="exact"/>
              <w:rPr>
                <w:sz w:val="20"/>
                <w:szCs w:val="20"/>
                <w:color w:val="auto"/>
              </w:rPr>
            </w:pPr>
            <w:r>
              <w:rPr>
                <w:rFonts w:ascii="Arial" w:cs="Arial" w:eastAsia="Arial" w:hAnsi="Arial"/>
                <w:sz w:val="14"/>
                <w:szCs w:val="14"/>
                <w:b w:val="1"/>
                <w:bCs w:val="1"/>
                <w:color w:val="auto"/>
              </w:rPr>
              <w:t>January 1,</w:t>
            </w: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60" w:type="dxa"/>
            <w:vAlign w:val="bottom"/>
            <w:gridSpan w:val="2"/>
          </w:tcPr>
          <w:p>
            <w:pPr>
              <w:ind w:left="40"/>
              <w:spacing w:after="0" w:line="153" w:lineRule="exact"/>
              <w:rPr>
                <w:sz w:val="20"/>
                <w:szCs w:val="20"/>
                <w:color w:val="auto"/>
              </w:rPr>
            </w:pPr>
            <w:r>
              <w:rPr>
                <w:rFonts w:ascii="Arial" w:cs="Arial" w:eastAsia="Arial" w:hAnsi="Arial"/>
                <w:sz w:val="14"/>
                <w:szCs w:val="14"/>
                <w:b w:val="1"/>
                <w:bCs w:val="1"/>
                <w:color w:val="auto"/>
              </w:rPr>
              <w:t>January 2,</w:t>
            </w: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360" w:type="dxa"/>
            <w:vAlign w:val="bottom"/>
            <w:gridSpan w:val="3"/>
          </w:tcPr>
          <w:p>
            <w:pPr>
              <w:ind w:left="40"/>
              <w:spacing w:after="0" w:line="153" w:lineRule="exact"/>
              <w:rPr>
                <w:sz w:val="20"/>
                <w:szCs w:val="20"/>
                <w:color w:val="auto"/>
              </w:rPr>
            </w:pPr>
            <w:r>
              <w:rPr>
                <w:rFonts w:ascii="Arial" w:cs="Arial" w:eastAsia="Arial" w:hAnsi="Arial"/>
                <w:sz w:val="14"/>
                <w:szCs w:val="14"/>
                <w:b w:val="1"/>
                <w:bCs w:val="1"/>
                <w:color w:val="auto"/>
              </w:rPr>
              <w:t>January 3,</w:t>
            </w:r>
          </w:p>
        </w:tc>
        <w:tc>
          <w:tcPr>
            <w:tcW w:w="0" w:type="dxa"/>
            <w:vAlign w:val="bottom"/>
          </w:tcPr>
          <w:p>
            <w:pPr>
              <w:spacing w:after="0"/>
              <w:rPr>
                <w:sz w:val="1"/>
                <w:szCs w:val="1"/>
                <w:color w:val="auto"/>
              </w:rPr>
            </w:pPr>
          </w:p>
        </w:tc>
      </w:tr>
      <w:tr>
        <w:trPr>
          <w:trHeight w:val="192"/>
        </w:trPr>
        <w:tc>
          <w:tcPr>
            <w:tcW w:w="300" w:type="dxa"/>
            <w:vAlign w:val="bottom"/>
            <w:tcBorders>
              <w:bottom w:val="single" w:sz="8" w:color="CCEEFF"/>
            </w:tcBorders>
          </w:tcPr>
          <w:p>
            <w:pPr>
              <w:spacing w:after="0"/>
              <w:rPr>
                <w:sz w:val="16"/>
                <w:szCs w:val="16"/>
                <w:color w:val="auto"/>
              </w:rPr>
            </w:pPr>
          </w:p>
        </w:tc>
        <w:tc>
          <w:tcPr>
            <w:tcW w:w="4340" w:type="dxa"/>
            <w:vAlign w:val="bottom"/>
            <w:tcBorders>
              <w:bottom w:val="single" w:sz="8" w:color="CCEEFF"/>
            </w:tcBorders>
          </w:tcPr>
          <w:p>
            <w:pPr>
              <w:spacing w:after="0"/>
              <w:rPr>
                <w:sz w:val="16"/>
                <w:szCs w:val="16"/>
                <w:color w:val="auto"/>
              </w:rPr>
            </w:pPr>
          </w:p>
        </w:tc>
        <w:tc>
          <w:tcPr>
            <w:tcW w:w="144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433"/>
              <w:spacing w:after="0"/>
              <w:rPr>
                <w:sz w:val="20"/>
                <w:szCs w:val="20"/>
                <w:color w:val="auto"/>
              </w:rPr>
            </w:pPr>
            <w:r>
              <w:rPr>
                <w:rFonts w:ascii="Arial" w:cs="Arial" w:eastAsia="Arial" w:hAnsi="Arial"/>
                <w:sz w:val="14"/>
                <w:szCs w:val="14"/>
                <w:b w:val="1"/>
                <w:bCs w:val="1"/>
                <w:color w:val="auto"/>
              </w:rPr>
              <w:t>2016</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454"/>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453"/>
              <w:spacing w:after="0"/>
              <w:rPr>
                <w:sz w:val="20"/>
                <w:szCs w:val="20"/>
                <w:color w:val="auto"/>
              </w:rPr>
            </w:pPr>
            <w:r>
              <w:rPr>
                <w:rFonts w:ascii="Arial" w:cs="Arial" w:eastAsia="Arial" w:hAnsi="Arial"/>
                <w:sz w:val="14"/>
                <w:szCs w:val="14"/>
                <w:b w:val="1"/>
                <w:bCs w:val="1"/>
                <w:color w:val="auto"/>
              </w:rPr>
              <w:t>2014</w:t>
            </w: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46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Segment income (loss) from operations:</w:t>
            </w:r>
          </w:p>
        </w:tc>
        <w:tc>
          <w:tcPr>
            <w:tcW w:w="144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00" w:type="dxa"/>
            <w:vAlign w:val="bottom"/>
          </w:tcPr>
          <w:p>
            <w:pPr>
              <w:spacing w:after="0"/>
              <w:rPr>
                <w:sz w:val="21"/>
                <w:szCs w:val="21"/>
                <w:color w:val="auto"/>
              </w:rPr>
            </w:pPr>
          </w:p>
        </w:tc>
        <w:tc>
          <w:tcPr>
            <w:tcW w:w="4340" w:type="dxa"/>
            <w:vAlign w:val="bottom"/>
          </w:tcPr>
          <w:p>
            <w:pPr>
              <w:ind w:left="80"/>
              <w:spacing w:after="0"/>
              <w:rPr>
                <w:sz w:val="20"/>
                <w:szCs w:val="20"/>
                <w:color w:val="auto"/>
              </w:rPr>
            </w:pPr>
            <w:r>
              <w:rPr>
                <w:rFonts w:ascii="Arial" w:cs="Arial" w:eastAsia="Arial" w:hAnsi="Arial"/>
                <w:sz w:val="18"/>
                <w:szCs w:val="18"/>
                <w:color w:val="auto"/>
              </w:rPr>
              <w:t>Greatbatch Medical</w:t>
            </w:r>
          </w:p>
        </w:tc>
        <w:tc>
          <w:tcPr>
            <w:tcW w:w="172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880" w:type="dxa"/>
            <w:vAlign w:val="bottom"/>
          </w:tcPr>
          <w:p>
            <w:pPr>
              <w:jc w:val="right"/>
              <w:ind w:right="13"/>
              <w:spacing w:after="0"/>
              <w:rPr>
                <w:sz w:val="20"/>
                <w:szCs w:val="20"/>
                <w:color w:val="auto"/>
              </w:rPr>
            </w:pPr>
            <w:r>
              <w:rPr>
                <w:rFonts w:ascii="Arial" w:cs="Arial" w:eastAsia="Arial" w:hAnsi="Arial"/>
                <w:sz w:val="18"/>
                <w:szCs w:val="18"/>
                <w:color w:val="auto"/>
              </w:rPr>
              <w:t>109,737</w:t>
            </w:r>
          </w:p>
        </w:tc>
        <w:tc>
          <w:tcPr>
            <w:tcW w:w="12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80" w:type="dxa"/>
            <w:vAlign w:val="bottom"/>
          </w:tcPr>
          <w:p>
            <w:pPr>
              <w:jc w:val="right"/>
              <w:ind w:right="14"/>
              <w:spacing w:after="0"/>
              <w:rPr>
                <w:sz w:val="20"/>
                <w:szCs w:val="20"/>
                <w:color w:val="auto"/>
              </w:rPr>
            </w:pPr>
            <w:r>
              <w:rPr>
                <w:rFonts w:ascii="Arial" w:cs="Arial" w:eastAsia="Arial" w:hAnsi="Arial"/>
                <w:sz w:val="18"/>
                <w:szCs w:val="18"/>
                <w:color w:val="auto"/>
              </w:rPr>
              <w:t>126,312</w:t>
            </w:r>
          </w:p>
        </w:tc>
        <w:tc>
          <w:tcPr>
            <w:tcW w:w="3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80" w:type="dxa"/>
            <w:vAlign w:val="bottom"/>
          </w:tcPr>
          <w:p>
            <w:pPr>
              <w:jc w:val="right"/>
              <w:ind w:right="13"/>
              <w:spacing w:after="0"/>
              <w:rPr>
                <w:sz w:val="20"/>
                <w:szCs w:val="20"/>
                <w:color w:val="auto"/>
              </w:rPr>
            </w:pPr>
            <w:r>
              <w:rPr>
                <w:rFonts w:ascii="Arial" w:cs="Arial" w:eastAsia="Arial" w:hAnsi="Arial"/>
                <w:sz w:val="18"/>
                <w:szCs w:val="18"/>
                <w:color w:val="auto"/>
              </w:rPr>
              <w:t>111,805</w:t>
            </w:r>
          </w:p>
        </w:tc>
        <w:tc>
          <w:tcPr>
            <w:tcW w:w="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300" w:type="dxa"/>
            <w:vAlign w:val="bottom"/>
          </w:tcPr>
          <w:p>
            <w:pPr>
              <w:spacing w:after="0"/>
              <w:rPr>
                <w:sz w:val="2"/>
                <w:szCs w:val="2"/>
                <w:color w:val="auto"/>
              </w:rPr>
            </w:pPr>
          </w:p>
        </w:tc>
        <w:tc>
          <w:tcPr>
            <w:tcW w:w="4340" w:type="dxa"/>
            <w:vAlign w:val="bottom"/>
          </w:tcPr>
          <w:p>
            <w:pPr>
              <w:spacing w:after="0"/>
              <w:rPr>
                <w:sz w:val="2"/>
                <w:szCs w:val="2"/>
                <w:color w:val="auto"/>
              </w:rPr>
            </w:pPr>
          </w:p>
        </w:tc>
        <w:tc>
          <w:tcPr>
            <w:tcW w:w="1440" w:type="dxa"/>
            <w:vAlign w:val="bottom"/>
          </w:tcPr>
          <w:p>
            <w:pPr>
              <w:spacing w:after="0"/>
              <w:rPr>
                <w:sz w:val="2"/>
                <w:szCs w:val="2"/>
                <w:color w:val="auto"/>
              </w:rPr>
            </w:pPr>
          </w:p>
        </w:tc>
        <w:tc>
          <w:tcPr>
            <w:tcW w:w="280" w:type="dxa"/>
            <w:vAlign w:val="bottom"/>
          </w:tcPr>
          <w:p>
            <w:pPr>
              <w:spacing w:after="0"/>
              <w:rPr>
                <w:sz w:val="2"/>
                <w:szCs w:val="2"/>
                <w:color w:val="auto"/>
              </w:rPr>
            </w:pPr>
          </w:p>
        </w:tc>
        <w:tc>
          <w:tcPr>
            <w:tcW w:w="18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80" w:type="dxa"/>
            <w:vAlign w:val="bottom"/>
          </w:tcPr>
          <w:p>
            <w:pPr>
              <w:spacing w:after="0"/>
              <w:rPr>
                <w:sz w:val="2"/>
                <w:szCs w:val="2"/>
                <w:color w:val="auto"/>
              </w:rPr>
            </w:pPr>
          </w:p>
        </w:tc>
        <w:tc>
          <w:tcPr>
            <w:tcW w:w="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00" w:type="dxa"/>
            <w:vAlign w:val="bottom"/>
            <w:tcBorders>
              <w:bottom w:val="single" w:sz="8" w:color="CCEEFF"/>
            </w:tcBorders>
            <w:shd w:val="clear" w:color="auto" w:fill="CCEEFF"/>
          </w:tcPr>
          <w:p>
            <w:pPr>
              <w:spacing w:after="0"/>
              <w:rPr>
                <w:sz w:val="21"/>
                <w:szCs w:val="21"/>
                <w:color w:val="auto"/>
              </w:rPr>
            </w:pPr>
          </w:p>
        </w:tc>
        <w:tc>
          <w:tcPr>
            <w:tcW w:w="4340" w:type="dxa"/>
            <w:vAlign w:val="bottom"/>
            <w:tcBorders>
              <w:bottom w:val="single" w:sz="8" w:color="CCEEFF"/>
            </w:tcBorders>
            <w:shd w:val="clear" w:color="auto" w:fill="CCEEFF"/>
          </w:tcPr>
          <w:p>
            <w:pPr>
              <w:ind w:left="80"/>
              <w:spacing w:after="0"/>
              <w:rPr>
                <w:sz w:val="20"/>
                <w:szCs w:val="20"/>
                <w:color w:val="auto"/>
              </w:rPr>
            </w:pPr>
            <w:r>
              <w:rPr>
                <w:rFonts w:ascii="Arial" w:cs="Arial" w:eastAsia="Arial" w:hAnsi="Arial"/>
                <w:sz w:val="18"/>
                <w:szCs w:val="18"/>
                <w:color w:val="auto"/>
              </w:rPr>
              <w:t>QiG</w:t>
            </w:r>
          </w:p>
        </w:tc>
        <w:tc>
          <w:tcPr>
            <w:tcW w:w="144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(25,855)</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(23,256)</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(30,484)</w:t>
            </w:r>
          </w:p>
        </w:tc>
        <w:tc>
          <w:tcPr>
            <w:tcW w:w="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00" w:type="dxa"/>
            <w:vAlign w:val="bottom"/>
          </w:tcPr>
          <w:p>
            <w:pPr>
              <w:spacing w:after="0"/>
              <w:rPr>
                <w:sz w:val="21"/>
                <w:szCs w:val="21"/>
                <w:color w:val="auto"/>
              </w:rPr>
            </w:pPr>
          </w:p>
        </w:tc>
        <w:tc>
          <w:tcPr>
            <w:tcW w:w="4340" w:type="dxa"/>
            <w:vAlign w:val="bottom"/>
          </w:tcPr>
          <w:p>
            <w:pPr>
              <w:ind w:left="80"/>
              <w:spacing w:after="0"/>
              <w:rPr>
                <w:sz w:val="20"/>
                <w:szCs w:val="20"/>
                <w:color w:val="auto"/>
              </w:rPr>
            </w:pPr>
            <w:r>
              <w:rPr>
                <w:rFonts w:ascii="Arial" w:cs="Arial" w:eastAsia="Arial" w:hAnsi="Arial"/>
                <w:sz w:val="18"/>
                <w:szCs w:val="18"/>
                <w:color w:val="auto"/>
              </w:rPr>
              <w:t>Lake Region Medical</w:t>
            </w:r>
          </w:p>
        </w:tc>
        <w:tc>
          <w:tcPr>
            <w:tcW w:w="14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(16,416)</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80" w:type="dxa"/>
            <w:vAlign w:val="bottom"/>
          </w:tcPr>
          <w:p>
            <w:pPr>
              <w:jc w:val="right"/>
              <w:ind w:right="14"/>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gridSpan w:val="2"/>
          </w:tcPr>
          <w:p>
            <w:pPr>
              <w:jc w:val="right"/>
              <w:ind w:right="3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640" w:type="dxa"/>
            <w:vAlign w:val="bottom"/>
            <w:tcBorders>
              <w:bottom w:val="single" w:sz="8" w:color="CCEEFF"/>
            </w:tcBorders>
            <w:gridSpan w:val="2"/>
          </w:tcPr>
          <w:p>
            <w:pPr>
              <w:spacing w:after="0"/>
              <w:rPr>
                <w:sz w:val="2"/>
                <w:szCs w:val="2"/>
                <w:color w:val="auto"/>
              </w:rPr>
            </w:pPr>
          </w:p>
        </w:tc>
        <w:tc>
          <w:tcPr>
            <w:tcW w:w="144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3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6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Total segment income from operations</w:t>
            </w:r>
          </w:p>
        </w:tc>
        <w:tc>
          <w:tcPr>
            <w:tcW w:w="144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67,466</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103,056</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81,321</w:t>
            </w:r>
          </w:p>
        </w:tc>
        <w:tc>
          <w:tcPr>
            <w:tcW w:w="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640" w:type="dxa"/>
            <w:vAlign w:val="bottom"/>
            <w:gridSpan w:val="2"/>
          </w:tcPr>
          <w:p>
            <w:pPr>
              <w:ind w:left="20"/>
              <w:spacing w:after="0"/>
              <w:rPr>
                <w:sz w:val="20"/>
                <w:szCs w:val="20"/>
                <w:color w:val="auto"/>
              </w:rPr>
            </w:pPr>
            <w:r>
              <w:rPr>
                <w:rFonts w:ascii="Arial" w:cs="Arial" w:eastAsia="Arial" w:hAnsi="Arial"/>
                <w:sz w:val="18"/>
                <w:szCs w:val="18"/>
                <w:color w:val="auto"/>
              </w:rPr>
              <w:t>Unallocated operating expenses</w:t>
            </w:r>
          </w:p>
        </w:tc>
        <w:tc>
          <w:tcPr>
            <w:tcW w:w="14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(54,320)</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(27,402)</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(19,982)</w:t>
            </w:r>
          </w:p>
        </w:tc>
        <w:tc>
          <w:tcPr>
            <w:tcW w:w="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4640" w:type="dxa"/>
            <w:vAlign w:val="bottom"/>
            <w:tcBorders>
              <w:bottom w:val="single" w:sz="8" w:color="CCEEFF"/>
            </w:tcBorders>
            <w:gridSpan w:val="2"/>
          </w:tcPr>
          <w:p>
            <w:pPr>
              <w:spacing w:after="0"/>
              <w:rPr>
                <w:sz w:val="2"/>
                <w:szCs w:val="2"/>
                <w:color w:val="auto"/>
              </w:rPr>
            </w:pPr>
          </w:p>
        </w:tc>
        <w:tc>
          <w:tcPr>
            <w:tcW w:w="144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3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640" w:type="dxa"/>
            <w:vAlign w:val="bottom"/>
            <w:tcBorders>
              <w:bottom w:val="single" w:sz="8" w:color="CCEEFF"/>
            </w:tcBorders>
            <w:gridSpan w:val="2"/>
            <w:shd w:val="clear" w:color="auto" w:fill="CCEEFF"/>
          </w:tcPr>
          <w:p>
            <w:pPr>
              <w:ind w:left="260"/>
              <w:spacing w:after="0"/>
              <w:rPr>
                <w:sz w:val="20"/>
                <w:szCs w:val="20"/>
                <w:color w:val="auto"/>
              </w:rPr>
            </w:pPr>
            <w:r>
              <w:rPr>
                <w:rFonts w:ascii="Arial" w:cs="Arial" w:eastAsia="Arial" w:hAnsi="Arial"/>
                <w:sz w:val="18"/>
                <w:szCs w:val="18"/>
                <w:color w:val="auto"/>
              </w:rPr>
              <w:t>Operating income</w:t>
            </w:r>
          </w:p>
        </w:tc>
        <w:tc>
          <w:tcPr>
            <w:tcW w:w="144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13,146</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75,654</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61,339</w:t>
            </w:r>
          </w:p>
        </w:tc>
        <w:tc>
          <w:tcPr>
            <w:tcW w:w="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640" w:type="dxa"/>
            <w:vAlign w:val="bottom"/>
            <w:gridSpan w:val="2"/>
          </w:tcPr>
          <w:p>
            <w:pPr>
              <w:ind w:left="20"/>
              <w:spacing w:after="0"/>
              <w:rPr>
                <w:sz w:val="20"/>
                <w:szCs w:val="20"/>
                <w:color w:val="auto"/>
              </w:rPr>
            </w:pPr>
            <w:r>
              <w:rPr>
                <w:rFonts w:ascii="Arial" w:cs="Arial" w:eastAsia="Arial" w:hAnsi="Arial"/>
                <w:sz w:val="18"/>
                <w:szCs w:val="18"/>
                <w:color w:val="auto"/>
              </w:rPr>
              <w:t>Unallocated other income (expense), net</w:t>
            </w:r>
          </w:p>
        </w:tc>
        <w:tc>
          <w:tcPr>
            <w:tcW w:w="14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(28,846)</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80" w:type="dxa"/>
            <w:vAlign w:val="bottom"/>
          </w:tcPr>
          <w:p>
            <w:pPr>
              <w:jc w:val="right"/>
              <w:ind w:right="14"/>
              <w:spacing w:after="0"/>
              <w:rPr>
                <w:sz w:val="20"/>
                <w:szCs w:val="20"/>
                <w:color w:val="auto"/>
              </w:rPr>
            </w:pPr>
            <w:r>
              <w:rPr>
                <w:rFonts w:ascii="Arial" w:cs="Arial" w:eastAsia="Arial" w:hAnsi="Arial"/>
                <w:sz w:val="18"/>
                <w:szCs w:val="18"/>
                <w:color w:val="auto"/>
              </w:rPr>
              <w:t>925</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(12,501)</w:t>
            </w:r>
          </w:p>
        </w:tc>
        <w:tc>
          <w:tcPr>
            <w:tcW w:w="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4640" w:type="dxa"/>
            <w:vAlign w:val="bottom"/>
            <w:tcBorders>
              <w:bottom w:val="single" w:sz="8" w:color="CCEEFF"/>
            </w:tcBorders>
            <w:gridSpan w:val="2"/>
          </w:tcPr>
          <w:p>
            <w:pPr>
              <w:spacing w:after="0"/>
              <w:rPr>
                <w:sz w:val="2"/>
                <w:szCs w:val="2"/>
                <w:color w:val="auto"/>
              </w:rPr>
            </w:pPr>
          </w:p>
        </w:tc>
        <w:tc>
          <w:tcPr>
            <w:tcW w:w="144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3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64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Income (loss) before provision for income taxes</w:t>
            </w:r>
          </w:p>
        </w:tc>
        <w:tc>
          <w:tcPr>
            <w:tcW w:w="17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22"/>
                <w:szCs w:val="22"/>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(15,700)</w:t>
            </w: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88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76,579</w:t>
            </w:r>
          </w:p>
        </w:tc>
        <w:tc>
          <w:tcPr>
            <w:tcW w:w="3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88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48,838</w:t>
            </w:r>
          </w:p>
        </w:tc>
        <w:tc>
          <w:tcPr>
            <w:tcW w:w="3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300" w:type="dxa"/>
            <w:vAlign w:val="bottom"/>
            <w:tcBorders>
              <w:top w:val="single" w:sz="8" w:color="CCEEFF"/>
            </w:tcBorders>
          </w:tcPr>
          <w:p>
            <w:pPr>
              <w:spacing w:after="0" w:line="20" w:lineRule="exact"/>
              <w:rPr>
                <w:sz w:val="1"/>
                <w:szCs w:val="1"/>
                <w:color w:val="auto"/>
              </w:rPr>
            </w:pPr>
          </w:p>
        </w:tc>
        <w:tc>
          <w:tcPr>
            <w:tcW w:w="4340" w:type="dxa"/>
            <w:vAlign w:val="bottom"/>
            <w:tcBorders>
              <w:top w:val="single" w:sz="8" w:color="CCEEFF"/>
            </w:tcBorders>
          </w:tcPr>
          <w:p>
            <w:pPr>
              <w:spacing w:after="0" w:line="20" w:lineRule="exact"/>
              <w:rPr>
                <w:sz w:val="1"/>
                <w:szCs w:val="1"/>
                <w:color w:val="auto"/>
              </w:rPr>
            </w:pPr>
          </w:p>
        </w:tc>
        <w:tc>
          <w:tcPr>
            <w:tcW w:w="1440" w:type="dxa"/>
            <w:vAlign w:val="bottom"/>
            <w:tcBorders>
              <w:top w:val="single" w:sz="8" w:color="CCEEFF"/>
              <w:bottom w:val="single" w:sz="8" w:color="CCEEFF"/>
            </w:tcBorders>
            <w:vMerge w:val="restart"/>
          </w:tcPr>
          <w:p>
            <w:pPr>
              <w:jc w:val="right"/>
              <w:ind w:right="530"/>
              <w:spacing w:after="0"/>
              <w:rPr>
                <w:sz w:val="20"/>
                <w:szCs w:val="20"/>
                <w:color w:val="auto"/>
              </w:rPr>
            </w:pPr>
            <w:r>
              <w:rPr>
                <w:rFonts w:ascii="Arial" w:cs="Arial" w:eastAsia="Arial" w:hAnsi="Arial"/>
                <w:sz w:val="18"/>
                <w:szCs w:val="18"/>
                <w:color w:val="auto"/>
              </w:rPr>
              <w:t>- 109 -</w:t>
            </w:r>
          </w:p>
        </w:tc>
        <w:tc>
          <w:tcPr>
            <w:tcW w:w="2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08"/>
        </w:trPr>
        <w:tc>
          <w:tcPr>
            <w:tcW w:w="300" w:type="dxa"/>
            <w:vAlign w:val="bottom"/>
          </w:tcPr>
          <w:p>
            <w:pPr>
              <w:spacing w:after="0"/>
              <w:rPr>
                <w:sz w:val="24"/>
                <w:szCs w:val="24"/>
                <w:color w:val="auto"/>
              </w:rPr>
            </w:pPr>
          </w:p>
        </w:tc>
        <w:tc>
          <w:tcPr>
            <w:tcW w:w="4340" w:type="dxa"/>
            <w:vAlign w:val="bottom"/>
          </w:tcPr>
          <w:p>
            <w:pPr>
              <w:spacing w:after="0"/>
              <w:rPr>
                <w:sz w:val="24"/>
                <w:szCs w:val="24"/>
                <w:color w:val="auto"/>
              </w:rPr>
            </w:pPr>
          </w:p>
        </w:tc>
        <w:tc>
          <w:tcPr>
            <w:tcW w:w="1440" w:type="dxa"/>
            <w:vAlign w:val="bottom"/>
            <w:vMerge w:val="continue"/>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0847"/>
          </w:cols>
          <w:pgMar w:left="653" w:top="337" w:right="399" w:bottom="1440" w:gutter="0" w:footer="0" w:header="0"/>
        </w:sectPr>
      </w:pPr>
    </w:p>
    <w:bookmarkStart w:id="110" w:name="page111"/>
    <w:bookmarkEnd w:id="110"/>
    <w:p>
      <w:pPr>
        <w:jc w:val="center"/>
        <w:ind w:right="-79"/>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08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gridSpan w:val="2"/>
          </w:tcPr>
          <w:p>
            <w:pPr>
              <w:ind w:left="100"/>
              <w:spacing w:after="0"/>
              <w:rPr>
                <w:sz w:val="20"/>
                <w:szCs w:val="20"/>
                <w:color w:val="auto"/>
              </w:rPr>
            </w:pPr>
            <w:r>
              <w:rPr>
                <w:rFonts w:ascii="Arial" w:cs="Arial" w:eastAsia="Arial" w:hAnsi="Arial"/>
                <w:sz w:val="14"/>
                <w:szCs w:val="14"/>
                <w:b w:val="1"/>
                <w:bCs w:val="1"/>
                <w:color w:val="auto"/>
              </w:rPr>
              <w:t>Year Ended</w:t>
            </w:r>
          </w:p>
        </w:tc>
        <w:tc>
          <w:tcPr>
            <w:tcW w:w="2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60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40" w:type="dxa"/>
            <w:vAlign w:val="bottom"/>
            <w:gridSpan w:val="2"/>
          </w:tcPr>
          <w:p>
            <w:pPr>
              <w:jc w:val="center"/>
              <w:ind w:right="380"/>
              <w:spacing w:after="0" w:line="153" w:lineRule="exact"/>
              <w:rPr>
                <w:sz w:val="20"/>
                <w:szCs w:val="20"/>
                <w:color w:val="auto"/>
              </w:rPr>
            </w:pPr>
            <w:r>
              <w:rPr>
                <w:rFonts w:ascii="Arial" w:cs="Arial" w:eastAsia="Arial" w:hAnsi="Arial"/>
                <w:sz w:val="14"/>
                <w:szCs w:val="14"/>
                <w:b w:val="1"/>
                <w:bCs w:val="1"/>
                <w:color w:val="auto"/>
                <w:w w:val="95"/>
              </w:rPr>
              <w:t>January 1,</w:t>
            </w:r>
          </w:p>
        </w:tc>
        <w:tc>
          <w:tcPr>
            <w:tcW w:w="220" w:type="dxa"/>
            <w:vAlign w:val="bottom"/>
          </w:tcPr>
          <w:p>
            <w:pPr>
              <w:spacing w:after="0"/>
              <w:rPr>
                <w:sz w:val="13"/>
                <w:szCs w:val="13"/>
                <w:color w:val="auto"/>
              </w:rPr>
            </w:pPr>
          </w:p>
        </w:tc>
        <w:tc>
          <w:tcPr>
            <w:tcW w:w="1220" w:type="dxa"/>
            <w:vAlign w:val="bottom"/>
            <w:gridSpan w:val="2"/>
          </w:tcPr>
          <w:p>
            <w:pPr>
              <w:ind w:left="100"/>
              <w:spacing w:after="0" w:line="153" w:lineRule="exact"/>
              <w:rPr>
                <w:sz w:val="20"/>
                <w:szCs w:val="20"/>
                <w:color w:val="auto"/>
              </w:rPr>
            </w:pPr>
            <w:r>
              <w:rPr>
                <w:rFonts w:ascii="Arial" w:cs="Arial" w:eastAsia="Arial" w:hAnsi="Arial"/>
                <w:sz w:val="14"/>
                <w:szCs w:val="14"/>
                <w:b w:val="1"/>
                <w:bCs w:val="1"/>
                <w:color w:val="auto"/>
              </w:rPr>
              <w:t>January 2,</w:t>
            </w:r>
          </w:p>
        </w:tc>
        <w:tc>
          <w:tcPr>
            <w:tcW w:w="240" w:type="dxa"/>
            <w:vAlign w:val="bottom"/>
          </w:tcPr>
          <w:p>
            <w:pPr>
              <w:spacing w:after="0"/>
              <w:rPr>
                <w:sz w:val="13"/>
                <w:szCs w:val="13"/>
                <w:color w:val="auto"/>
              </w:rPr>
            </w:pPr>
          </w:p>
        </w:tc>
        <w:tc>
          <w:tcPr>
            <w:tcW w:w="1120" w:type="dxa"/>
            <w:vAlign w:val="bottom"/>
          </w:tcPr>
          <w:p>
            <w:pPr>
              <w:jc w:val="center"/>
              <w:ind w:right="175"/>
              <w:spacing w:after="0" w:line="153" w:lineRule="exact"/>
              <w:rPr>
                <w:sz w:val="20"/>
                <w:szCs w:val="20"/>
                <w:color w:val="auto"/>
              </w:rPr>
            </w:pPr>
            <w:r>
              <w:rPr>
                <w:rFonts w:ascii="Arial" w:cs="Arial" w:eastAsia="Arial" w:hAnsi="Arial"/>
                <w:sz w:val="14"/>
                <w:szCs w:val="14"/>
                <w:b w:val="1"/>
                <w:bCs w:val="1"/>
                <w:color w:val="auto"/>
                <w:w w:val="95"/>
              </w:rPr>
              <w:t>January 3,</w:t>
            </w:r>
          </w:p>
        </w:tc>
        <w:tc>
          <w:tcPr>
            <w:tcW w:w="0" w:type="dxa"/>
            <w:vAlign w:val="bottom"/>
          </w:tcPr>
          <w:p>
            <w:pPr>
              <w:spacing w:after="0"/>
              <w:rPr>
                <w:sz w:val="1"/>
                <w:szCs w:val="1"/>
                <w:color w:val="auto"/>
              </w:rPr>
            </w:pPr>
          </w:p>
        </w:tc>
      </w:tr>
      <w:tr>
        <w:trPr>
          <w:trHeight w:val="192"/>
        </w:trPr>
        <w:tc>
          <w:tcPr>
            <w:tcW w:w="608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center"/>
              <w:ind w:right="135"/>
              <w:spacing w:after="0"/>
              <w:rPr>
                <w:sz w:val="20"/>
                <w:szCs w:val="20"/>
                <w:color w:val="auto"/>
              </w:rPr>
            </w:pPr>
            <w:r>
              <w:rPr>
                <w:rFonts w:ascii="Arial" w:cs="Arial" w:eastAsia="Arial" w:hAnsi="Arial"/>
                <w:sz w:val="14"/>
                <w:szCs w:val="14"/>
                <w:b w:val="1"/>
                <w:bCs w:val="1"/>
                <w:color w:val="auto"/>
                <w:w w:val="96"/>
              </w:rPr>
              <w:t>2016</w:t>
            </w:r>
          </w:p>
        </w:tc>
        <w:tc>
          <w:tcPr>
            <w:tcW w:w="12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56"/>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center"/>
              <w:ind w:right="155"/>
              <w:spacing w:after="0"/>
              <w:rPr>
                <w:sz w:val="20"/>
                <w:szCs w:val="20"/>
                <w:color w:val="auto"/>
              </w:rPr>
            </w:pPr>
            <w:r>
              <w:rPr>
                <w:rFonts w:ascii="Arial" w:cs="Arial" w:eastAsia="Arial" w:hAnsi="Arial"/>
                <w:sz w:val="14"/>
                <w:szCs w:val="14"/>
                <w:b w:val="1"/>
                <w:bCs w:val="1"/>
                <w:color w:val="auto"/>
                <w:w w:val="89"/>
              </w:rPr>
              <w:t>2014</w:t>
            </w:r>
          </w:p>
        </w:tc>
        <w:tc>
          <w:tcPr>
            <w:tcW w:w="0" w:type="dxa"/>
            <w:vAlign w:val="bottom"/>
          </w:tcPr>
          <w:p>
            <w:pPr>
              <w:spacing w:after="0"/>
              <w:rPr>
                <w:sz w:val="1"/>
                <w:szCs w:val="1"/>
                <w:color w:val="auto"/>
              </w:rPr>
            </w:pPr>
          </w:p>
        </w:tc>
      </w:tr>
      <w:tr>
        <w:trPr>
          <w:trHeight w:val="250"/>
        </w:trPr>
        <w:tc>
          <w:tcPr>
            <w:tcW w:w="60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Depreciation and amortization:</w:t>
            </w: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80" w:type="dxa"/>
            <w:vAlign w:val="bottom"/>
          </w:tcPr>
          <w:p>
            <w:pPr>
              <w:ind w:left="380"/>
              <w:spacing w:after="0"/>
              <w:rPr>
                <w:sz w:val="20"/>
                <w:szCs w:val="20"/>
                <w:color w:val="auto"/>
              </w:rPr>
            </w:pPr>
            <w:r>
              <w:rPr>
                <w:rFonts w:ascii="Arial" w:cs="Arial" w:eastAsia="Arial" w:hAnsi="Arial"/>
                <w:sz w:val="18"/>
                <w:szCs w:val="18"/>
                <w:color w:val="auto"/>
              </w:rPr>
              <w:t>Greatbatch Medical</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tcPr>
          <w:p>
            <w:pPr>
              <w:jc w:val="right"/>
              <w:ind w:right="15"/>
              <w:spacing w:after="0"/>
              <w:rPr>
                <w:sz w:val="20"/>
                <w:szCs w:val="20"/>
                <w:color w:val="auto"/>
              </w:rPr>
            </w:pPr>
            <w:r>
              <w:rPr>
                <w:rFonts w:ascii="Arial" w:cs="Arial" w:eastAsia="Arial" w:hAnsi="Arial"/>
                <w:sz w:val="18"/>
                <w:szCs w:val="18"/>
                <w:color w:val="auto"/>
              </w:rPr>
              <w:t>30,160</w:t>
            </w:r>
          </w:p>
        </w:tc>
        <w:tc>
          <w:tcPr>
            <w:tcW w:w="120" w:type="dxa"/>
            <w:vAlign w:val="bottom"/>
          </w:tcPr>
          <w:p>
            <w:pPr>
              <w:spacing w:after="0"/>
              <w:rPr>
                <w:sz w:val="21"/>
                <w:szCs w:val="21"/>
                <w:color w:val="auto"/>
              </w:rPr>
            </w:pP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tcPr>
          <w:p>
            <w:pPr>
              <w:jc w:val="right"/>
              <w:ind w:right="16"/>
              <w:spacing w:after="0"/>
              <w:rPr>
                <w:sz w:val="20"/>
                <w:szCs w:val="20"/>
                <w:color w:val="auto"/>
              </w:rPr>
            </w:pPr>
            <w:r>
              <w:rPr>
                <w:rFonts w:ascii="Arial" w:cs="Arial" w:eastAsia="Arial" w:hAnsi="Arial"/>
                <w:sz w:val="18"/>
                <w:szCs w:val="18"/>
                <w:color w:val="auto"/>
              </w:rPr>
              <w:t>31,906</w:t>
            </w:r>
          </w:p>
        </w:tc>
        <w:tc>
          <w:tcPr>
            <w:tcW w:w="10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5"/>
              <w:spacing w:after="0"/>
              <w:rPr>
                <w:sz w:val="20"/>
                <w:szCs w:val="20"/>
                <w:color w:val="auto"/>
              </w:rPr>
            </w:pPr>
            <w:r>
              <w:rPr>
                <w:rFonts w:ascii="Arial" w:cs="Arial" w:eastAsia="Arial" w:hAnsi="Arial"/>
                <w:sz w:val="18"/>
                <w:szCs w:val="18"/>
                <w:color w:val="auto"/>
              </w:rPr>
              <w:t>31,112</w:t>
            </w:r>
          </w:p>
        </w:tc>
        <w:tc>
          <w:tcPr>
            <w:tcW w:w="0" w:type="dxa"/>
            <w:vAlign w:val="bottom"/>
          </w:tcPr>
          <w:p>
            <w:pPr>
              <w:spacing w:after="0"/>
              <w:rPr>
                <w:sz w:val="1"/>
                <w:szCs w:val="1"/>
                <w:color w:val="auto"/>
              </w:rPr>
            </w:pPr>
          </w:p>
        </w:tc>
      </w:tr>
      <w:tr>
        <w:trPr>
          <w:trHeight w:val="27"/>
        </w:trPr>
        <w:tc>
          <w:tcPr>
            <w:tcW w:w="6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QiG</w:t>
            </w: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1,862</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2,101</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1,539</w:t>
            </w:r>
          </w:p>
        </w:tc>
        <w:tc>
          <w:tcPr>
            <w:tcW w:w="0" w:type="dxa"/>
            <w:vAlign w:val="bottom"/>
          </w:tcPr>
          <w:p>
            <w:pPr>
              <w:spacing w:after="0"/>
              <w:rPr>
                <w:sz w:val="1"/>
                <w:szCs w:val="1"/>
                <w:color w:val="auto"/>
              </w:rPr>
            </w:pPr>
          </w:p>
        </w:tc>
      </w:tr>
      <w:tr>
        <w:trPr>
          <w:trHeight w:val="243"/>
        </w:trPr>
        <w:tc>
          <w:tcPr>
            <w:tcW w:w="6080" w:type="dxa"/>
            <w:vAlign w:val="bottom"/>
          </w:tcPr>
          <w:p>
            <w:pPr>
              <w:ind w:left="380"/>
              <w:spacing w:after="0"/>
              <w:rPr>
                <w:sz w:val="20"/>
                <w:szCs w:val="20"/>
                <w:color w:val="auto"/>
              </w:rPr>
            </w:pPr>
            <w:r>
              <w:rPr>
                <w:rFonts w:ascii="Arial" w:cs="Arial" w:eastAsia="Arial" w:hAnsi="Arial"/>
                <w:sz w:val="18"/>
                <w:szCs w:val="18"/>
                <w:color w:val="auto"/>
              </w:rPr>
              <w:t>Lake Region Medical</w:t>
            </w:r>
          </w:p>
        </w:tc>
        <w:tc>
          <w:tcPr>
            <w:tcW w:w="220" w:type="dxa"/>
            <w:vAlign w:val="bottom"/>
          </w:tcPr>
          <w:p>
            <w:pPr>
              <w:spacing w:after="0"/>
              <w:rPr>
                <w:sz w:val="21"/>
                <w:szCs w:val="21"/>
                <w:color w:val="auto"/>
              </w:rPr>
            </w:pPr>
          </w:p>
        </w:tc>
        <w:tc>
          <w:tcPr>
            <w:tcW w:w="1120" w:type="dxa"/>
            <w:vAlign w:val="bottom"/>
          </w:tcPr>
          <w:p>
            <w:pPr>
              <w:jc w:val="right"/>
              <w:ind w:right="15"/>
              <w:spacing w:after="0"/>
              <w:rPr>
                <w:sz w:val="20"/>
                <w:szCs w:val="20"/>
                <w:color w:val="auto"/>
              </w:rPr>
            </w:pPr>
            <w:r>
              <w:rPr>
                <w:rFonts w:ascii="Arial" w:cs="Arial" w:eastAsia="Arial" w:hAnsi="Arial"/>
                <w:sz w:val="18"/>
                <w:szCs w:val="18"/>
                <w:color w:val="auto"/>
              </w:rPr>
              <w:t>32,249</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120" w:type="dxa"/>
            <w:vAlign w:val="bottom"/>
          </w:tcPr>
          <w:p>
            <w:pPr>
              <w:jc w:val="right"/>
              <w:ind w:right="15"/>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60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w w:val="94"/>
              </w:rPr>
              <w:t>Total depreciation and amortization included in segment income from operations</w:t>
            </w: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64,271</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34,007</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32,651</w:t>
            </w:r>
          </w:p>
        </w:tc>
        <w:tc>
          <w:tcPr>
            <w:tcW w:w="0" w:type="dxa"/>
            <w:vAlign w:val="bottom"/>
          </w:tcPr>
          <w:p>
            <w:pPr>
              <w:spacing w:after="0"/>
              <w:rPr>
                <w:sz w:val="1"/>
                <w:szCs w:val="1"/>
                <w:color w:val="auto"/>
              </w:rPr>
            </w:pPr>
          </w:p>
        </w:tc>
      </w:tr>
      <w:tr>
        <w:trPr>
          <w:trHeight w:val="243"/>
        </w:trPr>
        <w:tc>
          <w:tcPr>
            <w:tcW w:w="6080" w:type="dxa"/>
            <w:vAlign w:val="bottom"/>
          </w:tcPr>
          <w:p>
            <w:pPr>
              <w:ind w:left="20"/>
              <w:spacing w:after="0"/>
              <w:rPr>
                <w:sz w:val="20"/>
                <w:szCs w:val="20"/>
                <w:color w:val="auto"/>
              </w:rPr>
            </w:pPr>
            <w:r>
              <w:rPr>
                <w:rFonts w:ascii="Arial" w:cs="Arial" w:eastAsia="Arial" w:hAnsi="Arial"/>
                <w:sz w:val="18"/>
                <w:szCs w:val="18"/>
                <w:color w:val="auto"/>
              </w:rPr>
              <w:t>Unallocated depreciation and amortization</w:t>
            </w:r>
          </w:p>
        </w:tc>
        <w:tc>
          <w:tcPr>
            <w:tcW w:w="220" w:type="dxa"/>
            <w:vAlign w:val="bottom"/>
          </w:tcPr>
          <w:p>
            <w:pPr>
              <w:spacing w:after="0"/>
              <w:rPr>
                <w:sz w:val="21"/>
                <w:szCs w:val="21"/>
                <w:color w:val="auto"/>
              </w:rPr>
            </w:pPr>
          </w:p>
        </w:tc>
        <w:tc>
          <w:tcPr>
            <w:tcW w:w="1120" w:type="dxa"/>
            <w:vAlign w:val="bottom"/>
          </w:tcPr>
          <w:p>
            <w:pPr>
              <w:jc w:val="right"/>
              <w:ind w:right="15"/>
              <w:spacing w:after="0"/>
              <w:rPr>
                <w:sz w:val="20"/>
                <w:szCs w:val="20"/>
                <w:color w:val="auto"/>
              </w:rPr>
            </w:pPr>
            <w:r>
              <w:rPr>
                <w:rFonts w:ascii="Arial" w:cs="Arial" w:eastAsia="Arial" w:hAnsi="Arial"/>
                <w:sz w:val="18"/>
                <w:szCs w:val="18"/>
                <w:color w:val="auto"/>
              </w:rPr>
              <w:t>3,347</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20" w:type="dxa"/>
            <w:vAlign w:val="bottom"/>
          </w:tcPr>
          <w:p>
            <w:pPr>
              <w:jc w:val="right"/>
              <w:ind w:right="16"/>
              <w:spacing w:after="0"/>
              <w:rPr>
                <w:sz w:val="20"/>
                <w:szCs w:val="20"/>
                <w:color w:val="auto"/>
              </w:rPr>
            </w:pPr>
            <w:r>
              <w:rPr>
                <w:rFonts w:ascii="Arial" w:cs="Arial" w:eastAsia="Arial" w:hAnsi="Arial"/>
                <w:sz w:val="18"/>
                <w:szCs w:val="18"/>
                <w:color w:val="auto"/>
              </w:rPr>
              <w:t>3,450</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20" w:type="dxa"/>
            <w:vAlign w:val="bottom"/>
          </w:tcPr>
          <w:p>
            <w:pPr>
              <w:jc w:val="right"/>
              <w:ind w:right="15"/>
              <w:spacing w:after="0"/>
              <w:rPr>
                <w:sz w:val="20"/>
                <w:szCs w:val="20"/>
                <w:color w:val="auto"/>
              </w:rPr>
            </w:pPr>
            <w:r>
              <w:rPr>
                <w:rFonts w:ascii="Arial" w:cs="Arial" w:eastAsia="Arial" w:hAnsi="Arial"/>
                <w:sz w:val="18"/>
                <w:szCs w:val="18"/>
                <w:color w:val="auto"/>
              </w:rPr>
              <w:t>3,315</w:t>
            </w:r>
          </w:p>
        </w:tc>
        <w:tc>
          <w:tcPr>
            <w:tcW w:w="0" w:type="dxa"/>
            <w:vAlign w:val="bottom"/>
          </w:tcPr>
          <w:p>
            <w:pPr>
              <w:spacing w:after="0"/>
              <w:rPr>
                <w:sz w:val="1"/>
                <w:szCs w:val="1"/>
                <w:color w:val="auto"/>
              </w:rPr>
            </w:pPr>
          </w:p>
        </w:tc>
      </w:tr>
      <w:tr>
        <w:trPr>
          <w:trHeight w:val="27"/>
        </w:trPr>
        <w:tc>
          <w:tcPr>
            <w:tcW w:w="60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608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Total depreciation and amortization</w:t>
            </w:r>
          </w:p>
        </w:tc>
        <w:tc>
          <w:tcPr>
            <w:tcW w:w="2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67,618</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auto"/>
            </w:tcBorders>
            <w:shd w:val="clear" w:color="auto" w:fill="CCEEFF"/>
          </w:tcPr>
          <w:p>
            <w:pPr>
              <w:jc w:val="right"/>
              <w:ind w:right="16"/>
              <w:spacing w:after="0"/>
              <w:rPr>
                <w:sz w:val="20"/>
                <w:szCs w:val="20"/>
                <w:color w:val="auto"/>
              </w:rPr>
            </w:pPr>
            <w:r>
              <w:rPr>
                <w:rFonts w:ascii="Arial" w:cs="Arial" w:eastAsia="Arial" w:hAnsi="Arial"/>
                <w:sz w:val="18"/>
                <w:szCs w:val="18"/>
                <w:color w:val="auto"/>
              </w:rPr>
              <w:t>37,457</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35,966</w:t>
            </w:r>
          </w:p>
        </w:tc>
        <w:tc>
          <w:tcPr>
            <w:tcW w:w="0" w:type="dxa"/>
            <w:vAlign w:val="bottom"/>
          </w:tcPr>
          <w:p>
            <w:pPr>
              <w:spacing w:after="0"/>
              <w:rPr>
                <w:sz w:val="1"/>
                <w:szCs w:val="1"/>
                <w:color w:val="auto"/>
              </w:rPr>
            </w:pPr>
          </w:p>
        </w:tc>
      </w:tr>
      <w:tr>
        <w:trPr>
          <w:trHeight w:val="20"/>
        </w:trPr>
        <w:tc>
          <w:tcPr>
            <w:tcW w:w="60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97"/>
        </w:trPr>
        <w:tc>
          <w:tcPr>
            <w:tcW w:w="6080" w:type="dxa"/>
            <w:vAlign w:val="bottom"/>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gridSpan w:val="2"/>
          </w:tcPr>
          <w:p>
            <w:pPr>
              <w:ind w:left="100"/>
              <w:spacing w:after="0"/>
              <w:rPr>
                <w:sz w:val="20"/>
                <w:szCs w:val="20"/>
                <w:color w:val="auto"/>
              </w:rPr>
            </w:pPr>
            <w:r>
              <w:rPr>
                <w:rFonts w:ascii="Arial" w:cs="Arial" w:eastAsia="Arial" w:hAnsi="Arial"/>
                <w:sz w:val="14"/>
                <w:szCs w:val="14"/>
                <w:b w:val="1"/>
                <w:bCs w:val="1"/>
                <w:color w:val="auto"/>
              </w:rPr>
              <w:t>Year Ended</w:t>
            </w:r>
          </w:p>
        </w:tc>
        <w:tc>
          <w:tcPr>
            <w:tcW w:w="24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2"/>
        </w:trPr>
        <w:tc>
          <w:tcPr>
            <w:tcW w:w="60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40" w:type="dxa"/>
            <w:vAlign w:val="bottom"/>
            <w:gridSpan w:val="2"/>
          </w:tcPr>
          <w:p>
            <w:pPr>
              <w:jc w:val="center"/>
              <w:ind w:right="380"/>
              <w:spacing w:after="0" w:line="153" w:lineRule="exact"/>
              <w:rPr>
                <w:sz w:val="20"/>
                <w:szCs w:val="20"/>
                <w:color w:val="auto"/>
              </w:rPr>
            </w:pPr>
            <w:r>
              <w:rPr>
                <w:rFonts w:ascii="Arial" w:cs="Arial" w:eastAsia="Arial" w:hAnsi="Arial"/>
                <w:sz w:val="14"/>
                <w:szCs w:val="14"/>
                <w:b w:val="1"/>
                <w:bCs w:val="1"/>
                <w:color w:val="auto"/>
                <w:w w:val="95"/>
              </w:rPr>
              <w:t>January 1,</w:t>
            </w:r>
          </w:p>
        </w:tc>
        <w:tc>
          <w:tcPr>
            <w:tcW w:w="220" w:type="dxa"/>
            <w:vAlign w:val="bottom"/>
          </w:tcPr>
          <w:p>
            <w:pPr>
              <w:spacing w:after="0"/>
              <w:rPr>
                <w:sz w:val="13"/>
                <w:szCs w:val="13"/>
                <w:color w:val="auto"/>
              </w:rPr>
            </w:pPr>
          </w:p>
        </w:tc>
        <w:tc>
          <w:tcPr>
            <w:tcW w:w="1220" w:type="dxa"/>
            <w:vAlign w:val="bottom"/>
            <w:gridSpan w:val="2"/>
          </w:tcPr>
          <w:p>
            <w:pPr>
              <w:ind w:left="100"/>
              <w:spacing w:after="0" w:line="153" w:lineRule="exact"/>
              <w:rPr>
                <w:sz w:val="20"/>
                <w:szCs w:val="20"/>
                <w:color w:val="auto"/>
              </w:rPr>
            </w:pPr>
            <w:r>
              <w:rPr>
                <w:rFonts w:ascii="Arial" w:cs="Arial" w:eastAsia="Arial" w:hAnsi="Arial"/>
                <w:sz w:val="14"/>
                <w:szCs w:val="14"/>
                <w:b w:val="1"/>
                <w:bCs w:val="1"/>
                <w:color w:val="auto"/>
              </w:rPr>
              <w:t>January 2,</w:t>
            </w:r>
          </w:p>
        </w:tc>
        <w:tc>
          <w:tcPr>
            <w:tcW w:w="240" w:type="dxa"/>
            <w:vAlign w:val="bottom"/>
          </w:tcPr>
          <w:p>
            <w:pPr>
              <w:spacing w:after="0"/>
              <w:rPr>
                <w:sz w:val="13"/>
                <w:szCs w:val="13"/>
                <w:color w:val="auto"/>
              </w:rPr>
            </w:pPr>
          </w:p>
        </w:tc>
        <w:tc>
          <w:tcPr>
            <w:tcW w:w="1120" w:type="dxa"/>
            <w:vAlign w:val="bottom"/>
          </w:tcPr>
          <w:p>
            <w:pPr>
              <w:jc w:val="center"/>
              <w:ind w:right="175"/>
              <w:spacing w:after="0" w:line="153" w:lineRule="exact"/>
              <w:rPr>
                <w:sz w:val="20"/>
                <w:szCs w:val="20"/>
                <w:color w:val="auto"/>
              </w:rPr>
            </w:pPr>
            <w:r>
              <w:rPr>
                <w:rFonts w:ascii="Arial" w:cs="Arial" w:eastAsia="Arial" w:hAnsi="Arial"/>
                <w:sz w:val="14"/>
                <w:szCs w:val="14"/>
                <w:b w:val="1"/>
                <w:bCs w:val="1"/>
                <w:color w:val="auto"/>
                <w:w w:val="95"/>
              </w:rPr>
              <w:t>January 3,</w:t>
            </w:r>
          </w:p>
        </w:tc>
        <w:tc>
          <w:tcPr>
            <w:tcW w:w="0" w:type="dxa"/>
            <w:vAlign w:val="bottom"/>
          </w:tcPr>
          <w:p>
            <w:pPr>
              <w:spacing w:after="0"/>
              <w:rPr>
                <w:sz w:val="1"/>
                <w:szCs w:val="1"/>
                <w:color w:val="auto"/>
              </w:rPr>
            </w:pPr>
          </w:p>
        </w:tc>
      </w:tr>
      <w:tr>
        <w:trPr>
          <w:trHeight w:val="192"/>
        </w:trPr>
        <w:tc>
          <w:tcPr>
            <w:tcW w:w="608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center"/>
              <w:ind w:right="135"/>
              <w:spacing w:after="0"/>
              <w:rPr>
                <w:sz w:val="20"/>
                <w:szCs w:val="20"/>
                <w:color w:val="auto"/>
              </w:rPr>
            </w:pPr>
            <w:r>
              <w:rPr>
                <w:rFonts w:ascii="Arial" w:cs="Arial" w:eastAsia="Arial" w:hAnsi="Arial"/>
                <w:sz w:val="14"/>
                <w:szCs w:val="14"/>
                <w:b w:val="1"/>
                <w:bCs w:val="1"/>
                <w:color w:val="auto"/>
                <w:w w:val="96"/>
              </w:rPr>
              <w:t>2016</w:t>
            </w:r>
          </w:p>
        </w:tc>
        <w:tc>
          <w:tcPr>
            <w:tcW w:w="12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56"/>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center"/>
              <w:ind w:right="155"/>
              <w:spacing w:after="0"/>
              <w:rPr>
                <w:sz w:val="20"/>
                <w:szCs w:val="20"/>
                <w:color w:val="auto"/>
              </w:rPr>
            </w:pPr>
            <w:r>
              <w:rPr>
                <w:rFonts w:ascii="Arial" w:cs="Arial" w:eastAsia="Arial" w:hAnsi="Arial"/>
                <w:sz w:val="14"/>
                <w:szCs w:val="14"/>
                <w:b w:val="1"/>
                <w:bCs w:val="1"/>
                <w:color w:val="auto"/>
                <w:w w:val="89"/>
              </w:rPr>
              <w:t>2014</w:t>
            </w:r>
          </w:p>
        </w:tc>
        <w:tc>
          <w:tcPr>
            <w:tcW w:w="0" w:type="dxa"/>
            <w:vAlign w:val="bottom"/>
          </w:tcPr>
          <w:p>
            <w:pPr>
              <w:spacing w:after="0"/>
              <w:rPr>
                <w:sz w:val="1"/>
                <w:szCs w:val="1"/>
                <w:color w:val="auto"/>
              </w:rPr>
            </w:pPr>
          </w:p>
        </w:tc>
      </w:tr>
      <w:tr>
        <w:trPr>
          <w:trHeight w:val="250"/>
        </w:trPr>
        <w:tc>
          <w:tcPr>
            <w:tcW w:w="60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Expenditures for tangible long-lived assets, excluding acquisitions:</w:t>
            </w: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80" w:type="dxa"/>
            <w:vAlign w:val="bottom"/>
          </w:tcPr>
          <w:p>
            <w:pPr>
              <w:ind w:left="380"/>
              <w:spacing w:after="0"/>
              <w:rPr>
                <w:sz w:val="20"/>
                <w:szCs w:val="20"/>
                <w:color w:val="auto"/>
              </w:rPr>
            </w:pPr>
            <w:r>
              <w:rPr>
                <w:rFonts w:ascii="Arial" w:cs="Arial" w:eastAsia="Arial" w:hAnsi="Arial"/>
                <w:sz w:val="18"/>
                <w:szCs w:val="18"/>
                <w:color w:val="auto"/>
              </w:rPr>
              <w:t>Greatbatch Medical</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tcPr>
          <w:p>
            <w:pPr>
              <w:jc w:val="right"/>
              <w:ind w:right="15"/>
              <w:spacing w:after="0"/>
              <w:rPr>
                <w:sz w:val="20"/>
                <w:szCs w:val="20"/>
                <w:color w:val="auto"/>
              </w:rPr>
            </w:pPr>
            <w:r>
              <w:rPr>
                <w:rFonts w:ascii="Arial" w:cs="Arial" w:eastAsia="Arial" w:hAnsi="Arial"/>
                <w:sz w:val="18"/>
                <w:szCs w:val="18"/>
                <w:color w:val="auto"/>
              </w:rPr>
              <w:t>32,921</w:t>
            </w:r>
          </w:p>
        </w:tc>
        <w:tc>
          <w:tcPr>
            <w:tcW w:w="120" w:type="dxa"/>
            <w:vAlign w:val="bottom"/>
          </w:tcPr>
          <w:p>
            <w:pPr>
              <w:spacing w:after="0"/>
              <w:rPr>
                <w:sz w:val="21"/>
                <w:szCs w:val="21"/>
                <w:color w:val="auto"/>
              </w:rPr>
            </w:pP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tcPr>
          <w:p>
            <w:pPr>
              <w:jc w:val="right"/>
              <w:ind w:right="16"/>
              <w:spacing w:after="0"/>
              <w:rPr>
                <w:sz w:val="20"/>
                <w:szCs w:val="20"/>
                <w:color w:val="auto"/>
              </w:rPr>
            </w:pPr>
            <w:r>
              <w:rPr>
                <w:rFonts w:ascii="Arial" w:cs="Arial" w:eastAsia="Arial" w:hAnsi="Arial"/>
                <w:sz w:val="18"/>
                <w:szCs w:val="18"/>
                <w:color w:val="auto"/>
              </w:rPr>
              <w:t>19,006</w:t>
            </w:r>
          </w:p>
        </w:tc>
        <w:tc>
          <w:tcPr>
            <w:tcW w:w="10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5"/>
              <w:spacing w:after="0"/>
              <w:rPr>
                <w:sz w:val="20"/>
                <w:szCs w:val="20"/>
                <w:color w:val="auto"/>
              </w:rPr>
            </w:pPr>
            <w:r>
              <w:rPr>
                <w:rFonts w:ascii="Arial" w:cs="Arial" w:eastAsia="Arial" w:hAnsi="Arial"/>
                <w:sz w:val="18"/>
                <w:szCs w:val="18"/>
                <w:color w:val="auto"/>
              </w:rPr>
              <w:t>13,242</w:t>
            </w:r>
          </w:p>
        </w:tc>
        <w:tc>
          <w:tcPr>
            <w:tcW w:w="0" w:type="dxa"/>
            <w:vAlign w:val="bottom"/>
          </w:tcPr>
          <w:p>
            <w:pPr>
              <w:spacing w:after="0"/>
              <w:rPr>
                <w:sz w:val="1"/>
                <w:szCs w:val="1"/>
                <w:color w:val="auto"/>
              </w:rPr>
            </w:pPr>
          </w:p>
        </w:tc>
      </w:tr>
      <w:tr>
        <w:trPr>
          <w:trHeight w:val="27"/>
        </w:trPr>
        <w:tc>
          <w:tcPr>
            <w:tcW w:w="6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QiG</w:t>
            </w: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1,160</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1,453</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2,134</w:t>
            </w:r>
          </w:p>
        </w:tc>
        <w:tc>
          <w:tcPr>
            <w:tcW w:w="0" w:type="dxa"/>
            <w:vAlign w:val="bottom"/>
          </w:tcPr>
          <w:p>
            <w:pPr>
              <w:spacing w:after="0"/>
              <w:rPr>
                <w:sz w:val="1"/>
                <w:szCs w:val="1"/>
                <w:color w:val="auto"/>
              </w:rPr>
            </w:pPr>
          </w:p>
        </w:tc>
      </w:tr>
      <w:tr>
        <w:trPr>
          <w:trHeight w:val="243"/>
        </w:trPr>
        <w:tc>
          <w:tcPr>
            <w:tcW w:w="6080" w:type="dxa"/>
            <w:vAlign w:val="bottom"/>
          </w:tcPr>
          <w:p>
            <w:pPr>
              <w:ind w:left="380"/>
              <w:spacing w:after="0"/>
              <w:rPr>
                <w:sz w:val="20"/>
                <w:szCs w:val="20"/>
                <w:color w:val="auto"/>
              </w:rPr>
            </w:pPr>
            <w:r>
              <w:rPr>
                <w:rFonts w:ascii="Arial" w:cs="Arial" w:eastAsia="Arial" w:hAnsi="Arial"/>
                <w:sz w:val="18"/>
                <w:szCs w:val="18"/>
                <w:color w:val="auto"/>
              </w:rPr>
              <w:t>Lake Region Medical</w:t>
            </w:r>
          </w:p>
        </w:tc>
        <w:tc>
          <w:tcPr>
            <w:tcW w:w="220" w:type="dxa"/>
            <w:vAlign w:val="bottom"/>
          </w:tcPr>
          <w:p>
            <w:pPr>
              <w:spacing w:after="0"/>
              <w:rPr>
                <w:sz w:val="21"/>
                <w:szCs w:val="21"/>
                <w:color w:val="auto"/>
              </w:rPr>
            </w:pPr>
          </w:p>
        </w:tc>
        <w:tc>
          <w:tcPr>
            <w:tcW w:w="1120" w:type="dxa"/>
            <w:vAlign w:val="bottom"/>
          </w:tcPr>
          <w:p>
            <w:pPr>
              <w:jc w:val="right"/>
              <w:ind w:right="15"/>
              <w:spacing w:after="0"/>
              <w:rPr>
                <w:sz w:val="20"/>
                <w:szCs w:val="20"/>
                <w:color w:val="auto"/>
              </w:rPr>
            </w:pPr>
            <w:r>
              <w:rPr>
                <w:rFonts w:ascii="Arial" w:cs="Arial" w:eastAsia="Arial" w:hAnsi="Arial"/>
                <w:sz w:val="18"/>
                <w:szCs w:val="18"/>
                <w:color w:val="auto"/>
              </w:rPr>
              <w:t>7,525</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120" w:type="dxa"/>
            <w:vAlign w:val="bottom"/>
          </w:tcPr>
          <w:p>
            <w:pPr>
              <w:jc w:val="right"/>
              <w:ind w:right="15"/>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60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reportable segments</w:t>
            </w: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41,606</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20,459</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15,376</w:t>
            </w:r>
          </w:p>
        </w:tc>
        <w:tc>
          <w:tcPr>
            <w:tcW w:w="0" w:type="dxa"/>
            <w:vAlign w:val="bottom"/>
          </w:tcPr>
          <w:p>
            <w:pPr>
              <w:spacing w:after="0"/>
              <w:rPr>
                <w:sz w:val="1"/>
                <w:szCs w:val="1"/>
                <w:color w:val="auto"/>
              </w:rPr>
            </w:pPr>
          </w:p>
        </w:tc>
      </w:tr>
      <w:tr>
        <w:trPr>
          <w:trHeight w:val="243"/>
        </w:trPr>
        <w:tc>
          <w:tcPr>
            <w:tcW w:w="6080" w:type="dxa"/>
            <w:vAlign w:val="bottom"/>
          </w:tcPr>
          <w:p>
            <w:pPr>
              <w:ind w:left="20"/>
              <w:spacing w:after="0"/>
              <w:rPr>
                <w:sz w:val="20"/>
                <w:szCs w:val="20"/>
                <w:color w:val="auto"/>
              </w:rPr>
            </w:pPr>
            <w:r>
              <w:rPr>
                <w:rFonts w:ascii="Arial" w:cs="Arial" w:eastAsia="Arial" w:hAnsi="Arial"/>
                <w:sz w:val="18"/>
                <w:szCs w:val="18"/>
                <w:color w:val="auto"/>
              </w:rPr>
              <w:t>Unallocated long-lived tangible assets</w:t>
            </w:r>
          </w:p>
        </w:tc>
        <w:tc>
          <w:tcPr>
            <w:tcW w:w="220" w:type="dxa"/>
            <w:vAlign w:val="bottom"/>
          </w:tcPr>
          <w:p>
            <w:pPr>
              <w:spacing w:after="0"/>
              <w:rPr>
                <w:sz w:val="21"/>
                <w:szCs w:val="21"/>
                <w:color w:val="auto"/>
              </w:rPr>
            </w:pPr>
          </w:p>
        </w:tc>
        <w:tc>
          <w:tcPr>
            <w:tcW w:w="1120" w:type="dxa"/>
            <w:vAlign w:val="bottom"/>
          </w:tcPr>
          <w:p>
            <w:pPr>
              <w:jc w:val="right"/>
              <w:ind w:right="15"/>
              <w:spacing w:after="0"/>
              <w:rPr>
                <w:sz w:val="20"/>
                <w:szCs w:val="20"/>
                <w:color w:val="auto"/>
              </w:rPr>
            </w:pPr>
            <w:r>
              <w:rPr>
                <w:rFonts w:ascii="Arial" w:cs="Arial" w:eastAsia="Arial" w:hAnsi="Arial"/>
                <w:sz w:val="18"/>
                <w:szCs w:val="18"/>
                <w:color w:val="auto"/>
              </w:rPr>
              <w:t>6,448</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20" w:type="dxa"/>
            <w:vAlign w:val="bottom"/>
          </w:tcPr>
          <w:p>
            <w:pPr>
              <w:jc w:val="right"/>
              <w:ind w:right="16"/>
              <w:spacing w:after="0"/>
              <w:rPr>
                <w:sz w:val="20"/>
                <w:szCs w:val="20"/>
                <w:color w:val="auto"/>
              </w:rPr>
            </w:pPr>
            <w:r>
              <w:rPr>
                <w:rFonts w:ascii="Arial" w:cs="Arial" w:eastAsia="Arial" w:hAnsi="Arial"/>
                <w:sz w:val="18"/>
                <w:szCs w:val="18"/>
                <w:color w:val="auto"/>
              </w:rPr>
              <w:t>5,187</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20" w:type="dxa"/>
            <w:vAlign w:val="bottom"/>
          </w:tcPr>
          <w:p>
            <w:pPr>
              <w:jc w:val="right"/>
              <w:ind w:right="15"/>
              <w:spacing w:after="0"/>
              <w:rPr>
                <w:sz w:val="20"/>
                <w:szCs w:val="20"/>
                <w:color w:val="auto"/>
              </w:rPr>
            </w:pPr>
            <w:r>
              <w:rPr>
                <w:rFonts w:ascii="Arial" w:cs="Arial" w:eastAsia="Arial" w:hAnsi="Arial"/>
                <w:sz w:val="18"/>
                <w:szCs w:val="18"/>
                <w:color w:val="auto"/>
              </w:rPr>
              <w:t>2,798</w:t>
            </w:r>
          </w:p>
        </w:tc>
        <w:tc>
          <w:tcPr>
            <w:tcW w:w="0" w:type="dxa"/>
            <w:vAlign w:val="bottom"/>
          </w:tcPr>
          <w:p>
            <w:pPr>
              <w:spacing w:after="0"/>
              <w:rPr>
                <w:sz w:val="1"/>
                <w:szCs w:val="1"/>
                <w:color w:val="auto"/>
              </w:rPr>
            </w:pPr>
          </w:p>
        </w:tc>
      </w:tr>
      <w:tr>
        <w:trPr>
          <w:trHeight w:val="27"/>
        </w:trPr>
        <w:tc>
          <w:tcPr>
            <w:tcW w:w="60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608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Total expenditures</w:t>
            </w:r>
          </w:p>
        </w:tc>
        <w:tc>
          <w:tcPr>
            <w:tcW w:w="2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48,054</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auto"/>
            </w:tcBorders>
            <w:shd w:val="clear" w:color="auto" w:fill="CCEEFF"/>
          </w:tcPr>
          <w:p>
            <w:pPr>
              <w:jc w:val="right"/>
              <w:ind w:right="16"/>
              <w:spacing w:after="0"/>
              <w:rPr>
                <w:sz w:val="20"/>
                <w:szCs w:val="20"/>
                <w:color w:val="auto"/>
              </w:rPr>
            </w:pPr>
            <w:r>
              <w:rPr>
                <w:rFonts w:ascii="Arial" w:cs="Arial" w:eastAsia="Arial" w:hAnsi="Arial"/>
                <w:sz w:val="18"/>
                <w:szCs w:val="18"/>
                <w:color w:val="auto"/>
              </w:rPr>
              <w:t>25,646</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18,174</w:t>
            </w:r>
          </w:p>
        </w:tc>
        <w:tc>
          <w:tcPr>
            <w:tcW w:w="0" w:type="dxa"/>
            <w:vAlign w:val="bottom"/>
          </w:tcPr>
          <w:p>
            <w:pPr>
              <w:spacing w:after="0"/>
              <w:rPr>
                <w:sz w:val="1"/>
                <w:szCs w:val="1"/>
                <w:color w:val="auto"/>
              </w:rPr>
            </w:pPr>
          </w:p>
        </w:tc>
      </w:tr>
      <w:tr>
        <w:trPr>
          <w:trHeight w:val="20"/>
        </w:trPr>
        <w:tc>
          <w:tcPr>
            <w:tcW w:w="60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81"/>
        </w:trPr>
        <w:tc>
          <w:tcPr>
            <w:tcW w:w="6080" w:type="dxa"/>
            <w:vAlign w:val="bottom"/>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gridSpan w:val="2"/>
          </w:tcPr>
          <w:p>
            <w:pPr>
              <w:ind w:left="380"/>
              <w:spacing w:after="0"/>
              <w:rPr>
                <w:sz w:val="20"/>
                <w:szCs w:val="20"/>
                <w:color w:val="auto"/>
              </w:rPr>
            </w:pPr>
            <w:r>
              <w:rPr>
                <w:rFonts w:ascii="Arial" w:cs="Arial" w:eastAsia="Arial" w:hAnsi="Arial"/>
                <w:sz w:val="14"/>
                <w:szCs w:val="14"/>
                <w:b w:val="1"/>
                <w:bCs w:val="1"/>
                <w:color w:val="auto"/>
              </w:rPr>
              <w:t>At</w:t>
            </w:r>
          </w:p>
        </w:tc>
        <w:tc>
          <w:tcPr>
            <w:tcW w:w="24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2"/>
        </w:trPr>
        <w:tc>
          <w:tcPr>
            <w:tcW w:w="60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40" w:type="dxa"/>
            <w:vAlign w:val="bottom"/>
            <w:gridSpan w:val="2"/>
          </w:tcPr>
          <w:p>
            <w:pPr>
              <w:jc w:val="center"/>
              <w:ind w:right="380"/>
              <w:spacing w:after="0" w:line="153" w:lineRule="exact"/>
              <w:rPr>
                <w:sz w:val="20"/>
                <w:szCs w:val="20"/>
                <w:color w:val="auto"/>
              </w:rPr>
            </w:pPr>
            <w:r>
              <w:rPr>
                <w:rFonts w:ascii="Arial" w:cs="Arial" w:eastAsia="Arial" w:hAnsi="Arial"/>
                <w:sz w:val="14"/>
                <w:szCs w:val="14"/>
                <w:b w:val="1"/>
                <w:bCs w:val="1"/>
                <w:color w:val="auto"/>
                <w:w w:val="95"/>
              </w:rPr>
              <w:t>January 1,</w:t>
            </w:r>
          </w:p>
        </w:tc>
        <w:tc>
          <w:tcPr>
            <w:tcW w:w="220" w:type="dxa"/>
            <w:vAlign w:val="bottom"/>
          </w:tcPr>
          <w:p>
            <w:pPr>
              <w:spacing w:after="0"/>
              <w:rPr>
                <w:sz w:val="13"/>
                <w:szCs w:val="13"/>
                <w:color w:val="auto"/>
              </w:rPr>
            </w:pPr>
          </w:p>
        </w:tc>
        <w:tc>
          <w:tcPr>
            <w:tcW w:w="1220" w:type="dxa"/>
            <w:vAlign w:val="bottom"/>
            <w:gridSpan w:val="2"/>
          </w:tcPr>
          <w:p>
            <w:pPr>
              <w:ind w:left="100"/>
              <w:spacing w:after="0" w:line="153" w:lineRule="exact"/>
              <w:rPr>
                <w:sz w:val="20"/>
                <w:szCs w:val="20"/>
                <w:color w:val="auto"/>
              </w:rPr>
            </w:pPr>
            <w:r>
              <w:rPr>
                <w:rFonts w:ascii="Arial" w:cs="Arial" w:eastAsia="Arial" w:hAnsi="Arial"/>
                <w:sz w:val="14"/>
                <w:szCs w:val="14"/>
                <w:b w:val="1"/>
                <w:bCs w:val="1"/>
                <w:color w:val="auto"/>
              </w:rPr>
              <w:t>January 2,</w:t>
            </w:r>
          </w:p>
        </w:tc>
        <w:tc>
          <w:tcPr>
            <w:tcW w:w="240" w:type="dxa"/>
            <w:vAlign w:val="bottom"/>
          </w:tcPr>
          <w:p>
            <w:pPr>
              <w:spacing w:after="0"/>
              <w:rPr>
                <w:sz w:val="13"/>
                <w:szCs w:val="13"/>
                <w:color w:val="auto"/>
              </w:rPr>
            </w:pPr>
          </w:p>
        </w:tc>
        <w:tc>
          <w:tcPr>
            <w:tcW w:w="1120" w:type="dxa"/>
            <w:vAlign w:val="bottom"/>
          </w:tcPr>
          <w:p>
            <w:pPr>
              <w:jc w:val="center"/>
              <w:ind w:right="175"/>
              <w:spacing w:after="0" w:line="153" w:lineRule="exact"/>
              <w:rPr>
                <w:sz w:val="20"/>
                <w:szCs w:val="20"/>
                <w:color w:val="auto"/>
              </w:rPr>
            </w:pPr>
            <w:r>
              <w:rPr>
                <w:rFonts w:ascii="Arial" w:cs="Arial" w:eastAsia="Arial" w:hAnsi="Arial"/>
                <w:sz w:val="14"/>
                <w:szCs w:val="14"/>
                <w:b w:val="1"/>
                <w:bCs w:val="1"/>
                <w:color w:val="auto"/>
                <w:w w:val="95"/>
              </w:rPr>
              <w:t>January 3,</w:t>
            </w:r>
          </w:p>
        </w:tc>
        <w:tc>
          <w:tcPr>
            <w:tcW w:w="0" w:type="dxa"/>
            <w:vAlign w:val="bottom"/>
          </w:tcPr>
          <w:p>
            <w:pPr>
              <w:spacing w:after="0"/>
              <w:rPr>
                <w:sz w:val="1"/>
                <w:szCs w:val="1"/>
                <w:color w:val="auto"/>
              </w:rPr>
            </w:pPr>
          </w:p>
        </w:tc>
      </w:tr>
      <w:tr>
        <w:trPr>
          <w:trHeight w:val="192"/>
        </w:trPr>
        <w:tc>
          <w:tcPr>
            <w:tcW w:w="608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center"/>
              <w:ind w:right="135"/>
              <w:spacing w:after="0"/>
              <w:rPr>
                <w:sz w:val="20"/>
                <w:szCs w:val="20"/>
                <w:color w:val="auto"/>
              </w:rPr>
            </w:pPr>
            <w:r>
              <w:rPr>
                <w:rFonts w:ascii="Arial" w:cs="Arial" w:eastAsia="Arial" w:hAnsi="Arial"/>
                <w:sz w:val="14"/>
                <w:szCs w:val="14"/>
                <w:b w:val="1"/>
                <w:bCs w:val="1"/>
                <w:color w:val="auto"/>
                <w:w w:val="96"/>
              </w:rPr>
              <w:t>2016</w:t>
            </w:r>
          </w:p>
        </w:tc>
        <w:tc>
          <w:tcPr>
            <w:tcW w:w="12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56"/>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center"/>
              <w:ind w:right="155"/>
              <w:spacing w:after="0"/>
              <w:rPr>
                <w:sz w:val="20"/>
                <w:szCs w:val="20"/>
                <w:color w:val="auto"/>
              </w:rPr>
            </w:pPr>
            <w:r>
              <w:rPr>
                <w:rFonts w:ascii="Arial" w:cs="Arial" w:eastAsia="Arial" w:hAnsi="Arial"/>
                <w:sz w:val="14"/>
                <w:szCs w:val="14"/>
                <w:b w:val="1"/>
                <w:bCs w:val="1"/>
                <w:color w:val="auto"/>
                <w:w w:val="89"/>
              </w:rPr>
              <w:t>2014</w:t>
            </w:r>
          </w:p>
        </w:tc>
        <w:tc>
          <w:tcPr>
            <w:tcW w:w="0" w:type="dxa"/>
            <w:vAlign w:val="bottom"/>
          </w:tcPr>
          <w:p>
            <w:pPr>
              <w:spacing w:after="0"/>
              <w:rPr>
                <w:sz w:val="1"/>
                <w:szCs w:val="1"/>
                <w:color w:val="auto"/>
              </w:rPr>
            </w:pPr>
          </w:p>
        </w:tc>
      </w:tr>
      <w:tr>
        <w:trPr>
          <w:trHeight w:val="250"/>
        </w:trPr>
        <w:tc>
          <w:tcPr>
            <w:tcW w:w="60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Identifiable assets:</w:t>
            </w: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80" w:type="dxa"/>
            <w:vAlign w:val="bottom"/>
          </w:tcPr>
          <w:p>
            <w:pPr>
              <w:ind w:left="380"/>
              <w:spacing w:after="0"/>
              <w:rPr>
                <w:sz w:val="20"/>
                <w:szCs w:val="20"/>
                <w:color w:val="auto"/>
              </w:rPr>
            </w:pPr>
            <w:r>
              <w:rPr>
                <w:rFonts w:ascii="Arial" w:cs="Arial" w:eastAsia="Arial" w:hAnsi="Arial"/>
                <w:sz w:val="18"/>
                <w:szCs w:val="18"/>
                <w:color w:val="auto"/>
              </w:rPr>
              <w:t>Greatbatch Medical</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tcPr>
          <w:p>
            <w:pPr>
              <w:jc w:val="right"/>
              <w:ind w:right="15"/>
              <w:spacing w:after="0"/>
              <w:rPr>
                <w:sz w:val="20"/>
                <w:szCs w:val="20"/>
                <w:color w:val="auto"/>
              </w:rPr>
            </w:pPr>
            <w:r>
              <w:rPr>
                <w:rFonts w:ascii="Arial" w:cs="Arial" w:eastAsia="Arial" w:hAnsi="Arial"/>
                <w:sz w:val="18"/>
                <w:szCs w:val="18"/>
                <w:color w:val="auto"/>
              </w:rPr>
              <w:t>798,609</w:t>
            </w:r>
          </w:p>
        </w:tc>
        <w:tc>
          <w:tcPr>
            <w:tcW w:w="120" w:type="dxa"/>
            <w:vAlign w:val="bottom"/>
          </w:tcPr>
          <w:p>
            <w:pPr>
              <w:spacing w:after="0"/>
              <w:rPr>
                <w:sz w:val="21"/>
                <w:szCs w:val="21"/>
                <w:color w:val="auto"/>
              </w:rPr>
            </w:pP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tcPr>
          <w:p>
            <w:pPr>
              <w:jc w:val="right"/>
              <w:ind w:right="16"/>
              <w:spacing w:after="0"/>
              <w:rPr>
                <w:sz w:val="20"/>
                <w:szCs w:val="20"/>
                <w:color w:val="auto"/>
              </w:rPr>
            </w:pPr>
            <w:r>
              <w:rPr>
                <w:rFonts w:ascii="Arial" w:cs="Arial" w:eastAsia="Arial" w:hAnsi="Arial"/>
                <w:sz w:val="18"/>
                <w:szCs w:val="18"/>
                <w:color w:val="auto"/>
              </w:rPr>
              <w:t>761,225</w:t>
            </w:r>
          </w:p>
        </w:tc>
        <w:tc>
          <w:tcPr>
            <w:tcW w:w="10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5"/>
              <w:spacing w:after="0"/>
              <w:rPr>
                <w:sz w:val="20"/>
                <w:szCs w:val="20"/>
                <w:color w:val="auto"/>
              </w:rPr>
            </w:pPr>
            <w:r>
              <w:rPr>
                <w:rFonts w:ascii="Arial" w:cs="Arial" w:eastAsia="Arial" w:hAnsi="Arial"/>
                <w:sz w:val="18"/>
                <w:szCs w:val="18"/>
                <w:color w:val="auto"/>
              </w:rPr>
              <w:t>758,369</w:t>
            </w:r>
          </w:p>
        </w:tc>
        <w:tc>
          <w:tcPr>
            <w:tcW w:w="0" w:type="dxa"/>
            <w:vAlign w:val="bottom"/>
          </w:tcPr>
          <w:p>
            <w:pPr>
              <w:spacing w:after="0"/>
              <w:rPr>
                <w:sz w:val="1"/>
                <w:szCs w:val="1"/>
                <w:color w:val="auto"/>
              </w:rPr>
            </w:pPr>
          </w:p>
        </w:tc>
      </w:tr>
      <w:tr>
        <w:trPr>
          <w:trHeight w:val="27"/>
        </w:trPr>
        <w:tc>
          <w:tcPr>
            <w:tcW w:w="6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QiG</w:t>
            </w: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68,637</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76,529</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56,245</w:t>
            </w:r>
          </w:p>
        </w:tc>
        <w:tc>
          <w:tcPr>
            <w:tcW w:w="0" w:type="dxa"/>
            <w:vAlign w:val="bottom"/>
          </w:tcPr>
          <w:p>
            <w:pPr>
              <w:spacing w:after="0"/>
              <w:rPr>
                <w:sz w:val="1"/>
                <w:szCs w:val="1"/>
                <w:color w:val="auto"/>
              </w:rPr>
            </w:pPr>
          </w:p>
        </w:tc>
      </w:tr>
      <w:tr>
        <w:trPr>
          <w:trHeight w:val="243"/>
        </w:trPr>
        <w:tc>
          <w:tcPr>
            <w:tcW w:w="6080" w:type="dxa"/>
            <w:vAlign w:val="bottom"/>
          </w:tcPr>
          <w:p>
            <w:pPr>
              <w:ind w:left="380"/>
              <w:spacing w:after="0"/>
              <w:rPr>
                <w:sz w:val="20"/>
                <w:szCs w:val="20"/>
                <w:color w:val="auto"/>
              </w:rPr>
            </w:pPr>
            <w:r>
              <w:rPr>
                <w:rFonts w:ascii="Arial" w:cs="Arial" w:eastAsia="Arial" w:hAnsi="Arial"/>
                <w:sz w:val="18"/>
                <w:szCs w:val="18"/>
                <w:color w:val="auto"/>
              </w:rPr>
              <w:t>Lake Region Medical</w:t>
            </w:r>
          </w:p>
        </w:tc>
        <w:tc>
          <w:tcPr>
            <w:tcW w:w="220" w:type="dxa"/>
            <w:vAlign w:val="bottom"/>
          </w:tcPr>
          <w:p>
            <w:pPr>
              <w:spacing w:after="0"/>
              <w:rPr>
                <w:sz w:val="21"/>
                <w:szCs w:val="21"/>
                <w:color w:val="auto"/>
              </w:rPr>
            </w:pPr>
          </w:p>
        </w:tc>
        <w:tc>
          <w:tcPr>
            <w:tcW w:w="1120" w:type="dxa"/>
            <w:vAlign w:val="bottom"/>
          </w:tcPr>
          <w:p>
            <w:pPr>
              <w:jc w:val="right"/>
              <w:ind w:right="15"/>
              <w:spacing w:after="0"/>
              <w:rPr>
                <w:sz w:val="20"/>
                <w:szCs w:val="20"/>
                <w:color w:val="auto"/>
              </w:rPr>
            </w:pPr>
            <w:r>
              <w:rPr>
                <w:rFonts w:ascii="Arial" w:cs="Arial" w:eastAsia="Arial" w:hAnsi="Arial"/>
                <w:sz w:val="18"/>
                <w:szCs w:val="18"/>
                <w:color w:val="auto"/>
              </w:rPr>
              <w:t>1,971,071</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120" w:type="dxa"/>
            <w:vAlign w:val="bottom"/>
          </w:tcPr>
          <w:p>
            <w:pPr>
              <w:jc w:val="right"/>
              <w:ind w:right="15"/>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60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reportable segments</w:t>
            </w: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2,838,317</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837,754</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814,614</w:t>
            </w:r>
          </w:p>
        </w:tc>
        <w:tc>
          <w:tcPr>
            <w:tcW w:w="0" w:type="dxa"/>
            <w:vAlign w:val="bottom"/>
          </w:tcPr>
          <w:p>
            <w:pPr>
              <w:spacing w:after="0"/>
              <w:rPr>
                <w:sz w:val="1"/>
                <w:szCs w:val="1"/>
                <w:color w:val="auto"/>
              </w:rPr>
            </w:pPr>
          </w:p>
        </w:tc>
      </w:tr>
      <w:tr>
        <w:trPr>
          <w:trHeight w:val="243"/>
        </w:trPr>
        <w:tc>
          <w:tcPr>
            <w:tcW w:w="6080" w:type="dxa"/>
            <w:vAlign w:val="bottom"/>
          </w:tcPr>
          <w:p>
            <w:pPr>
              <w:ind w:left="20"/>
              <w:spacing w:after="0"/>
              <w:rPr>
                <w:sz w:val="20"/>
                <w:szCs w:val="20"/>
                <w:color w:val="auto"/>
              </w:rPr>
            </w:pPr>
            <w:r>
              <w:rPr>
                <w:rFonts w:ascii="Arial" w:cs="Arial" w:eastAsia="Arial" w:hAnsi="Arial"/>
                <w:sz w:val="18"/>
                <w:szCs w:val="18"/>
                <w:color w:val="auto"/>
              </w:rPr>
              <w:t>Unallocated assets</w:t>
            </w:r>
          </w:p>
        </w:tc>
        <w:tc>
          <w:tcPr>
            <w:tcW w:w="220" w:type="dxa"/>
            <w:vAlign w:val="bottom"/>
          </w:tcPr>
          <w:p>
            <w:pPr>
              <w:spacing w:after="0"/>
              <w:rPr>
                <w:sz w:val="21"/>
                <w:szCs w:val="21"/>
                <w:color w:val="auto"/>
              </w:rPr>
            </w:pPr>
          </w:p>
        </w:tc>
        <w:tc>
          <w:tcPr>
            <w:tcW w:w="1120" w:type="dxa"/>
            <w:vAlign w:val="bottom"/>
          </w:tcPr>
          <w:p>
            <w:pPr>
              <w:jc w:val="right"/>
              <w:ind w:right="15"/>
              <w:spacing w:after="0"/>
              <w:rPr>
                <w:sz w:val="20"/>
                <w:szCs w:val="20"/>
                <w:color w:val="auto"/>
              </w:rPr>
            </w:pPr>
            <w:r>
              <w:rPr>
                <w:rFonts w:ascii="Arial" w:cs="Arial" w:eastAsia="Arial" w:hAnsi="Arial"/>
                <w:sz w:val="18"/>
                <w:szCs w:val="18"/>
                <w:color w:val="auto"/>
              </w:rPr>
              <w:t>143,819</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20" w:type="dxa"/>
            <w:vAlign w:val="bottom"/>
          </w:tcPr>
          <w:p>
            <w:pPr>
              <w:jc w:val="right"/>
              <w:ind w:right="16"/>
              <w:spacing w:after="0"/>
              <w:rPr>
                <w:sz w:val="20"/>
                <w:szCs w:val="20"/>
                <w:color w:val="auto"/>
              </w:rPr>
            </w:pPr>
            <w:r>
              <w:rPr>
                <w:rFonts w:ascii="Arial" w:cs="Arial" w:eastAsia="Arial" w:hAnsi="Arial"/>
                <w:sz w:val="18"/>
                <w:szCs w:val="18"/>
                <w:color w:val="auto"/>
              </w:rPr>
              <w:t>117,368</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20" w:type="dxa"/>
            <w:vAlign w:val="bottom"/>
          </w:tcPr>
          <w:p>
            <w:pPr>
              <w:jc w:val="right"/>
              <w:ind w:right="15"/>
              <w:spacing w:after="0"/>
              <w:rPr>
                <w:sz w:val="20"/>
                <w:szCs w:val="20"/>
                <w:color w:val="auto"/>
              </w:rPr>
            </w:pPr>
            <w:r>
              <w:rPr>
                <w:rFonts w:ascii="Arial" w:cs="Arial" w:eastAsia="Arial" w:hAnsi="Arial"/>
                <w:sz w:val="18"/>
                <w:szCs w:val="18"/>
                <w:color w:val="auto"/>
              </w:rPr>
              <w:t>75,015</w:t>
            </w:r>
          </w:p>
        </w:tc>
        <w:tc>
          <w:tcPr>
            <w:tcW w:w="0" w:type="dxa"/>
            <w:vAlign w:val="bottom"/>
          </w:tcPr>
          <w:p>
            <w:pPr>
              <w:spacing w:after="0"/>
              <w:rPr>
                <w:sz w:val="1"/>
                <w:szCs w:val="1"/>
                <w:color w:val="auto"/>
              </w:rPr>
            </w:pPr>
          </w:p>
        </w:tc>
      </w:tr>
      <w:tr>
        <w:trPr>
          <w:trHeight w:val="27"/>
        </w:trPr>
        <w:tc>
          <w:tcPr>
            <w:tcW w:w="60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608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Total assets</w:t>
            </w:r>
          </w:p>
        </w:tc>
        <w:tc>
          <w:tcPr>
            <w:tcW w:w="2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2,982,136</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auto"/>
            </w:tcBorders>
            <w:shd w:val="clear" w:color="auto" w:fill="CCEEFF"/>
          </w:tcPr>
          <w:p>
            <w:pPr>
              <w:jc w:val="right"/>
              <w:ind w:right="16"/>
              <w:spacing w:after="0"/>
              <w:rPr>
                <w:sz w:val="20"/>
                <w:szCs w:val="20"/>
                <w:color w:val="auto"/>
              </w:rPr>
            </w:pPr>
            <w:r>
              <w:rPr>
                <w:rFonts w:ascii="Arial" w:cs="Arial" w:eastAsia="Arial" w:hAnsi="Arial"/>
                <w:sz w:val="18"/>
                <w:szCs w:val="18"/>
                <w:color w:val="auto"/>
              </w:rPr>
              <w:t>955,122</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889,629</w:t>
            </w:r>
          </w:p>
        </w:tc>
        <w:tc>
          <w:tcPr>
            <w:tcW w:w="0" w:type="dxa"/>
            <w:vAlign w:val="bottom"/>
          </w:tcPr>
          <w:p>
            <w:pPr>
              <w:spacing w:after="0"/>
              <w:rPr>
                <w:sz w:val="1"/>
                <w:szCs w:val="1"/>
                <w:color w:val="auto"/>
              </w:rPr>
            </w:pPr>
          </w:p>
        </w:tc>
      </w:tr>
      <w:tr>
        <w:trPr>
          <w:trHeight w:val="20"/>
        </w:trPr>
        <w:tc>
          <w:tcPr>
            <w:tcW w:w="60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08"/>
        </w:trPr>
        <w:tc>
          <w:tcPr>
            <w:tcW w:w="6080" w:type="dxa"/>
            <w:vAlign w:val="bottom"/>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gridSpan w:val="2"/>
          </w:tcPr>
          <w:p>
            <w:pPr>
              <w:ind w:left="100"/>
              <w:spacing w:after="0"/>
              <w:rPr>
                <w:sz w:val="20"/>
                <w:szCs w:val="20"/>
                <w:color w:val="auto"/>
              </w:rPr>
            </w:pPr>
            <w:r>
              <w:rPr>
                <w:rFonts w:ascii="Arial" w:cs="Arial" w:eastAsia="Arial" w:hAnsi="Arial"/>
                <w:sz w:val="14"/>
                <w:szCs w:val="14"/>
                <w:b w:val="1"/>
                <w:bCs w:val="1"/>
                <w:color w:val="auto"/>
              </w:rPr>
              <w:t>Year Ended</w:t>
            </w:r>
          </w:p>
        </w:tc>
        <w:tc>
          <w:tcPr>
            <w:tcW w:w="24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2"/>
        </w:trPr>
        <w:tc>
          <w:tcPr>
            <w:tcW w:w="60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40" w:type="dxa"/>
            <w:vAlign w:val="bottom"/>
            <w:gridSpan w:val="2"/>
          </w:tcPr>
          <w:p>
            <w:pPr>
              <w:jc w:val="center"/>
              <w:ind w:right="380"/>
              <w:spacing w:after="0" w:line="153" w:lineRule="exact"/>
              <w:rPr>
                <w:sz w:val="20"/>
                <w:szCs w:val="20"/>
                <w:color w:val="auto"/>
              </w:rPr>
            </w:pPr>
            <w:r>
              <w:rPr>
                <w:rFonts w:ascii="Arial" w:cs="Arial" w:eastAsia="Arial" w:hAnsi="Arial"/>
                <w:sz w:val="14"/>
                <w:szCs w:val="14"/>
                <w:b w:val="1"/>
                <w:bCs w:val="1"/>
                <w:color w:val="auto"/>
                <w:w w:val="95"/>
              </w:rPr>
              <w:t>January 1,</w:t>
            </w:r>
          </w:p>
        </w:tc>
        <w:tc>
          <w:tcPr>
            <w:tcW w:w="220" w:type="dxa"/>
            <w:vAlign w:val="bottom"/>
          </w:tcPr>
          <w:p>
            <w:pPr>
              <w:spacing w:after="0"/>
              <w:rPr>
                <w:sz w:val="13"/>
                <w:szCs w:val="13"/>
                <w:color w:val="auto"/>
              </w:rPr>
            </w:pPr>
          </w:p>
        </w:tc>
        <w:tc>
          <w:tcPr>
            <w:tcW w:w="1220" w:type="dxa"/>
            <w:vAlign w:val="bottom"/>
            <w:gridSpan w:val="2"/>
          </w:tcPr>
          <w:p>
            <w:pPr>
              <w:ind w:left="100"/>
              <w:spacing w:after="0" w:line="153" w:lineRule="exact"/>
              <w:rPr>
                <w:sz w:val="20"/>
                <w:szCs w:val="20"/>
                <w:color w:val="auto"/>
              </w:rPr>
            </w:pPr>
            <w:r>
              <w:rPr>
                <w:rFonts w:ascii="Arial" w:cs="Arial" w:eastAsia="Arial" w:hAnsi="Arial"/>
                <w:sz w:val="14"/>
                <w:szCs w:val="14"/>
                <w:b w:val="1"/>
                <w:bCs w:val="1"/>
                <w:color w:val="auto"/>
              </w:rPr>
              <w:t>January 2,</w:t>
            </w:r>
          </w:p>
        </w:tc>
        <w:tc>
          <w:tcPr>
            <w:tcW w:w="240" w:type="dxa"/>
            <w:vAlign w:val="bottom"/>
          </w:tcPr>
          <w:p>
            <w:pPr>
              <w:spacing w:after="0"/>
              <w:rPr>
                <w:sz w:val="13"/>
                <w:szCs w:val="13"/>
                <w:color w:val="auto"/>
              </w:rPr>
            </w:pPr>
          </w:p>
        </w:tc>
        <w:tc>
          <w:tcPr>
            <w:tcW w:w="1120" w:type="dxa"/>
            <w:vAlign w:val="bottom"/>
          </w:tcPr>
          <w:p>
            <w:pPr>
              <w:jc w:val="center"/>
              <w:ind w:right="175"/>
              <w:spacing w:after="0" w:line="153" w:lineRule="exact"/>
              <w:rPr>
                <w:sz w:val="20"/>
                <w:szCs w:val="20"/>
                <w:color w:val="auto"/>
              </w:rPr>
            </w:pPr>
            <w:r>
              <w:rPr>
                <w:rFonts w:ascii="Arial" w:cs="Arial" w:eastAsia="Arial" w:hAnsi="Arial"/>
                <w:sz w:val="14"/>
                <w:szCs w:val="14"/>
                <w:b w:val="1"/>
                <w:bCs w:val="1"/>
                <w:color w:val="auto"/>
                <w:w w:val="95"/>
              </w:rPr>
              <w:t>January 3,</w:t>
            </w:r>
          </w:p>
        </w:tc>
        <w:tc>
          <w:tcPr>
            <w:tcW w:w="0" w:type="dxa"/>
            <w:vAlign w:val="bottom"/>
          </w:tcPr>
          <w:p>
            <w:pPr>
              <w:spacing w:after="0"/>
              <w:rPr>
                <w:sz w:val="1"/>
                <w:szCs w:val="1"/>
                <w:color w:val="auto"/>
              </w:rPr>
            </w:pPr>
          </w:p>
        </w:tc>
      </w:tr>
      <w:tr>
        <w:trPr>
          <w:trHeight w:val="192"/>
        </w:trPr>
        <w:tc>
          <w:tcPr>
            <w:tcW w:w="608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center"/>
              <w:ind w:right="135"/>
              <w:spacing w:after="0"/>
              <w:rPr>
                <w:sz w:val="20"/>
                <w:szCs w:val="20"/>
                <w:color w:val="auto"/>
              </w:rPr>
            </w:pPr>
            <w:r>
              <w:rPr>
                <w:rFonts w:ascii="Arial" w:cs="Arial" w:eastAsia="Arial" w:hAnsi="Arial"/>
                <w:sz w:val="14"/>
                <w:szCs w:val="14"/>
                <w:b w:val="1"/>
                <w:bCs w:val="1"/>
                <w:color w:val="auto"/>
                <w:w w:val="96"/>
              </w:rPr>
              <w:t>2016</w:t>
            </w:r>
          </w:p>
        </w:tc>
        <w:tc>
          <w:tcPr>
            <w:tcW w:w="12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56"/>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center"/>
              <w:ind w:right="155"/>
              <w:spacing w:after="0"/>
              <w:rPr>
                <w:sz w:val="20"/>
                <w:szCs w:val="20"/>
                <w:color w:val="auto"/>
              </w:rPr>
            </w:pPr>
            <w:r>
              <w:rPr>
                <w:rFonts w:ascii="Arial" w:cs="Arial" w:eastAsia="Arial" w:hAnsi="Arial"/>
                <w:sz w:val="14"/>
                <w:szCs w:val="14"/>
                <w:b w:val="1"/>
                <w:bCs w:val="1"/>
                <w:color w:val="auto"/>
                <w:w w:val="89"/>
              </w:rPr>
              <w:t>2014</w:t>
            </w:r>
          </w:p>
        </w:tc>
        <w:tc>
          <w:tcPr>
            <w:tcW w:w="0" w:type="dxa"/>
            <w:vAlign w:val="bottom"/>
          </w:tcPr>
          <w:p>
            <w:pPr>
              <w:spacing w:after="0"/>
              <w:rPr>
                <w:sz w:val="1"/>
                <w:szCs w:val="1"/>
                <w:color w:val="auto"/>
              </w:rPr>
            </w:pPr>
          </w:p>
        </w:tc>
      </w:tr>
      <w:tr>
        <w:trPr>
          <w:trHeight w:val="250"/>
        </w:trPr>
        <w:tc>
          <w:tcPr>
            <w:tcW w:w="60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Sales by geographic area:</w:t>
            </w: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80" w:type="dxa"/>
            <w:vAlign w:val="bottom"/>
          </w:tcPr>
          <w:p>
            <w:pPr>
              <w:ind w:left="380"/>
              <w:spacing w:after="0"/>
              <w:rPr>
                <w:sz w:val="20"/>
                <w:szCs w:val="20"/>
                <w:color w:val="auto"/>
              </w:rPr>
            </w:pPr>
            <w:r>
              <w:rPr>
                <w:rFonts w:ascii="Arial" w:cs="Arial" w:eastAsia="Arial" w:hAnsi="Arial"/>
                <w:sz w:val="18"/>
                <w:szCs w:val="18"/>
                <w:color w:val="auto"/>
              </w:rPr>
              <w:t>United States</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tcPr>
          <w:p>
            <w:pPr>
              <w:jc w:val="right"/>
              <w:ind w:right="15"/>
              <w:spacing w:after="0"/>
              <w:rPr>
                <w:sz w:val="20"/>
                <w:szCs w:val="20"/>
                <w:color w:val="auto"/>
              </w:rPr>
            </w:pPr>
            <w:r>
              <w:rPr>
                <w:rFonts w:ascii="Arial" w:cs="Arial" w:eastAsia="Arial" w:hAnsi="Arial"/>
                <w:sz w:val="18"/>
                <w:szCs w:val="18"/>
                <w:color w:val="auto"/>
              </w:rPr>
              <w:t>401,380</w:t>
            </w:r>
          </w:p>
        </w:tc>
        <w:tc>
          <w:tcPr>
            <w:tcW w:w="120" w:type="dxa"/>
            <w:vAlign w:val="bottom"/>
          </w:tcPr>
          <w:p>
            <w:pPr>
              <w:spacing w:after="0"/>
              <w:rPr>
                <w:sz w:val="21"/>
                <w:szCs w:val="21"/>
                <w:color w:val="auto"/>
              </w:rPr>
            </w:pP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tcPr>
          <w:p>
            <w:pPr>
              <w:jc w:val="right"/>
              <w:ind w:right="16"/>
              <w:spacing w:after="0"/>
              <w:rPr>
                <w:sz w:val="20"/>
                <w:szCs w:val="20"/>
                <w:color w:val="auto"/>
              </w:rPr>
            </w:pPr>
            <w:r>
              <w:rPr>
                <w:rFonts w:ascii="Arial" w:cs="Arial" w:eastAsia="Arial" w:hAnsi="Arial"/>
                <w:sz w:val="18"/>
                <w:szCs w:val="18"/>
                <w:color w:val="auto"/>
              </w:rPr>
              <w:t>312,539</w:t>
            </w:r>
          </w:p>
        </w:tc>
        <w:tc>
          <w:tcPr>
            <w:tcW w:w="10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5"/>
              <w:spacing w:after="0"/>
              <w:rPr>
                <w:sz w:val="20"/>
                <w:szCs w:val="20"/>
                <w:color w:val="auto"/>
              </w:rPr>
            </w:pPr>
            <w:r>
              <w:rPr>
                <w:rFonts w:ascii="Arial" w:cs="Arial" w:eastAsia="Arial" w:hAnsi="Arial"/>
                <w:sz w:val="18"/>
                <w:szCs w:val="18"/>
                <w:color w:val="auto"/>
              </w:rPr>
              <w:t>325,090</w:t>
            </w:r>
          </w:p>
        </w:tc>
        <w:tc>
          <w:tcPr>
            <w:tcW w:w="0" w:type="dxa"/>
            <w:vAlign w:val="bottom"/>
          </w:tcPr>
          <w:p>
            <w:pPr>
              <w:spacing w:after="0"/>
              <w:rPr>
                <w:sz w:val="1"/>
                <w:szCs w:val="1"/>
                <w:color w:val="auto"/>
              </w:rPr>
            </w:pPr>
          </w:p>
        </w:tc>
      </w:tr>
      <w:tr>
        <w:trPr>
          <w:trHeight w:val="27"/>
        </w:trPr>
        <w:tc>
          <w:tcPr>
            <w:tcW w:w="6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Non-Domestic locations:</w:t>
            </w: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80" w:type="dxa"/>
            <w:vAlign w:val="bottom"/>
          </w:tcPr>
          <w:p>
            <w:pPr>
              <w:ind w:left="380"/>
              <w:spacing w:after="0"/>
              <w:rPr>
                <w:sz w:val="20"/>
                <w:szCs w:val="20"/>
                <w:color w:val="auto"/>
              </w:rPr>
            </w:pPr>
            <w:r>
              <w:rPr>
                <w:rFonts w:ascii="Arial" w:cs="Arial" w:eastAsia="Arial" w:hAnsi="Arial"/>
                <w:sz w:val="18"/>
                <w:szCs w:val="18"/>
                <w:color w:val="auto"/>
              </w:rPr>
              <w:t>Puerto Rico</w:t>
            </w:r>
          </w:p>
        </w:tc>
        <w:tc>
          <w:tcPr>
            <w:tcW w:w="220" w:type="dxa"/>
            <w:vAlign w:val="bottom"/>
          </w:tcPr>
          <w:p>
            <w:pPr>
              <w:spacing w:after="0"/>
              <w:rPr>
                <w:sz w:val="21"/>
                <w:szCs w:val="21"/>
                <w:color w:val="auto"/>
              </w:rPr>
            </w:pPr>
          </w:p>
        </w:tc>
        <w:tc>
          <w:tcPr>
            <w:tcW w:w="1120" w:type="dxa"/>
            <w:vAlign w:val="bottom"/>
          </w:tcPr>
          <w:p>
            <w:pPr>
              <w:jc w:val="right"/>
              <w:ind w:right="15"/>
              <w:spacing w:after="0"/>
              <w:rPr>
                <w:sz w:val="20"/>
                <w:szCs w:val="20"/>
                <w:color w:val="auto"/>
              </w:rPr>
            </w:pPr>
            <w:r>
              <w:rPr>
                <w:rFonts w:ascii="Arial" w:cs="Arial" w:eastAsia="Arial" w:hAnsi="Arial"/>
                <w:sz w:val="18"/>
                <w:szCs w:val="18"/>
                <w:color w:val="auto"/>
              </w:rPr>
              <w:t>136,898</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20" w:type="dxa"/>
            <w:vAlign w:val="bottom"/>
          </w:tcPr>
          <w:p>
            <w:pPr>
              <w:jc w:val="right"/>
              <w:ind w:right="16"/>
              <w:spacing w:after="0"/>
              <w:rPr>
                <w:sz w:val="20"/>
                <w:szCs w:val="20"/>
                <w:color w:val="auto"/>
              </w:rPr>
            </w:pPr>
            <w:r>
              <w:rPr>
                <w:rFonts w:ascii="Arial" w:cs="Arial" w:eastAsia="Arial" w:hAnsi="Arial"/>
                <w:sz w:val="18"/>
                <w:szCs w:val="18"/>
                <w:color w:val="auto"/>
              </w:rPr>
              <w:t>127,702</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20" w:type="dxa"/>
            <w:vAlign w:val="bottom"/>
          </w:tcPr>
          <w:p>
            <w:pPr>
              <w:jc w:val="right"/>
              <w:ind w:right="15"/>
              <w:spacing w:after="0"/>
              <w:rPr>
                <w:sz w:val="20"/>
                <w:szCs w:val="20"/>
                <w:color w:val="auto"/>
              </w:rPr>
            </w:pPr>
            <w:r>
              <w:rPr>
                <w:rFonts w:ascii="Arial" w:cs="Arial" w:eastAsia="Arial" w:hAnsi="Arial"/>
                <w:sz w:val="18"/>
                <w:szCs w:val="18"/>
                <w:color w:val="auto"/>
              </w:rPr>
              <w:t>117,961</w:t>
            </w:r>
          </w:p>
        </w:tc>
        <w:tc>
          <w:tcPr>
            <w:tcW w:w="0" w:type="dxa"/>
            <w:vAlign w:val="bottom"/>
          </w:tcPr>
          <w:p>
            <w:pPr>
              <w:spacing w:after="0"/>
              <w:rPr>
                <w:sz w:val="1"/>
                <w:szCs w:val="1"/>
                <w:color w:val="auto"/>
              </w:rPr>
            </w:pPr>
          </w:p>
        </w:tc>
      </w:tr>
      <w:tr>
        <w:trPr>
          <w:trHeight w:val="27"/>
        </w:trPr>
        <w:tc>
          <w:tcPr>
            <w:tcW w:w="6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Belgium</w:t>
            </w: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62,546</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65,308</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67,155</w:t>
            </w:r>
          </w:p>
        </w:tc>
        <w:tc>
          <w:tcPr>
            <w:tcW w:w="0" w:type="dxa"/>
            <w:vAlign w:val="bottom"/>
          </w:tcPr>
          <w:p>
            <w:pPr>
              <w:spacing w:after="0"/>
              <w:rPr>
                <w:sz w:val="1"/>
                <w:szCs w:val="1"/>
                <w:color w:val="auto"/>
              </w:rPr>
            </w:pPr>
          </w:p>
        </w:tc>
      </w:tr>
      <w:tr>
        <w:trPr>
          <w:trHeight w:val="243"/>
        </w:trPr>
        <w:tc>
          <w:tcPr>
            <w:tcW w:w="6080" w:type="dxa"/>
            <w:vAlign w:val="bottom"/>
          </w:tcPr>
          <w:p>
            <w:pPr>
              <w:ind w:left="380"/>
              <w:spacing w:after="0"/>
              <w:rPr>
                <w:sz w:val="20"/>
                <w:szCs w:val="20"/>
                <w:color w:val="auto"/>
              </w:rPr>
            </w:pPr>
            <w:r>
              <w:rPr>
                <w:rFonts w:ascii="Arial" w:cs="Arial" w:eastAsia="Arial" w:hAnsi="Arial"/>
                <w:sz w:val="18"/>
                <w:szCs w:val="18"/>
                <w:color w:val="auto"/>
              </w:rPr>
              <w:t>Rest of world</w:t>
            </w:r>
          </w:p>
        </w:tc>
        <w:tc>
          <w:tcPr>
            <w:tcW w:w="220" w:type="dxa"/>
            <w:vAlign w:val="bottom"/>
          </w:tcPr>
          <w:p>
            <w:pPr>
              <w:spacing w:after="0"/>
              <w:rPr>
                <w:sz w:val="21"/>
                <w:szCs w:val="21"/>
                <w:color w:val="auto"/>
              </w:rPr>
            </w:pPr>
          </w:p>
        </w:tc>
        <w:tc>
          <w:tcPr>
            <w:tcW w:w="1120" w:type="dxa"/>
            <w:vAlign w:val="bottom"/>
          </w:tcPr>
          <w:p>
            <w:pPr>
              <w:jc w:val="right"/>
              <w:ind w:right="15"/>
              <w:spacing w:after="0"/>
              <w:rPr>
                <w:sz w:val="20"/>
                <w:szCs w:val="20"/>
                <w:color w:val="auto"/>
              </w:rPr>
            </w:pPr>
            <w:r>
              <w:rPr>
                <w:rFonts w:ascii="Arial" w:cs="Arial" w:eastAsia="Arial" w:hAnsi="Arial"/>
                <w:sz w:val="18"/>
                <w:szCs w:val="18"/>
                <w:color w:val="auto"/>
              </w:rPr>
              <w:t>199,590</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20" w:type="dxa"/>
            <w:vAlign w:val="bottom"/>
          </w:tcPr>
          <w:p>
            <w:pPr>
              <w:jc w:val="right"/>
              <w:ind w:right="16"/>
              <w:spacing w:after="0"/>
              <w:rPr>
                <w:sz w:val="20"/>
                <w:szCs w:val="20"/>
                <w:color w:val="auto"/>
              </w:rPr>
            </w:pPr>
            <w:r>
              <w:rPr>
                <w:rFonts w:ascii="Arial" w:cs="Arial" w:eastAsia="Arial" w:hAnsi="Arial"/>
                <w:sz w:val="18"/>
                <w:szCs w:val="18"/>
                <w:color w:val="auto"/>
              </w:rPr>
              <w:t>182,238</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20" w:type="dxa"/>
            <w:vAlign w:val="bottom"/>
          </w:tcPr>
          <w:p>
            <w:pPr>
              <w:jc w:val="right"/>
              <w:ind w:right="15"/>
              <w:spacing w:after="0"/>
              <w:rPr>
                <w:sz w:val="20"/>
                <w:szCs w:val="20"/>
                <w:color w:val="auto"/>
              </w:rPr>
            </w:pPr>
            <w:r>
              <w:rPr>
                <w:rFonts w:ascii="Arial" w:cs="Arial" w:eastAsia="Arial" w:hAnsi="Arial"/>
                <w:sz w:val="18"/>
                <w:szCs w:val="18"/>
                <w:color w:val="auto"/>
              </w:rPr>
              <w:t>153,739</w:t>
            </w:r>
          </w:p>
        </w:tc>
        <w:tc>
          <w:tcPr>
            <w:tcW w:w="0" w:type="dxa"/>
            <w:vAlign w:val="bottom"/>
          </w:tcPr>
          <w:p>
            <w:pPr>
              <w:spacing w:after="0"/>
              <w:rPr>
                <w:sz w:val="1"/>
                <w:szCs w:val="1"/>
                <w:color w:val="auto"/>
              </w:rPr>
            </w:pPr>
          </w:p>
        </w:tc>
      </w:tr>
      <w:tr>
        <w:trPr>
          <w:trHeight w:val="27"/>
        </w:trPr>
        <w:tc>
          <w:tcPr>
            <w:tcW w:w="60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6080" w:type="dxa"/>
            <w:vAlign w:val="bottom"/>
            <w:tcBorders>
              <w:bottom w:val="single" w:sz="8" w:color="CCEEFF"/>
            </w:tcBorders>
            <w:shd w:val="clear" w:color="auto" w:fill="CCEEFF"/>
          </w:tcPr>
          <w:p>
            <w:pPr>
              <w:ind w:left="700"/>
              <w:spacing w:after="0"/>
              <w:rPr>
                <w:sz w:val="20"/>
                <w:szCs w:val="20"/>
                <w:color w:val="auto"/>
              </w:rPr>
            </w:pPr>
            <w:r>
              <w:rPr>
                <w:rFonts w:ascii="Arial" w:cs="Arial" w:eastAsia="Arial" w:hAnsi="Arial"/>
                <w:sz w:val="18"/>
                <w:szCs w:val="18"/>
                <w:color w:val="auto"/>
              </w:rPr>
              <w:t>Total sales</w:t>
            </w:r>
          </w:p>
        </w:tc>
        <w:tc>
          <w:tcPr>
            <w:tcW w:w="2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800,414</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auto"/>
            </w:tcBorders>
            <w:shd w:val="clear" w:color="auto" w:fill="CCEEFF"/>
          </w:tcPr>
          <w:p>
            <w:pPr>
              <w:jc w:val="right"/>
              <w:ind w:right="16"/>
              <w:spacing w:after="0"/>
              <w:rPr>
                <w:sz w:val="20"/>
                <w:szCs w:val="20"/>
                <w:color w:val="auto"/>
              </w:rPr>
            </w:pPr>
            <w:r>
              <w:rPr>
                <w:rFonts w:ascii="Arial" w:cs="Arial" w:eastAsia="Arial" w:hAnsi="Arial"/>
                <w:sz w:val="18"/>
                <w:szCs w:val="18"/>
                <w:color w:val="auto"/>
              </w:rPr>
              <w:t>687,787</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663,945</w:t>
            </w:r>
          </w:p>
        </w:tc>
        <w:tc>
          <w:tcPr>
            <w:tcW w:w="0" w:type="dxa"/>
            <w:vAlign w:val="bottom"/>
          </w:tcPr>
          <w:p>
            <w:pPr>
              <w:spacing w:after="0"/>
              <w:rPr>
                <w:sz w:val="1"/>
                <w:szCs w:val="1"/>
                <w:color w:val="auto"/>
              </w:rPr>
            </w:pPr>
          </w:p>
        </w:tc>
      </w:tr>
      <w:tr>
        <w:trPr>
          <w:trHeight w:val="20"/>
        </w:trPr>
        <w:tc>
          <w:tcPr>
            <w:tcW w:w="6080" w:type="dxa"/>
            <w:vAlign w:val="bottom"/>
            <w:vMerge w:val="restart"/>
          </w:tcPr>
          <w:p>
            <w:pPr>
              <w:ind w:left="4980"/>
              <w:spacing w:after="0"/>
              <w:rPr>
                <w:sz w:val="20"/>
                <w:szCs w:val="20"/>
                <w:color w:val="auto"/>
              </w:rPr>
            </w:pPr>
            <w:r>
              <w:rPr>
                <w:rFonts w:ascii="Arial" w:cs="Arial" w:eastAsia="Arial" w:hAnsi="Arial"/>
                <w:sz w:val="18"/>
                <w:szCs w:val="18"/>
                <w:color w:val="auto"/>
              </w:rPr>
              <w:t>- 110 -</w:t>
            </w:r>
          </w:p>
        </w:tc>
        <w:tc>
          <w:tcPr>
            <w:tcW w:w="2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35"/>
        </w:trPr>
        <w:tc>
          <w:tcPr>
            <w:tcW w:w="6080" w:type="dxa"/>
            <w:vAlign w:val="bottom"/>
            <w:vMerge w:val="continue"/>
          </w:tcPr>
          <w:p>
            <w:pPr>
              <w:spacing w:after="0"/>
              <w:rPr>
                <w:sz w:val="24"/>
                <w:szCs w:val="24"/>
                <w:color w:val="auto"/>
              </w:rPr>
            </w:pPr>
          </w:p>
        </w:tc>
        <w:tc>
          <w:tcPr>
            <w:tcW w:w="2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0340"/>
          </w:cols>
          <w:pgMar w:left="740" w:top="337" w:right="819" w:bottom="1440" w:gutter="0" w:footer="0" w:header="0"/>
        </w:sectPr>
      </w:pPr>
    </w:p>
    <w:bookmarkStart w:id="111" w:name="page112"/>
    <w:bookmarkEnd w:id="111"/>
    <w:p>
      <w:pPr>
        <w:jc w:val="center"/>
        <w:ind w:right="-44"/>
        <w:spacing w:after="0"/>
        <w:rPr>
          <w:sz w:val="20"/>
          <w:szCs w:val="20"/>
          <w:color w:val="auto"/>
        </w:rPr>
      </w:pPr>
      <w:r>
        <w:rPr>
          <w:rFonts w:ascii="Arial" w:cs="Arial" w:eastAsia="Arial" w:hAnsi="Arial"/>
          <w:sz w:val="18"/>
          <w:szCs w:val="18"/>
          <w:b w:val="1"/>
          <w:bCs w:val="1"/>
          <w:color w:val="auto"/>
        </w:rPr>
        <w:t>GREATBATCH, INC.</w:t>
      </w:r>
    </w:p>
    <w:p>
      <w:pPr>
        <w:spacing w:after="0" w:line="27" w:lineRule="exact"/>
        <w:rPr>
          <w:sz w:val="20"/>
          <w:szCs w:val="20"/>
          <w:color w:val="auto"/>
        </w:rPr>
      </w:pPr>
    </w:p>
    <w:p>
      <w:pPr>
        <w:jc w:val="center"/>
        <w:ind w:right="-44"/>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tbl>
      <w:tblPr>
        <w:tblLayout w:type="fixed"/>
        <w:tblInd w:w="465" w:type="dxa"/>
        <w:tblCellMar>
          <w:top w:w="0" w:type="dxa"/>
          <w:left w:w="0" w:type="dxa"/>
          <w:bottom w:w="0" w:type="dxa"/>
          <w:right w:w="0" w:type="dxa"/>
        </w:tblCellMar>
      </w:tblPr>
      <w:tr>
        <w:trPr>
          <w:trHeight w:val="192"/>
        </w:trPr>
        <w:tc>
          <w:tcPr>
            <w:tcW w:w="608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gridSpan w:val="2"/>
          </w:tcPr>
          <w:p>
            <w:pPr>
              <w:ind w:left="380"/>
              <w:spacing w:after="0"/>
              <w:rPr>
                <w:sz w:val="20"/>
                <w:szCs w:val="20"/>
                <w:color w:val="auto"/>
              </w:rPr>
            </w:pPr>
            <w:r>
              <w:rPr>
                <w:rFonts w:ascii="Arial" w:cs="Arial" w:eastAsia="Arial" w:hAnsi="Arial"/>
                <w:sz w:val="14"/>
                <w:szCs w:val="14"/>
                <w:b w:val="1"/>
                <w:bCs w:val="1"/>
                <w:color w:val="auto"/>
              </w:rPr>
              <w:t>At</w:t>
            </w:r>
          </w:p>
        </w:tc>
        <w:tc>
          <w:tcPr>
            <w:tcW w:w="2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r>
      <w:tr>
        <w:trPr>
          <w:trHeight w:val="152"/>
        </w:trPr>
        <w:tc>
          <w:tcPr>
            <w:tcW w:w="60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40" w:type="dxa"/>
            <w:vAlign w:val="bottom"/>
            <w:gridSpan w:val="2"/>
          </w:tcPr>
          <w:p>
            <w:pPr>
              <w:ind w:left="100"/>
              <w:spacing w:after="0" w:line="153" w:lineRule="exact"/>
              <w:rPr>
                <w:sz w:val="20"/>
                <w:szCs w:val="20"/>
                <w:color w:val="auto"/>
              </w:rPr>
            </w:pPr>
            <w:r>
              <w:rPr>
                <w:rFonts w:ascii="Arial" w:cs="Arial" w:eastAsia="Arial" w:hAnsi="Arial"/>
                <w:sz w:val="14"/>
                <w:szCs w:val="14"/>
                <w:b w:val="1"/>
                <w:bCs w:val="1"/>
                <w:color w:val="auto"/>
              </w:rPr>
              <w:t>January 1,</w:t>
            </w:r>
          </w:p>
        </w:tc>
        <w:tc>
          <w:tcPr>
            <w:tcW w:w="220" w:type="dxa"/>
            <w:vAlign w:val="bottom"/>
          </w:tcPr>
          <w:p>
            <w:pPr>
              <w:spacing w:after="0"/>
              <w:rPr>
                <w:sz w:val="13"/>
                <w:szCs w:val="13"/>
                <w:color w:val="auto"/>
              </w:rPr>
            </w:pPr>
          </w:p>
        </w:tc>
        <w:tc>
          <w:tcPr>
            <w:tcW w:w="1220" w:type="dxa"/>
            <w:vAlign w:val="bottom"/>
            <w:gridSpan w:val="2"/>
          </w:tcPr>
          <w:p>
            <w:pPr>
              <w:ind w:left="100"/>
              <w:spacing w:after="0" w:line="153" w:lineRule="exact"/>
              <w:rPr>
                <w:sz w:val="20"/>
                <w:szCs w:val="20"/>
                <w:color w:val="auto"/>
              </w:rPr>
            </w:pPr>
            <w:r>
              <w:rPr>
                <w:rFonts w:ascii="Arial" w:cs="Arial" w:eastAsia="Arial" w:hAnsi="Arial"/>
                <w:sz w:val="14"/>
                <w:szCs w:val="14"/>
                <w:b w:val="1"/>
                <w:bCs w:val="1"/>
                <w:color w:val="auto"/>
              </w:rPr>
              <w:t>January 2,</w:t>
            </w:r>
          </w:p>
        </w:tc>
        <w:tc>
          <w:tcPr>
            <w:tcW w:w="240" w:type="dxa"/>
            <w:vAlign w:val="bottom"/>
          </w:tcPr>
          <w:p>
            <w:pPr>
              <w:spacing w:after="0"/>
              <w:rPr>
                <w:sz w:val="13"/>
                <w:szCs w:val="13"/>
                <w:color w:val="auto"/>
              </w:rPr>
            </w:pPr>
          </w:p>
        </w:tc>
        <w:tc>
          <w:tcPr>
            <w:tcW w:w="1120" w:type="dxa"/>
            <w:vAlign w:val="bottom"/>
          </w:tcPr>
          <w:p>
            <w:pPr>
              <w:jc w:val="right"/>
              <w:ind w:right="277"/>
              <w:spacing w:after="0" w:line="153" w:lineRule="exact"/>
              <w:rPr>
                <w:sz w:val="20"/>
                <w:szCs w:val="20"/>
                <w:color w:val="auto"/>
              </w:rPr>
            </w:pPr>
            <w:r>
              <w:rPr>
                <w:rFonts w:ascii="Arial" w:cs="Arial" w:eastAsia="Arial" w:hAnsi="Arial"/>
                <w:sz w:val="14"/>
                <w:szCs w:val="14"/>
                <w:b w:val="1"/>
                <w:bCs w:val="1"/>
                <w:color w:val="auto"/>
              </w:rPr>
              <w:t>January 3,</w:t>
            </w:r>
          </w:p>
        </w:tc>
      </w:tr>
      <w:tr>
        <w:trPr>
          <w:trHeight w:val="192"/>
        </w:trPr>
        <w:tc>
          <w:tcPr>
            <w:tcW w:w="608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37"/>
              <w:spacing w:after="0"/>
              <w:rPr>
                <w:sz w:val="20"/>
                <w:szCs w:val="20"/>
                <w:color w:val="auto"/>
              </w:rPr>
            </w:pPr>
            <w:r>
              <w:rPr>
                <w:rFonts w:ascii="Arial" w:cs="Arial" w:eastAsia="Arial" w:hAnsi="Arial"/>
                <w:sz w:val="14"/>
                <w:szCs w:val="14"/>
                <w:b w:val="1"/>
                <w:bCs w:val="1"/>
                <w:color w:val="auto"/>
              </w:rPr>
              <w:t>2016</w:t>
            </w:r>
          </w:p>
        </w:tc>
        <w:tc>
          <w:tcPr>
            <w:tcW w:w="12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59"/>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57"/>
              <w:spacing w:after="0"/>
              <w:rPr>
                <w:sz w:val="20"/>
                <w:szCs w:val="20"/>
                <w:color w:val="auto"/>
              </w:rPr>
            </w:pPr>
            <w:r>
              <w:rPr>
                <w:rFonts w:ascii="Arial" w:cs="Arial" w:eastAsia="Arial" w:hAnsi="Arial"/>
                <w:sz w:val="14"/>
                <w:szCs w:val="14"/>
                <w:b w:val="1"/>
                <w:bCs w:val="1"/>
                <w:color w:val="auto"/>
              </w:rPr>
              <w:t>2014</w:t>
            </w:r>
          </w:p>
        </w:tc>
      </w:tr>
      <w:tr>
        <w:trPr>
          <w:trHeight w:val="250"/>
        </w:trPr>
        <w:tc>
          <w:tcPr>
            <w:tcW w:w="60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Long-lived tangible assets:</w:t>
            </w: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43"/>
        </w:trPr>
        <w:tc>
          <w:tcPr>
            <w:tcW w:w="6080" w:type="dxa"/>
            <w:vAlign w:val="bottom"/>
          </w:tcPr>
          <w:p>
            <w:pPr>
              <w:ind w:left="20"/>
              <w:spacing w:after="0"/>
              <w:rPr>
                <w:sz w:val="20"/>
                <w:szCs w:val="20"/>
                <w:color w:val="auto"/>
              </w:rPr>
            </w:pPr>
            <w:r>
              <w:rPr>
                <w:rFonts w:ascii="Arial" w:cs="Arial" w:eastAsia="Arial" w:hAnsi="Arial"/>
                <w:sz w:val="18"/>
                <w:szCs w:val="18"/>
                <w:color w:val="auto"/>
              </w:rPr>
              <w:t>United States</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tcPr>
          <w:p>
            <w:pPr>
              <w:jc w:val="right"/>
              <w:ind w:right="17"/>
              <w:spacing w:after="0"/>
              <w:rPr>
                <w:sz w:val="20"/>
                <w:szCs w:val="20"/>
                <w:color w:val="auto"/>
              </w:rPr>
            </w:pPr>
            <w:r>
              <w:rPr>
                <w:rFonts w:ascii="Arial" w:cs="Arial" w:eastAsia="Arial" w:hAnsi="Arial"/>
                <w:sz w:val="18"/>
                <w:szCs w:val="18"/>
                <w:color w:val="auto"/>
              </w:rPr>
              <w:t>264,556</w:t>
            </w:r>
          </w:p>
        </w:tc>
        <w:tc>
          <w:tcPr>
            <w:tcW w:w="120" w:type="dxa"/>
            <w:vAlign w:val="bottom"/>
          </w:tcPr>
          <w:p>
            <w:pPr>
              <w:spacing w:after="0"/>
              <w:rPr>
                <w:sz w:val="21"/>
                <w:szCs w:val="21"/>
                <w:color w:val="auto"/>
              </w:rPr>
            </w:pP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tcPr>
          <w:p>
            <w:pPr>
              <w:jc w:val="right"/>
              <w:ind w:right="19"/>
              <w:spacing w:after="0"/>
              <w:rPr>
                <w:sz w:val="20"/>
                <w:szCs w:val="20"/>
                <w:color w:val="auto"/>
              </w:rPr>
            </w:pPr>
            <w:r>
              <w:rPr>
                <w:rFonts w:ascii="Arial" w:cs="Arial" w:eastAsia="Arial" w:hAnsi="Arial"/>
                <w:sz w:val="18"/>
                <w:szCs w:val="18"/>
                <w:color w:val="auto"/>
              </w:rPr>
              <w:t>113,851</w:t>
            </w:r>
          </w:p>
        </w:tc>
        <w:tc>
          <w:tcPr>
            <w:tcW w:w="10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7"/>
              <w:spacing w:after="0"/>
              <w:rPr>
                <w:sz w:val="20"/>
                <w:szCs w:val="20"/>
                <w:color w:val="auto"/>
              </w:rPr>
            </w:pPr>
            <w:r>
              <w:rPr>
                <w:rFonts w:ascii="Arial" w:cs="Arial" w:eastAsia="Arial" w:hAnsi="Arial"/>
                <w:sz w:val="18"/>
                <w:szCs w:val="18"/>
                <w:color w:val="auto"/>
              </w:rPr>
              <w:t>116,484</w:t>
            </w:r>
          </w:p>
        </w:tc>
      </w:tr>
      <w:tr>
        <w:trPr>
          <w:trHeight w:val="27"/>
        </w:trPr>
        <w:tc>
          <w:tcPr>
            <w:tcW w:w="6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60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Rest of world</w:t>
            </w:r>
          </w:p>
        </w:tc>
        <w:tc>
          <w:tcPr>
            <w:tcW w:w="22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114,936</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31,074</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29,289</w:t>
            </w:r>
          </w:p>
        </w:tc>
      </w:tr>
      <w:tr>
        <w:trPr>
          <w:trHeight w:val="257"/>
        </w:trPr>
        <w:tc>
          <w:tcPr>
            <w:tcW w:w="6080" w:type="dxa"/>
            <w:vAlign w:val="bottom"/>
          </w:tcPr>
          <w:p>
            <w:pPr>
              <w:ind w:left="20"/>
              <w:spacing w:after="0"/>
              <w:rPr>
                <w:sz w:val="20"/>
                <w:szCs w:val="20"/>
                <w:color w:val="auto"/>
              </w:rPr>
            </w:pPr>
            <w:r>
              <w:rPr>
                <w:rFonts w:ascii="Arial" w:cs="Arial" w:eastAsia="Arial" w:hAnsi="Arial"/>
                <w:sz w:val="18"/>
                <w:szCs w:val="18"/>
                <w:color w:val="auto"/>
              </w:rPr>
              <w:t>Total</w:t>
            </w: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tcBorders>
              <w:top w:val="single" w:sz="8" w:color="auto"/>
              <w:bottom w:val="single" w:sz="8" w:color="auto"/>
            </w:tcBorders>
          </w:tcPr>
          <w:p>
            <w:pPr>
              <w:jc w:val="right"/>
              <w:ind w:right="17"/>
              <w:spacing w:after="0"/>
              <w:rPr>
                <w:sz w:val="20"/>
                <w:szCs w:val="20"/>
                <w:color w:val="auto"/>
              </w:rPr>
            </w:pPr>
            <w:r>
              <w:rPr>
                <w:rFonts w:ascii="Arial" w:cs="Arial" w:eastAsia="Arial" w:hAnsi="Arial"/>
                <w:sz w:val="18"/>
                <w:szCs w:val="18"/>
                <w:color w:val="auto"/>
              </w:rPr>
              <w:t>379,492</w:t>
            </w:r>
          </w:p>
        </w:tc>
        <w:tc>
          <w:tcPr>
            <w:tcW w:w="120" w:type="dxa"/>
            <w:vAlign w:val="bottom"/>
          </w:tcPr>
          <w:p>
            <w:pPr>
              <w:spacing w:after="0"/>
              <w:rPr>
                <w:sz w:val="22"/>
                <w:szCs w:val="22"/>
                <w:color w:val="auto"/>
              </w:rPr>
            </w:pP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8"/>
                <w:szCs w:val="18"/>
                <w:color w:val="auto"/>
              </w:rPr>
              <w:t>144,925</w:t>
            </w:r>
          </w:p>
        </w:tc>
        <w:tc>
          <w:tcPr>
            <w:tcW w:w="100" w:type="dxa"/>
            <w:vAlign w:val="bottom"/>
          </w:tcPr>
          <w:p>
            <w:pPr>
              <w:spacing w:after="0"/>
              <w:rPr>
                <w:sz w:val="22"/>
                <w:szCs w:val="22"/>
                <w:color w:val="auto"/>
              </w:rPr>
            </w:pP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ind w:right="17"/>
              <w:spacing w:after="0"/>
              <w:rPr>
                <w:sz w:val="20"/>
                <w:szCs w:val="20"/>
                <w:color w:val="auto"/>
              </w:rPr>
            </w:pPr>
            <w:r>
              <w:rPr>
                <w:rFonts w:ascii="Arial" w:cs="Arial" w:eastAsia="Arial" w:hAnsi="Arial"/>
                <w:sz w:val="18"/>
                <w:szCs w:val="18"/>
                <w:color w:val="auto"/>
              </w:rPr>
              <w:t>145,773</w:t>
            </w:r>
          </w:p>
        </w:tc>
      </w:tr>
      <w:tr>
        <w:trPr>
          <w:trHeight w:val="20"/>
        </w:trPr>
        <w:tc>
          <w:tcPr>
            <w:tcW w:w="60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94" w:lineRule="exact"/>
        <w:rPr>
          <w:sz w:val="20"/>
          <w:szCs w:val="20"/>
          <w:color w:val="auto"/>
        </w:rPr>
      </w:pPr>
    </w:p>
    <w:p>
      <w:pPr>
        <w:ind w:left="465"/>
        <w:spacing w:after="0"/>
        <w:rPr>
          <w:sz w:val="20"/>
          <w:szCs w:val="20"/>
          <w:color w:val="auto"/>
        </w:rPr>
      </w:pPr>
      <w:r>
        <w:rPr>
          <w:rFonts w:ascii="Arial" w:cs="Arial" w:eastAsia="Arial" w:hAnsi="Arial"/>
          <w:sz w:val="18"/>
          <w:szCs w:val="18"/>
          <w:color w:val="auto"/>
        </w:rPr>
        <w:t>A significant portion of the Company’s sales and accounts receivable were to four customers as follows:</w:t>
      </w:r>
    </w:p>
    <w:p>
      <w:pPr>
        <w:spacing w:after="0" w:line="338" w:lineRule="exact"/>
        <w:rPr>
          <w:sz w:val="20"/>
          <w:szCs w:val="20"/>
          <w:color w:val="auto"/>
        </w:rPr>
      </w:pPr>
    </w:p>
    <w:tbl>
      <w:tblPr>
        <w:tblLayout w:type="fixed"/>
        <w:tblInd w:w="465" w:type="dxa"/>
        <w:tblCellMar>
          <w:top w:w="0" w:type="dxa"/>
          <w:left w:w="0" w:type="dxa"/>
          <w:bottom w:w="0" w:type="dxa"/>
          <w:right w:w="0" w:type="dxa"/>
        </w:tblCellMar>
      </w:tblPr>
      <w:tr>
        <w:trPr>
          <w:trHeight w:val="192"/>
        </w:trPr>
        <w:tc>
          <w:tcPr>
            <w:tcW w:w="3960" w:type="dxa"/>
            <w:vAlign w:val="bottom"/>
          </w:tcPr>
          <w:p>
            <w:pPr>
              <w:spacing w:after="0"/>
              <w:rPr>
                <w:sz w:val="16"/>
                <w:szCs w:val="16"/>
                <w:color w:val="auto"/>
              </w:rPr>
            </w:pPr>
          </w:p>
        </w:tc>
        <w:tc>
          <w:tcPr>
            <w:tcW w:w="12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gridSpan w:val="2"/>
          </w:tcPr>
          <w:p>
            <w:pPr>
              <w:jc w:val="center"/>
              <w:ind w:right="80"/>
              <w:spacing w:after="0"/>
              <w:rPr>
                <w:sz w:val="20"/>
                <w:szCs w:val="20"/>
                <w:color w:val="auto"/>
              </w:rPr>
            </w:pPr>
            <w:r>
              <w:rPr>
                <w:rFonts w:ascii="Arial" w:cs="Arial" w:eastAsia="Arial" w:hAnsi="Arial"/>
                <w:sz w:val="14"/>
                <w:szCs w:val="14"/>
                <w:b w:val="1"/>
                <w:bCs w:val="1"/>
                <w:color w:val="auto"/>
                <w:w w:val="81"/>
              </w:rPr>
              <w:t>Sales</w:t>
            </w:r>
          </w:p>
        </w:tc>
        <w:tc>
          <w:tcPr>
            <w:tcW w:w="118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2480" w:type="dxa"/>
            <w:vAlign w:val="bottom"/>
            <w:tcBorders>
              <w:bottom w:val="single" w:sz="8" w:color="auto"/>
            </w:tcBorders>
            <w:gridSpan w:val="4"/>
          </w:tcPr>
          <w:p>
            <w:pPr>
              <w:jc w:val="right"/>
              <w:ind w:right="528"/>
              <w:spacing w:after="0"/>
              <w:rPr>
                <w:sz w:val="20"/>
                <w:szCs w:val="20"/>
                <w:color w:val="auto"/>
              </w:rPr>
            </w:pPr>
            <w:r>
              <w:rPr>
                <w:rFonts w:ascii="Arial" w:cs="Arial" w:eastAsia="Arial" w:hAnsi="Arial"/>
                <w:sz w:val="14"/>
                <w:szCs w:val="14"/>
                <w:b w:val="1"/>
                <w:bCs w:val="1"/>
                <w:color w:val="auto"/>
              </w:rPr>
              <w:t>Accounts Receivable</w:t>
            </w:r>
          </w:p>
        </w:tc>
      </w:tr>
      <w:tr>
        <w:trPr>
          <w:trHeight w:val="250"/>
        </w:trPr>
        <w:tc>
          <w:tcPr>
            <w:tcW w:w="3960" w:type="dxa"/>
            <w:vAlign w:val="bottom"/>
          </w:tcPr>
          <w:p>
            <w:pPr>
              <w:spacing w:after="0"/>
              <w:rPr>
                <w:sz w:val="21"/>
                <w:szCs w:val="21"/>
                <w:color w:val="auto"/>
              </w:rPr>
            </w:pPr>
          </w:p>
        </w:tc>
        <w:tc>
          <w:tcPr>
            <w:tcW w:w="120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300" w:type="dxa"/>
            <w:vAlign w:val="bottom"/>
            <w:tcBorders>
              <w:bottom w:val="single" w:sz="8" w:color="auto"/>
            </w:tcBorders>
            <w:gridSpan w:val="2"/>
          </w:tcPr>
          <w:p>
            <w:pPr>
              <w:jc w:val="center"/>
              <w:ind w:right="80"/>
              <w:spacing w:after="0"/>
              <w:rPr>
                <w:sz w:val="20"/>
                <w:szCs w:val="20"/>
                <w:color w:val="auto"/>
              </w:rPr>
            </w:pPr>
            <w:r>
              <w:rPr>
                <w:rFonts w:ascii="Arial" w:cs="Arial" w:eastAsia="Arial" w:hAnsi="Arial"/>
                <w:sz w:val="14"/>
                <w:szCs w:val="14"/>
                <w:b w:val="1"/>
                <w:bCs w:val="1"/>
                <w:color w:val="auto"/>
                <w:w w:val="96"/>
              </w:rPr>
              <w:t>Year Ended</w:t>
            </w:r>
          </w:p>
        </w:tc>
        <w:tc>
          <w:tcPr>
            <w:tcW w:w="1180" w:type="dxa"/>
            <w:vAlign w:val="bottom"/>
            <w:tcBorders>
              <w:bottom w:val="single" w:sz="8" w:color="auto"/>
            </w:tcBorders>
          </w:tcPr>
          <w:p>
            <w:pPr>
              <w:spacing w:after="0"/>
              <w:rPr>
                <w:sz w:val="21"/>
                <w:szCs w:val="21"/>
                <w:color w:val="auto"/>
              </w:rPr>
            </w:pPr>
          </w:p>
        </w:tc>
        <w:tc>
          <w:tcPr>
            <w:tcW w:w="120" w:type="dxa"/>
            <w:vAlign w:val="bottom"/>
          </w:tcPr>
          <w:p>
            <w:pPr>
              <w:spacing w:after="0"/>
              <w:rPr>
                <w:sz w:val="21"/>
                <w:szCs w:val="21"/>
                <w:color w:val="auto"/>
              </w:rPr>
            </w:pPr>
          </w:p>
        </w:tc>
        <w:tc>
          <w:tcPr>
            <w:tcW w:w="1160" w:type="dxa"/>
            <w:vAlign w:val="bottom"/>
            <w:tcBorders>
              <w:bottom w:val="single" w:sz="8" w:color="auto"/>
            </w:tcBorders>
          </w:tcPr>
          <w:p>
            <w:pPr>
              <w:spacing w:after="0"/>
              <w:rPr>
                <w:sz w:val="21"/>
                <w:szCs w:val="21"/>
                <w:color w:val="auto"/>
              </w:rPr>
            </w:pPr>
          </w:p>
        </w:tc>
        <w:tc>
          <w:tcPr>
            <w:tcW w:w="1320" w:type="dxa"/>
            <w:vAlign w:val="bottom"/>
            <w:tcBorders>
              <w:bottom w:val="single" w:sz="8" w:color="auto"/>
            </w:tcBorders>
            <w:gridSpan w:val="3"/>
          </w:tcPr>
          <w:p>
            <w:pPr>
              <w:jc w:val="right"/>
              <w:ind w:right="1088"/>
              <w:spacing w:after="0"/>
              <w:rPr>
                <w:sz w:val="20"/>
                <w:szCs w:val="20"/>
                <w:color w:val="auto"/>
              </w:rPr>
            </w:pPr>
            <w:r>
              <w:rPr>
                <w:rFonts w:ascii="Arial" w:cs="Arial" w:eastAsia="Arial" w:hAnsi="Arial"/>
                <w:sz w:val="14"/>
                <w:szCs w:val="14"/>
                <w:b w:val="1"/>
                <w:bCs w:val="1"/>
                <w:color w:val="auto"/>
                <w:w w:val="94"/>
              </w:rPr>
              <w:t>At</w:t>
            </w:r>
          </w:p>
        </w:tc>
      </w:tr>
      <w:tr>
        <w:trPr>
          <w:trHeight w:val="152"/>
        </w:trPr>
        <w:tc>
          <w:tcPr>
            <w:tcW w:w="3960" w:type="dxa"/>
            <w:vAlign w:val="bottom"/>
          </w:tcPr>
          <w:p>
            <w:pPr>
              <w:spacing w:after="0"/>
              <w:rPr>
                <w:sz w:val="13"/>
                <w:szCs w:val="13"/>
                <w:color w:val="auto"/>
              </w:rPr>
            </w:pPr>
          </w:p>
        </w:tc>
        <w:tc>
          <w:tcPr>
            <w:tcW w:w="1300" w:type="dxa"/>
            <w:vAlign w:val="bottom"/>
            <w:gridSpan w:val="2"/>
          </w:tcPr>
          <w:p>
            <w:pPr>
              <w:ind w:left="260"/>
              <w:spacing w:after="0" w:line="153" w:lineRule="exact"/>
              <w:rPr>
                <w:sz w:val="20"/>
                <w:szCs w:val="20"/>
                <w:color w:val="auto"/>
              </w:rPr>
            </w:pPr>
            <w:r>
              <w:rPr>
                <w:rFonts w:ascii="Arial" w:cs="Arial" w:eastAsia="Arial" w:hAnsi="Arial"/>
                <w:sz w:val="14"/>
                <w:szCs w:val="14"/>
                <w:b w:val="1"/>
                <w:bCs w:val="1"/>
                <w:color w:val="auto"/>
              </w:rPr>
              <w:t>January 1,</w:t>
            </w:r>
          </w:p>
        </w:tc>
        <w:tc>
          <w:tcPr>
            <w:tcW w:w="1300" w:type="dxa"/>
            <w:vAlign w:val="bottom"/>
            <w:gridSpan w:val="2"/>
          </w:tcPr>
          <w:p>
            <w:pPr>
              <w:ind w:left="240"/>
              <w:spacing w:after="0" w:line="153" w:lineRule="exact"/>
              <w:rPr>
                <w:sz w:val="20"/>
                <w:szCs w:val="20"/>
                <w:color w:val="auto"/>
              </w:rPr>
            </w:pPr>
            <w:r>
              <w:rPr>
                <w:rFonts w:ascii="Arial" w:cs="Arial" w:eastAsia="Arial" w:hAnsi="Arial"/>
                <w:sz w:val="14"/>
                <w:szCs w:val="14"/>
                <w:b w:val="1"/>
                <w:bCs w:val="1"/>
                <w:color w:val="auto"/>
              </w:rPr>
              <w:t>January 2,</w:t>
            </w:r>
          </w:p>
        </w:tc>
        <w:tc>
          <w:tcPr>
            <w:tcW w:w="1300" w:type="dxa"/>
            <w:vAlign w:val="bottom"/>
            <w:gridSpan w:val="2"/>
          </w:tcPr>
          <w:p>
            <w:pPr>
              <w:ind w:left="240"/>
              <w:spacing w:after="0" w:line="153" w:lineRule="exact"/>
              <w:rPr>
                <w:sz w:val="20"/>
                <w:szCs w:val="20"/>
                <w:color w:val="auto"/>
              </w:rPr>
            </w:pPr>
            <w:r>
              <w:rPr>
                <w:rFonts w:ascii="Arial" w:cs="Arial" w:eastAsia="Arial" w:hAnsi="Arial"/>
                <w:sz w:val="14"/>
                <w:szCs w:val="14"/>
                <w:b w:val="1"/>
                <w:bCs w:val="1"/>
                <w:color w:val="auto"/>
              </w:rPr>
              <w:t>January 3,</w:t>
            </w:r>
          </w:p>
        </w:tc>
        <w:tc>
          <w:tcPr>
            <w:tcW w:w="1160" w:type="dxa"/>
            <w:vAlign w:val="bottom"/>
          </w:tcPr>
          <w:p>
            <w:pPr>
              <w:jc w:val="right"/>
              <w:ind w:right="177"/>
              <w:spacing w:after="0" w:line="153" w:lineRule="exact"/>
              <w:rPr>
                <w:sz w:val="20"/>
                <w:szCs w:val="20"/>
                <w:color w:val="auto"/>
              </w:rPr>
            </w:pPr>
            <w:r>
              <w:rPr>
                <w:rFonts w:ascii="Arial" w:cs="Arial" w:eastAsia="Arial" w:hAnsi="Arial"/>
                <w:sz w:val="14"/>
                <w:szCs w:val="14"/>
                <w:b w:val="1"/>
                <w:bCs w:val="1"/>
                <w:color w:val="auto"/>
              </w:rPr>
              <w:t>January 1,</w:t>
            </w: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80" w:type="dxa"/>
            <w:vAlign w:val="bottom"/>
          </w:tcPr>
          <w:p>
            <w:pPr>
              <w:jc w:val="right"/>
              <w:ind w:right="208"/>
              <w:spacing w:after="0" w:line="153" w:lineRule="exact"/>
              <w:rPr>
                <w:sz w:val="20"/>
                <w:szCs w:val="20"/>
                <w:color w:val="auto"/>
              </w:rPr>
            </w:pPr>
            <w:r>
              <w:rPr>
                <w:rFonts w:ascii="Arial" w:cs="Arial" w:eastAsia="Arial" w:hAnsi="Arial"/>
                <w:sz w:val="14"/>
                <w:szCs w:val="14"/>
                <w:b w:val="1"/>
                <w:bCs w:val="1"/>
                <w:color w:val="auto"/>
              </w:rPr>
              <w:t>January 2,</w:t>
            </w:r>
          </w:p>
        </w:tc>
      </w:tr>
      <w:tr>
        <w:trPr>
          <w:trHeight w:val="192"/>
        </w:trPr>
        <w:tc>
          <w:tcPr>
            <w:tcW w:w="3960" w:type="dxa"/>
            <w:vAlign w:val="bottom"/>
            <w:tcBorders>
              <w:bottom w:val="single" w:sz="8" w:color="CCEEFF"/>
            </w:tcBorders>
          </w:tcPr>
          <w:p>
            <w:pPr>
              <w:spacing w:after="0"/>
              <w:rPr>
                <w:sz w:val="16"/>
                <w:szCs w:val="16"/>
                <w:color w:val="auto"/>
              </w:rPr>
            </w:pPr>
          </w:p>
        </w:tc>
        <w:tc>
          <w:tcPr>
            <w:tcW w:w="1200" w:type="dxa"/>
            <w:vAlign w:val="bottom"/>
            <w:tcBorders>
              <w:bottom w:val="single" w:sz="8" w:color="auto"/>
            </w:tcBorders>
          </w:tcPr>
          <w:p>
            <w:pPr>
              <w:jc w:val="right"/>
              <w:ind w:right="375"/>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16"/>
                <w:szCs w:val="16"/>
                <w:color w:val="auto"/>
              </w:rPr>
            </w:pPr>
          </w:p>
        </w:tc>
        <w:tc>
          <w:tcPr>
            <w:tcW w:w="11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2015</w:t>
            </w:r>
          </w:p>
        </w:tc>
        <w:tc>
          <w:tcPr>
            <w:tcW w:w="120" w:type="dxa"/>
            <w:vAlign w:val="bottom"/>
            <w:tcBorders>
              <w:bottom w:val="single" w:sz="8" w:color="CCEEFF"/>
            </w:tcBorders>
          </w:tcPr>
          <w:p>
            <w:pPr>
              <w:spacing w:after="0"/>
              <w:rPr>
                <w:sz w:val="16"/>
                <w:szCs w:val="16"/>
                <w:color w:val="auto"/>
              </w:rPr>
            </w:pPr>
          </w:p>
        </w:tc>
        <w:tc>
          <w:tcPr>
            <w:tcW w:w="1180" w:type="dxa"/>
            <w:vAlign w:val="bottom"/>
            <w:tcBorders>
              <w:bottom w:val="single" w:sz="8" w:color="auto"/>
            </w:tcBorders>
          </w:tcPr>
          <w:p>
            <w:pPr>
              <w:jc w:val="right"/>
              <w:ind w:right="355"/>
              <w:spacing w:after="0"/>
              <w:rPr>
                <w:sz w:val="20"/>
                <w:szCs w:val="20"/>
                <w:color w:val="auto"/>
              </w:rPr>
            </w:pPr>
            <w:r>
              <w:rPr>
                <w:rFonts w:ascii="Arial" w:cs="Arial" w:eastAsia="Arial" w:hAnsi="Arial"/>
                <w:sz w:val="14"/>
                <w:szCs w:val="14"/>
                <w:b w:val="1"/>
                <w:bCs w:val="1"/>
                <w:color w:val="auto"/>
              </w:rPr>
              <w:t>2014</w:t>
            </w:r>
          </w:p>
        </w:tc>
        <w:tc>
          <w:tcPr>
            <w:tcW w:w="120" w:type="dxa"/>
            <w:vAlign w:val="bottom"/>
            <w:tcBorders>
              <w:bottom w:val="single" w:sz="8" w:color="CCEEFF"/>
            </w:tcBorders>
          </w:tcPr>
          <w:p>
            <w:pPr>
              <w:spacing w:after="0"/>
              <w:rPr>
                <w:sz w:val="16"/>
                <w:szCs w:val="16"/>
                <w:color w:val="auto"/>
              </w:rPr>
            </w:pPr>
          </w:p>
        </w:tc>
        <w:tc>
          <w:tcPr>
            <w:tcW w:w="1160" w:type="dxa"/>
            <w:vAlign w:val="bottom"/>
            <w:tcBorders>
              <w:bottom w:val="single" w:sz="8" w:color="auto"/>
            </w:tcBorders>
          </w:tcPr>
          <w:p>
            <w:pPr>
              <w:jc w:val="right"/>
              <w:ind w:right="337"/>
              <w:spacing w:after="0"/>
              <w:rPr>
                <w:sz w:val="20"/>
                <w:szCs w:val="20"/>
                <w:color w:val="auto"/>
              </w:rPr>
            </w:pPr>
            <w:r>
              <w:rPr>
                <w:rFonts w:ascii="Arial" w:cs="Arial" w:eastAsia="Arial" w:hAnsi="Arial"/>
                <w:sz w:val="14"/>
                <w:szCs w:val="14"/>
                <w:b w:val="1"/>
                <w:bCs w:val="1"/>
                <w:color w:val="auto"/>
              </w:rPr>
              <w:t>2016</w:t>
            </w:r>
          </w:p>
        </w:tc>
        <w:tc>
          <w:tcPr>
            <w:tcW w:w="2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18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b w:val="1"/>
                <w:bCs w:val="1"/>
                <w:color w:val="auto"/>
              </w:rPr>
              <w:t>2015</w:t>
            </w:r>
          </w:p>
        </w:tc>
      </w:tr>
      <w:tr>
        <w:trPr>
          <w:trHeight w:val="250"/>
        </w:trPr>
        <w:tc>
          <w:tcPr>
            <w:tcW w:w="39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Customer A</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w:t>
            </w:r>
          </w:p>
        </w:tc>
        <w:tc>
          <w:tcPr>
            <w:tcW w:w="1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w:t>
            </w:r>
          </w:p>
        </w:tc>
        <w:tc>
          <w:tcPr>
            <w:tcW w:w="1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w:t>
            </w:r>
          </w:p>
        </w:tc>
        <w:tc>
          <w:tcPr>
            <w:tcW w:w="1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w:t>
            </w:r>
          </w:p>
        </w:tc>
        <w:tc>
          <w:tcPr>
            <w:tcW w:w="132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23%</w:t>
            </w:r>
          </w:p>
        </w:tc>
      </w:tr>
      <w:tr>
        <w:trPr>
          <w:trHeight w:val="243"/>
        </w:trPr>
        <w:tc>
          <w:tcPr>
            <w:tcW w:w="3960" w:type="dxa"/>
            <w:vAlign w:val="bottom"/>
          </w:tcPr>
          <w:p>
            <w:pPr>
              <w:ind w:left="20"/>
              <w:spacing w:after="0"/>
              <w:rPr>
                <w:sz w:val="20"/>
                <w:szCs w:val="20"/>
                <w:color w:val="auto"/>
              </w:rPr>
            </w:pPr>
            <w:r>
              <w:rPr>
                <w:rFonts w:ascii="Arial" w:cs="Arial" w:eastAsia="Arial" w:hAnsi="Arial"/>
                <w:sz w:val="18"/>
                <w:szCs w:val="18"/>
                <w:color w:val="auto"/>
              </w:rPr>
              <w:t>Customer B</w:t>
            </w:r>
          </w:p>
        </w:tc>
        <w:tc>
          <w:tcPr>
            <w:tcW w:w="1200" w:type="dxa"/>
            <w:vAlign w:val="bottom"/>
          </w:tcPr>
          <w:p>
            <w:pPr>
              <w:jc w:val="right"/>
              <w:spacing w:after="0"/>
              <w:rPr>
                <w:sz w:val="20"/>
                <w:szCs w:val="20"/>
                <w:color w:val="auto"/>
              </w:rPr>
            </w:pPr>
            <w:r>
              <w:rPr>
                <w:rFonts w:ascii="Arial" w:cs="Arial" w:eastAsia="Arial" w:hAnsi="Arial"/>
                <w:sz w:val="18"/>
                <w:szCs w:val="18"/>
                <w:color w:val="auto"/>
              </w:rPr>
              <w:t>17%</w:t>
            </w:r>
          </w:p>
        </w:tc>
        <w:tc>
          <w:tcPr>
            <w:tcW w:w="10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18%</w:t>
            </w:r>
          </w:p>
        </w:tc>
        <w:tc>
          <w:tcPr>
            <w:tcW w:w="12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20%</w:t>
            </w:r>
          </w:p>
        </w:tc>
        <w:tc>
          <w:tcPr>
            <w:tcW w:w="12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8%</w:t>
            </w:r>
          </w:p>
        </w:tc>
        <w:tc>
          <w:tcPr>
            <w:tcW w:w="1320" w:type="dxa"/>
            <w:vAlign w:val="bottom"/>
            <w:gridSpan w:val="3"/>
          </w:tcPr>
          <w:p>
            <w:pPr>
              <w:jc w:val="right"/>
              <w:spacing w:after="0"/>
              <w:rPr>
                <w:sz w:val="20"/>
                <w:szCs w:val="20"/>
                <w:color w:val="auto"/>
              </w:rPr>
            </w:pPr>
            <w:r>
              <w:rPr>
                <w:rFonts w:ascii="Arial" w:cs="Arial" w:eastAsia="Arial" w:hAnsi="Arial"/>
                <w:sz w:val="18"/>
                <w:szCs w:val="18"/>
                <w:color w:val="auto"/>
              </w:rPr>
              <w:t>4%</w:t>
            </w:r>
          </w:p>
        </w:tc>
      </w:tr>
      <w:tr>
        <w:trPr>
          <w:trHeight w:val="27"/>
        </w:trPr>
        <w:tc>
          <w:tcPr>
            <w:tcW w:w="39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50"/>
        </w:trPr>
        <w:tc>
          <w:tcPr>
            <w:tcW w:w="39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Customer C</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1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1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1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132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8%</w:t>
            </w:r>
          </w:p>
        </w:tc>
      </w:tr>
      <w:tr>
        <w:trPr>
          <w:trHeight w:val="243"/>
        </w:trPr>
        <w:tc>
          <w:tcPr>
            <w:tcW w:w="3960" w:type="dxa"/>
            <w:vAlign w:val="bottom"/>
          </w:tcPr>
          <w:p>
            <w:pPr>
              <w:ind w:left="20"/>
              <w:spacing w:after="0"/>
              <w:rPr>
                <w:sz w:val="20"/>
                <w:szCs w:val="20"/>
                <w:color w:val="auto"/>
              </w:rPr>
            </w:pPr>
            <w:r>
              <w:rPr>
                <w:rFonts w:ascii="Arial" w:cs="Arial" w:eastAsia="Arial" w:hAnsi="Arial"/>
                <w:sz w:val="18"/>
                <w:szCs w:val="18"/>
                <w:color w:val="auto"/>
              </w:rPr>
              <w:t>Customer D</w:t>
            </w:r>
          </w:p>
        </w:tc>
        <w:tc>
          <w:tcPr>
            <w:tcW w:w="1200" w:type="dxa"/>
            <w:vAlign w:val="bottom"/>
          </w:tcPr>
          <w:p>
            <w:pPr>
              <w:jc w:val="right"/>
              <w:spacing w:after="0"/>
              <w:rPr>
                <w:sz w:val="20"/>
                <w:szCs w:val="20"/>
                <w:color w:val="auto"/>
              </w:rPr>
            </w:pPr>
            <w:r>
              <w:rPr>
                <w:rFonts w:ascii="Arial" w:cs="Arial" w:eastAsia="Arial" w:hAnsi="Arial"/>
                <w:sz w:val="18"/>
                <w:szCs w:val="18"/>
                <w:color w:val="auto"/>
              </w:rPr>
              <w:t>5%</w:t>
            </w:r>
          </w:p>
        </w:tc>
        <w:tc>
          <w:tcPr>
            <w:tcW w:w="10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6%</w:t>
            </w:r>
          </w:p>
        </w:tc>
        <w:tc>
          <w:tcPr>
            <w:tcW w:w="12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7%</w:t>
            </w:r>
          </w:p>
        </w:tc>
        <w:tc>
          <w:tcPr>
            <w:tcW w:w="12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7%</w:t>
            </w:r>
          </w:p>
        </w:tc>
        <w:tc>
          <w:tcPr>
            <w:tcW w:w="1320" w:type="dxa"/>
            <w:vAlign w:val="bottom"/>
            <w:gridSpan w:val="3"/>
          </w:tcPr>
          <w:p>
            <w:pPr>
              <w:jc w:val="right"/>
              <w:spacing w:after="0"/>
              <w:rPr>
                <w:sz w:val="20"/>
                <w:szCs w:val="20"/>
                <w:color w:val="auto"/>
              </w:rPr>
            </w:pPr>
            <w:r>
              <w:rPr>
                <w:rFonts w:ascii="Arial" w:cs="Arial" w:eastAsia="Arial" w:hAnsi="Arial"/>
                <w:sz w:val="18"/>
                <w:szCs w:val="18"/>
                <w:color w:val="auto"/>
              </w:rPr>
              <w:t>12%</w:t>
            </w:r>
          </w:p>
        </w:tc>
      </w:tr>
      <w:tr>
        <w:trPr>
          <w:trHeight w:val="27"/>
        </w:trPr>
        <w:tc>
          <w:tcPr>
            <w:tcW w:w="3960" w:type="dxa"/>
            <w:vAlign w:val="bottom"/>
            <w:tcBorders>
              <w:bottom w:val="single" w:sz="8" w:color="CCEEFF"/>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69"/>
        </w:trPr>
        <w:tc>
          <w:tcPr>
            <w:tcW w:w="39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52%</w:t>
            </w:r>
          </w:p>
        </w:tc>
        <w:tc>
          <w:tcPr>
            <w:tcW w:w="10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54%</w:t>
            </w:r>
          </w:p>
        </w:tc>
        <w:tc>
          <w:tcPr>
            <w:tcW w:w="12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56%</w:t>
            </w:r>
          </w:p>
        </w:tc>
        <w:tc>
          <w:tcPr>
            <w:tcW w:w="12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w:t>
            </w:r>
          </w:p>
        </w:tc>
        <w:tc>
          <w:tcPr>
            <w:tcW w:w="132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47%</w:t>
            </w:r>
          </w:p>
        </w:tc>
      </w:tr>
      <w:tr>
        <w:trPr>
          <w:trHeight w:val="20"/>
        </w:trPr>
        <w:tc>
          <w:tcPr>
            <w:tcW w:w="3960" w:type="dxa"/>
            <w:vAlign w:val="bottom"/>
            <w:tcBorders>
              <w:top w:val="single" w:sz="8" w:color="CCEEFF"/>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ind w:left="425" w:hanging="425"/>
        <w:spacing w:after="0"/>
        <w:tabs>
          <w:tab w:leader="none" w:pos="425" w:val="left"/>
        </w:tabs>
        <w:numPr>
          <w:ilvl w:val="0"/>
          <w:numId w:val="58"/>
        </w:numPr>
        <w:rPr>
          <w:rFonts w:ascii="Arial" w:cs="Arial" w:eastAsia="Arial" w:hAnsi="Arial"/>
          <w:sz w:val="18"/>
          <w:szCs w:val="18"/>
          <w:b w:val="1"/>
          <w:bCs w:val="1"/>
          <w:color w:val="auto"/>
        </w:rPr>
      </w:pPr>
      <w:r>
        <w:rPr>
          <w:rFonts w:ascii="Arial" w:cs="Arial" w:eastAsia="Arial" w:hAnsi="Arial"/>
          <w:sz w:val="18"/>
          <w:szCs w:val="18"/>
          <w:b w:val="1"/>
          <w:bCs w:val="1"/>
          <w:color w:val="auto"/>
        </w:rPr>
        <w:t>QUARTERLY SALES AND EARNINGS DATA—UNAUDITED</w:t>
      </w:r>
    </w:p>
    <w:p>
      <w:pPr>
        <w:spacing w:after="0" w:line="261" w:lineRule="exact"/>
        <w:rPr>
          <w:sz w:val="20"/>
          <w:szCs w:val="20"/>
          <w:color w:val="auto"/>
        </w:rPr>
      </w:pPr>
    </w:p>
    <w:tbl>
      <w:tblPr>
        <w:tblLayout w:type="fixed"/>
        <w:tblInd w:w="465" w:type="dxa"/>
        <w:tblCellMar>
          <w:top w:w="0" w:type="dxa"/>
          <w:left w:w="0" w:type="dxa"/>
          <w:bottom w:w="0" w:type="dxa"/>
          <w:right w:w="0" w:type="dxa"/>
        </w:tblCellMar>
      </w:tblPr>
      <w:tr>
        <w:trPr>
          <w:trHeight w:val="192"/>
        </w:trPr>
        <w:tc>
          <w:tcPr>
            <w:tcW w:w="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420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392"/>
              <w:spacing w:after="0"/>
              <w:rPr>
                <w:sz w:val="20"/>
                <w:szCs w:val="20"/>
                <w:color w:val="auto"/>
              </w:rPr>
            </w:pPr>
            <w:r>
              <w:rPr>
                <w:rFonts w:ascii="Arial" w:cs="Arial" w:eastAsia="Arial" w:hAnsi="Arial"/>
                <w:sz w:val="14"/>
                <w:szCs w:val="14"/>
                <w:b w:val="1"/>
                <w:bCs w:val="1"/>
                <w:color w:val="auto"/>
              </w:rPr>
              <w:t>4th Qtr.</w:t>
            </w:r>
          </w:p>
        </w:tc>
        <w:tc>
          <w:tcPr>
            <w:tcW w:w="30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373"/>
              <w:spacing w:after="0"/>
              <w:rPr>
                <w:sz w:val="20"/>
                <w:szCs w:val="20"/>
                <w:color w:val="auto"/>
              </w:rPr>
            </w:pPr>
            <w:r>
              <w:rPr>
                <w:rFonts w:ascii="Arial" w:cs="Arial" w:eastAsia="Arial" w:hAnsi="Arial"/>
                <w:sz w:val="14"/>
                <w:szCs w:val="14"/>
                <w:b w:val="1"/>
                <w:bCs w:val="1"/>
                <w:color w:val="auto"/>
              </w:rPr>
              <w:t>3rd Qtr.</w:t>
            </w:r>
          </w:p>
        </w:tc>
        <w:tc>
          <w:tcPr>
            <w:tcW w:w="36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352"/>
              <w:spacing w:after="0"/>
              <w:rPr>
                <w:sz w:val="20"/>
                <w:szCs w:val="20"/>
                <w:color w:val="auto"/>
              </w:rPr>
            </w:pPr>
            <w:r>
              <w:rPr>
                <w:rFonts w:ascii="Arial" w:cs="Arial" w:eastAsia="Arial" w:hAnsi="Arial"/>
                <w:sz w:val="14"/>
                <w:szCs w:val="14"/>
                <w:b w:val="1"/>
                <w:bCs w:val="1"/>
                <w:color w:val="auto"/>
              </w:rPr>
              <w:t>2nd Qtr.</w:t>
            </w:r>
          </w:p>
        </w:tc>
        <w:tc>
          <w:tcPr>
            <w:tcW w:w="36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372"/>
              <w:spacing w:after="0"/>
              <w:rPr>
                <w:sz w:val="20"/>
                <w:szCs w:val="20"/>
                <w:color w:val="auto"/>
              </w:rPr>
            </w:pPr>
            <w:r>
              <w:rPr>
                <w:rFonts w:ascii="Arial" w:cs="Arial" w:eastAsia="Arial" w:hAnsi="Arial"/>
                <w:sz w:val="14"/>
                <w:szCs w:val="14"/>
                <w:b w:val="1"/>
                <w:bCs w:val="1"/>
                <w:color w:val="auto"/>
              </w:rPr>
              <w:t>1st Qtr.</w:t>
            </w:r>
          </w:p>
        </w:tc>
      </w:tr>
      <w:tr>
        <w:trPr>
          <w:trHeight w:val="196"/>
        </w:trPr>
        <w:tc>
          <w:tcPr>
            <w:tcW w:w="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42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600" w:type="dxa"/>
            <w:vAlign w:val="bottom"/>
            <w:gridSpan w:val="3"/>
          </w:tcPr>
          <w:p>
            <w:pPr>
              <w:jc w:val="right"/>
              <w:ind w:right="272"/>
              <w:spacing w:after="0"/>
              <w:rPr>
                <w:sz w:val="20"/>
                <w:szCs w:val="20"/>
                <w:color w:val="auto"/>
              </w:rPr>
            </w:pPr>
            <w:r>
              <w:rPr>
                <w:rFonts w:ascii="Arial" w:cs="Arial" w:eastAsia="Arial" w:hAnsi="Arial"/>
                <w:sz w:val="14"/>
                <w:szCs w:val="14"/>
                <w:color w:val="auto"/>
                <w:w w:val="95"/>
              </w:rPr>
              <w:t>(in thousands, except per share data)</w:t>
            </w:r>
          </w:p>
        </w:tc>
        <w:tc>
          <w:tcPr>
            <w:tcW w:w="360" w:type="dxa"/>
            <w:vAlign w:val="bottom"/>
          </w:tcPr>
          <w:p>
            <w:pPr>
              <w:spacing w:after="0"/>
              <w:rPr>
                <w:sz w:val="17"/>
                <w:szCs w:val="17"/>
                <w:color w:val="auto"/>
              </w:rPr>
            </w:pPr>
          </w:p>
        </w:tc>
        <w:tc>
          <w:tcPr>
            <w:tcW w:w="1080" w:type="dxa"/>
            <w:vAlign w:val="bottom"/>
          </w:tcPr>
          <w:p>
            <w:pPr>
              <w:spacing w:after="0"/>
              <w:rPr>
                <w:sz w:val="17"/>
                <w:szCs w:val="17"/>
                <w:color w:val="auto"/>
              </w:rPr>
            </w:pPr>
          </w:p>
        </w:tc>
      </w:tr>
      <w:tr>
        <w:trPr>
          <w:trHeight w:val="256"/>
        </w:trPr>
        <w:tc>
          <w:tcPr>
            <w:tcW w:w="2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w w:val="84"/>
              </w:rPr>
              <w:t>2015</w:t>
            </w:r>
          </w:p>
        </w:tc>
        <w:tc>
          <w:tcPr>
            <w:tcW w:w="42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spacing w:after="0"/>
              <w:rPr>
                <w:sz w:val="22"/>
                <w:szCs w:val="22"/>
                <w:color w:val="auto"/>
              </w:rPr>
            </w:pPr>
          </w:p>
        </w:tc>
      </w:tr>
      <w:tr>
        <w:trPr>
          <w:trHeight w:val="243"/>
        </w:trPr>
        <w:tc>
          <w:tcPr>
            <w:tcW w:w="4580" w:type="dxa"/>
            <w:vAlign w:val="bottom"/>
            <w:gridSpan w:val="3"/>
          </w:tcPr>
          <w:p>
            <w:pPr>
              <w:ind w:left="20"/>
              <w:spacing w:after="0"/>
              <w:rPr>
                <w:sz w:val="20"/>
                <w:szCs w:val="20"/>
                <w:color w:val="auto"/>
              </w:rPr>
            </w:pPr>
            <w:r>
              <w:rPr>
                <w:rFonts w:ascii="Arial" w:cs="Arial" w:eastAsia="Arial" w:hAnsi="Arial"/>
                <w:sz w:val="18"/>
                <w:szCs w:val="18"/>
                <w:color w:val="auto"/>
              </w:rPr>
              <w:t>Sales</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52"/>
              <w:spacing w:after="0"/>
              <w:rPr>
                <w:sz w:val="20"/>
                <w:szCs w:val="20"/>
                <w:color w:val="auto"/>
              </w:rPr>
            </w:pPr>
            <w:r>
              <w:rPr>
                <w:rFonts w:ascii="Arial" w:cs="Arial" w:eastAsia="Arial" w:hAnsi="Arial"/>
                <w:sz w:val="18"/>
                <w:szCs w:val="18"/>
                <w:color w:val="auto"/>
              </w:rPr>
              <w:t>317,567</w:t>
            </w:r>
          </w:p>
        </w:tc>
        <w:tc>
          <w:tcPr>
            <w:tcW w:w="30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140" w:type="dxa"/>
            <w:vAlign w:val="bottom"/>
          </w:tcPr>
          <w:p>
            <w:pPr>
              <w:jc w:val="right"/>
              <w:ind w:right="33"/>
              <w:spacing w:after="0"/>
              <w:rPr>
                <w:sz w:val="20"/>
                <w:szCs w:val="20"/>
                <w:color w:val="auto"/>
              </w:rPr>
            </w:pPr>
            <w:r>
              <w:rPr>
                <w:rFonts w:ascii="Arial" w:cs="Arial" w:eastAsia="Arial" w:hAnsi="Arial"/>
                <w:sz w:val="18"/>
                <w:szCs w:val="18"/>
                <w:color w:val="auto"/>
              </w:rPr>
              <w:t>146,637</w:t>
            </w:r>
          </w:p>
        </w:tc>
        <w:tc>
          <w:tcPr>
            <w:tcW w:w="3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32"/>
              <w:spacing w:after="0"/>
              <w:rPr>
                <w:sz w:val="20"/>
                <w:szCs w:val="20"/>
                <w:color w:val="auto"/>
              </w:rPr>
            </w:pPr>
            <w:r>
              <w:rPr>
                <w:rFonts w:ascii="Arial" w:cs="Arial" w:eastAsia="Arial" w:hAnsi="Arial"/>
                <w:sz w:val="18"/>
                <w:szCs w:val="18"/>
                <w:color w:val="auto"/>
              </w:rPr>
              <w:t>174,890</w:t>
            </w:r>
          </w:p>
        </w:tc>
        <w:tc>
          <w:tcPr>
            <w:tcW w:w="3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161,320</w:t>
            </w:r>
          </w:p>
        </w:tc>
      </w:tr>
      <w:tr>
        <w:trPr>
          <w:trHeight w:val="27"/>
        </w:trPr>
        <w:tc>
          <w:tcPr>
            <w:tcW w:w="20" w:type="dxa"/>
            <w:vAlign w:val="bottom"/>
          </w:tcPr>
          <w:p>
            <w:pPr>
              <w:spacing w:after="0"/>
              <w:rPr>
                <w:sz w:val="2"/>
                <w:szCs w:val="2"/>
                <w:color w:val="auto"/>
              </w:rPr>
            </w:pPr>
          </w:p>
        </w:tc>
        <w:tc>
          <w:tcPr>
            <w:tcW w:w="360" w:type="dxa"/>
            <w:vAlign w:val="bottom"/>
          </w:tcPr>
          <w:p>
            <w:pPr>
              <w:spacing w:after="0"/>
              <w:rPr>
                <w:sz w:val="2"/>
                <w:szCs w:val="2"/>
                <w:color w:val="auto"/>
              </w:rPr>
            </w:pPr>
          </w:p>
        </w:tc>
        <w:tc>
          <w:tcPr>
            <w:tcW w:w="42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50"/>
        </w:trPr>
        <w:tc>
          <w:tcPr>
            <w:tcW w:w="458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8"/>
                <w:szCs w:val="18"/>
                <w:color w:val="auto"/>
              </w:rPr>
              <w:t>Gross profit</w:t>
            </w:r>
          </w:p>
        </w:tc>
        <w:tc>
          <w:tcPr>
            <w:tcW w:w="28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73,140</w:t>
            </w:r>
          </w:p>
        </w:tc>
        <w:tc>
          <w:tcPr>
            <w:tcW w:w="3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51,646</w:t>
            </w:r>
          </w:p>
        </w:tc>
        <w:tc>
          <w:tcPr>
            <w:tcW w:w="3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57,951</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52,398</w:t>
            </w:r>
          </w:p>
        </w:tc>
      </w:tr>
      <w:tr>
        <w:trPr>
          <w:trHeight w:val="243"/>
        </w:trPr>
        <w:tc>
          <w:tcPr>
            <w:tcW w:w="4580" w:type="dxa"/>
            <w:vAlign w:val="bottom"/>
            <w:gridSpan w:val="3"/>
          </w:tcPr>
          <w:p>
            <w:pPr>
              <w:ind w:left="20"/>
              <w:spacing w:after="0"/>
              <w:rPr>
                <w:sz w:val="20"/>
                <w:szCs w:val="20"/>
                <w:color w:val="auto"/>
              </w:rPr>
            </w:pPr>
            <w:r>
              <w:rPr>
                <w:rFonts w:ascii="Arial" w:cs="Arial" w:eastAsia="Arial" w:hAnsi="Arial"/>
                <w:sz w:val="18"/>
                <w:szCs w:val="18"/>
                <w:color w:val="auto"/>
              </w:rPr>
              <w:t>Net income (loss)</w:t>
            </w:r>
          </w:p>
        </w:tc>
        <w:tc>
          <w:tcPr>
            <w:tcW w:w="28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(24,907)</w:t>
            </w:r>
          </w:p>
        </w:tc>
        <w:tc>
          <w:tcPr>
            <w:tcW w:w="300" w:type="dxa"/>
            <w:vAlign w:val="bottom"/>
          </w:tcPr>
          <w:p>
            <w:pPr>
              <w:spacing w:after="0"/>
              <w:rPr>
                <w:sz w:val="21"/>
                <w:szCs w:val="21"/>
                <w:color w:val="auto"/>
              </w:rPr>
            </w:pPr>
          </w:p>
        </w:tc>
        <w:tc>
          <w:tcPr>
            <w:tcW w:w="1140" w:type="dxa"/>
            <w:vAlign w:val="bottom"/>
          </w:tcPr>
          <w:p>
            <w:pPr>
              <w:jc w:val="right"/>
              <w:ind w:right="33"/>
              <w:spacing w:after="0"/>
              <w:rPr>
                <w:sz w:val="20"/>
                <w:szCs w:val="20"/>
                <w:color w:val="auto"/>
              </w:rPr>
            </w:pPr>
            <w:r>
              <w:rPr>
                <w:rFonts w:ascii="Arial" w:cs="Arial" w:eastAsia="Arial" w:hAnsi="Arial"/>
                <w:sz w:val="18"/>
                <w:szCs w:val="18"/>
                <w:color w:val="auto"/>
              </w:rPr>
              <w:t>22</w:t>
            </w:r>
          </w:p>
        </w:tc>
        <w:tc>
          <w:tcPr>
            <w:tcW w:w="360" w:type="dxa"/>
            <w:vAlign w:val="bottom"/>
          </w:tcPr>
          <w:p>
            <w:pPr>
              <w:spacing w:after="0"/>
              <w:rPr>
                <w:sz w:val="21"/>
                <w:szCs w:val="21"/>
                <w:color w:val="auto"/>
              </w:rPr>
            </w:pPr>
          </w:p>
        </w:tc>
        <w:tc>
          <w:tcPr>
            <w:tcW w:w="1100" w:type="dxa"/>
            <w:vAlign w:val="bottom"/>
          </w:tcPr>
          <w:p>
            <w:pPr>
              <w:jc w:val="right"/>
              <w:ind w:right="32"/>
              <w:spacing w:after="0"/>
              <w:rPr>
                <w:sz w:val="20"/>
                <w:szCs w:val="20"/>
                <w:color w:val="auto"/>
              </w:rPr>
            </w:pPr>
            <w:r>
              <w:rPr>
                <w:rFonts w:ascii="Arial" w:cs="Arial" w:eastAsia="Arial" w:hAnsi="Arial"/>
                <w:sz w:val="18"/>
                <w:szCs w:val="18"/>
                <w:color w:val="auto"/>
              </w:rPr>
              <w:t>9,283</w:t>
            </w:r>
          </w:p>
        </w:tc>
        <w:tc>
          <w:tcPr>
            <w:tcW w:w="36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8,008</w:t>
            </w:r>
          </w:p>
        </w:tc>
      </w:tr>
      <w:tr>
        <w:trPr>
          <w:trHeight w:val="27"/>
        </w:trPr>
        <w:tc>
          <w:tcPr>
            <w:tcW w:w="20" w:type="dxa"/>
            <w:vAlign w:val="bottom"/>
          </w:tcPr>
          <w:p>
            <w:pPr>
              <w:spacing w:after="0"/>
              <w:rPr>
                <w:sz w:val="2"/>
                <w:szCs w:val="2"/>
                <w:color w:val="auto"/>
              </w:rPr>
            </w:pPr>
          </w:p>
        </w:tc>
        <w:tc>
          <w:tcPr>
            <w:tcW w:w="360" w:type="dxa"/>
            <w:vAlign w:val="bottom"/>
          </w:tcPr>
          <w:p>
            <w:pPr>
              <w:spacing w:after="0"/>
              <w:rPr>
                <w:sz w:val="2"/>
                <w:szCs w:val="2"/>
                <w:color w:val="auto"/>
              </w:rPr>
            </w:pPr>
          </w:p>
        </w:tc>
        <w:tc>
          <w:tcPr>
            <w:tcW w:w="42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50"/>
        </w:trPr>
        <w:tc>
          <w:tcPr>
            <w:tcW w:w="458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8"/>
                <w:szCs w:val="18"/>
                <w:color w:val="auto"/>
              </w:rPr>
              <w:t>EPS—basic</w:t>
            </w:r>
          </w:p>
        </w:tc>
        <w:tc>
          <w:tcPr>
            <w:tcW w:w="28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(0.85)</w:t>
            </w:r>
          </w:p>
        </w:tc>
        <w:tc>
          <w:tcPr>
            <w:tcW w:w="3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0.36</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0.32</w:t>
            </w:r>
          </w:p>
        </w:tc>
      </w:tr>
      <w:tr>
        <w:trPr>
          <w:trHeight w:val="243"/>
        </w:trPr>
        <w:tc>
          <w:tcPr>
            <w:tcW w:w="4580" w:type="dxa"/>
            <w:vAlign w:val="bottom"/>
            <w:gridSpan w:val="3"/>
          </w:tcPr>
          <w:p>
            <w:pPr>
              <w:ind w:left="20"/>
              <w:spacing w:after="0"/>
              <w:rPr>
                <w:sz w:val="20"/>
                <w:szCs w:val="20"/>
                <w:color w:val="auto"/>
              </w:rPr>
            </w:pPr>
            <w:r>
              <w:rPr>
                <w:rFonts w:ascii="Arial" w:cs="Arial" w:eastAsia="Arial" w:hAnsi="Arial"/>
                <w:sz w:val="18"/>
                <w:szCs w:val="18"/>
                <w:color w:val="auto"/>
              </w:rPr>
              <w:t>EPS—diluted</w:t>
            </w:r>
          </w:p>
        </w:tc>
        <w:tc>
          <w:tcPr>
            <w:tcW w:w="28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(0.85)</w:t>
            </w:r>
          </w:p>
        </w:tc>
        <w:tc>
          <w:tcPr>
            <w:tcW w:w="300" w:type="dxa"/>
            <w:vAlign w:val="bottom"/>
          </w:tcPr>
          <w:p>
            <w:pPr>
              <w:spacing w:after="0"/>
              <w:rPr>
                <w:sz w:val="21"/>
                <w:szCs w:val="21"/>
                <w:color w:val="auto"/>
              </w:rPr>
            </w:pPr>
          </w:p>
        </w:tc>
        <w:tc>
          <w:tcPr>
            <w:tcW w:w="1140" w:type="dxa"/>
            <w:vAlign w:val="bottom"/>
          </w:tcPr>
          <w:p>
            <w:pPr>
              <w:jc w:val="right"/>
              <w:ind w:right="33"/>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1"/>
                <w:szCs w:val="21"/>
                <w:color w:val="auto"/>
              </w:rPr>
            </w:pPr>
          </w:p>
        </w:tc>
        <w:tc>
          <w:tcPr>
            <w:tcW w:w="1100" w:type="dxa"/>
            <w:vAlign w:val="bottom"/>
          </w:tcPr>
          <w:p>
            <w:pPr>
              <w:jc w:val="right"/>
              <w:ind w:right="32"/>
              <w:spacing w:after="0"/>
              <w:rPr>
                <w:sz w:val="20"/>
                <w:szCs w:val="20"/>
                <w:color w:val="auto"/>
              </w:rPr>
            </w:pPr>
            <w:r>
              <w:rPr>
                <w:rFonts w:ascii="Arial" w:cs="Arial" w:eastAsia="Arial" w:hAnsi="Arial"/>
                <w:sz w:val="18"/>
                <w:szCs w:val="18"/>
                <w:color w:val="auto"/>
              </w:rPr>
              <w:t>0.35</w:t>
            </w:r>
          </w:p>
        </w:tc>
        <w:tc>
          <w:tcPr>
            <w:tcW w:w="36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0.31</w:t>
            </w:r>
          </w:p>
        </w:tc>
      </w:tr>
      <w:tr>
        <w:trPr>
          <w:trHeight w:val="27"/>
        </w:trPr>
        <w:tc>
          <w:tcPr>
            <w:tcW w:w="20" w:type="dxa"/>
            <w:vAlign w:val="bottom"/>
          </w:tcPr>
          <w:p>
            <w:pPr>
              <w:spacing w:after="0"/>
              <w:rPr>
                <w:sz w:val="2"/>
                <w:szCs w:val="2"/>
                <w:color w:val="auto"/>
              </w:rPr>
            </w:pPr>
          </w:p>
        </w:tc>
        <w:tc>
          <w:tcPr>
            <w:tcW w:w="360" w:type="dxa"/>
            <w:vAlign w:val="bottom"/>
          </w:tcPr>
          <w:p>
            <w:pPr>
              <w:spacing w:after="0"/>
              <w:rPr>
                <w:sz w:val="2"/>
                <w:szCs w:val="2"/>
                <w:color w:val="auto"/>
              </w:rPr>
            </w:pPr>
          </w:p>
        </w:tc>
        <w:tc>
          <w:tcPr>
            <w:tcW w:w="42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324"/>
        </w:trPr>
        <w:tc>
          <w:tcPr>
            <w:tcW w:w="2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42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1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1080" w:type="dxa"/>
            <w:vAlign w:val="bottom"/>
            <w:shd w:val="clear" w:color="auto" w:fill="CCEEFF"/>
          </w:tcPr>
          <w:p>
            <w:pPr>
              <w:spacing w:after="0"/>
              <w:rPr>
                <w:sz w:val="24"/>
                <w:szCs w:val="24"/>
                <w:color w:val="auto"/>
              </w:rPr>
            </w:pPr>
          </w:p>
        </w:tc>
      </w:tr>
      <w:tr>
        <w:trPr>
          <w:trHeight w:val="203"/>
        </w:trPr>
        <w:tc>
          <w:tcPr>
            <w:tcW w:w="380" w:type="dxa"/>
            <w:vAlign w:val="bottom"/>
            <w:gridSpan w:val="2"/>
          </w:tcPr>
          <w:p>
            <w:pPr>
              <w:ind w:left="20"/>
              <w:spacing w:after="0" w:line="202" w:lineRule="exact"/>
              <w:rPr>
                <w:sz w:val="20"/>
                <w:szCs w:val="20"/>
                <w:color w:val="auto"/>
              </w:rPr>
            </w:pPr>
            <w:r>
              <w:rPr>
                <w:rFonts w:ascii="Arial" w:cs="Arial" w:eastAsia="Arial" w:hAnsi="Arial"/>
                <w:sz w:val="18"/>
                <w:szCs w:val="18"/>
                <w:b w:val="1"/>
                <w:bCs w:val="1"/>
                <w:color w:val="auto"/>
                <w:w w:val="84"/>
              </w:rPr>
              <w:t>2014</w:t>
            </w:r>
          </w:p>
        </w:tc>
        <w:tc>
          <w:tcPr>
            <w:tcW w:w="42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080" w:type="dxa"/>
            <w:vAlign w:val="bottom"/>
          </w:tcPr>
          <w:p>
            <w:pPr>
              <w:spacing w:after="0"/>
              <w:rPr>
                <w:sz w:val="17"/>
                <w:szCs w:val="17"/>
                <w:color w:val="auto"/>
              </w:rPr>
            </w:pPr>
          </w:p>
        </w:tc>
      </w:tr>
      <w:tr>
        <w:trPr>
          <w:trHeight w:val="48"/>
        </w:trPr>
        <w:tc>
          <w:tcPr>
            <w:tcW w:w="2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4200" w:type="dxa"/>
            <w:vAlign w:val="bottom"/>
          </w:tcPr>
          <w:p>
            <w:pPr>
              <w:spacing w:after="0"/>
              <w:rPr>
                <w:sz w:val="4"/>
                <w:szCs w:val="4"/>
                <w:color w:val="auto"/>
              </w:rPr>
            </w:pPr>
          </w:p>
        </w:tc>
        <w:tc>
          <w:tcPr>
            <w:tcW w:w="280" w:type="dxa"/>
            <w:vAlign w:val="bottom"/>
          </w:tcPr>
          <w:p>
            <w:pPr>
              <w:spacing w:after="0"/>
              <w:rPr>
                <w:sz w:val="4"/>
                <w:szCs w:val="4"/>
                <w:color w:val="auto"/>
              </w:rPr>
            </w:pPr>
          </w:p>
        </w:tc>
        <w:tc>
          <w:tcPr>
            <w:tcW w:w="1120" w:type="dxa"/>
            <w:vAlign w:val="bottom"/>
          </w:tcPr>
          <w:p>
            <w:pPr>
              <w:spacing w:after="0"/>
              <w:rPr>
                <w:sz w:val="4"/>
                <w:szCs w:val="4"/>
                <w:color w:val="auto"/>
              </w:rPr>
            </w:pPr>
          </w:p>
        </w:tc>
        <w:tc>
          <w:tcPr>
            <w:tcW w:w="300" w:type="dxa"/>
            <w:vAlign w:val="bottom"/>
          </w:tcPr>
          <w:p>
            <w:pPr>
              <w:spacing w:after="0"/>
              <w:rPr>
                <w:sz w:val="4"/>
                <w:szCs w:val="4"/>
                <w:color w:val="auto"/>
              </w:rPr>
            </w:pPr>
          </w:p>
        </w:tc>
        <w:tc>
          <w:tcPr>
            <w:tcW w:w="1140" w:type="dxa"/>
            <w:vAlign w:val="bottom"/>
          </w:tcPr>
          <w:p>
            <w:pPr>
              <w:spacing w:after="0"/>
              <w:rPr>
                <w:sz w:val="4"/>
                <w:szCs w:val="4"/>
                <w:color w:val="auto"/>
              </w:rPr>
            </w:pPr>
          </w:p>
        </w:tc>
        <w:tc>
          <w:tcPr>
            <w:tcW w:w="360" w:type="dxa"/>
            <w:vAlign w:val="bottom"/>
          </w:tcPr>
          <w:p>
            <w:pPr>
              <w:spacing w:after="0"/>
              <w:rPr>
                <w:sz w:val="4"/>
                <w:szCs w:val="4"/>
                <w:color w:val="auto"/>
              </w:rPr>
            </w:pPr>
          </w:p>
        </w:tc>
        <w:tc>
          <w:tcPr>
            <w:tcW w:w="1100" w:type="dxa"/>
            <w:vAlign w:val="bottom"/>
          </w:tcPr>
          <w:p>
            <w:pPr>
              <w:spacing w:after="0"/>
              <w:rPr>
                <w:sz w:val="4"/>
                <w:szCs w:val="4"/>
                <w:color w:val="auto"/>
              </w:rPr>
            </w:pPr>
          </w:p>
        </w:tc>
        <w:tc>
          <w:tcPr>
            <w:tcW w:w="360" w:type="dxa"/>
            <w:vAlign w:val="bottom"/>
          </w:tcPr>
          <w:p>
            <w:pPr>
              <w:spacing w:after="0"/>
              <w:rPr>
                <w:sz w:val="4"/>
                <w:szCs w:val="4"/>
                <w:color w:val="auto"/>
              </w:rPr>
            </w:pPr>
          </w:p>
        </w:tc>
        <w:tc>
          <w:tcPr>
            <w:tcW w:w="1080" w:type="dxa"/>
            <w:vAlign w:val="bottom"/>
          </w:tcPr>
          <w:p>
            <w:pPr>
              <w:spacing w:after="0"/>
              <w:rPr>
                <w:sz w:val="4"/>
                <w:szCs w:val="4"/>
                <w:color w:val="auto"/>
              </w:rPr>
            </w:pPr>
          </w:p>
        </w:tc>
      </w:tr>
      <w:tr>
        <w:trPr>
          <w:trHeight w:val="250"/>
        </w:trPr>
        <w:tc>
          <w:tcPr>
            <w:tcW w:w="458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8"/>
                <w:szCs w:val="18"/>
                <w:color w:val="auto"/>
              </w:rPr>
              <w:t>Sales</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169,726</w:t>
            </w:r>
          </w:p>
        </w:tc>
        <w:tc>
          <w:tcPr>
            <w:tcW w:w="3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171,699</w:t>
            </w:r>
          </w:p>
        </w:tc>
        <w:tc>
          <w:tcPr>
            <w:tcW w:w="36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1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172,081</w:t>
            </w:r>
          </w:p>
        </w:tc>
        <w:tc>
          <w:tcPr>
            <w:tcW w:w="36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174,281</w:t>
            </w:r>
          </w:p>
        </w:tc>
      </w:tr>
      <w:tr>
        <w:trPr>
          <w:trHeight w:val="243"/>
        </w:trPr>
        <w:tc>
          <w:tcPr>
            <w:tcW w:w="4580" w:type="dxa"/>
            <w:vAlign w:val="bottom"/>
            <w:gridSpan w:val="3"/>
          </w:tcPr>
          <w:p>
            <w:pPr>
              <w:ind w:left="20"/>
              <w:spacing w:after="0"/>
              <w:rPr>
                <w:sz w:val="20"/>
                <w:szCs w:val="20"/>
                <w:color w:val="auto"/>
              </w:rPr>
            </w:pPr>
            <w:r>
              <w:rPr>
                <w:rFonts w:ascii="Arial" w:cs="Arial" w:eastAsia="Arial" w:hAnsi="Arial"/>
                <w:sz w:val="18"/>
                <w:szCs w:val="18"/>
                <w:color w:val="auto"/>
              </w:rPr>
              <w:t>Gross profit</w:t>
            </w:r>
          </w:p>
        </w:tc>
        <w:tc>
          <w:tcPr>
            <w:tcW w:w="280" w:type="dxa"/>
            <w:vAlign w:val="bottom"/>
          </w:tcPr>
          <w:p>
            <w:pPr>
              <w:spacing w:after="0"/>
              <w:rPr>
                <w:sz w:val="21"/>
                <w:szCs w:val="21"/>
                <w:color w:val="auto"/>
              </w:rPr>
            </w:pPr>
          </w:p>
        </w:tc>
        <w:tc>
          <w:tcPr>
            <w:tcW w:w="1120" w:type="dxa"/>
            <w:vAlign w:val="bottom"/>
          </w:tcPr>
          <w:p>
            <w:pPr>
              <w:jc w:val="right"/>
              <w:ind w:right="52"/>
              <w:spacing w:after="0"/>
              <w:rPr>
                <w:sz w:val="20"/>
                <w:szCs w:val="20"/>
                <w:color w:val="auto"/>
              </w:rPr>
            </w:pPr>
            <w:r>
              <w:rPr>
                <w:rFonts w:ascii="Arial" w:cs="Arial" w:eastAsia="Arial" w:hAnsi="Arial"/>
                <w:sz w:val="18"/>
                <w:szCs w:val="18"/>
                <w:color w:val="auto"/>
              </w:rPr>
              <w:t>57,214</w:t>
            </w:r>
          </w:p>
        </w:tc>
        <w:tc>
          <w:tcPr>
            <w:tcW w:w="300" w:type="dxa"/>
            <w:vAlign w:val="bottom"/>
          </w:tcPr>
          <w:p>
            <w:pPr>
              <w:spacing w:after="0"/>
              <w:rPr>
                <w:sz w:val="21"/>
                <w:szCs w:val="21"/>
                <w:color w:val="auto"/>
              </w:rPr>
            </w:pPr>
          </w:p>
        </w:tc>
        <w:tc>
          <w:tcPr>
            <w:tcW w:w="1140" w:type="dxa"/>
            <w:vAlign w:val="bottom"/>
          </w:tcPr>
          <w:p>
            <w:pPr>
              <w:jc w:val="right"/>
              <w:ind w:right="33"/>
              <w:spacing w:after="0"/>
              <w:rPr>
                <w:sz w:val="20"/>
                <w:szCs w:val="20"/>
                <w:color w:val="auto"/>
              </w:rPr>
            </w:pPr>
            <w:r>
              <w:rPr>
                <w:rFonts w:ascii="Arial" w:cs="Arial" w:eastAsia="Arial" w:hAnsi="Arial"/>
                <w:sz w:val="18"/>
                <w:szCs w:val="18"/>
                <w:color w:val="auto"/>
              </w:rPr>
              <w:t>58,118</w:t>
            </w:r>
          </w:p>
        </w:tc>
        <w:tc>
          <w:tcPr>
            <w:tcW w:w="360" w:type="dxa"/>
            <w:vAlign w:val="bottom"/>
          </w:tcPr>
          <w:p>
            <w:pPr>
              <w:spacing w:after="0"/>
              <w:rPr>
                <w:sz w:val="21"/>
                <w:szCs w:val="21"/>
                <w:color w:val="auto"/>
              </w:rPr>
            </w:pPr>
          </w:p>
        </w:tc>
        <w:tc>
          <w:tcPr>
            <w:tcW w:w="1100" w:type="dxa"/>
            <w:vAlign w:val="bottom"/>
          </w:tcPr>
          <w:p>
            <w:pPr>
              <w:jc w:val="right"/>
              <w:ind w:right="32"/>
              <w:spacing w:after="0"/>
              <w:rPr>
                <w:sz w:val="20"/>
                <w:szCs w:val="20"/>
                <w:color w:val="auto"/>
              </w:rPr>
            </w:pPr>
            <w:r>
              <w:rPr>
                <w:rFonts w:ascii="Arial" w:cs="Arial" w:eastAsia="Arial" w:hAnsi="Arial"/>
                <w:sz w:val="18"/>
                <w:szCs w:val="18"/>
                <w:color w:val="auto"/>
              </w:rPr>
              <w:t>58,470</w:t>
            </w:r>
          </w:p>
        </w:tc>
        <w:tc>
          <w:tcPr>
            <w:tcW w:w="36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57,596</w:t>
            </w:r>
          </w:p>
        </w:tc>
      </w:tr>
      <w:tr>
        <w:trPr>
          <w:trHeight w:val="27"/>
        </w:trPr>
        <w:tc>
          <w:tcPr>
            <w:tcW w:w="20" w:type="dxa"/>
            <w:vAlign w:val="bottom"/>
          </w:tcPr>
          <w:p>
            <w:pPr>
              <w:spacing w:after="0"/>
              <w:rPr>
                <w:sz w:val="2"/>
                <w:szCs w:val="2"/>
                <w:color w:val="auto"/>
              </w:rPr>
            </w:pPr>
          </w:p>
        </w:tc>
        <w:tc>
          <w:tcPr>
            <w:tcW w:w="360" w:type="dxa"/>
            <w:vAlign w:val="bottom"/>
          </w:tcPr>
          <w:p>
            <w:pPr>
              <w:spacing w:after="0"/>
              <w:rPr>
                <w:sz w:val="2"/>
                <w:szCs w:val="2"/>
                <w:color w:val="auto"/>
              </w:rPr>
            </w:pPr>
          </w:p>
        </w:tc>
        <w:tc>
          <w:tcPr>
            <w:tcW w:w="42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50"/>
        </w:trPr>
        <w:tc>
          <w:tcPr>
            <w:tcW w:w="458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8"/>
                <w:szCs w:val="18"/>
                <w:color w:val="auto"/>
              </w:rPr>
              <w:t>Net income</w:t>
            </w:r>
          </w:p>
        </w:tc>
        <w:tc>
          <w:tcPr>
            <w:tcW w:w="28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14,176</w:t>
            </w:r>
          </w:p>
        </w:tc>
        <w:tc>
          <w:tcPr>
            <w:tcW w:w="3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14,012</w:t>
            </w:r>
          </w:p>
        </w:tc>
        <w:tc>
          <w:tcPr>
            <w:tcW w:w="3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12,348</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14,922</w:t>
            </w:r>
          </w:p>
        </w:tc>
      </w:tr>
      <w:tr>
        <w:trPr>
          <w:trHeight w:val="243"/>
        </w:trPr>
        <w:tc>
          <w:tcPr>
            <w:tcW w:w="4580" w:type="dxa"/>
            <w:vAlign w:val="bottom"/>
            <w:gridSpan w:val="3"/>
          </w:tcPr>
          <w:p>
            <w:pPr>
              <w:ind w:left="20"/>
              <w:spacing w:after="0"/>
              <w:rPr>
                <w:sz w:val="20"/>
                <w:szCs w:val="20"/>
                <w:color w:val="auto"/>
              </w:rPr>
            </w:pPr>
            <w:r>
              <w:rPr>
                <w:rFonts w:ascii="Arial" w:cs="Arial" w:eastAsia="Arial" w:hAnsi="Arial"/>
                <w:sz w:val="18"/>
                <w:szCs w:val="18"/>
                <w:color w:val="auto"/>
              </w:rPr>
              <w:t>EPS—basic</w:t>
            </w:r>
          </w:p>
        </w:tc>
        <w:tc>
          <w:tcPr>
            <w:tcW w:w="280" w:type="dxa"/>
            <w:vAlign w:val="bottom"/>
          </w:tcPr>
          <w:p>
            <w:pPr>
              <w:spacing w:after="0"/>
              <w:rPr>
                <w:sz w:val="21"/>
                <w:szCs w:val="21"/>
                <w:color w:val="auto"/>
              </w:rPr>
            </w:pPr>
          </w:p>
        </w:tc>
        <w:tc>
          <w:tcPr>
            <w:tcW w:w="1120" w:type="dxa"/>
            <w:vAlign w:val="bottom"/>
          </w:tcPr>
          <w:p>
            <w:pPr>
              <w:jc w:val="right"/>
              <w:ind w:right="52"/>
              <w:spacing w:after="0"/>
              <w:rPr>
                <w:sz w:val="20"/>
                <w:szCs w:val="20"/>
                <w:color w:val="auto"/>
              </w:rPr>
            </w:pPr>
            <w:r>
              <w:rPr>
                <w:rFonts w:ascii="Arial" w:cs="Arial" w:eastAsia="Arial" w:hAnsi="Arial"/>
                <w:sz w:val="18"/>
                <w:szCs w:val="18"/>
                <w:color w:val="auto"/>
              </w:rPr>
              <w:t>0.57</w:t>
            </w:r>
          </w:p>
        </w:tc>
        <w:tc>
          <w:tcPr>
            <w:tcW w:w="300" w:type="dxa"/>
            <w:vAlign w:val="bottom"/>
          </w:tcPr>
          <w:p>
            <w:pPr>
              <w:spacing w:after="0"/>
              <w:rPr>
                <w:sz w:val="21"/>
                <w:szCs w:val="21"/>
                <w:color w:val="auto"/>
              </w:rPr>
            </w:pPr>
          </w:p>
        </w:tc>
        <w:tc>
          <w:tcPr>
            <w:tcW w:w="1140" w:type="dxa"/>
            <w:vAlign w:val="bottom"/>
          </w:tcPr>
          <w:p>
            <w:pPr>
              <w:jc w:val="right"/>
              <w:ind w:right="33"/>
              <w:spacing w:after="0"/>
              <w:rPr>
                <w:sz w:val="20"/>
                <w:szCs w:val="20"/>
                <w:color w:val="auto"/>
              </w:rPr>
            </w:pPr>
            <w:r>
              <w:rPr>
                <w:rFonts w:ascii="Arial" w:cs="Arial" w:eastAsia="Arial" w:hAnsi="Arial"/>
                <w:sz w:val="18"/>
                <w:szCs w:val="18"/>
                <w:color w:val="auto"/>
              </w:rPr>
              <w:t>0.56</w:t>
            </w:r>
          </w:p>
        </w:tc>
        <w:tc>
          <w:tcPr>
            <w:tcW w:w="360" w:type="dxa"/>
            <w:vAlign w:val="bottom"/>
          </w:tcPr>
          <w:p>
            <w:pPr>
              <w:spacing w:after="0"/>
              <w:rPr>
                <w:sz w:val="21"/>
                <w:szCs w:val="21"/>
                <w:color w:val="auto"/>
              </w:rPr>
            </w:pPr>
          </w:p>
        </w:tc>
        <w:tc>
          <w:tcPr>
            <w:tcW w:w="1100" w:type="dxa"/>
            <w:vAlign w:val="bottom"/>
          </w:tcPr>
          <w:p>
            <w:pPr>
              <w:jc w:val="right"/>
              <w:ind w:right="32"/>
              <w:spacing w:after="0"/>
              <w:rPr>
                <w:sz w:val="20"/>
                <w:szCs w:val="20"/>
                <w:color w:val="auto"/>
              </w:rPr>
            </w:pPr>
            <w:r>
              <w:rPr>
                <w:rFonts w:ascii="Arial" w:cs="Arial" w:eastAsia="Arial" w:hAnsi="Arial"/>
                <w:sz w:val="18"/>
                <w:szCs w:val="18"/>
                <w:color w:val="auto"/>
              </w:rPr>
              <w:t>0.50</w:t>
            </w:r>
          </w:p>
        </w:tc>
        <w:tc>
          <w:tcPr>
            <w:tcW w:w="36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0.61</w:t>
            </w:r>
          </w:p>
        </w:tc>
      </w:tr>
      <w:tr>
        <w:trPr>
          <w:trHeight w:val="27"/>
        </w:trPr>
        <w:tc>
          <w:tcPr>
            <w:tcW w:w="20" w:type="dxa"/>
            <w:vAlign w:val="bottom"/>
          </w:tcPr>
          <w:p>
            <w:pPr>
              <w:spacing w:after="0"/>
              <w:rPr>
                <w:sz w:val="2"/>
                <w:szCs w:val="2"/>
                <w:color w:val="auto"/>
              </w:rPr>
            </w:pPr>
          </w:p>
        </w:tc>
        <w:tc>
          <w:tcPr>
            <w:tcW w:w="360" w:type="dxa"/>
            <w:vAlign w:val="bottom"/>
          </w:tcPr>
          <w:p>
            <w:pPr>
              <w:spacing w:after="0"/>
              <w:rPr>
                <w:sz w:val="2"/>
                <w:szCs w:val="2"/>
                <w:color w:val="auto"/>
              </w:rPr>
            </w:pPr>
          </w:p>
        </w:tc>
        <w:tc>
          <w:tcPr>
            <w:tcW w:w="42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43"/>
        </w:trPr>
        <w:tc>
          <w:tcPr>
            <w:tcW w:w="4580" w:type="dxa"/>
            <w:vAlign w:val="bottom"/>
            <w:gridSpan w:val="3"/>
            <w:shd w:val="clear" w:color="auto" w:fill="CCEEFF"/>
          </w:tcPr>
          <w:p>
            <w:pPr>
              <w:ind w:left="20"/>
              <w:spacing w:after="0"/>
              <w:rPr>
                <w:sz w:val="20"/>
                <w:szCs w:val="20"/>
                <w:color w:val="auto"/>
              </w:rPr>
            </w:pPr>
            <w:r>
              <w:rPr>
                <w:rFonts w:ascii="Arial" w:cs="Arial" w:eastAsia="Arial" w:hAnsi="Arial"/>
                <w:sz w:val="18"/>
                <w:szCs w:val="18"/>
                <w:color w:val="auto"/>
              </w:rPr>
              <w:t>EPS—diluted</w:t>
            </w:r>
          </w:p>
        </w:tc>
        <w:tc>
          <w:tcPr>
            <w:tcW w:w="280" w:type="dxa"/>
            <w:vAlign w:val="bottom"/>
            <w:shd w:val="clear" w:color="auto" w:fill="CCEEFF"/>
          </w:tcPr>
          <w:p>
            <w:pPr>
              <w:spacing w:after="0"/>
              <w:rPr>
                <w:sz w:val="21"/>
                <w:szCs w:val="21"/>
                <w:color w:val="auto"/>
              </w:rPr>
            </w:pPr>
          </w:p>
        </w:tc>
        <w:tc>
          <w:tcPr>
            <w:tcW w:w="1120" w:type="dxa"/>
            <w:vAlign w:val="bottom"/>
            <w:shd w:val="clear" w:color="auto" w:fill="CCEEFF"/>
          </w:tcPr>
          <w:p>
            <w:pPr>
              <w:jc w:val="right"/>
              <w:ind w:right="52"/>
              <w:spacing w:after="0"/>
              <w:rPr>
                <w:sz w:val="20"/>
                <w:szCs w:val="20"/>
                <w:color w:val="auto"/>
              </w:rPr>
            </w:pPr>
            <w:r>
              <w:rPr>
                <w:rFonts w:ascii="Arial" w:cs="Arial" w:eastAsia="Arial" w:hAnsi="Arial"/>
                <w:sz w:val="18"/>
                <w:szCs w:val="18"/>
                <w:color w:val="auto"/>
              </w:rPr>
              <w:t>0.54</w:t>
            </w:r>
          </w:p>
        </w:tc>
        <w:tc>
          <w:tcPr>
            <w:tcW w:w="300" w:type="dxa"/>
            <w:vAlign w:val="bottom"/>
            <w:shd w:val="clear" w:color="auto" w:fill="CCEEFF"/>
          </w:tcPr>
          <w:p>
            <w:pPr>
              <w:spacing w:after="0"/>
              <w:rPr>
                <w:sz w:val="21"/>
                <w:szCs w:val="21"/>
                <w:color w:val="auto"/>
              </w:rPr>
            </w:pPr>
          </w:p>
        </w:tc>
        <w:tc>
          <w:tcPr>
            <w:tcW w:w="1140" w:type="dxa"/>
            <w:vAlign w:val="bottom"/>
            <w:shd w:val="clear" w:color="auto" w:fill="CCEEFF"/>
          </w:tcPr>
          <w:p>
            <w:pPr>
              <w:jc w:val="right"/>
              <w:ind w:right="33"/>
              <w:spacing w:after="0"/>
              <w:rPr>
                <w:sz w:val="20"/>
                <w:szCs w:val="20"/>
                <w:color w:val="auto"/>
              </w:rPr>
            </w:pPr>
            <w:r>
              <w:rPr>
                <w:rFonts w:ascii="Arial" w:cs="Arial" w:eastAsia="Arial" w:hAnsi="Arial"/>
                <w:sz w:val="18"/>
                <w:szCs w:val="18"/>
                <w:color w:val="auto"/>
              </w:rPr>
              <w:t>0.54</w:t>
            </w:r>
          </w:p>
        </w:tc>
        <w:tc>
          <w:tcPr>
            <w:tcW w:w="360" w:type="dxa"/>
            <w:vAlign w:val="bottom"/>
            <w:shd w:val="clear" w:color="auto" w:fill="CCEEFF"/>
          </w:tcPr>
          <w:p>
            <w:pPr>
              <w:spacing w:after="0"/>
              <w:rPr>
                <w:sz w:val="21"/>
                <w:szCs w:val="21"/>
                <w:color w:val="auto"/>
              </w:rPr>
            </w:pPr>
          </w:p>
        </w:tc>
        <w:tc>
          <w:tcPr>
            <w:tcW w:w="110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rPr>
              <w:t>0.48</w:t>
            </w:r>
          </w:p>
        </w:tc>
        <w:tc>
          <w:tcPr>
            <w:tcW w:w="360" w:type="dxa"/>
            <w:vAlign w:val="bottom"/>
            <w:shd w:val="clear" w:color="auto" w:fill="CCEEFF"/>
          </w:tcPr>
          <w:p>
            <w:pPr>
              <w:spacing w:after="0"/>
              <w:rPr>
                <w:sz w:val="21"/>
                <w:szCs w:val="21"/>
                <w:color w:val="auto"/>
              </w:rPr>
            </w:pPr>
          </w:p>
        </w:tc>
        <w:tc>
          <w:tcPr>
            <w:tcW w:w="108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0.58</w:t>
            </w:r>
          </w:p>
        </w:tc>
      </w:tr>
      <w:tr>
        <w:trPr>
          <w:trHeight w:val="27"/>
        </w:trPr>
        <w:tc>
          <w:tcPr>
            <w:tcW w:w="20" w:type="dxa"/>
            <w:vAlign w:val="bottom"/>
            <w:shd w:val="clear" w:color="auto" w:fill="CCEEFF"/>
          </w:tcPr>
          <w:p>
            <w:pPr>
              <w:spacing w:after="0"/>
              <w:rPr>
                <w:sz w:val="2"/>
                <w:szCs w:val="2"/>
                <w:color w:val="auto"/>
              </w:rPr>
            </w:pPr>
          </w:p>
        </w:tc>
        <w:tc>
          <w:tcPr>
            <w:tcW w:w="360" w:type="dxa"/>
            <w:vAlign w:val="bottom"/>
            <w:shd w:val="clear" w:color="auto" w:fill="CCEEFF"/>
          </w:tcPr>
          <w:p>
            <w:pPr>
              <w:spacing w:after="0"/>
              <w:rPr>
                <w:sz w:val="2"/>
                <w:szCs w:val="2"/>
                <w:color w:val="auto"/>
              </w:rPr>
            </w:pPr>
          </w:p>
        </w:tc>
        <w:tc>
          <w:tcPr>
            <w:tcW w:w="4200" w:type="dxa"/>
            <w:vAlign w:val="bottom"/>
            <w:shd w:val="clear" w:color="auto" w:fill="CCEEFF"/>
          </w:tcPr>
          <w:p>
            <w:pPr>
              <w:spacing w:after="0"/>
              <w:rPr>
                <w:sz w:val="2"/>
                <w:szCs w:val="2"/>
                <w:color w:val="auto"/>
              </w:rPr>
            </w:pPr>
          </w:p>
        </w:tc>
        <w:tc>
          <w:tcPr>
            <w:tcW w:w="28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c>
          <w:tcPr>
            <w:tcW w:w="300" w:type="dxa"/>
            <w:vAlign w:val="bottom"/>
            <w:shd w:val="clear" w:color="auto" w:fill="CCEEFF"/>
          </w:tcPr>
          <w:p>
            <w:pPr>
              <w:spacing w:after="0"/>
              <w:rPr>
                <w:sz w:val="2"/>
                <w:szCs w:val="2"/>
                <w:color w:val="auto"/>
              </w:rPr>
            </w:pPr>
          </w:p>
        </w:tc>
        <w:tc>
          <w:tcPr>
            <w:tcW w:w="1140" w:type="dxa"/>
            <w:vAlign w:val="bottom"/>
            <w:shd w:val="clear" w:color="auto" w:fill="CCEEFF"/>
          </w:tcPr>
          <w:p>
            <w:pPr>
              <w:spacing w:after="0"/>
              <w:rPr>
                <w:sz w:val="2"/>
                <w:szCs w:val="2"/>
                <w:color w:val="auto"/>
              </w:rPr>
            </w:pPr>
          </w:p>
        </w:tc>
        <w:tc>
          <w:tcPr>
            <w:tcW w:w="360" w:type="dxa"/>
            <w:vAlign w:val="bottom"/>
            <w:shd w:val="clear" w:color="auto" w:fill="CCEEFF"/>
          </w:tcPr>
          <w:p>
            <w:pPr>
              <w:spacing w:after="0"/>
              <w:rPr>
                <w:sz w:val="2"/>
                <w:szCs w:val="2"/>
                <w:color w:val="auto"/>
              </w:rPr>
            </w:pPr>
          </w:p>
        </w:tc>
        <w:tc>
          <w:tcPr>
            <w:tcW w:w="1100" w:type="dxa"/>
            <w:vAlign w:val="bottom"/>
            <w:shd w:val="clear" w:color="auto" w:fill="CCEEFF"/>
          </w:tcPr>
          <w:p>
            <w:pPr>
              <w:spacing w:after="0"/>
              <w:rPr>
                <w:sz w:val="2"/>
                <w:szCs w:val="2"/>
                <w:color w:val="auto"/>
              </w:rPr>
            </w:pPr>
          </w:p>
        </w:tc>
        <w:tc>
          <w:tcPr>
            <w:tcW w:w="360" w:type="dxa"/>
            <w:vAlign w:val="bottom"/>
            <w:shd w:val="clear" w:color="auto" w:fill="CCEEFF"/>
          </w:tcPr>
          <w:p>
            <w:pPr>
              <w:spacing w:after="0"/>
              <w:rPr>
                <w:sz w:val="2"/>
                <w:szCs w:val="2"/>
                <w:color w:val="auto"/>
              </w:rPr>
            </w:pPr>
          </w:p>
        </w:tc>
        <w:tc>
          <w:tcPr>
            <w:tcW w:w="1080" w:type="dxa"/>
            <w:vAlign w:val="bottom"/>
            <w:shd w:val="clear" w:color="auto" w:fill="CCEEFF"/>
          </w:tcPr>
          <w:p>
            <w:pPr>
              <w:spacing w:after="0"/>
              <w:rPr>
                <w:sz w:val="2"/>
                <w:szCs w:val="2"/>
                <w:color w:val="auto"/>
              </w:rPr>
            </w:pPr>
          </w:p>
        </w:tc>
      </w:tr>
    </w:tbl>
    <w:p>
      <w:pPr>
        <w:spacing w:after="0" w:line="67" w:lineRule="exact"/>
        <w:rPr>
          <w:sz w:val="20"/>
          <w:szCs w:val="20"/>
          <w:color w:val="auto"/>
        </w:rPr>
      </w:pPr>
    </w:p>
    <w:p>
      <w:pPr>
        <w:ind w:left="465"/>
        <w:spacing w:after="0" w:line="259" w:lineRule="auto"/>
        <w:rPr>
          <w:sz w:val="20"/>
          <w:szCs w:val="20"/>
          <w:color w:val="auto"/>
        </w:rPr>
      </w:pPr>
      <w:r>
        <w:rPr>
          <w:rFonts w:ascii="Arial" w:cs="Arial" w:eastAsia="Arial" w:hAnsi="Arial"/>
          <w:sz w:val="18"/>
          <w:szCs w:val="18"/>
          <w:color w:val="auto"/>
        </w:rPr>
        <w:t>Net income (loss) in the third and fourth quarters of 2015 include $13.0 million and $57.1 million, respectively, of charges incurred in connection with the Lake Region Medical acquisition (transaction and integration, inventory step-up amortization, debt related charges) and Spin-off of Nuvectra (professional and consulting fees). Sales for the fourth quarter of 2015 include $138.6 million from the acquisition of Lake Region Medical. Refer to Note 2 “Acquisitions.”</w:t>
      </w:r>
    </w:p>
    <w:p>
      <w:pPr>
        <w:spacing w:after="0" w:line="214" w:lineRule="exact"/>
        <w:rPr>
          <w:sz w:val="20"/>
          <w:szCs w:val="20"/>
          <w:color w:val="auto"/>
        </w:rPr>
      </w:pPr>
    </w:p>
    <w:p>
      <w:pPr>
        <w:jc w:val="center"/>
        <w:ind w:right="-44"/>
        <w:spacing w:after="0"/>
        <w:rPr>
          <w:sz w:val="20"/>
          <w:szCs w:val="20"/>
          <w:color w:val="auto"/>
        </w:rPr>
      </w:pPr>
      <w:r>
        <w:rPr>
          <w:rFonts w:ascii="Arial" w:cs="Arial" w:eastAsia="Arial" w:hAnsi="Arial"/>
          <w:sz w:val="18"/>
          <w:szCs w:val="18"/>
          <w:color w:val="auto"/>
        </w:rPr>
        <w:t>- 111 -</w:t>
      </w:r>
    </w:p>
    <w:p>
      <w:pPr>
        <w:sectPr>
          <w:pgSz w:w="11900" w:h="16838" w:orient="portrait"/>
          <w:cols w:equalWidth="0" w:num="1">
            <w:col w:w="11305"/>
          </w:cols>
          <w:pgMar w:left="275" w:top="337" w:right="319" w:bottom="1440" w:gutter="0" w:footer="0" w:header="0"/>
        </w:sectPr>
      </w:pPr>
    </w:p>
    <w:bookmarkStart w:id="112" w:name="page113"/>
    <w:bookmarkEnd w:id="112"/>
    <w:p>
      <w:pPr>
        <w:ind w:left="40"/>
        <w:spacing w:after="0"/>
        <w:tabs>
          <w:tab w:leader="none" w:pos="1020" w:val="left"/>
        </w:tabs>
        <w:rPr>
          <w:sz w:val="20"/>
          <w:szCs w:val="20"/>
          <w:color w:val="auto"/>
        </w:rPr>
      </w:pPr>
      <w:r>
        <w:rPr>
          <w:rFonts w:ascii="Arial" w:cs="Arial" w:eastAsia="Arial" w:hAnsi="Arial"/>
          <w:sz w:val="18"/>
          <w:szCs w:val="18"/>
          <w:b w:val="1"/>
          <w:bCs w:val="1"/>
          <w:color w:val="auto"/>
        </w:rPr>
        <w:t>ITEM 9.</w:t>
      </w:r>
      <w:r>
        <w:rPr>
          <w:sz w:val="20"/>
          <w:szCs w:val="20"/>
          <w:color w:val="auto"/>
        </w:rPr>
        <w:tab/>
      </w:r>
      <w:r>
        <w:rPr>
          <w:rFonts w:ascii="Arial" w:cs="Arial" w:eastAsia="Arial" w:hAnsi="Arial"/>
          <w:sz w:val="18"/>
          <w:szCs w:val="18"/>
          <w:b w:val="1"/>
          <w:bCs w:val="1"/>
          <w:color w:val="auto"/>
        </w:rPr>
        <w:t>CHANGES IN AND DISAGREEMENTS WITH ACCOUNTANTS ON ACCOUNTING AND</w:t>
      </w:r>
    </w:p>
    <w:p>
      <w:pPr>
        <w:spacing w:after="0" w:line="27" w:lineRule="exact"/>
        <w:rPr>
          <w:sz w:val="20"/>
          <w:szCs w:val="20"/>
          <w:color w:val="auto"/>
        </w:rPr>
      </w:pPr>
    </w:p>
    <w:p>
      <w:pPr>
        <w:ind w:left="1040"/>
        <w:spacing w:after="0"/>
        <w:rPr>
          <w:sz w:val="20"/>
          <w:szCs w:val="20"/>
          <w:color w:val="auto"/>
        </w:rPr>
      </w:pPr>
      <w:r>
        <w:rPr>
          <w:rFonts w:ascii="Arial" w:cs="Arial" w:eastAsia="Arial" w:hAnsi="Arial"/>
          <w:sz w:val="18"/>
          <w:szCs w:val="18"/>
          <w:b w:val="1"/>
          <w:bCs w:val="1"/>
          <w:color w:val="auto"/>
        </w:rPr>
        <w:t>FINANCIAL DISCLOSURE</w:t>
      </w:r>
    </w:p>
    <w:p>
      <w:pPr>
        <w:spacing w:after="0" w:line="103"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None.</w:t>
      </w:r>
    </w:p>
    <w:p>
      <w:pPr>
        <w:spacing w:after="0" w:line="200" w:lineRule="exact"/>
        <w:rPr>
          <w:sz w:val="20"/>
          <w:szCs w:val="20"/>
          <w:color w:val="auto"/>
        </w:rPr>
      </w:pPr>
    </w:p>
    <w:p>
      <w:pPr>
        <w:spacing w:after="0" w:line="264" w:lineRule="exact"/>
        <w:rPr>
          <w:sz w:val="20"/>
          <w:szCs w:val="20"/>
          <w:color w:val="auto"/>
        </w:rPr>
      </w:pPr>
    </w:p>
    <w:p>
      <w:pPr>
        <w:ind w:left="40"/>
        <w:spacing w:after="0"/>
        <w:tabs>
          <w:tab w:leader="none" w:pos="1000" w:val="left"/>
        </w:tabs>
        <w:rPr>
          <w:sz w:val="20"/>
          <w:szCs w:val="20"/>
          <w:color w:val="auto"/>
        </w:rPr>
      </w:pPr>
      <w:r>
        <w:rPr>
          <w:rFonts w:ascii="Arial" w:cs="Arial" w:eastAsia="Arial" w:hAnsi="Arial"/>
          <w:sz w:val="18"/>
          <w:szCs w:val="18"/>
          <w:b w:val="1"/>
          <w:bCs w:val="1"/>
          <w:color w:val="auto"/>
        </w:rPr>
        <w:t>ITEM 9A.</w:t>
      </w:r>
      <w:r>
        <w:rPr>
          <w:sz w:val="20"/>
          <w:szCs w:val="20"/>
          <w:color w:val="auto"/>
        </w:rPr>
        <w:tab/>
      </w:r>
      <w:r>
        <w:rPr>
          <w:rFonts w:ascii="Arial" w:cs="Arial" w:eastAsia="Arial" w:hAnsi="Arial"/>
          <w:sz w:val="17"/>
          <w:szCs w:val="17"/>
          <w:b w:val="1"/>
          <w:bCs w:val="1"/>
          <w:color w:val="auto"/>
        </w:rPr>
        <w:t>CONTROLS AND PROCEDURES</w:t>
      </w:r>
    </w:p>
    <w:p>
      <w:pPr>
        <w:spacing w:after="0" w:line="121"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color w:val="auto"/>
        </w:rPr>
        <w:t>Management’s Report on Internal Control Over Financial Reporting appears in Part II, Item 8, “Financial Statements and Supplementary Data” of this report and is incorporated into this Item 9A by reference.</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a. </w:t>
      </w:r>
      <w:r>
        <w:rPr>
          <w:rFonts w:ascii="Arial" w:cs="Arial" w:eastAsia="Arial" w:hAnsi="Arial"/>
          <w:sz w:val="18"/>
          <w:szCs w:val="18"/>
          <w:u w:val="single" w:color="auto"/>
          <w:color w:val="auto"/>
        </w:rPr>
        <w:t>Evaluation of Disclosure Controls and Procedures</w:t>
      </w:r>
    </w:p>
    <w:p>
      <w:pPr>
        <w:spacing w:after="0" w:line="90"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Our management, including the principal executive officer and principal financial officer, evaluated our disclosure controls and procedures (as defined in Rules 13a-15(e) and 15d-15(e) under the Securities Exchange Act of 1934) related to the recording, processing, summarization and reporting of information in our reports that we file with the Securities and Exchange Commission as of January 1, 2016. These disclosure controls and procedures have been designed to provide reasonable assurance that material information relating to us, including our subsidiaries, is made known to our management, including these officers, by our employees, and that this information is recorded, processed, summarized, evaluated and reported, as applicable, within the time periods specified in the Securities and Exchange Commission’s rules and forms. Based on their evaluation, as of January 1, 2016, our principal executive officer and principal financial officer have concluded that our disclosure controls and procedures are effective.</w:t>
      </w:r>
    </w:p>
    <w:p>
      <w:pPr>
        <w:spacing w:after="0" w:line="43"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b. </w:t>
      </w:r>
      <w:r>
        <w:rPr>
          <w:rFonts w:ascii="Arial" w:cs="Arial" w:eastAsia="Arial" w:hAnsi="Arial"/>
          <w:sz w:val="18"/>
          <w:szCs w:val="18"/>
          <w:u w:val="single" w:color="auto"/>
          <w:color w:val="auto"/>
        </w:rPr>
        <w:t>Changes in Internal Control Over Financial Reporting</w:t>
      </w:r>
    </w:p>
    <w:p>
      <w:pPr>
        <w:spacing w:after="0" w:line="90" w:lineRule="exact"/>
        <w:rPr>
          <w:sz w:val="20"/>
          <w:szCs w:val="20"/>
          <w:color w:val="auto"/>
        </w:rPr>
      </w:pPr>
    </w:p>
    <w:p>
      <w:pPr>
        <w:spacing w:after="0"/>
        <w:rPr>
          <w:sz w:val="20"/>
          <w:szCs w:val="20"/>
          <w:color w:val="auto"/>
        </w:rPr>
      </w:pPr>
      <w:r>
        <w:rPr>
          <w:rFonts w:ascii="Arial" w:cs="Arial" w:eastAsia="Arial" w:hAnsi="Arial"/>
          <w:sz w:val="18"/>
          <w:szCs w:val="18"/>
          <w:color w:val="auto"/>
        </w:rPr>
        <w:t>We acquired the following subsidiary during 2015:</w:t>
      </w:r>
    </w:p>
    <w:p>
      <w:pPr>
        <w:spacing w:after="0" w:line="90" w:lineRule="exact"/>
        <w:rPr>
          <w:sz w:val="20"/>
          <w:szCs w:val="20"/>
          <w:color w:val="auto"/>
        </w:rPr>
      </w:pPr>
    </w:p>
    <w:p>
      <w:pPr>
        <w:ind w:left="660" w:hanging="328"/>
        <w:spacing w:after="0"/>
        <w:tabs>
          <w:tab w:leader="none" w:pos="660" w:val="left"/>
        </w:tabs>
        <w:numPr>
          <w:ilvl w:val="0"/>
          <w:numId w:val="59"/>
        </w:numPr>
        <w:rPr>
          <w:rFonts w:ascii="Arial" w:cs="Arial" w:eastAsia="Arial" w:hAnsi="Arial"/>
          <w:sz w:val="18"/>
          <w:szCs w:val="18"/>
          <w:i w:val="1"/>
          <w:iCs w:val="1"/>
          <w:color w:val="auto"/>
        </w:rPr>
      </w:pPr>
      <w:r>
        <w:rPr>
          <w:rFonts w:ascii="Arial" w:cs="Arial" w:eastAsia="Arial" w:hAnsi="Arial"/>
          <w:sz w:val="18"/>
          <w:szCs w:val="18"/>
          <w:i w:val="1"/>
          <w:iCs w:val="1"/>
          <w:color w:val="auto"/>
        </w:rPr>
        <w:t>Lake Region Medical Holdings, Inc.</w:t>
      </w:r>
    </w:p>
    <w:p>
      <w:pPr>
        <w:spacing w:after="0" w:line="90" w:lineRule="exact"/>
        <w:rPr>
          <w:sz w:val="20"/>
          <w:szCs w:val="20"/>
          <w:color w:val="auto"/>
        </w:rPr>
      </w:pPr>
    </w:p>
    <w:p>
      <w:pPr>
        <w:jc w:val="both"/>
        <w:ind w:right="400"/>
        <w:spacing w:after="0" w:line="264" w:lineRule="auto"/>
        <w:rPr>
          <w:sz w:val="20"/>
          <w:szCs w:val="20"/>
          <w:color w:val="auto"/>
        </w:rPr>
      </w:pPr>
      <w:r>
        <w:rPr>
          <w:rFonts w:ascii="Arial" w:cs="Arial" w:eastAsia="Arial" w:hAnsi="Arial"/>
          <w:sz w:val="18"/>
          <w:szCs w:val="18"/>
          <w:color w:val="auto"/>
        </w:rPr>
        <w:t>We believe that the internal controls and procedures of the above mentioned subsidiary are reasonably likely to materially affect our internal control over financial reporting. We are currently in the process of incorporating the internal controls and procedures of this subsidiary into our internal controls over financial reporting.</w:t>
      </w:r>
    </w:p>
    <w:p>
      <w:pPr>
        <w:spacing w:after="0" w:line="46"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The Company has begun to extend its Section 404 compliance program under the Sarbanes-Oxley Act of 2002 (the “Act”) and the applicable rules and regulations under such Act to include this subsidiary. However, the Company has excluded this subsidiary from management’s assessment of the effectiveness of internal control over financial reporting as of January 1, 2016, as permitted by the guidance issued by the Office of the Chief Accountant of the Securities and Exchange Commission. This subsidiary represented approximately 66% of total assets, 17% of revenues, and 229% of net loss of the consolidated financial statement amounts as of and for the year ended January 1, 2016. The Company will report on its assessment of the internal controls of its combined operations within the time period provided by the Act and the applicable Securities and Exchange Commission rules and regulations concerning business combinations.</w:t>
      </w:r>
    </w:p>
    <w:p>
      <w:pPr>
        <w:spacing w:after="0" w:line="54" w:lineRule="exact"/>
        <w:rPr>
          <w:sz w:val="20"/>
          <w:szCs w:val="20"/>
          <w:color w:val="auto"/>
        </w:rPr>
      </w:pPr>
    </w:p>
    <w:p>
      <w:pPr>
        <w:ind w:right="300"/>
        <w:spacing w:after="0" w:line="342" w:lineRule="auto"/>
        <w:rPr>
          <w:sz w:val="20"/>
          <w:szCs w:val="20"/>
          <w:color w:val="auto"/>
        </w:rPr>
      </w:pPr>
      <w:r>
        <w:rPr>
          <w:rFonts w:ascii="Arial" w:cs="Arial" w:eastAsia="Arial" w:hAnsi="Arial"/>
          <w:sz w:val="16"/>
          <w:szCs w:val="16"/>
          <w:color w:val="auto"/>
        </w:rPr>
        <w:t>Other than as described above, there were no changes in the registrant’s internal control over financial reporting during our last fiscal quarter to which this Annual Report on Form 10-K relates that have materially affected, or are reasonably likely to materially affect, internal control over financial reporting.</w:t>
      </w:r>
    </w:p>
    <w:p>
      <w:pPr>
        <w:spacing w:after="0" w:line="363" w:lineRule="exact"/>
        <w:rPr>
          <w:sz w:val="20"/>
          <w:szCs w:val="20"/>
          <w:color w:val="auto"/>
        </w:rPr>
      </w:pPr>
    </w:p>
    <w:p>
      <w:pPr>
        <w:ind w:left="40"/>
        <w:spacing w:after="0"/>
        <w:tabs>
          <w:tab w:leader="none" w:pos="1000" w:val="left"/>
        </w:tabs>
        <w:rPr>
          <w:sz w:val="20"/>
          <w:szCs w:val="20"/>
          <w:color w:val="auto"/>
        </w:rPr>
      </w:pPr>
      <w:r>
        <w:rPr>
          <w:rFonts w:ascii="Arial" w:cs="Arial" w:eastAsia="Arial" w:hAnsi="Arial"/>
          <w:sz w:val="18"/>
          <w:szCs w:val="18"/>
          <w:b w:val="1"/>
          <w:bCs w:val="1"/>
          <w:color w:val="auto"/>
        </w:rPr>
        <w:t>ITEM 9B.</w:t>
        <w:tab/>
        <w:t>OTHER INFORMATION</w:t>
      </w:r>
    </w:p>
    <w:p>
      <w:pPr>
        <w:spacing w:after="0" w:line="12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None.</w:t>
      </w:r>
    </w:p>
    <w:p>
      <w:pPr>
        <w:spacing w:after="0" w:line="302"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PART III</w:t>
      </w:r>
    </w:p>
    <w:p>
      <w:pPr>
        <w:spacing w:after="0" w:line="360" w:lineRule="exact"/>
        <w:rPr>
          <w:sz w:val="20"/>
          <w:szCs w:val="20"/>
          <w:color w:val="auto"/>
        </w:rPr>
      </w:pPr>
    </w:p>
    <w:p>
      <w:pPr>
        <w:ind w:left="40"/>
        <w:spacing w:after="0"/>
        <w:tabs>
          <w:tab w:leader="none" w:pos="1000" w:val="left"/>
        </w:tabs>
        <w:rPr>
          <w:sz w:val="20"/>
          <w:szCs w:val="20"/>
          <w:color w:val="auto"/>
        </w:rPr>
      </w:pPr>
      <w:r>
        <w:rPr>
          <w:rFonts w:ascii="Arial" w:cs="Arial" w:eastAsia="Arial" w:hAnsi="Arial"/>
          <w:sz w:val="18"/>
          <w:szCs w:val="18"/>
          <w:b w:val="1"/>
          <w:bCs w:val="1"/>
          <w:color w:val="auto"/>
        </w:rPr>
        <w:t>ITEM 10.</w:t>
        <w:tab/>
        <w:t>DIRECTORS, EXECUTIVE OFFICERS AND CORPORATE GOVERNANCE</w:t>
      </w:r>
    </w:p>
    <w:p>
      <w:pPr>
        <w:spacing w:after="0" w:line="121" w:lineRule="exact"/>
        <w:rPr>
          <w:sz w:val="20"/>
          <w:szCs w:val="20"/>
          <w:color w:val="auto"/>
        </w:rPr>
      </w:pPr>
    </w:p>
    <w:p>
      <w:pPr>
        <w:ind w:left="420" w:right="420"/>
        <w:spacing w:after="0" w:line="277" w:lineRule="auto"/>
        <w:rPr>
          <w:sz w:val="20"/>
          <w:szCs w:val="20"/>
          <w:color w:val="auto"/>
        </w:rPr>
      </w:pPr>
      <w:r>
        <w:rPr>
          <w:rFonts w:ascii="Arial" w:cs="Arial" w:eastAsia="Arial" w:hAnsi="Arial"/>
          <w:sz w:val="18"/>
          <w:szCs w:val="18"/>
          <w:color w:val="auto"/>
        </w:rPr>
        <w:t>Information regarding the Company’s directors appearing under the caption “Election of Directors” in the Company’s Proxy Statement for its 2016 Annual Meeting of Stockholders is incorporated herein by reference.</w:t>
      </w:r>
    </w:p>
    <w:p>
      <w:pPr>
        <w:spacing w:after="0" w:line="35" w:lineRule="exact"/>
        <w:rPr>
          <w:sz w:val="20"/>
          <w:szCs w:val="20"/>
          <w:color w:val="auto"/>
        </w:rPr>
      </w:pPr>
    </w:p>
    <w:p>
      <w:pPr>
        <w:ind w:left="420" w:right="300"/>
        <w:spacing w:after="0" w:line="277" w:lineRule="auto"/>
        <w:rPr>
          <w:sz w:val="20"/>
          <w:szCs w:val="20"/>
          <w:color w:val="auto"/>
        </w:rPr>
      </w:pPr>
      <w:r>
        <w:rPr>
          <w:rFonts w:ascii="Arial" w:cs="Arial" w:eastAsia="Arial" w:hAnsi="Arial"/>
          <w:sz w:val="18"/>
          <w:szCs w:val="18"/>
          <w:color w:val="auto"/>
        </w:rPr>
        <w:t>Information regarding the Company’s executive officers is presented under the caption “Executive Officers of the Company” in Part I of this Annual Report on Form 10-K.</w:t>
      </w:r>
    </w:p>
    <w:p>
      <w:pPr>
        <w:spacing w:after="0" w:line="35" w:lineRule="exact"/>
        <w:rPr>
          <w:sz w:val="20"/>
          <w:szCs w:val="20"/>
          <w:color w:val="auto"/>
        </w:rPr>
      </w:pPr>
    </w:p>
    <w:p>
      <w:pPr>
        <w:ind w:left="420" w:right="340"/>
        <w:spacing w:after="0" w:line="277" w:lineRule="auto"/>
        <w:rPr>
          <w:sz w:val="20"/>
          <w:szCs w:val="20"/>
          <w:color w:val="auto"/>
        </w:rPr>
      </w:pPr>
      <w:r>
        <w:rPr>
          <w:rFonts w:ascii="Arial" w:cs="Arial" w:eastAsia="Arial" w:hAnsi="Arial"/>
          <w:sz w:val="18"/>
          <w:szCs w:val="18"/>
          <w:color w:val="auto"/>
        </w:rPr>
        <w:t>The other information required by Item 10 is incorporated herein by reference from the Company’s Proxy Statement for its 2016 Annual Meeting of Stockholders.</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- 112 -</w:t>
      </w:r>
    </w:p>
    <w:p>
      <w:pPr>
        <w:sectPr>
          <w:pgSz w:w="11900" w:h="16838" w:orient="portrait"/>
          <w:cols w:equalWidth="0" w:num="1">
            <w:col w:w="11420"/>
          </w:cols>
          <w:pgMar w:left="240" w:top="958" w:right="239" w:bottom="1440" w:gutter="0" w:footer="0" w:header="0"/>
        </w:sectPr>
      </w:pPr>
    </w:p>
    <w:bookmarkStart w:id="113" w:name="page114"/>
    <w:bookmarkEnd w:id="113"/>
    <w:p>
      <w:pPr>
        <w:spacing w:after="0"/>
        <w:tabs>
          <w:tab w:leader="none" w:pos="960" w:val="left"/>
        </w:tabs>
        <w:rPr>
          <w:sz w:val="20"/>
          <w:szCs w:val="20"/>
          <w:color w:val="auto"/>
        </w:rPr>
      </w:pPr>
      <w:r>
        <w:rPr>
          <w:rFonts w:ascii="Arial" w:cs="Arial" w:eastAsia="Arial" w:hAnsi="Arial"/>
          <w:sz w:val="18"/>
          <w:szCs w:val="18"/>
          <w:b w:val="1"/>
          <w:bCs w:val="1"/>
          <w:color w:val="auto"/>
        </w:rPr>
        <w:t>ITEM 11.</w:t>
        <w:tab/>
        <w:t>EXECUTIVE COMPENSATION</w:t>
      </w:r>
    </w:p>
    <w:p>
      <w:pPr>
        <w:spacing w:after="0" w:line="121" w:lineRule="exact"/>
        <w:rPr>
          <w:sz w:val="20"/>
          <w:szCs w:val="20"/>
          <w:color w:val="auto"/>
        </w:rPr>
      </w:pPr>
    </w:p>
    <w:p>
      <w:pPr>
        <w:ind w:left="380" w:right="20"/>
        <w:spacing w:after="0" w:line="277" w:lineRule="auto"/>
        <w:rPr>
          <w:sz w:val="20"/>
          <w:szCs w:val="20"/>
          <w:color w:val="auto"/>
        </w:rPr>
      </w:pPr>
      <w:r>
        <w:rPr>
          <w:rFonts w:ascii="Arial" w:cs="Arial" w:eastAsia="Arial" w:hAnsi="Arial"/>
          <w:sz w:val="18"/>
          <w:szCs w:val="18"/>
          <w:color w:val="auto"/>
        </w:rPr>
        <w:t>Information regarding executive compensation in the Company’s Proxy Statement for the 2016 Annual Meeting of Stockholders is incorporated herein by reference.</w:t>
      </w:r>
    </w:p>
    <w:p>
      <w:pPr>
        <w:spacing w:after="0" w:line="200" w:lineRule="exact"/>
        <w:rPr>
          <w:sz w:val="20"/>
          <w:szCs w:val="20"/>
          <w:color w:val="auto"/>
        </w:rPr>
      </w:pPr>
    </w:p>
    <w:p>
      <w:pPr>
        <w:spacing w:after="0" w:line="210" w:lineRule="exact"/>
        <w:rPr>
          <w:sz w:val="20"/>
          <w:szCs w:val="20"/>
          <w:color w:val="auto"/>
        </w:rPr>
      </w:pPr>
    </w:p>
    <w:p>
      <w:pPr>
        <w:ind w:left="1000" w:right="2740" w:hanging="998"/>
        <w:spacing w:after="0" w:line="282" w:lineRule="auto"/>
        <w:tabs>
          <w:tab w:leader="none" w:pos="980" w:val="left"/>
        </w:tabs>
        <w:rPr>
          <w:sz w:val="20"/>
          <w:szCs w:val="20"/>
          <w:color w:val="auto"/>
        </w:rPr>
      </w:pPr>
      <w:r>
        <w:rPr>
          <w:rFonts w:ascii="Arial" w:cs="Arial" w:eastAsia="Arial" w:hAnsi="Arial"/>
          <w:sz w:val="18"/>
          <w:szCs w:val="18"/>
          <w:b w:val="1"/>
          <w:bCs w:val="1"/>
          <w:color w:val="auto"/>
        </w:rPr>
        <w:t>ITEM 12.</w:t>
        <w:tab/>
        <w:t>SECURITY OWNERSHIP OF CERTAIN BENEFICIAL OWNERS AND MANAGEMENT AND RELATED STOCKHOLDER MATTERS</w:t>
      </w:r>
    </w:p>
    <w:p>
      <w:pPr>
        <w:spacing w:after="0" w:line="58" w:lineRule="exact"/>
        <w:rPr>
          <w:sz w:val="20"/>
          <w:szCs w:val="20"/>
          <w:color w:val="auto"/>
        </w:rPr>
      </w:pPr>
    </w:p>
    <w:p>
      <w:pPr>
        <w:ind w:left="380" w:right="120"/>
        <w:spacing w:after="0" w:line="264" w:lineRule="auto"/>
        <w:rPr>
          <w:sz w:val="20"/>
          <w:szCs w:val="20"/>
          <w:color w:val="auto"/>
        </w:rPr>
      </w:pPr>
      <w:r>
        <w:rPr>
          <w:rFonts w:ascii="Arial" w:cs="Arial" w:eastAsia="Arial" w:hAnsi="Arial"/>
          <w:sz w:val="18"/>
          <w:szCs w:val="18"/>
          <w:color w:val="auto"/>
        </w:rPr>
        <w:t>Information regarding security ownership of certain beneficial owners and management and related stockholder matters, including the table titled “Equity Compensation Plan Information,” in the Company’s Proxy Statement for the 2016 Annual Meeting of Stockholders is incorporated herein by reference.</w:t>
      </w:r>
    </w:p>
    <w:p>
      <w:pPr>
        <w:spacing w:after="0" w:line="200" w:lineRule="exact"/>
        <w:rPr>
          <w:sz w:val="20"/>
          <w:szCs w:val="20"/>
          <w:color w:val="auto"/>
        </w:rPr>
      </w:pPr>
    </w:p>
    <w:p>
      <w:pPr>
        <w:spacing w:after="0" w:line="220"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ITEM 13.</w:t>
        <w:tab/>
        <w:t>CERTAIN RELATIONSHIPS AND RELATED TRANSACTIONS, AND DIRECTOR INDEPENDENCE</w:t>
      </w:r>
    </w:p>
    <w:p>
      <w:pPr>
        <w:spacing w:after="0" w:line="121" w:lineRule="exact"/>
        <w:rPr>
          <w:sz w:val="20"/>
          <w:szCs w:val="20"/>
          <w:color w:val="auto"/>
        </w:rPr>
      </w:pPr>
    </w:p>
    <w:p>
      <w:pPr>
        <w:ind w:left="380"/>
        <w:spacing w:after="0" w:line="277" w:lineRule="auto"/>
        <w:rPr>
          <w:sz w:val="20"/>
          <w:szCs w:val="20"/>
          <w:color w:val="auto"/>
        </w:rPr>
      </w:pPr>
      <w:r>
        <w:rPr>
          <w:rFonts w:ascii="Arial" w:cs="Arial" w:eastAsia="Arial" w:hAnsi="Arial"/>
          <w:sz w:val="18"/>
          <w:szCs w:val="18"/>
          <w:color w:val="auto"/>
        </w:rPr>
        <w:t>Information regarding certain relationships and related transactions, and director independence in the Company’s Proxy Statement for the 2016 Annual Meeting of Stockholders is incorporated herein by reference.</w:t>
      </w:r>
    </w:p>
    <w:p>
      <w:pPr>
        <w:spacing w:after="0" w:line="200" w:lineRule="exact"/>
        <w:rPr>
          <w:sz w:val="20"/>
          <w:szCs w:val="20"/>
          <w:color w:val="auto"/>
        </w:rPr>
      </w:pPr>
    </w:p>
    <w:p>
      <w:pPr>
        <w:spacing w:after="0" w:line="210"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ITEM 14.</w:t>
      </w:r>
      <w:r>
        <w:rPr>
          <w:sz w:val="20"/>
          <w:szCs w:val="20"/>
          <w:color w:val="auto"/>
        </w:rPr>
        <w:tab/>
      </w:r>
      <w:r>
        <w:rPr>
          <w:rFonts w:ascii="Arial" w:cs="Arial" w:eastAsia="Arial" w:hAnsi="Arial"/>
          <w:sz w:val="17"/>
          <w:szCs w:val="17"/>
          <w:b w:val="1"/>
          <w:bCs w:val="1"/>
          <w:color w:val="auto"/>
        </w:rPr>
        <w:t>PRINCIPAL ACCOUNTING FEES AND SERVICES</w:t>
      </w:r>
    </w:p>
    <w:p>
      <w:pPr>
        <w:spacing w:after="0" w:line="121" w:lineRule="exact"/>
        <w:rPr>
          <w:sz w:val="20"/>
          <w:szCs w:val="20"/>
          <w:color w:val="auto"/>
        </w:rPr>
      </w:pPr>
    </w:p>
    <w:p>
      <w:pPr>
        <w:ind w:left="380"/>
        <w:spacing w:after="0" w:line="277" w:lineRule="auto"/>
        <w:rPr>
          <w:sz w:val="20"/>
          <w:szCs w:val="20"/>
          <w:color w:val="auto"/>
        </w:rPr>
      </w:pPr>
      <w:r>
        <w:rPr>
          <w:rFonts w:ascii="Arial" w:cs="Arial" w:eastAsia="Arial" w:hAnsi="Arial"/>
          <w:sz w:val="18"/>
          <w:szCs w:val="18"/>
          <w:color w:val="auto"/>
        </w:rPr>
        <w:t>Information regarding the fees paid to and services provided by Deloitte &amp; Touche LLP, the Company’s independent registered public accounting firm, in the Company’s Proxy Statement for the 2016 Annual Meeting of Stockholders is incorporated herein by reference.</w:t>
      </w:r>
    </w:p>
    <w:p>
      <w:pPr>
        <w:spacing w:after="0" w:line="200" w:lineRule="exact"/>
        <w:rPr>
          <w:sz w:val="20"/>
          <w:szCs w:val="20"/>
          <w:color w:val="auto"/>
        </w:rPr>
      </w:pPr>
    </w:p>
    <w:p>
      <w:pPr>
        <w:spacing w:after="0" w:line="295"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- 113 -</w:t>
      </w:r>
    </w:p>
    <w:p>
      <w:pPr>
        <w:sectPr>
          <w:pgSz w:w="11900" w:h="16838" w:orient="portrait"/>
          <w:cols w:equalWidth="0" w:num="1">
            <w:col w:w="11260"/>
          </w:cols>
          <w:pgMar w:left="280" w:top="1256" w:right="359" w:bottom="1440" w:gutter="0" w:footer="0" w:header="0"/>
        </w:sectPr>
      </w:pPr>
    </w:p>
    <w:bookmarkStart w:id="114" w:name="page115"/>
    <w:bookmarkEnd w:id="114"/>
    <w:p>
      <w:pPr>
        <w:jc w:val="center"/>
        <w:ind w:right="-19"/>
        <w:spacing w:after="0"/>
        <w:rPr>
          <w:sz w:val="20"/>
          <w:szCs w:val="20"/>
          <w:color w:val="auto"/>
        </w:rPr>
      </w:pPr>
      <w:r>
        <w:rPr>
          <w:rFonts w:ascii="Arial" w:cs="Arial" w:eastAsia="Arial" w:hAnsi="Arial"/>
          <w:sz w:val="18"/>
          <w:szCs w:val="18"/>
          <w:b w:val="1"/>
          <w:bCs w:val="1"/>
          <w:color w:val="auto"/>
        </w:rPr>
        <w:t>PART IV</w:t>
      </w:r>
    </w:p>
    <w:p>
      <w:pPr>
        <w:spacing w:after="0" w:line="360" w:lineRule="exact"/>
        <w:rPr>
          <w:sz w:val="20"/>
          <w:szCs w:val="20"/>
          <w:color w:val="auto"/>
        </w:rPr>
      </w:pPr>
    </w:p>
    <w:p>
      <w:pPr>
        <w:ind w:left="40"/>
        <w:spacing w:after="0"/>
        <w:tabs>
          <w:tab w:leader="none" w:pos="1000" w:val="left"/>
        </w:tabs>
        <w:rPr>
          <w:sz w:val="20"/>
          <w:szCs w:val="20"/>
          <w:color w:val="auto"/>
        </w:rPr>
      </w:pPr>
      <w:r>
        <w:rPr>
          <w:rFonts w:ascii="Arial" w:cs="Arial" w:eastAsia="Arial" w:hAnsi="Arial"/>
          <w:sz w:val="18"/>
          <w:szCs w:val="18"/>
          <w:b w:val="1"/>
          <w:bCs w:val="1"/>
          <w:color w:val="auto"/>
        </w:rPr>
        <w:t>ITEM 15.</w:t>
        <w:tab/>
        <w:t>EXHIBITS, FINANCIAL STATEMENT SCHEDULES</w:t>
      </w:r>
    </w:p>
    <w:p>
      <w:pPr>
        <w:spacing w:after="0" w:line="144" w:lineRule="exact"/>
        <w:rPr>
          <w:sz w:val="20"/>
          <w:szCs w:val="20"/>
          <w:color w:val="auto"/>
        </w:rPr>
      </w:pPr>
    </w:p>
    <w:p>
      <w:pPr>
        <w:ind w:left="500" w:hanging="330"/>
        <w:spacing w:after="0"/>
        <w:tabs>
          <w:tab w:leader="none" w:pos="500" w:val="left"/>
        </w:tabs>
        <w:numPr>
          <w:ilvl w:val="0"/>
          <w:numId w:val="60"/>
        </w:numPr>
        <w:rPr>
          <w:rFonts w:ascii="Arial" w:cs="Arial" w:eastAsia="Arial" w:hAnsi="Arial"/>
          <w:sz w:val="18"/>
          <w:szCs w:val="18"/>
          <w:b w:val="1"/>
          <w:bCs w:val="1"/>
          <w:color w:val="auto"/>
        </w:rPr>
      </w:pPr>
      <w:r>
        <w:rPr>
          <w:rFonts w:ascii="Arial" w:cs="Arial" w:eastAsia="Arial" w:hAnsi="Arial"/>
          <w:sz w:val="18"/>
          <w:szCs w:val="18"/>
          <w:b w:val="1"/>
          <w:bCs w:val="1"/>
          <w:color w:val="auto"/>
        </w:rPr>
        <w:t>LIST OF DOCUMENTS FILED AS PART OF THIS REPORT</w:t>
      </w:r>
    </w:p>
    <w:p>
      <w:pPr>
        <w:spacing w:after="0" w:line="121" w:lineRule="exact"/>
        <w:rPr>
          <w:rFonts w:ascii="Arial" w:cs="Arial" w:eastAsia="Arial" w:hAnsi="Arial"/>
          <w:sz w:val="18"/>
          <w:szCs w:val="18"/>
          <w:b w:val="1"/>
          <w:bCs w:val="1"/>
          <w:color w:val="auto"/>
        </w:rPr>
      </w:pPr>
    </w:p>
    <w:p>
      <w:pPr>
        <w:ind w:left="820" w:hanging="326"/>
        <w:spacing w:after="0" w:line="277" w:lineRule="auto"/>
        <w:tabs>
          <w:tab w:leader="none" w:pos="820" w:val="left"/>
        </w:tabs>
        <w:numPr>
          <w:ilvl w:val="1"/>
          <w:numId w:val="60"/>
        </w:numPr>
        <w:rPr>
          <w:rFonts w:ascii="Arial" w:cs="Arial" w:eastAsia="Arial" w:hAnsi="Arial"/>
          <w:sz w:val="18"/>
          <w:szCs w:val="18"/>
          <w:color w:val="auto"/>
        </w:rPr>
      </w:pPr>
      <w:r>
        <w:rPr>
          <w:rFonts w:ascii="Arial" w:cs="Arial" w:eastAsia="Arial" w:hAnsi="Arial"/>
          <w:sz w:val="18"/>
          <w:szCs w:val="18"/>
          <w:color w:val="auto"/>
        </w:rPr>
        <w:t>Financial statements and financial statement schedules filed as part of this Annual Report on Form 10-K. See Part II, Item 8. “Financial Statements and Supplementary Data.”</w:t>
      </w:r>
    </w:p>
    <w:p>
      <w:pPr>
        <w:spacing w:after="0" w:line="62" w:lineRule="exact"/>
        <w:rPr>
          <w:rFonts w:ascii="Arial" w:cs="Arial" w:eastAsia="Arial" w:hAnsi="Arial"/>
          <w:sz w:val="18"/>
          <w:szCs w:val="18"/>
          <w:color w:val="auto"/>
        </w:rPr>
      </w:pPr>
    </w:p>
    <w:p>
      <w:pPr>
        <w:ind w:left="820" w:hanging="326"/>
        <w:spacing w:after="0"/>
        <w:tabs>
          <w:tab w:leader="none" w:pos="820" w:val="left"/>
        </w:tabs>
        <w:numPr>
          <w:ilvl w:val="1"/>
          <w:numId w:val="60"/>
        </w:numPr>
        <w:rPr>
          <w:rFonts w:ascii="Arial" w:cs="Arial" w:eastAsia="Arial" w:hAnsi="Arial"/>
          <w:sz w:val="18"/>
          <w:szCs w:val="18"/>
          <w:color w:val="auto"/>
        </w:rPr>
      </w:pPr>
      <w:r>
        <w:rPr>
          <w:rFonts w:ascii="Arial" w:cs="Arial" w:eastAsia="Arial" w:hAnsi="Arial"/>
          <w:sz w:val="18"/>
          <w:szCs w:val="18"/>
          <w:color w:val="auto"/>
        </w:rPr>
        <w:t>The following financial statement schedule is included in this Annual Report on Form 10-K (in thousands):</w:t>
      </w:r>
    </w:p>
    <w:p>
      <w:pPr>
        <w:spacing w:after="0" w:line="27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Schedule II—Valuation and Qualifying Accounts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102870</wp:posOffset>
            </wp:positionV>
            <wp:extent cx="7117715" cy="1714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17715" cy="171450"/>
                    </a:xfrm>
                    <a:prstGeom prst="rect">
                      <a:avLst/>
                    </a:prstGeom>
                    <a:noFill/>
                  </pic:spPr>
                </pic:pic>
              </a:graphicData>
            </a:graphic>
          </wp:anchor>
        </w:drawing>
      </w:r>
    </w:p>
    <w:p>
      <w:pPr>
        <w:spacing w:after="0" w:line="214" w:lineRule="exact"/>
        <w:rPr>
          <w:sz w:val="20"/>
          <w:szCs w:val="20"/>
          <w:color w:val="auto"/>
        </w:rPr>
      </w:pPr>
    </w:p>
    <w:p>
      <w:pPr>
        <w:ind w:left="6080"/>
        <w:spacing w:after="0"/>
        <w:rPr>
          <w:sz w:val="20"/>
          <w:szCs w:val="20"/>
          <w:color w:val="auto"/>
        </w:rPr>
      </w:pPr>
      <w:r>
        <w:rPr>
          <w:rFonts w:ascii="Arial" w:cs="Arial" w:eastAsia="Arial" w:hAnsi="Arial"/>
          <w:sz w:val="14"/>
          <w:szCs w:val="14"/>
          <w:b w:val="1"/>
          <w:bCs w:val="1"/>
          <w:color w:val="auto"/>
        </w:rPr>
        <w:t>Col. C—Additions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3427095</wp:posOffset>
            </wp:positionH>
            <wp:positionV relativeFrom="paragraph">
              <wp:posOffset>23495</wp:posOffset>
            </wp:positionV>
            <wp:extent cx="1569085"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569085" cy="8890"/>
                    </a:xfrm>
                    <a:prstGeom prst="rect">
                      <a:avLst/>
                    </a:prstGeom>
                    <a:noFill/>
                  </pic:spPr>
                </pic:pic>
              </a:graphicData>
            </a:graphic>
          </wp:anchor>
        </w:drawing>
      </w:r>
    </w:p>
    <w:p>
      <w:pPr>
        <w:spacing w:after="0" w:line="23" w:lineRule="exact"/>
        <w:rPr>
          <w:sz w:val="20"/>
          <w:szCs w:val="20"/>
          <w:color w:val="auto"/>
        </w:rPr>
      </w:pPr>
    </w:p>
    <w:tbl>
      <w:tblPr>
        <w:tblLayout w:type="fixed"/>
        <w:tblInd w:w="12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3440" w:type="dxa"/>
            <w:vAlign w:val="bottom"/>
          </w:tcPr>
          <w:p>
            <w:pPr>
              <w:spacing w:after="0"/>
              <w:rPr>
                <w:sz w:val="14"/>
                <w:szCs w:val="14"/>
                <w:color w:val="auto"/>
              </w:rPr>
            </w:pPr>
          </w:p>
        </w:tc>
        <w:tc>
          <w:tcPr>
            <w:tcW w:w="1120" w:type="dxa"/>
            <w:vAlign w:val="bottom"/>
            <w:gridSpan w:val="3"/>
            <w:vMerge w:val="restart"/>
          </w:tcPr>
          <w:p>
            <w:pPr>
              <w:jc w:val="center"/>
              <w:ind w:right="140"/>
              <w:spacing w:after="0"/>
              <w:rPr>
                <w:sz w:val="20"/>
                <w:szCs w:val="20"/>
                <w:color w:val="auto"/>
              </w:rPr>
            </w:pPr>
            <w:r>
              <w:rPr>
                <w:rFonts w:ascii="Arial" w:cs="Arial" w:eastAsia="Arial" w:hAnsi="Arial"/>
                <w:sz w:val="14"/>
                <w:szCs w:val="14"/>
                <w:b w:val="1"/>
                <w:bCs w:val="1"/>
                <w:color w:val="auto"/>
                <w:w w:val="91"/>
              </w:rPr>
              <w:t>Col. B Balance</w:t>
            </w:r>
          </w:p>
        </w:tc>
        <w:tc>
          <w:tcPr>
            <w:tcW w:w="120" w:type="dxa"/>
            <w:vAlign w:val="bottom"/>
          </w:tcPr>
          <w:p>
            <w:pPr>
              <w:spacing w:after="0"/>
              <w:rPr>
                <w:sz w:val="14"/>
                <w:szCs w:val="14"/>
                <w:color w:val="auto"/>
              </w:rPr>
            </w:pPr>
          </w:p>
        </w:tc>
        <w:tc>
          <w:tcPr>
            <w:tcW w:w="1340" w:type="dxa"/>
            <w:vAlign w:val="bottom"/>
            <w:gridSpan w:val="2"/>
            <w:vMerge w:val="restart"/>
          </w:tcPr>
          <w:p>
            <w:pPr>
              <w:jc w:val="center"/>
              <w:ind w:right="580"/>
              <w:spacing w:after="0"/>
              <w:rPr>
                <w:sz w:val="20"/>
                <w:szCs w:val="20"/>
                <w:color w:val="auto"/>
              </w:rPr>
            </w:pPr>
            <w:r>
              <w:rPr>
                <w:rFonts w:ascii="Arial" w:cs="Arial" w:eastAsia="Arial" w:hAnsi="Arial"/>
                <w:sz w:val="14"/>
                <w:szCs w:val="14"/>
                <w:b w:val="1"/>
                <w:bCs w:val="1"/>
                <w:color w:val="auto"/>
                <w:w w:val="91"/>
              </w:rPr>
              <w:t>Charged to</w:t>
            </w:r>
          </w:p>
        </w:tc>
        <w:tc>
          <w:tcPr>
            <w:tcW w:w="120" w:type="dxa"/>
            <w:vAlign w:val="bottom"/>
          </w:tcPr>
          <w:p>
            <w:pPr>
              <w:spacing w:after="0"/>
              <w:rPr>
                <w:sz w:val="14"/>
                <w:szCs w:val="14"/>
                <w:color w:val="auto"/>
              </w:rPr>
            </w:pPr>
          </w:p>
        </w:tc>
        <w:tc>
          <w:tcPr>
            <w:tcW w:w="880" w:type="dxa"/>
            <w:vAlign w:val="bottom"/>
          </w:tcPr>
          <w:p>
            <w:pPr>
              <w:jc w:val="center"/>
              <w:ind w:right="57"/>
              <w:spacing w:after="0"/>
              <w:rPr>
                <w:sz w:val="20"/>
                <w:szCs w:val="20"/>
                <w:color w:val="auto"/>
              </w:rPr>
            </w:pPr>
            <w:r>
              <w:rPr>
                <w:rFonts w:ascii="Arial" w:cs="Arial" w:eastAsia="Arial" w:hAnsi="Arial"/>
                <w:sz w:val="14"/>
                <w:szCs w:val="14"/>
                <w:b w:val="1"/>
                <w:bCs w:val="1"/>
                <w:color w:val="auto"/>
                <w:w w:val="94"/>
              </w:rPr>
              <w:t>Charged to</w:t>
            </w:r>
          </w:p>
        </w:tc>
        <w:tc>
          <w:tcPr>
            <w:tcW w:w="7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80" w:type="dxa"/>
            <w:vAlign w:val="bottom"/>
            <w:vMerge w:val="restart"/>
          </w:tcPr>
          <w:p>
            <w:pPr>
              <w:jc w:val="center"/>
              <w:ind w:right="76"/>
              <w:spacing w:after="0"/>
              <w:rPr>
                <w:sz w:val="20"/>
                <w:szCs w:val="20"/>
                <w:color w:val="auto"/>
              </w:rPr>
            </w:pPr>
            <w:r>
              <w:rPr>
                <w:rFonts w:ascii="Arial" w:cs="Arial" w:eastAsia="Arial" w:hAnsi="Arial"/>
                <w:sz w:val="14"/>
                <w:szCs w:val="14"/>
                <w:b w:val="1"/>
                <w:bCs w:val="1"/>
                <w:color w:val="auto"/>
                <w:w w:val="98"/>
              </w:rPr>
              <w:t>Col. D</w:t>
            </w:r>
          </w:p>
        </w:tc>
        <w:tc>
          <w:tcPr>
            <w:tcW w:w="660" w:type="dxa"/>
            <w:vAlign w:val="bottom"/>
          </w:tcPr>
          <w:p>
            <w:pPr>
              <w:spacing w:after="0"/>
              <w:rPr>
                <w:sz w:val="14"/>
                <w:szCs w:val="14"/>
                <w:color w:val="auto"/>
              </w:rPr>
            </w:pPr>
          </w:p>
        </w:tc>
        <w:tc>
          <w:tcPr>
            <w:tcW w:w="1000" w:type="dxa"/>
            <w:vAlign w:val="bottom"/>
            <w:gridSpan w:val="2"/>
            <w:vMerge w:val="restart"/>
          </w:tcPr>
          <w:p>
            <w:pPr>
              <w:jc w:val="center"/>
              <w:spacing w:after="0"/>
              <w:rPr>
                <w:sz w:val="20"/>
                <w:szCs w:val="20"/>
                <w:color w:val="auto"/>
              </w:rPr>
            </w:pPr>
            <w:r>
              <w:rPr>
                <w:rFonts w:ascii="Arial" w:cs="Arial" w:eastAsia="Arial" w:hAnsi="Arial"/>
                <w:sz w:val="14"/>
                <w:szCs w:val="14"/>
                <w:b w:val="1"/>
                <w:bCs w:val="1"/>
                <w:color w:val="auto"/>
                <w:w w:val="92"/>
              </w:rPr>
              <w:t>Col. E Balance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14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Col. A</w:t>
            </w:r>
          </w:p>
        </w:tc>
        <w:tc>
          <w:tcPr>
            <w:tcW w:w="1120" w:type="dxa"/>
            <w:vAlign w:val="bottom"/>
            <w:gridSpan w:val="3"/>
            <w:vMerge w:val="continue"/>
          </w:tcPr>
          <w:p>
            <w:pPr>
              <w:spacing w:after="0"/>
              <w:rPr>
                <w:sz w:val="12"/>
                <w:szCs w:val="12"/>
                <w:color w:val="auto"/>
              </w:rPr>
            </w:pPr>
          </w:p>
        </w:tc>
        <w:tc>
          <w:tcPr>
            <w:tcW w:w="120" w:type="dxa"/>
            <w:vAlign w:val="bottom"/>
          </w:tcPr>
          <w:p>
            <w:pPr>
              <w:spacing w:after="0"/>
              <w:rPr>
                <w:sz w:val="12"/>
                <w:szCs w:val="12"/>
                <w:color w:val="auto"/>
              </w:rPr>
            </w:pPr>
          </w:p>
        </w:tc>
        <w:tc>
          <w:tcPr>
            <w:tcW w:w="134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tcPr>
          <w:p>
            <w:pPr>
              <w:jc w:val="center"/>
              <w:ind w:right="37"/>
              <w:spacing w:after="0" w:line="149" w:lineRule="exact"/>
              <w:rPr>
                <w:sz w:val="20"/>
                <w:szCs w:val="20"/>
                <w:color w:val="auto"/>
              </w:rPr>
            </w:pPr>
            <w:r>
              <w:rPr>
                <w:rFonts w:ascii="Arial" w:cs="Arial" w:eastAsia="Arial" w:hAnsi="Arial"/>
                <w:sz w:val="14"/>
                <w:szCs w:val="14"/>
                <w:b w:val="1"/>
                <w:bCs w:val="1"/>
                <w:color w:val="auto"/>
                <w:w w:val="96"/>
              </w:rPr>
              <w:t>Other</w:t>
            </w:r>
          </w:p>
        </w:tc>
        <w:tc>
          <w:tcPr>
            <w:tcW w:w="7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vMerge w:val="continue"/>
          </w:tcPr>
          <w:p>
            <w:pPr>
              <w:spacing w:after="0"/>
              <w:rPr>
                <w:sz w:val="12"/>
                <w:szCs w:val="12"/>
                <w:color w:val="auto"/>
              </w:rPr>
            </w:pPr>
          </w:p>
        </w:tc>
        <w:tc>
          <w:tcPr>
            <w:tcW w:w="660" w:type="dxa"/>
            <w:vAlign w:val="bottom"/>
          </w:tcPr>
          <w:p>
            <w:pPr>
              <w:spacing w:after="0"/>
              <w:rPr>
                <w:sz w:val="12"/>
                <w:szCs w:val="12"/>
                <w:color w:val="auto"/>
              </w:rPr>
            </w:pPr>
          </w:p>
        </w:tc>
        <w:tc>
          <w:tcPr>
            <w:tcW w:w="100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14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1"/>
              </w:rPr>
              <w:t>at Beginning</w:t>
            </w:r>
          </w:p>
        </w:tc>
        <w:tc>
          <w:tcPr>
            <w:tcW w:w="120" w:type="dxa"/>
            <w:vAlign w:val="bottom"/>
          </w:tcPr>
          <w:p>
            <w:pPr>
              <w:spacing w:after="0"/>
              <w:rPr>
                <w:sz w:val="12"/>
                <w:szCs w:val="12"/>
                <w:color w:val="auto"/>
              </w:rPr>
            </w:pPr>
          </w:p>
        </w:tc>
        <w:tc>
          <w:tcPr>
            <w:tcW w:w="1340" w:type="dxa"/>
            <w:vAlign w:val="bottom"/>
            <w:gridSpan w:val="2"/>
          </w:tcPr>
          <w:p>
            <w:pPr>
              <w:jc w:val="center"/>
              <w:ind w:right="580"/>
              <w:spacing w:after="0" w:line="149" w:lineRule="exact"/>
              <w:rPr>
                <w:sz w:val="20"/>
                <w:szCs w:val="20"/>
                <w:color w:val="auto"/>
              </w:rPr>
            </w:pPr>
            <w:r>
              <w:rPr>
                <w:rFonts w:ascii="Arial" w:cs="Arial" w:eastAsia="Arial" w:hAnsi="Arial"/>
                <w:sz w:val="14"/>
                <w:szCs w:val="14"/>
                <w:b w:val="1"/>
                <w:bCs w:val="1"/>
                <w:color w:val="auto"/>
                <w:w w:val="90"/>
              </w:rPr>
              <w:t>Costs &amp;</w:t>
            </w:r>
          </w:p>
        </w:tc>
        <w:tc>
          <w:tcPr>
            <w:tcW w:w="120" w:type="dxa"/>
            <w:vAlign w:val="bottom"/>
          </w:tcPr>
          <w:p>
            <w:pPr>
              <w:spacing w:after="0"/>
              <w:rPr>
                <w:sz w:val="12"/>
                <w:szCs w:val="12"/>
                <w:color w:val="auto"/>
              </w:rPr>
            </w:pPr>
          </w:p>
        </w:tc>
        <w:tc>
          <w:tcPr>
            <w:tcW w:w="880" w:type="dxa"/>
            <w:vAlign w:val="bottom"/>
          </w:tcPr>
          <w:p>
            <w:pPr>
              <w:jc w:val="center"/>
              <w:ind w:right="57"/>
              <w:spacing w:after="0" w:line="149" w:lineRule="exact"/>
              <w:rPr>
                <w:sz w:val="20"/>
                <w:szCs w:val="20"/>
                <w:color w:val="auto"/>
              </w:rPr>
            </w:pPr>
            <w:r>
              <w:rPr>
                <w:rFonts w:ascii="Arial" w:cs="Arial" w:eastAsia="Arial" w:hAnsi="Arial"/>
                <w:sz w:val="14"/>
                <w:szCs w:val="14"/>
                <w:b w:val="1"/>
                <w:bCs w:val="1"/>
                <w:color w:val="auto"/>
                <w:w w:val="90"/>
              </w:rPr>
              <w:t>Accounts-</w:t>
            </w:r>
          </w:p>
        </w:tc>
        <w:tc>
          <w:tcPr>
            <w:tcW w:w="7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jc w:val="center"/>
              <w:ind w:right="76"/>
              <w:spacing w:after="0" w:line="149" w:lineRule="exact"/>
              <w:rPr>
                <w:sz w:val="20"/>
                <w:szCs w:val="20"/>
                <w:color w:val="auto"/>
              </w:rPr>
            </w:pPr>
            <w:r>
              <w:rPr>
                <w:rFonts w:ascii="Arial" w:cs="Arial" w:eastAsia="Arial" w:hAnsi="Arial"/>
                <w:sz w:val="14"/>
                <w:szCs w:val="14"/>
                <w:b w:val="1"/>
                <w:bCs w:val="1"/>
                <w:color w:val="auto"/>
                <w:w w:val="89"/>
              </w:rPr>
              <w:t>Deductions</w:t>
            </w: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40" w:type="dxa"/>
            <w:vAlign w:val="bottom"/>
          </w:tcPr>
          <w:p>
            <w:pPr>
              <w:jc w:val="center"/>
              <w:ind w:right="94"/>
              <w:spacing w:after="0" w:line="149" w:lineRule="exact"/>
              <w:rPr>
                <w:sz w:val="20"/>
                <w:szCs w:val="20"/>
                <w:color w:val="auto"/>
              </w:rPr>
            </w:pPr>
            <w:r>
              <w:rPr>
                <w:rFonts w:ascii="Arial" w:cs="Arial" w:eastAsia="Arial" w:hAnsi="Arial"/>
                <w:sz w:val="14"/>
                <w:szCs w:val="14"/>
                <w:b w:val="1"/>
                <w:bCs w:val="1"/>
                <w:color w:val="auto"/>
                <w:w w:val="96"/>
              </w:rPr>
              <w:t>at End of</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4140" w:type="dxa"/>
            <w:vAlign w:val="bottom"/>
            <w:gridSpan w:val="2"/>
          </w:tcPr>
          <w:p>
            <w:pPr>
              <w:spacing w:after="0" w:line="158" w:lineRule="exact"/>
              <w:rPr>
                <w:sz w:val="20"/>
                <w:szCs w:val="20"/>
                <w:color w:val="auto"/>
              </w:rPr>
            </w:pPr>
            <w:r>
              <w:rPr>
                <w:rFonts w:ascii="Arial" w:cs="Arial" w:eastAsia="Arial" w:hAnsi="Arial"/>
                <w:sz w:val="14"/>
                <w:szCs w:val="14"/>
                <w:b w:val="1"/>
                <w:bCs w:val="1"/>
                <w:color w:val="auto"/>
              </w:rPr>
              <w:t>Description</w:t>
            </w:r>
          </w:p>
        </w:tc>
        <w:tc>
          <w:tcPr>
            <w:tcW w:w="100" w:type="dxa"/>
            <w:vAlign w:val="bottom"/>
          </w:tcPr>
          <w:p>
            <w:pPr>
              <w:spacing w:after="0"/>
              <w:rPr>
                <w:sz w:val="13"/>
                <w:szCs w:val="13"/>
                <w:color w:val="auto"/>
              </w:rPr>
            </w:pPr>
          </w:p>
        </w:tc>
        <w:tc>
          <w:tcPr>
            <w:tcW w:w="1020" w:type="dxa"/>
            <w:vAlign w:val="bottom"/>
            <w:gridSpan w:val="2"/>
          </w:tcPr>
          <w:p>
            <w:pPr>
              <w:jc w:val="center"/>
              <w:ind w:right="220"/>
              <w:spacing w:after="0" w:line="158" w:lineRule="exact"/>
              <w:rPr>
                <w:sz w:val="20"/>
                <w:szCs w:val="20"/>
                <w:color w:val="auto"/>
              </w:rPr>
            </w:pPr>
            <w:r>
              <w:rPr>
                <w:rFonts w:ascii="Arial" w:cs="Arial" w:eastAsia="Arial" w:hAnsi="Arial"/>
                <w:sz w:val="14"/>
                <w:szCs w:val="14"/>
                <w:b w:val="1"/>
                <w:bCs w:val="1"/>
                <w:color w:val="auto"/>
                <w:w w:val="92"/>
              </w:rPr>
              <w:t>of Period</w:t>
            </w:r>
          </w:p>
        </w:tc>
        <w:tc>
          <w:tcPr>
            <w:tcW w:w="120" w:type="dxa"/>
            <w:vAlign w:val="bottom"/>
          </w:tcPr>
          <w:p>
            <w:pPr>
              <w:spacing w:after="0"/>
              <w:rPr>
                <w:sz w:val="13"/>
                <w:szCs w:val="13"/>
                <w:color w:val="auto"/>
              </w:rPr>
            </w:pPr>
          </w:p>
        </w:tc>
        <w:tc>
          <w:tcPr>
            <w:tcW w:w="1340" w:type="dxa"/>
            <w:vAlign w:val="bottom"/>
            <w:gridSpan w:val="2"/>
          </w:tcPr>
          <w:p>
            <w:pPr>
              <w:jc w:val="center"/>
              <w:ind w:right="580"/>
              <w:spacing w:after="0" w:line="158" w:lineRule="exact"/>
              <w:rPr>
                <w:sz w:val="20"/>
                <w:szCs w:val="20"/>
                <w:color w:val="auto"/>
              </w:rPr>
            </w:pPr>
            <w:r>
              <w:rPr>
                <w:rFonts w:ascii="Arial" w:cs="Arial" w:eastAsia="Arial" w:hAnsi="Arial"/>
                <w:sz w:val="14"/>
                <w:szCs w:val="14"/>
                <w:b w:val="1"/>
                <w:bCs w:val="1"/>
                <w:color w:val="auto"/>
                <w:w w:val="85"/>
              </w:rPr>
              <w:t>Expenses</w:t>
            </w:r>
          </w:p>
        </w:tc>
        <w:tc>
          <w:tcPr>
            <w:tcW w:w="120" w:type="dxa"/>
            <w:vAlign w:val="bottom"/>
          </w:tcPr>
          <w:p>
            <w:pPr>
              <w:spacing w:after="0"/>
              <w:rPr>
                <w:sz w:val="13"/>
                <w:szCs w:val="13"/>
                <w:color w:val="auto"/>
              </w:rPr>
            </w:pPr>
          </w:p>
        </w:tc>
        <w:tc>
          <w:tcPr>
            <w:tcW w:w="880" w:type="dxa"/>
            <w:vAlign w:val="bottom"/>
          </w:tcPr>
          <w:p>
            <w:pPr>
              <w:jc w:val="center"/>
              <w:ind w:right="57"/>
              <w:spacing w:after="0" w:line="158" w:lineRule="exact"/>
              <w:rPr>
                <w:sz w:val="20"/>
                <w:szCs w:val="20"/>
                <w:color w:val="auto"/>
              </w:rPr>
            </w:pPr>
            <w:r>
              <w:rPr>
                <w:rFonts w:ascii="Arial" w:cs="Arial" w:eastAsia="Arial" w:hAnsi="Arial"/>
                <w:sz w:val="14"/>
                <w:szCs w:val="14"/>
                <w:b w:val="1"/>
                <w:bCs w:val="1"/>
                <w:color w:val="auto"/>
                <w:w w:val="91"/>
              </w:rPr>
              <w:t>Describe</w:t>
            </w:r>
          </w:p>
        </w:tc>
        <w:tc>
          <w:tcPr>
            <w:tcW w:w="7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80" w:type="dxa"/>
            <w:vAlign w:val="bottom"/>
          </w:tcPr>
          <w:p>
            <w:pPr>
              <w:jc w:val="center"/>
              <w:ind w:right="96"/>
              <w:spacing w:after="0" w:line="158" w:lineRule="exact"/>
              <w:rPr>
                <w:sz w:val="20"/>
                <w:szCs w:val="20"/>
                <w:color w:val="auto"/>
              </w:rPr>
            </w:pPr>
            <w:r>
              <w:rPr>
                <w:rFonts w:ascii="Arial" w:cs="Arial" w:eastAsia="Arial" w:hAnsi="Arial"/>
                <w:sz w:val="14"/>
                <w:szCs w:val="14"/>
                <w:b w:val="1"/>
                <w:bCs w:val="1"/>
                <w:color w:val="auto"/>
                <w:w w:val="91"/>
              </w:rPr>
              <w:t>- Describe</w:t>
            </w:r>
          </w:p>
        </w:tc>
        <w:tc>
          <w:tcPr>
            <w:tcW w:w="6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40" w:type="dxa"/>
            <w:vAlign w:val="bottom"/>
          </w:tcPr>
          <w:p>
            <w:pPr>
              <w:jc w:val="center"/>
              <w:ind w:right="94"/>
              <w:spacing w:after="0" w:line="158" w:lineRule="exact"/>
              <w:rPr>
                <w:sz w:val="20"/>
                <w:szCs w:val="20"/>
                <w:color w:val="auto"/>
              </w:rPr>
            </w:pPr>
            <w:r>
              <w:rPr>
                <w:rFonts w:ascii="Arial" w:cs="Arial" w:eastAsia="Arial" w:hAnsi="Arial"/>
                <w:sz w:val="14"/>
                <w:szCs w:val="14"/>
                <w:b w:val="1"/>
                <w:bCs w:val="1"/>
                <w:color w:val="auto"/>
                <w:w w:val="96"/>
              </w:rPr>
              <w:t>Period</w:t>
            </w:r>
          </w:p>
        </w:tc>
        <w:tc>
          <w:tcPr>
            <w:tcW w:w="0" w:type="dxa"/>
            <w:vAlign w:val="bottom"/>
          </w:tcPr>
          <w:p>
            <w:pPr>
              <w:spacing w:after="0"/>
              <w:rPr>
                <w:sz w:val="1"/>
                <w:szCs w:val="1"/>
                <w:color w:val="auto"/>
              </w:rPr>
            </w:pPr>
          </w:p>
        </w:tc>
      </w:tr>
      <w:tr>
        <w:trPr>
          <w:trHeight w:val="21"/>
        </w:trPr>
        <w:tc>
          <w:tcPr>
            <w:tcW w:w="20" w:type="dxa"/>
            <w:vAlign w:val="bottom"/>
            <w:tcBorders>
              <w:bottom w:val="single" w:sz="8" w:color="CCEEFF"/>
            </w:tcBorders>
          </w:tcPr>
          <w:p>
            <w:pPr>
              <w:spacing w:after="0" w:line="20" w:lineRule="exact"/>
              <w:rPr>
                <w:sz w:val="1"/>
                <w:szCs w:val="1"/>
                <w:color w:val="auto"/>
              </w:rPr>
            </w:pPr>
          </w:p>
        </w:tc>
        <w:tc>
          <w:tcPr>
            <w:tcW w:w="700" w:type="dxa"/>
            <w:vAlign w:val="bottom"/>
            <w:tcBorders>
              <w:top w:val="single" w:sz="8" w:color="auto"/>
              <w:bottom w:val="single" w:sz="8" w:color="CCEEFF"/>
            </w:tcBorders>
          </w:tcPr>
          <w:p>
            <w:pPr>
              <w:spacing w:after="0" w:line="20" w:lineRule="exact"/>
              <w:rPr>
                <w:sz w:val="1"/>
                <w:szCs w:val="1"/>
                <w:color w:val="auto"/>
              </w:rPr>
            </w:pPr>
          </w:p>
        </w:tc>
        <w:tc>
          <w:tcPr>
            <w:tcW w:w="344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44"/>
        </w:trPr>
        <w:tc>
          <w:tcPr>
            <w:tcW w:w="20" w:type="dxa"/>
            <w:vAlign w:val="bottom"/>
            <w:tcBorders>
              <w:bottom w:val="single" w:sz="8" w:color="CCEEFF"/>
            </w:tcBorders>
            <w:shd w:val="clear" w:color="auto" w:fill="CCEEFF"/>
          </w:tcPr>
          <w:p>
            <w:pPr>
              <w:spacing w:after="0"/>
              <w:rPr>
                <w:sz w:val="21"/>
                <w:szCs w:val="21"/>
                <w:color w:val="auto"/>
              </w:rPr>
            </w:pPr>
          </w:p>
        </w:tc>
        <w:tc>
          <w:tcPr>
            <w:tcW w:w="414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January 1, 2016</w:t>
            </w:r>
          </w:p>
        </w:tc>
        <w:tc>
          <w:tcPr>
            <w:tcW w:w="1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4140" w:type="dxa"/>
            <w:vAlign w:val="bottom"/>
            <w:gridSpan w:val="2"/>
          </w:tcPr>
          <w:p>
            <w:pPr>
              <w:spacing w:after="0"/>
              <w:rPr>
                <w:sz w:val="20"/>
                <w:szCs w:val="20"/>
                <w:color w:val="auto"/>
              </w:rPr>
            </w:pPr>
            <w:r>
              <w:rPr>
                <w:rFonts w:ascii="Arial" w:cs="Arial" w:eastAsia="Arial" w:hAnsi="Arial"/>
                <w:sz w:val="18"/>
                <w:szCs w:val="18"/>
                <w:color w:val="auto"/>
              </w:rPr>
              <w:t>Allowance for doubtful accounts</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tcPr>
          <w:p>
            <w:pPr>
              <w:jc w:val="right"/>
              <w:ind w:right="14"/>
              <w:spacing w:after="0"/>
              <w:rPr>
                <w:sz w:val="20"/>
                <w:szCs w:val="20"/>
                <w:color w:val="auto"/>
              </w:rPr>
            </w:pPr>
            <w:r>
              <w:rPr>
                <w:rFonts w:ascii="Arial" w:cs="Arial" w:eastAsia="Arial" w:hAnsi="Arial"/>
                <w:sz w:val="18"/>
                <w:szCs w:val="18"/>
                <w:color w:val="auto"/>
              </w:rPr>
              <w:t>1,411</w:t>
            </w:r>
          </w:p>
        </w:tc>
        <w:tc>
          <w:tcPr>
            <w:tcW w:w="120" w:type="dxa"/>
            <w:vAlign w:val="bottom"/>
          </w:tcPr>
          <w:p>
            <w:pPr>
              <w:spacing w:after="0"/>
              <w:rPr>
                <w:sz w:val="21"/>
                <w:szCs w:val="21"/>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(70)</w:t>
            </w:r>
          </w:p>
        </w:tc>
        <w:tc>
          <w:tcPr>
            <w:tcW w:w="460" w:type="dxa"/>
            <w:vAlign w:val="bottom"/>
          </w:tcPr>
          <w:p>
            <w:pPr>
              <w:spacing w:after="0"/>
              <w:rPr>
                <w:sz w:val="21"/>
                <w:szCs w:val="21"/>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Pr>
          <w:p>
            <w:pPr>
              <w:jc w:val="right"/>
              <w:ind w:right="17"/>
              <w:spacing w:after="0"/>
              <w:rPr>
                <w:sz w:val="20"/>
                <w:szCs w:val="20"/>
                <w:color w:val="auto"/>
              </w:rPr>
            </w:pPr>
            <w:r>
              <w:rPr>
                <w:rFonts w:ascii="Arial" w:cs="Arial" w:eastAsia="Arial" w:hAnsi="Arial"/>
                <w:sz w:val="18"/>
                <w:szCs w:val="18"/>
                <w:color w:val="auto"/>
              </w:rPr>
              <w:t>459</w:t>
            </w:r>
          </w:p>
        </w:tc>
        <w:tc>
          <w:tcPr>
            <w:tcW w:w="780" w:type="dxa"/>
            <w:vAlign w:val="bottom"/>
          </w:tcPr>
          <w:p>
            <w:pPr>
              <w:ind w:left="140"/>
              <w:spacing w:after="0"/>
              <w:rPr>
                <w:sz w:val="20"/>
                <w:szCs w:val="20"/>
                <w:color w:val="auto"/>
              </w:rPr>
            </w:pPr>
            <w:r>
              <w:rPr>
                <w:rFonts w:ascii="Arial" w:cs="Arial" w:eastAsia="Arial" w:hAnsi="Arial"/>
                <w:sz w:val="13"/>
                <w:szCs w:val="13"/>
                <w:color w:val="auto"/>
              </w:rPr>
              <w:t>(3)(4)</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(846)</w:t>
            </w:r>
          </w:p>
        </w:tc>
        <w:tc>
          <w:tcPr>
            <w:tcW w:w="660" w:type="dxa"/>
            <w:vAlign w:val="bottom"/>
          </w:tcPr>
          <w:p>
            <w:pPr>
              <w:ind w:left="20"/>
              <w:spacing w:after="0"/>
              <w:rPr>
                <w:sz w:val="20"/>
                <w:szCs w:val="20"/>
                <w:color w:val="auto"/>
              </w:rPr>
            </w:pPr>
            <w:r>
              <w:rPr>
                <w:rFonts w:ascii="Arial" w:cs="Arial" w:eastAsia="Arial" w:hAnsi="Arial"/>
                <w:sz w:val="13"/>
                <w:szCs w:val="13"/>
                <w:color w:val="auto"/>
              </w:rPr>
              <w:t>(2)</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tcPr>
          <w:p>
            <w:pPr>
              <w:jc w:val="right"/>
              <w:ind w:right="14"/>
              <w:spacing w:after="0"/>
              <w:rPr>
                <w:sz w:val="20"/>
                <w:szCs w:val="20"/>
                <w:color w:val="auto"/>
              </w:rPr>
            </w:pPr>
            <w:r>
              <w:rPr>
                <w:rFonts w:ascii="Arial" w:cs="Arial" w:eastAsia="Arial" w:hAnsi="Arial"/>
                <w:sz w:val="18"/>
                <w:szCs w:val="18"/>
                <w:color w:val="auto"/>
              </w:rPr>
              <w:t>954</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700" w:type="dxa"/>
            <w:vAlign w:val="bottom"/>
          </w:tcPr>
          <w:p>
            <w:pPr>
              <w:spacing w:after="0"/>
              <w:rPr>
                <w:sz w:val="2"/>
                <w:szCs w:val="2"/>
                <w:color w:val="auto"/>
              </w:rPr>
            </w:pPr>
          </w:p>
        </w:tc>
        <w:tc>
          <w:tcPr>
            <w:tcW w:w="3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80" w:type="dxa"/>
            <w:vAlign w:val="bottom"/>
          </w:tcPr>
          <w:p>
            <w:pPr>
              <w:spacing w:after="0"/>
              <w:rPr>
                <w:sz w:val="2"/>
                <w:szCs w:val="2"/>
                <w:color w:val="auto"/>
              </w:rPr>
            </w:pPr>
          </w:p>
        </w:tc>
        <w:tc>
          <w:tcPr>
            <w:tcW w:w="460" w:type="dxa"/>
            <w:vAlign w:val="bottom"/>
          </w:tcPr>
          <w:p>
            <w:pPr>
              <w:spacing w:after="0"/>
              <w:rPr>
                <w:sz w:val="2"/>
                <w:szCs w:val="2"/>
                <w:color w:val="auto"/>
              </w:rPr>
            </w:pPr>
          </w:p>
        </w:tc>
        <w:tc>
          <w:tcPr>
            <w:tcW w:w="120" w:type="dxa"/>
            <w:vAlign w:val="bottom"/>
          </w:tcPr>
          <w:p>
            <w:pPr>
              <w:spacing w:after="0"/>
              <w:rPr>
                <w:sz w:val="2"/>
                <w:szCs w:val="2"/>
                <w:color w:val="auto"/>
              </w:rPr>
            </w:pPr>
          </w:p>
        </w:tc>
        <w:tc>
          <w:tcPr>
            <w:tcW w:w="880" w:type="dxa"/>
            <w:vAlign w:val="bottom"/>
          </w:tcPr>
          <w:p>
            <w:pPr>
              <w:spacing w:after="0"/>
              <w:rPr>
                <w:sz w:val="2"/>
                <w:szCs w:val="2"/>
                <w:color w:val="auto"/>
              </w:rPr>
            </w:pPr>
          </w:p>
        </w:tc>
        <w:tc>
          <w:tcPr>
            <w:tcW w:w="780" w:type="dxa"/>
            <w:vAlign w:val="bottom"/>
          </w:tcPr>
          <w:p>
            <w:pPr>
              <w:spacing w:after="0"/>
              <w:rPr>
                <w:sz w:val="2"/>
                <w:szCs w:val="2"/>
                <w:color w:val="auto"/>
              </w:rPr>
            </w:pPr>
          </w:p>
        </w:tc>
        <w:tc>
          <w:tcPr>
            <w:tcW w:w="140" w:type="dxa"/>
            <w:vAlign w:val="bottom"/>
          </w:tcPr>
          <w:p>
            <w:pPr>
              <w:spacing w:after="0"/>
              <w:rPr>
                <w:sz w:val="2"/>
                <w:szCs w:val="2"/>
                <w:color w:val="auto"/>
              </w:rPr>
            </w:pPr>
          </w:p>
        </w:tc>
        <w:tc>
          <w:tcPr>
            <w:tcW w:w="8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60" w:type="dxa"/>
            <w:vAlign w:val="bottom"/>
          </w:tcPr>
          <w:p>
            <w:pPr>
              <w:spacing w:after="0"/>
              <w:rPr>
                <w:sz w:val="2"/>
                <w:szCs w:val="2"/>
                <w:color w:val="auto"/>
              </w:rPr>
            </w:pPr>
          </w:p>
        </w:tc>
        <w:tc>
          <w:tcPr>
            <w:tcW w:w="8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20" w:type="dxa"/>
            <w:vAlign w:val="bottom"/>
            <w:shd w:val="clear" w:color="auto" w:fill="CCEEFF"/>
          </w:tcPr>
          <w:p>
            <w:pPr>
              <w:spacing w:after="0"/>
              <w:rPr>
                <w:sz w:val="23"/>
                <w:szCs w:val="23"/>
                <w:color w:val="auto"/>
              </w:rPr>
            </w:pPr>
          </w:p>
        </w:tc>
        <w:tc>
          <w:tcPr>
            <w:tcW w:w="4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Valuation allowance for deferred income tax assets</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10,709</w:t>
            </w:r>
          </w:p>
        </w:tc>
        <w:tc>
          <w:tcPr>
            <w:tcW w:w="120" w:type="dxa"/>
            <w:vAlign w:val="bottom"/>
            <w:shd w:val="clear" w:color="auto" w:fill="CCEEFF"/>
          </w:tcPr>
          <w:p>
            <w:pPr>
              <w:spacing w:after="0"/>
              <w:rPr>
                <w:sz w:val="23"/>
                <w:szCs w:val="23"/>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40" w:type="dxa"/>
            <w:vAlign w:val="bottom"/>
            <w:gridSpan w:val="2"/>
            <w:shd w:val="clear" w:color="auto" w:fill="CCEEFF"/>
          </w:tcPr>
          <w:p>
            <w:pPr>
              <w:jc w:val="right"/>
              <w:ind w:right="280"/>
              <w:spacing w:after="0" w:line="270" w:lineRule="exact"/>
              <w:rPr>
                <w:sz w:val="20"/>
                <w:szCs w:val="20"/>
                <w:color w:val="auto"/>
              </w:rPr>
            </w:pPr>
            <w:r>
              <w:rPr>
                <w:rFonts w:ascii="Arial" w:cs="Arial" w:eastAsia="Arial" w:hAnsi="Arial"/>
                <w:sz w:val="18"/>
                <w:szCs w:val="18"/>
                <w:color w:val="auto"/>
              </w:rPr>
              <w:t xml:space="preserve">788  </w:t>
            </w:r>
            <w:r>
              <w:rPr>
                <w:rFonts w:ascii="Arial" w:cs="Arial" w:eastAsia="Arial" w:hAnsi="Arial"/>
                <w:sz w:val="25"/>
                <w:szCs w:val="25"/>
                <w:color w:val="auto"/>
                <w:vertAlign w:val="superscript"/>
              </w:rPr>
              <w:t>(1)</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rPr>
              <w:t>27,836</w:t>
            </w:r>
          </w:p>
        </w:tc>
        <w:tc>
          <w:tcPr>
            <w:tcW w:w="780" w:type="dxa"/>
            <w:vAlign w:val="bottom"/>
            <w:shd w:val="clear" w:color="auto" w:fill="CCEEFF"/>
          </w:tcPr>
          <w:p>
            <w:pPr>
              <w:ind w:left="140"/>
              <w:spacing w:after="0"/>
              <w:rPr>
                <w:sz w:val="20"/>
                <w:szCs w:val="20"/>
                <w:color w:val="auto"/>
              </w:rPr>
            </w:pPr>
            <w:r>
              <w:rPr>
                <w:rFonts w:ascii="Arial" w:cs="Arial" w:eastAsia="Arial" w:hAnsi="Arial"/>
                <w:sz w:val="13"/>
                <w:szCs w:val="13"/>
                <w:color w:val="auto"/>
              </w:rPr>
              <w:t>(3)(4)</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(162)</w:t>
            </w:r>
          </w:p>
        </w:tc>
        <w:tc>
          <w:tcPr>
            <w:tcW w:w="660" w:type="dxa"/>
            <w:vAlign w:val="bottom"/>
            <w:shd w:val="clear" w:color="auto" w:fill="CCEEFF"/>
          </w:tcPr>
          <w:p>
            <w:pPr>
              <w:ind w:left="20"/>
              <w:spacing w:after="0"/>
              <w:rPr>
                <w:sz w:val="20"/>
                <w:szCs w:val="20"/>
                <w:color w:val="auto"/>
              </w:rPr>
            </w:pPr>
            <w:r>
              <w:rPr>
                <w:rFonts w:ascii="Arial" w:cs="Arial" w:eastAsia="Arial" w:hAnsi="Arial"/>
                <w:sz w:val="13"/>
                <w:szCs w:val="13"/>
                <w:color w:val="auto"/>
              </w:rPr>
              <w:t>(5)</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39,171</w:t>
            </w: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4140" w:type="dxa"/>
            <w:vAlign w:val="bottom"/>
            <w:gridSpan w:val="2"/>
          </w:tcPr>
          <w:p>
            <w:pPr>
              <w:spacing w:after="0"/>
              <w:rPr>
                <w:sz w:val="20"/>
                <w:szCs w:val="20"/>
                <w:color w:val="auto"/>
              </w:rPr>
            </w:pPr>
            <w:r>
              <w:rPr>
                <w:rFonts w:ascii="Arial" w:cs="Arial" w:eastAsia="Arial" w:hAnsi="Arial"/>
                <w:sz w:val="18"/>
                <w:szCs w:val="18"/>
                <w:b w:val="1"/>
                <w:bCs w:val="1"/>
                <w:color w:val="auto"/>
              </w:rPr>
              <w:t>January 2, 2015</w:t>
            </w:r>
          </w:p>
        </w:tc>
        <w:tc>
          <w:tcPr>
            <w:tcW w:w="10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700" w:type="dxa"/>
            <w:vAlign w:val="bottom"/>
          </w:tcPr>
          <w:p>
            <w:pPr>
              <w:spacing w:after="0"/>
              <w:rPr>
                <w:sz w:val="2"/>
                <w:szCs w:val="2"/>
                <w:color w:val="auto"/>
              </w:rPr>
            </w:pPr>
          </w:p>
        </w:tc>
        <w:tc>
          <w:tcPr>
            <w:tcW w:w="3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80" w:type="dxa"/>
            <w:vAlign w:val="bottom"/>
          </w:tcPr>
          <w:p>
            <w:pPr>
              <w:spacing w:after="0"/>
              <w:rPr>
                <w:sz w:val="2"/>
                <w:szCs w:val="2"/>
                <w:color w:val="auto"/>
              </w:rPr>
            </w:pPr>
          </w:p>
        </w:tc>
        <w:tc>
          <w:tcPr>
            <w:tcW w:w="460" w:type="dxa"/>
            <w:vAlign w:val="bottom"/>
          </w:tcPr>
          <w:p>
            <w:pPr>
              <w:spacing w:after="0"/>
              <w:rPr>
                <w:sz w:val="2"/>
                <w:szCs w:val="2"/>
                <w:color w:val="auto"/>
              </w:rPr>
            </w:pPr>
          </w:p>
        </w:tc>
        <w:tc>
          <w:tcPr>
            <w:tcW w:w="120" w:type="dxa"/>
            <w:vAlign w:val="bottom"/>
          </w:tcPr>
          <w:p>
            <w:pPr>
              <w:spacing w:after="0"/>
              <w:rPr>
                <w:sz w:val="2"/>
                <w:szCs w:val="2"/>
                <w:color w:val="auto"/>
              </w:rPr>
            </w:pPr>
          </w:p>
        </w:tc>
        <w:tc>
          <w:tcPr>
            <w:tcW w:w="880" w:type="dxa"/>
            <w:vAlign w:val="bottom"/>
          </w:tcPr>
          <w:p>
            <w:pPr>
              <w:spacing w:after="0"/>
              <w:rPr>
                <w:sz w:val="2"/>
                <w:szCs w:val="2"/>
                <w:color w:val="auto"/>
              </w:rPr>
            </w:pPr>
          </w:p>
        </w:tc>
        <w:tc>
          <w:tcPr>
            <w:tcW w:w="780" w:type="dxa"/>
            <w:vAlign w:val="bottom"/>
          </w:tcPr>
          <w:p>
            <w:pPr>
              <w:spacing w:after="0"/>
              <w:rPr>
                <w:sz w:val="2"/>
                <w:szCs w:val="2"/>
                <w:color w:val="auto"/>
              </w:rPr>
            </w:pPr>
          </w:p>
        </w:tc>
        <w:tc>
          <w:tcPr>
            <w:tcW w:w="140" w:type="dxa"/>
            <w:vAlign w:val="bottom"/>
          </w:tcPr>
          <w:p>
            <w:pPr>
              <w:spacing w:after="0"/>
              <w:rPr>
                <w:sz w:val="2"/>
                <w:szCs w:val="2"/>
                <w:color w:val="auto"/>
              </w:rPr>
            </w:pPr>
          </w:p>
        </w:tc>
        <w:tc>
          <w:tcPr>
            <w:tcW w:w="8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60" w:type="dxa"/>
            <w:vAlign w:val="bottom"/>
          </w:tcPr>
          <w:p>
            <w:pPr>
              <w:spacing w:after="0"/>
              <w:rPr>
                <w:sz w:val="2"/>
                <w:szCs w:val="2"/>
                <w:color w:val="auto"/>
              </w:rPr>
            </w:pPr>
          </w:p>
        </w:tc>
        <w:tc>
          <w:tcPr>
            <w:tcW w:w="8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414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Allowance for doubtful accounts</w:t>
            </w: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2,001</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98</w:t>
            </w:r>
          </w:p>
        </w:tc>
        <w:tc>
          <w:tcPr>
            <w:tcW w:w="4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14</w:t>
            </w:r>
          </w:p>
        </w:tc>
        <w:tc>
          <w:tcPr>
            <w:tcW w:w="78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3"/>
                <w:szCs w:val="13"/>
                <w:color w:val="auto"/>
              </w:rPr>
              <w:t>(3)(4)</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(702)</w:t>
            </w:r>
          </w:p>
        </w:tc>
        <w:tc>
          <w:tcPr>
            <w:tcW w:w="6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(2)</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1,411</w:t>
            </w:r>
          </w:p>
        </w:tc>
        <w:tc>
          <w:tcPr>
            <w:tcW w:w="0" w:type="dxa"/>
            <w:vAlign w:val="bottom"/>
          </w:tcPr>
          <w:p>
            <w:pPr>
              <w:spacing w:after="0"/>
              <w:rPr>
                <w:sz w:val="1"/>
                <w:szCs w:val="1"/>
                <w:color w:val="auto"/>
              </w:rPr>
            </w:pPr>
          </w:p>
        </w:tc>
      </w:tr>
      <w:tr>
        <w:trPr>
          <w:trHeight w:val="270"/>
        </w:trPr>
        <w:tc>
          <w:tcPr>
            <w:tcW w:w="20" w:type="dxa"/>
            <w:vAlign w:val="bottom"/>
          </w:tcPr>
          <w:p>
            <w:pPr>
              <w:spacing w:after="0"/>
              <w:rPr>
                <w:sz w:val="23"/>
                <w:szCs w:val="23"/>
                <w:color w:val="auto"/>
              </w:rPr>
            </w:pPr>
          </w:p>
        </w:tc>
        <w:tc>
          <w:tcPr>
            <w:tcW w:w="4140" w:type="dxa"/>
            <w:vAlign w:val="bottom"/>
            <w:gridSpan w:val="2"/>
          </w:tcPr>
          <w:p>
            <w:pPr>
              <w:spacing w:after="0"/>
              <w:rPr>
                <w:sz w:val="20"/>
                <w:szCs w:val="20"/>
                <w:color w:val="auto"/>
              </w:rPr>
            </w:pPr>
            <w:r>
              <w:rPr>
                <w:rFonts w:ascii="Arial" w:cs="Arial" w:eastAsia="Arial" w:hAnsi="Arial"/>
                <w:sz w:val="18"/>
                <w:szCs w:val="18"/>
                <w:color w:val="auto"/>
              </w:rPr>
              <w:t>Valuation allowance for deferred income tax assets</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tcPr>
          <w:p>
            <w:pPr>
              <w:jc w:val="right"/>
              <w:ind w:right="14"/>
              <w:spacing w:after="0"/>
              <w:rPr>
                <w:sz w:val="20"/>
                <w:szCs w:val="20"/>
                <w:color w:val="auto"/>
              </w:rPr>
            </w:pPr>
            <w:r>
              <w:rPr>
                <w:rFonts w:ascii="Arial" w:cs="Arial" w:eastAsia="Arial" w:hAnsi="Arial"/>
                <w:sz w:val="18"/>
                <w:szCs w:val="18"/>
                <w:color w:val="auto"/>
              </w:rPr>
              <w:t>11,661</w:t>
            </w:r>
          </w:p>
        </w:tc>
        <w:tc>
          <w:tcPr>
            <w:tcW w:w="120" w:type="dxa"/>
            <w:vAlign w:val="bottom"/>
          </w:tcPr>
          <w:p>
            <w:pPr>
              <w:spacing w:after="0"/>
              <w:rPr>
                <w:sz w:val="23"/>
                <w:szCs w:val="23"/>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40" w:type="dxa"/>
            <w:vAlign w:val="bottom"/>
            <w:gridSpan w:val="2"/>
          </w:tcPr>
          <w:p>
            <w:pPr>
              <w:jc w:val="right"/>
              <w:ind w:right="280"/>
              <w:spacing w:after="0" w:line="270" w:lineRule="exact"/>
              <w:rPr>
                <w:sz w:val="20"/>
                <w:szCs w:val="20"/>
                <w:color w:val="auto"/>
              </w:rPr>
            </w:pPr>
            <w:r>
              <w:rPr>
                <w:rFonts w:ascii="Arial" w:cs="Arial" w:eastAsia="Arial" w:hAnsi="Arial"/>
                <w:sz w:val="18"/>
                <w:szCs w:val="18"/>
                <w:color w:val="auto"/>
              </w:rPr>
              <w:t xml:space="preserve">(729) </w:t>
            </w:r>
            <w:r>
              <w:rPr>
                <w:rFonts w:ascii="Arial" w:cs="Arial" w:eastAsia="Arial" w:hAnsi="Arial"/>
                <w:sz w:val="25"/>
                <w:szCs w:val="25"/>
                <w:color w:val="auto"/>
                <w:vertAlign w:val="superscript"/>
              </w:rPr>
              <w:t>(1)</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Pr>
          <w:p>
            <w:pPr>
              <w:jc w:val="right"/>
              <w:ind w:right="17"/>
              <w:spacing w:after="0"/>
              <w:rPr>
                <w:sz w:val="20"/>
                <w:szCs w:val="20"/>
                <w:color w:val="auto"/>
              </w:rPr>
            </w:pPr>
            <w:r>
              <w:rPr>
                <w:rFonts w:ascii="Arial" w:cs="Arial" w:eastAsia="Arial" w:hAnsi="Arial"/>
                <w:sz w:val="18"/>
                <w:szCs w:val="18"/>
                <w:color w:val="auto"/>
              </w:rPr>
              <w:t>—</w:t>
            </w:r>
          </w:p>
        </w:tc>
        <w:tc>
          <w:tcPr>
            <w:tcW w:w="780" w:type="dxa"/>
            <w:vAlign w:val="bottom"/>
          </w:tcPr>
          <w:p>
            <w:pPr>
              <w:ind w:left="140"/>
              <w:spacing w:after="0"/>
              <w:rPr>
                <w:sz w:val="20"/>
                <w:szCs w:val="20"/>
                <w:color w:val="auto"/>
              </w:rPr>
            </w:pPr>
            <w:r>
              <w:rPr>
                <w:rFonts w:ascii="Arial" w:cs="Arial" w:eastAsia="Arial" w:hAnsi="Arial"/>
                <w:sz w:val="13"/>
                <w:szCs w:val="13"/>
                <w:color w:val="auto"/>
              </w:rPr>
              <w:t>(4)</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(223)</w:t>
            </w:r>
          </w:p>
        </w:tc>
        <w:tc>
          <w:tcPr>
            <w:tcW w:w="660" w:type="dxa"/>
            <w:vAlign w:val="bottom"/>
          </w:tcPr>
          <w:p>
            <w:pPr>
              <w:ind w:left="20"/>
              <w:spacing w:after="0"/>
              <w:rPr>
                <w:sz w:val="20"/>
                <w:szCs w:val="20"/>
                <w:color w:val="auto"/>
              </w:rPr>
            </w:pPr>
            <w:r>
              <w:rPr>
                <w:rFonts w:ascii="Arial" w:cs="Arial" w:eastAsia="Arial" w:hAnsi="Arial"/>
                <w:sz w:val="13"/>
                <w:szCs w:val="13"/>
                <w:color w:val="auto"/>
              </w:rPr>
              <w:t>(1)(5)</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tcPr>
          <w:p>
            <w:pPr>
              <w:jc w:val="right"/>
              <w:ind w:right="14"/>
              <w:spacing w:after="0"/>
              <w:rPr>
                <w:sz w:val="20"/>
                <w:szCs w:val="20"/>
                <w:color w:val="auto"/>
              </w:rPr>
            </w:pPr>
            <w:r>
              <w:rPr>
                <w:rFonts w:ascii="Arial" w:cs="Arial" w:eastAsia="Arial" w:hAnsi="Arial"/>
                <w:sz w:val="18"/>
                <w:szCs w:val="18"/>
                <w:color w:val="auto"/>
              </w:rPr>
              <w:t>10,709</w:t>
            </w:r>
          </w:p>
        </w:tc>
        <w:tc>
          <w:tcPr>
            <w:tcW w:w="0" w:type="dxa"/>
            <w:vAlign w:val="bottom"/>
          </w:tcPr>
          <w:p>
            <w:pPr>
              <w:spacing w:after="0"/>
              <w:rPr>
                <w:sz w:val="1"/>
                <w:szCs w:val="1"/>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414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January 3, 2014</w:t>
            </w:r>
          </w:p>
        </w:tc>
        <w:tc>
          <w:tcPr>
            <w:tcW w:w="1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4140" w:type="dxa"/>
            <w:vAlign w:val="bottom"/>
            <w:gridSpan w:val="2"/>
          </w:tcPr>
          <w:p>
            <w:pPr>
              <w:spacing w:after="0"/>
              <w:rPr>
                <w:sz w:val="20"/>
                <w:szCs w:val="20"/>
                <w:color w:val="auto"/>
              </w:rPr>
            </w:pPr>
            <w:r>
              <w:rPr>
                <w:rFonts w:ascii="Arial" w:cs="Arial" w:eastAsia="Arial" w:hAnsi="Arial"/>
                <w:sz w:val="18"/>
                <w:szCs w:val="18"/>
                <w:color w:val="auto"/>
              </w:rPr>
              <w:t>Allowance for doubtful accounts</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tcPr>
          <w:p>
            <w:pPr>
              <w:jc w:val="right"/>
              <w:ind w:right="14"/>
              <w:spacing w:after="0"/>
              <w:rPr>
                <w:sz w:val="20"/>
                <w:szCs w:val="20"/>
                <w:color w:val="auto"/>
              </w:rPr>
            </w:pPr>
            <w:r>
              <w:rPr>
                <w:rFonts w:ascii="Arial" w:cs="Arial" w:eastAsia="Arial" w:hAnsi="Arial"/>
                <w:sz w:val="18"/>
                <w:szCs w:val="18"/>
                <w:color w:val="auto"/>
              </w:rPr>
              <w:t>2,372</w:t>
            </w:r>
          </w:p>
        </w:tc>
        <w:tc>
          <w:tcPr>
            <w:tcW w:w="120" w:type="dxa"/>
            <w:vAlign w:val="bottom"/>
          </w:tcPr>
          <w:p>
            <w:pPr>
              <w:spacing w:after="0"/>
              <w:rPr>
                <w:sz w:val="21"/>
                <w:szCs w:val="21"/>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(93)</w:t>
            </w:r>
          </w:p>
        </w:tc>
        <w:tc>
          <w:tcPr>
            <w:tcW w:w="460" w:type="dxa"/>
            <w:vAlign w:val="bottom"/>
          </w:tcPr>
          <w:p>
            <w:pPr>
              <w:spacing w:after="0"/>
              <w:rPr>
                <w:sz w:val="21"/>
                <w:szCs w:val="21"/>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(15)</w:t>
            </w:r>
          </w:p>
        </w:tc>
        <w:tc>
          <w:tcPr>
            <w:tcW w:w="780" w:type="dxa"/>
            <w:vAlign w:val="bottom"/>
          </w:tcPr>
          <w:p>
            <w:pPr>
              <w:ind w:left="140"/>
              <w:spacing w:after="0"/>
              <w:rPr>
                <w:sz w:val="20"/>
                <w:szCs w:val="20"/>
                <w:color w:val="auto"/>
              </w:rPr>
            </w:pPr>
            <w:r>
              <w:rPr>
                <w:rFonts w:ascii="Arial" w:cs="Arial" w:eastAsia="Arial" w:hAnsi="Arial"/>
                <w:sz w:val="13"/>
                <w:szCs w:val="13"/>
                <w:color w:val="auto"/>
              </w:rPr>
              <w:t>(4)</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(263)</w:t>
            </w:r>
          </w:p>
        </w:tc>
        <w:tc>
          <w:tcPr>
            <w:tcW w:w="660" w:type="dxa"/>
            <w:vAlign w:val="bottom"/>
          </w:tcPr>
          <w:p>
            <w:pPr>
              <w:ind w:left="20"/>
              <w:spacing w:after="0"/>
              <w:rPr>
                <w:sz w:val="20"/>
                <w:szCs w:val="20"/>
                <w:color w:val="auto"/>
              </w:rPr>
            </w:pPr>
            <w:r>
              <w:rPr>
                <w:rFonts w:ascii="Arial" w:cs="Arial" w:eastAsia="Arial" w:hAnsi="Arial"/>
                <w:sz w:val="13"/>
                <w:szCs w:val="13"/>
                <w:color w:val="auto"/>
              </w:rPr>
              <w:t>(2)</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tcPr>
          <w:p>
            <w:pPr>
              <w:jc w:val="right"/>
              <w:ind w:right="14"/>
              <w:spacing w:after="0"/>
              <w:rPr>
                <w:sz w:val="20"/>
                <w:szCs w:val="20"/>
                <w:color w:val="auto"/>
              </w:rPr>
            </w:pPr>
            <w:r>
              <w:rPr>
                <w:rFonts w:ascii="Arial" w:cs="Arial" w:eastAsia="Arial" w:hAnsi="Arial"/>
                <w:sz w:val="18"/>
                <w:szCs w:val="18"/>
                <w:color w:val="auto"/>
              </w:rPr>
              <w:t>2,001</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700" w:type="dxa"/>
            <w:vAlign w:val="bottom"/>
          </w:tcPr>
          <w:p>
            <w:pPr>
              <w:spacing w:after="0"/>
              <w:rPr>
                <w:sz w:val="2"/>
                <w:szCs w:val="2"/>
                <w:color w:val="auto"/>
              </w:rPr>
            </w:pPr>
          </w:p>
        </w:tc>
        <w:tc>
          <w:tcPr>
            <w:tcW w:w="3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80" w:type="dxa"/>
            <w:vAlign w:val="bottom"/>
          </w:tcPr>
          <w:p>
            <w:pPr>
              <w:spacing w:after="0"/>
              <w:rPr>
                <w:sz w:val="2"/>
                <w:szCs w:val="2"/>
                <w:color w:val="auto"/>
              </w:rPr>
            </w:pPr>
          </w:p>
        </w:tc>
        <w:tc>
          <w:tcPr>
            <w:tcW w:w="460" w:type="dxa"/>
            <w:vAlign w:val="bottom"/>
          </w:tcPr>
          <w:p>
            <w:pPr>
              <w:spacing w:after="0"/>
              <w:rPr>
                <w:sz w:val="2"/>
                <w:szCs w:val="2"/>
                <w:color w:val="auto"/>
              </w:rPr>
            </w:pPr>
          </w:p>
        </w:tc>
        <w:tc>
          <w:tcPr>
            <w:tcW w:w="120" w:type="dxa"/>
            <w:vAlign w:val="bottom"/>
          </w:tcPr>
          <w:p>
            <w:pPr>
              <w:spacing w:after="0"/>
              <w:rPr>
                <w:sz w:val="2"/>
                <w:szCs w:val="2"/>
                <w:color w:val="auto"/>
              </w:rPr>
            </w:pPr>
          </w:p>
        </w:tc>
        <w:tc>
          <w:tcPr>
            <w:tcW w:w="880" w:type="dxa"/>
            <w:vAlign w:val="bottom"/>
          </w:tcPr>
          <w:p>
            <w:pPr>
              <w:spacing w:after="0"/>
              <w:rPr>
                <w:sz w:val="2"/>
                <w:szCs w:val="2"/>
                <w:color w:val="auto"/>
              </w:rPr>
            </w:pPr>
          </w:p>
        </w:tc>
        <w:tc>
          <w:tcPr>
            <w:tcW w:w="780" w:type="dxa"/>
            <w:vAlign w:val="bottom"/>
          </w:tcPr>
          <w:p>
            <w:pPr>
              <w:spacing w:after="0"/>
              <w:rPr>
                <w:sz w:val="2"/>
                <w:szCs w:val="2"/>
                <w:color w:val="auto"/>
              </w:rPr>
            </w:pPr>
          </w:p>
        </w:tc>
        <w:tc>
          <w:tcPr>
            <w:tcW w:w="140" w:type="dxa"/>
            <w:vAlign w:val="bottom"/>
          </w:tcPr>
          <w:p>
            <w:pPr>
              <w:spacing w:after="0"/>
              <w:rPr>
                <w:sz w:val="2"/>
                <w:szCs w:val="2"/>
                <w:color w:val="auto"/>
              </w:rPr>
            </w:pPr>
          </w:p>
        </w:tc>
        <w:tc>
          <w:tcPr>
            <w:tcW w:w="8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60" w:type="dxa"/>
            <w:vAlign w:val="bottom"/>
          </w:tcPr>
          <w:p>
            <w:pPr>
              <w:spacing w:after="0"/>
              <w:rPr>
                <w:sz w:val="2"/>
                <w:szCs w:val="2"/>
                <w:color w:val="auto"/>
              </w:rPr>
            </w:pPr>
          </w:p>
        </w:tc>
        <w:tc>
          <w:tcPr>
            <w:tcW w:w="8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20" w:type="dxa"/>
            <w:vAlign w:val="bottom"/>
            <w:shd w:val="clear" w:color="auto" w:fill="CCEEFF"/>
          </w:tcPr>
          <w:p>
            <w:pPr>
              <w:spacing w:after="0"/>
              <w:rPr>
                <w:sz w:val="23"/>
                <w:szCs w:val="23"/>
                <w:color w:val="auto"/>
              </w:rPr>
            </w:pPr>
          </w:p>
        </w:tc>
        <w:tc>
          <w:tcPr>
            <w:tcW w:w="4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Valuation allowance for deferred income tax assets</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12,768</w:t>
            </w:r>
          </w:p>
        </w:tc>
        <w:tc>
          <w:tcPr>
            <w:tcW w:w="120" w:type="dxa"/>
            <w:vAlign w:val="bottom"/>
            <w:shd w:val="clear" w:color="auto" w:fill="CCEEFF"/>
          </w:tcPr>
          <w:p>
            <w:pPr>
              <w:spacing w:after="0"/>
              <w:rPr>
                <w:sz w:val="23"/>
                <w:szCs w:val="23"/>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40" w:type="dxa"/>
            <w:vAlign w:val="bottom"/>
            <w:gridSpan w:val="2"/>
            <w:shd w:val="clear" w:color="auto" w:fill="CCEEFF"/>
          </w:tcPr>
          <w:p>
            <w:pPr>
              <w:jc w:val="right"/>
              <w:ind w:right="280"/>
              <w:spacing w:after="0" w:line="270" w:lineRule="exact"/>
              <w:rPr>
                <w:sz w:val="20"/>
                <w:szCs w:val="20"/>
                <w:color w:val="auto"/>
              </w:rPr>
            </w:pPr>
            <w:r>
              <w:rPr>
                <w:rFonts w:ascii="Arial" w:cs="Arial" w:eastAsia="Arial" w:hAnsi="Arial"/>
                <w:sz w:val="18"/>
                <w:szCs w:val="18"/>
                <w:color w:val="auto"/>
              </w:rPr>
              <w:t xml:space="preserve">(1,263) </w:t>
            </w:r>
            <w:r>
              <w:rPr>
                <w:rFonts w:ascii="Arial" w:cs="Arial" w:eastAsia="Arial" w:hAnsi="Arial"/>
                <w:sz w:val="25"/>
                <w:szCs w:val="25"/>
                <w:color w:val="auto"/>
                <w:vertAlign w:val="superscript"/>
              </w:rPr>
              <w:t>(1)</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rPr>
              <w:t>32</w:t>
            </w:r>
          </w:p>
        </w:tc>
        <w:tc>
          <w:tcPr>
            <w:tcW w:w="780" w:type="dxa"/>
            <w:vAlign w:val="bottom"/>
            <w:shd w:val="clear" w:color="auto" w:fill="CCEEFF"/>
          </w:tcPr>
          <w:p>
            <w:pPr>
              <w:ind w:left="140"/>
              <w:spacing w:after="0"/>
              <w:rPr>
                <w:sz w:val="20"/>
                <w:szCs w:val="20"/>
                <w:color w:val="auto"/>
              </w:rPr>
            </w:pPr>
            <w:r>
              <w:rPr>
                <w:rFonts w:ascii="Arial" w:cs="Arial" w:eastAsia="Arial" w:hAnsi="Arial"/>
                <w:sz w:val="13"/>
                <w:szCs w:val="13"/>
                <w:color w:val="auto"/>
              </w:rPr>
              <w:t>(4)</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shd w:val="clear" w:color="auto" w:fill="CCEEFF"/>
          </w:tcPr>
          <w:p>
            <w:pPr>
              <w:jc w:val="right"/>
              <w:ind w:right="36"/>
              <w:spacing w:after="0"/>
              <w:rPr>
                <w:sz w:val="20"/>
                <w:szCs w:val="20"/>
                <w:color w:val="auto"/>
              </w:rPr>
            </w:pPr>
            <w:r>
              <w:rPr>
                <w:rFonts w:ascii="Arial" w:cs="Arial" w:eastAsia="Arial" w:hAnsi="Arial"/>
                <w:sz w:val="18"/>
                <w:szCs w:val="18"/>
                <w:color w:val="auto"/>
              </w:rPr>
              <w:t>124</w:t>
            </w:r>
          </w:p>
        </w:tc>
        <w:tc>
          <w:tcPr>
            <w:tcW w:w="660" w:type="dxa"/>
            <w:vAlign w:val="bottom"/>
            <w:shd w:val="clear" w:color="auto" w:fill="CCEEFF"/>
          </w:tcPr>
          <w:p>
            <w:pPr>
              <w:ind w:left="20"/>
              <w:spacing w:after="0"/>
              <w:rPr>
                <w:sz w:val="20"/>
                <w:szCs w:val="20"/>
                <w:color w:val="auto"/>
              </w:rPr>
            </w:pPr>
            <w:r>
              <w:rPr>
                <w:rFonts w:ascii="Arial" w:cs="Arial" w:eastAsia="Arial" w:hAnsi="Arial"/>
                <w:sz w:val="13"/>
                <w:szCs w:val="13"/>
                <w:color w:val="auto"/>
              </w:rPr>
              <w:t>(1)</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11,661</w:t>
            </w:r>
          </w:p>
        </w:tc>
        <w:tc>
          <w:tcPr>
            <w:tcW w:w="0" w:type="dxa"/>
            <w:vAlign w:val="bottom"/>
          </w:tcPr>
          <w:p>
            <w:pPr>
              <w:spacing w:after="0"/>
              <w:rPr>
                <w:sz w:val="1"/>
                <w:szCs w:val="1"/>
                <w:color w:val="auto"/>
              </w:rPr>
            </w:pPr>
          </w:p>
        </w:tc>
      </w:tr>
    </w:tbl>
    <w:p>
      <w:pPr>
        <w:spacing w:after="0" w:line="67" w:lineRule="exact"/>
        <w:rPr>
          <w:sz w:val="20"/>
          <w:szCs w:val="20"/>
          <w:color w:val="auto"/>
        </w:rPr>
      </w:pPr>
    </w:p>
    <w:p>
      <w:pPr>
        <w:ind w:left="340" w:right="20" w:hanging="332"/>
        <w:spacing w:after="0" w:line="216" w:lineRule="auto"/>
        <w:tabs>
          <w:tab w:leader="none" w:pos="340" w:val="left"/>
        </w:tabs>
        <w:numPr>
          <w:ilvl w:val="0"/>
          <w:numId w:val="61"/>
        </w:numPr>
        <w:rPr>
          <w:rFonts w:ascii="Arial" w:cs="Arial" w:eastAsia="Arial" w:hAnsi="Arial"/>
          <w:sz w:val="25"/>
          <w:szCs w:val="25"/>
          <w:color w:val="auto"/>
          <w:vertAlign w:val="superscript"/>
        </w:rPr>
      </w:pPr>
      <w:r>
        <w:rPr>
          <w:rFonts w:ascii="Arial" w:cs="Arial" w:eastAsia="Arial" w:hAnsi="Arial"/>
          <w:sz w:val="18"/>
          <w:szCs w:val="18"/>
          <w:color w:val="auto"/>
        </w:rPr>
        <w:t>Valuation allowance recorded in the provision for income taxes for certain net operating losses and tax credits. The net decrease in allowance in 2014 and 2013 primarily relates to the use of net operating loss carryforwards.</w:t>
      </w:r>
    </w:p>
    <w:p>
      <w:pPr>
        <w:spacing w:after="0" w:line="11" w:lineRule="exact"/>
        <w:rPr>
          <w:rFonts w:ascii="Arial" w:cs="Arial" w:eastAsia="Arial" w:hAnsi="Arial"/>
          <w:sz w:val="25"/>
          <w:szCs w:val="25"/>
          <w:color w:val="auto"/>
          <w:vertAlign w:val="superscript"/>
        </w:rPr>
      </w:pPr>
    </w:p>
    <w:p>
      <w:pPr>
        <w:ind w:left="340" w:hanging="332"/>
        <w:spacing w:after="0"/>
        <w:tabs>
          <w:tab w:leader="none" w:pos="340" w:val="left"/>
        </w:tabs>
        <w:numPr>
          <w:ilvl w:val="0"/>
          <w:numId w:val="61"/>
        </w:numPr>
        <w:rPr>
          <w:rFonts w:ascii="Arial" w:cs="Arial" w:eastAsia="Arial" w:hAnsi="Arial"/>
          <w:sz w:val="25"/>
          <w:szCs w:val="25"/>
          <w:color w:val="auto"/>
          <w:vertAlign w:val="superscript"/>
        </w:rPr>
      </w:pPr>
      <w:r>
        <w:rPr>
          <w:rFonts w:ascii="Arial" w:cs="Arial" w:eastAsia="Arial" w:hAnsi="Arial"/>
          <w:sz w:val="18"/>
          <w:szCs w:val="18"/>
          <w:color w:val="auto"/>
        </w:rPr>
        <w:t>Accounts written off.</w:t>
      </w:r>
    </w:p>
    <w:p>
      <w:pPr>
        <w:spacing w:after="0" w:line="82" w:lineRule="exact"/>
        <w:rPr>
          <w:rFonts w:ascii="Arial" w:cs="Arial" w:eastAsia="Arial" w:hAnsi="Arial"/>
          <w:sz w:val="25"/>
          <w:szCs w:val="25"/>
          <w:color w:val="auto"/>
          <w:vertAlign w:val="superscript"/>
        </w:rPr>
      </w:pPr>
    </w:p>
    <w:p>
      <w:pPr>
        <w:ind w:left="340" w:right="140" w:hanging="332"/>
        <w:spacing w:after="0" w:line="208" w:lineRule="auto"/>
        <w:tabs>
          <w:tab w:leader="none" w:pos="340" w:val="left"/>
        </w:tabs>
        <w:numPr>
          <w:ilvl w:val="0"/>
          <w:numId w:val="61"/>
        </w:numPr>
        <w:rPr>
          <w:rFonts w:ascii="Arial" w:cs="Arial" w:eastAsia="Arial" w:hAnsi="Arial"/>
          <w:sz w:val="25"/>
          <w:szCs w:val="25"/>
          <w:color w:val="auto"/>
          <w:vertAlign w:val="superscript"/>
        </w:rPr>
      </w:pPr>
      <w:r>
        <w:rPr>
          <w:rFonts w:ascii="Arial" w:cs="Arial" w:eastAsia="Arial" w:hAnsi="Arial"/>
          <w:sz w:val="18"/>
          <w:szCs w:val="18"/>
          <w:color w:val="auto"/>
        </w:rPr>
        <w:t>Balance recorded as a part of our 2015 acquisition of Lake Region Medical and our 2014 acquisition of Centro de Construcción de Cardioestimuladores del Uruguay.</w:t>
      </w:r>
    </w:p>
    <w:p>
      <w:pPr>
        <w:spacing w:after="0" w:line="11" w:lineRule="exact"/>
        <w:rPr>
          <w:rFonts w:ascii="Arial" w:cs="Arial" w:eastAsia="Arial" w:hAnsi="Arial"/>
          <w:sz w:val="25"/>
          <w:szCs w:val="25"/>
          <w:color w:val="auto"/>
          <w:vertAlign w:val="superscript"/>
        </w:rPr>
      </w:pPr>
    </w:p>
    <w:p>
      <w:pPr>
        <w:ind w:left="340" w:hanging="332"/>
        <w:spacing w:after="0"/>
        <w:tabs>
          <w:tab w:leader="none" w:pos="340" w:val="left"/>
        </w:tabs>
        <w:numPr>
          <w:ilvl w:val="0"/>
          <w:numId w:val="61"/>
        </w:numPr>
        <w:rPr>
          <w:rFonts w:ascii="Arial" w:cs="Arial" w:eastAsia="Arial" w:hAnsi="Arial"/>
          <w:sz w:val="25"/>
          <w:szCs w:val="25"/>
          <w:color w:val="auto"/>
          <w:vertAlign w:val="superscript"/>
        </w:rPr>
      </w:pPr>
      <w:r>
        <w:rPr>
          <w:rFonts w:ascii="Arial" w:cs="Arial" w:eastAsia="Arial" w:hAnsi="Arial"/>
          <w:sz w:val="18"/>
          <w:szCs w:val="18"/>
          <w:color w:val="auto"/>
        </w:rPr>
        <w:t>Includes foreign currency translation effect.</w:t>
      </w:r>
    </w:p>
    <w:p>
      <w:pPr>
        <w:spacing w:after="0" w:line="82" w:lineRule="exact"/>
        <w:rPr>
          <w:rFonts w:ascii="Arial" w:cs="Arial" w:eastAsia="Arial" w:hAnsi="Arial"/>
          <w:sz w:val="25"/>
          <w:szCs w:val="25"/>
          <w:color w:val="auto"/>
          <w:vertAlign w:val="superscript"/>
        </w:rPr>
      </w:pPr>
    </w:p>
    <w:p>
      <w:pPr>
        <w:ind w:left="340" w:hanging="332"/>
        <w:spacing w:after="0" w:line="186" w:lineRule="auto"/>
        <w:tabs>
          <w:tab w:leader="none" w:pos="340" w:val="left"/>
        </w:tabs>
        <w:numPr>
          <w:ilvl w:val="0"/>
          <w:numId w:val="61"/>
        </w:numPr>
        <w:rPr>
          <w:rFonts w:ascii="Arial" w:cs="Arial" w:eastAsia="Arial" w:hAnsi="Arial"/>
          <w:sz w:val="24"/>
          <w:szCs w:val="24"/>
          <w:color w:val="auto"/>
          <w:vertAlign w:val="superscript"/>
        </w:rPr>
      </w:pPr>
      <w:r>
        <w:rPr>
          <w:rFonts w:ascii="Arial" w:cs="Arial" w:eastAsia="Arial" w:hAnsi="Arial"/>
          <w:sz w:val="17"/>
          <w:szCs w:val="17"/>
          <w:color w:val="auto"/>
        </w:rPr>
        <w:t>Primarily relates to return to provision adjustments for prior years.</w:t>
      </w:r>
    </w:p>
    <w:p>
      <w:pPr>
        <w:spacing w:after="0" w:line="83" w:lineRule="exact"/>
        <w:rPr>
          <w:sz w:val="20"/>
          <w:szCs w:val="20"/>
          <w:color w:val="auto"/>
        </w:rPr>
      </w:pPr>
    </w:p>
    <w:p>
      <w:pPr>
        <w:ind w:right="100"/>
        <w:spacing w:after="0" w:line="259" w:lineRule="auto"/>
        <w:rPr>
          <w:sz w:val="20"/>
          <w:szCs w:val="20"/>
          <w:color w:val="auto"/>
        </w:rPr>
      </w:pPr>
      <w:r>
        <w:rPr>
          <w:rFonts w:ascii="Arial" w:cs="Arial" w:eastAsia="Arial" w:hAnsi="Arial"/>
          <w:sz w:val="18"/>
          <w:szCs w:val="18"/>
          <w:color w:val="auto"/>
        </w:rPr>
        <w:t>Schedules not listed above have been omitted because the information required to be set forth therein is not applicable or is shown in the financial statements or notes thereto.</w:t>
      </w:r>
    </w:p>
    <w:p>
      <w:pPr>
        <w:spacing w:after="0" w:line="50" w:lineRule="exact"/>
        <w:rPr>
          <w:sz w:val="20"/>
          <w:szCs w:val="20"/>
          <w:color w:val="auto"/>
        </w:rPr>
      </w:pPr>
    </w:p>
    <w:p>
      <w:pPr>
        <w:ind w:left="580" w:right="120" w:hanging="248"/>
        <w:spacing w:after="0" w:line="277" w:lineRule="auto"/>
        <w:tabs>
          <w:tab w:leader="none" w:pos="580" w:val="left"/>
        </w:tabs>
        <w:numPr>
          <w:ilvl w:val="0"/>
          <w:numId w:val="62"/>
        </w:numPr>
        <w:rPr>
          <w:rFonts w:ascii="Arial" w:cs="Arial" w:eastAsia="Arial" w:hAnsi="Arial"/>
          <w:sz w:val="18"/>
          <w:szCs w:val="18"/>
          <w:color w:val="auto"/>
        </w:rPr>
      </w:pPr>
      <w:r>
        <w:rPr>
          <w:rFonts w:ascii="Arial" w:cs="Arial" w:eastAsia="Arial" w:hAnsi="Arial"/>
          <w:sz w:val="18"/>
          <w:szCs w:val="18"/>
          <w:color w:val="auto"/>
        </w:rPr>
        <w:t>Exhibits required by Item 601 of Regulation S-K. The exhibits listed on the Exhibit Index of this Annual Report on Form 10-K have been previously filed, are filed herewith or are incorporated herein by reference to other filings.</w:t>
      </w:r>
    </w:p>
    <w:p>
      <w:pPr>
        <w:spacing w:after="0" w:line="200" w:lineRule="exact"/>
        <w:rPr>
          <w:rFonts w:ascii="Arial" w:cs="Arial" w:eastAsia="Arial" w:hAnsi="Arial"/>
          <w:sz w:val="18"/>
          <w:szCs w:val="18"/>
          <w:color w:val="auto"/>
        </w:rPr>
      </w:pPr>
    </w:p>
    <w:p>
      <w:pPr>
        <w:spacing w:after="0" w:line="213" w:lineRule="exact"/>
        <w:rPr>
          <w:rFonts w:ascii="Arial" w:cs="Arial" w:eastAsia="Arial" w:hAnsi="Arial"/>
          <w:sz w:val="18"/>
          <w:szCs w:val="18"/>
          <w:color w:val="auto"/>
        </w:rPr>
      </w:pPr>
    </w:p>
    <w:p>
      <w:pPr>
        <w:ind w:left="5580" w:hanging="103"/>
        <w:spacing w:after="0"/>
        <w:tabs>
          <w:tab w:leader="none" w:pos="5580" w:val="left"/>
        </w:tabs>
        <w:numPr>
          <w:ilvl w:val="1"/>
          <w:numId w:val="62"/>
        </w:numPr>
        <w:rPr>
          <w:rFonts w:ascii="Arial" w:cs="Arial" w:eastAsia="Arial" w:hAnsi="Arial"/>
          <w:sz w:val="18"/>
          <w:szCs w:val="18"/>
          <w:color w:val="auto"/>
        </w:rPr>
      </w:pPr>
      <w:r>
        <w:rPr>
          <w:rFonts w:ascii="Arial" w:cs="Arial" w:eastAsia="Arial" w:hAnsi="Arial"/>
          <w:sz w:val="18"/>
          <w:szCs w:val="18"/>
          <w:color w:val="auto"/>
        </w:rPr>
        <w:t>114 -</w:t>
      </w:r>
    </w:p>
    <w:p>
      <w:pPr>
        <w:sectPr>
          <w:pgSz w:w="11900" w:h="16838" w:orient="portrait"/>
          <w:cols w:equalWidth="0" w:num="1">
            <w:col w:w="11420"/>
          </w:cols>
          <w:pgMar w:left="240" w:top="796" w:right="239" w:bottom="1440" w:gutter="0" w:footer="0" w:header="0"/>
        </w:sectPr>
      </w:pPr>
    </w:p>
    <w:bookmarkStart w:id="115" w:name="page116"/>
    <w:bookmarkEnd w:id="115"/>
    <w:p>
      <w:pPr>
        <w:jc w:val="center"/>
        <w:ind w:right="-259"/>
        <w:spacing w:after="0"/>
        <w:rPr>
          <w:sz w:val="20"/>
          <w:szCs w:val="20"/>
          <w:color w:val="auto"/>
        </w:rPr>
      </w:pPr>
      <w:r>
        <w:rPr>
          <w:rFonts w:ascii="Arial" w:cs="Arial" w:eastAsia="Arial" w:hAnsi="Arial"/>
          <w:sz w:val="18"/>
          <w:szCs w:val="18"/>
          <w:b w:val="1"/>
          <w:bCs w:val="1"/>
          <w:color w:val="auto"/>
        </w:rPr>
        <w:t>SIGNATURES</w:t>
      </w:r>
    </w:p>
    <w:p>
      <w:pPr>
        <w:spacing w:after="0" w:line="175"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Pursuant to the requirements of Sections 13 or 15(d) of the Securities Exchange Act of 1934, the registrant has duly caused this report to be signed on its behalf by the undersigned, thereunto duly authorized.</w:t>
      </w:r>
    </w:p>
    <w:p>
      <w:pPr>
        <w:spacing w:after="0" w:line="306"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3740" w:type="dxa"/>
            <w:vAlign w:val="bottom"/>
          </w:tcPr>
          <w:p>
            <w:pPr>
              <w:spacing w:after="0"/>
              <w:rPr>
                <w:sz w:val="20"/>
                <w:szCs w:val="20"/>
                <w:color w:val="auto"/>
              </w:rPr>
            </w:pPr>
            <w:r>
              <w:rPr>
                <w:rFonts w:ascii="Arial" w:cs="Arial" w:eastAsia="Arial" w:hAnsi="Arial"/>
                <w:sz w:val="18"/>
                <w:szCs w:val="18"/>
                <w:color w:val="auto"/>
              </w:rPr>
              <w:t>Dated: March 1, 2016</w:t>
            </w:r>
          </w:p>
        </w:tc>
        <w:tc>
          <w:tcPr>
            <w:tcW w:w="6920" w:type="dxa"/>
            <w:vAlign w:val="bottom"/>
            <w:gridSpan w:val="2"/>
          </w:tcPr>
          <w:p>
            <w:pPr>
              <w:ind w:left="2140"/>
              <w:spacing w:after="0"/>
              <w:rPr>
                <w:sz w:val="20"/>
                <w:szCs w:val="20"/>
                <w:color w:val="auto"/>
              </w:rPr>
            </w:pPr>
            <w:r>
              <w:rPr>
                <w:rFonts w:ascii="Arial" w:cs="Arial" w:eastAsia="Arial" w:hAnsi="Arial"/>
                <w:sz w:val="18"/>
                <w:szCs w:val="18"/>
                <w:color w:val="auto"/>
              </w:rPr>
              <w:t>By   /s/ Thomas J. Hook</w:t>
            </w:r>
          </w:p>
        </w:tc>
      </w:tr>
      <w:tr>
        <w:trPr>
          <w:trHeight w:val="27"/>
        </w:trPr>
        <w:tc>
          <w:tcPr>
            <w:tcW w:w="3740" w:type="dxa"/>
            <w:vAlign w:val="bottom"/>
          </w:tcPr>
          <w:p>
            <w:pPr>
              <w:spacing w:after="0"/>
              <w:rPr>
                <w:sz w:val="2"/>
                <w:szCs w:val="2"/>
                <w:color w:val="auto"/>
              </w:rPr>
            </w:pPr>
          </w:p>
        </w:tc>
        <w:tc>
          <w:tcPr>
            <w:tcW w:w="2560" w:type="dxa"/>
            <w:vAlign w:val="bottom"/>
          </w:tcPr>
          <w:p>
            <w:pPr>
              <w:spacing w:after="0"/>
              <w:rPr>
                <w:sz w:val="2"/>
                <w:szCs w:val="2"/>
                <w:color w:val="auto"/>
              </w:rPr>
            </w:pPr>
          </w:p>
        </w:tc>
        <w:tc>
          <w:tcPr>
            <w:tcW w:w="4360" w:type="dxa"/>
            <w:vAlign w:val="bottom"/>
            <w:tcBorders>
              <w:bottom w:val="single" w:sz="8" w:color="auto"/>
            </w:tcBorders>
          </w:tcPr>
          <w:p>
            <w:pPr>
              <w:spacing w:after="0"/>
              <w:rPr>
                <w:sz w:val="2"/>
                <w:szCs w:val="2"/>
                <w:color w:val="auto"/>
              </w:rPr>
            </w:pPr>
          </w:p>
        </w:tc>
      </w:tr>
      <w:tr>
        <w:trPr>
          <w:trHeight w:val="237"/>
        </w:trPr>
        <w:tc>
          <w:tcPr>
            <w:tcW w:w="3740" w:type="dxa"/>
            <w:vAlign w:val="bottom"/>
          </w:tcPr>
          <w:p>
            <w:pPr>
              <w:spacing w:after="0"/>
              <w:rPr>
                <w:sz w:val="20"/>
                <w:szCs w:val="20"/>
                <w:color w:val="auto"/>
              </w:rPr>
            </w:pPr>
          </w:p>
        </w:tc>
        <w:tc>
          <w:tcPr>
            <w:tcW w:w="2560" w:type="dxa"/>
            <w:vAlign w:val="bottom"/>
          </w:tcPr>
          <w:p>
            <w:pPr>
              <w:spacing w:after="0"/>
              <w:rPr>
                <w:sz w:val="20"/>
                <w:szCs w:val="20"/>
                <w:color w:val="auto"/>
              </w:rPr>
            </w:pPr>
          </w:p>
        </w:tc>
        <w:tc>
          <w:tcPr>
            <w:tcW w:w="4360" w:type="dxa"/>
            <w:vAlign w:val="bottom"/>
          </w:tcPr>
          <w:p>
            <w:pPr>
              <w:ind w:left="20"/>
              <w:spacing w:after="0"/>
              <w:rPr>
                <w:sz w:val="20"/>
                <w:szCs w:val="20"/>
                <w:color w:val="auto"/>
              </w:rPr>
            </w:pPr>
            <w:r>
              <w:rPr>
                <w:rFonts w:ascii="Arial" w:cs="Arial" w:eastAsia="Arial" w:hAnsi="Arial"/>
                <w:sz w:val="18"/>
                <w:szCs w:val="18"/>
                <w:color w:val="auto"/>
              </w:rPr>
              <w:t>Thomas J. Hook (Principal Executive Officer)</w:t>
            </w:r>
          </w:p>
        </w:tc>
      </w:tr>
      <w:tr>
        <w:trPr>
          <w:trHeight w:val="270"/>
        </w:trPr>
        <w:tc>
          <w:tcPr>
            <w:tcW w:w="3740" w:type="dxa"/>
            <w:vAlign w:val="bottom"/>
          </w:tcPr>
          <w:p>
            <w:pPr>
              <w:spacing w:after="0"/>
              <w:rPr>
                <w:sz w:val="23"/>
                <w:szCs w:val="23"/>
                <w:color w:val="auto"/>
              </w:rPr>
            </w:pPr>
          </w:p>
        </w:tc>
        <w:tc>
          <w:tcPr>
            <w:tcW w:w="2560" w:type="dxa"/>
            <w:vAlign w:val="bottom"/>
          </w:tcPr>
          <w:p>
            <w:pPr>
              <w:spacing w:after="0"/>
              <w:rPr>
                <w:sz w:val="23"/>
                <w:szCs w:val="23"/>
                <w:color w:val="auto"/>
              </w:rPr>
            </w:pPr>
          </w:p>
        </w:tc>
        <w:tc>
          <w:tcPr>
            <w:tcW w:w="4360" w:type="dxa"/>
            <w:vAlign w:val="bottom"/>
          </w:tcPr>
          <w:p>
            <w:pPr>
              <w:ind w:left="20"/>
              <w:spacing w:after="0"/>
              <w:rPr>
                <w:sz w:val="20"/>
                <w:szCs w:val="20"/>
                <w:color w:val="auto"/>
              </w:rPr>
            </w:pPr>
            <w:r>
              <w:rPr>
                <w:rFonts w:ascii="Arial" w:cs="Arial" w:eastAsia="Arial" w:hAnsi="Arial"/>
                <w:sz w:val="18"/>
                <w:szCs w:val="18"/>
                <w:color w:val="auto"/>
              </w:rPr>
              <w:t>President and Chief Executive Officer</w:t>
            </w:r>
          </w:p>
        </w:tc>
      </w:tr>
    </w:tbl>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this report has been signed below by the following persons on behalf of the registrant and in the capacities and on the date indicated.</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660" w:type="dxa"/>
            <w:vAlign w:val="bottom"/>
            <w:gridSpan w:val="3"/>
          </w:tcPr>
          <w:p>
            <w:pPr>
              <w:ind w:left="40"/>
              <w:spacing w:after="0"/>
              <w:rPr>
                <w:sz w:val="20"/>
                <w:szCs w:val="20"/>
                <w:color w:val="auto"/>
              </w:rPr>
            </w:pPr>
            <w:r>
              <w:rPr>
                <w:rFonts w:ascii="Arial" w:cs="Arial" w:eastAsia="Arial" w:hAnsi="Arial"/>
                <w:sz w:val="14"/>
                <w:szCs w:val="14"/>
                <w:b w:val="1"/>
                <w:bCs w:val="1"/>
                <w:color w:val="auto"/>
              </w:rPr>
              <w:t>Signature</w:t>
            </w:r>
          </w:p>
        </w:tc>
        <w:tc>
          <w:tcPr>
            <w:tcW w:w="5900" w:type="dxa"/>
            <w:vAlign w:val="bottom"/>
            <w:gridSpan w:val="3"/>
          </w:tcPr>
          <w:p>
            <w:pPr>
              <w:ind w:left="2840"/>
              <w:spacing w:after="0"/>
              <w:rPr>
                <w:sz w:val="20"/>
                <w:szCs w:val="20"/>
                <w:color w:val="auto"/>
              </w:rPr>
            </w:pPr>
            <w:r>
              <w:rPr>
                <w:rFonts w:ascii="Arial" w:cs="Arial" w:eastAsia="Arial" w:hAnsi="Arial"/>
                <w:sz w:val="14"/>
                <w:szCs w:val="14"/>
                <w:b w:val="1"/>
                <w:bCs w:val="1"/>
                <w:color w:val="auto"/>
              </w:rPr>
              <w:t>Title</w:t>
            </w:r>
          </w:p>
        </w:tc>
        <w:tc>
          <w:tcPr>
            <w:tcW w:w="1480" w:type="dxa"/>
            <w:vAlign w:val="bottom"/>
            <w:gridSpan w:val="3"/>
          </w:tcPr>
          <w:p>
            <w:pPr>
              <w:jc w:val="center"/>
              <w:ind w:left="331"/>
              <w:spacing w:after="0"/>
              <w:rPr>
                <w:sz w:val="20"/>
                <w:szCs w:val="20"/>
                <w:color w:val="auto"/>
              </w:rPr>
            </w:pPr>
            <w:r>
              <w:rPr>
                <w:rFonts w:ascii="Arial" w:cs="Arial" w:eastAsia="Arial" w:hAnsi="Arial"/>
                <w:sz w:val="14"/>
                <w:szCs w:val="14"/>
                <w:b w:val="1"/>
                <w:bCs w:val="1"/>
                <w:color w:val="auto"/>
                <w:w w:val="98"/>
              </w:rPr>
              <w:t>Date</w:t>
            </w:r>
          </w:p>
        </w:tc>
      </w:tr>
      <w:tr>
        <w:trPr>
          <w:trHeight w:val="20"/>
        </w:trPr>
        <w:tc>
          <w:tcPr>
            <w:tcW w:w="40" w:type="dxa"/>
            <w:vAlign w:val="bottom"/>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3020" w:type="dxa"/>
            <w:vAlign w:val="bottom"/>
          </w:tcPr>
          <w:p>
            <w:pPr>
              <w:spacing w:after="0" w:line="20" w:lineRule="exact"/>
              <w:rPr>
                <w:sz w:val="1"/>
                <w:szCs w:val="1"/>
                <w:color w:val="auto"/>
              </w:rPr>
            </w:pPr>
          </w:p>
        </w:tc>
        <w:tc>
          <w:tcPr>
            <w:tcW w:w="284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27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r>
      <w:tr>
        <w:trPr>
          <w:trHeight w:val="371"/>
        </w:trPr>
        <w:tc>
          <w:tcPr>
            <w:tcW w:w="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020" w:type="dxa"/>
            <w:vAlign w:val="bottom"/>
          </w:tcPr>
          <w:p>
            <w:pPr>
              <w:spacing w:after="0"/>
              <w:rPr>
                <w:sz w:val="24"/>
                <w:szCs w:val="24"/>
                <w:color w:val="auto"/>
              </w:rPr>
            </w:pPr>
          </w:p>
        </w:tc>
        <w:tc>
          <w:tcPr>
            <w:tcW w:w="2840" w:type="dxa"/>
            <w:vAlign w:val="bottom"/>
          </w:tcPr>
          <w:p>
            <w:pPr>
              <w:ind w:left="160"/>
              <w:spacing w:after="0"/>
              <w:rPr>
                <w:sz w:val="20"/>
                <w:szCs w:val="20"/>
                <w:color w:val="auto"/>
              </w:rPr>
            </w:pPr>
            <w:r>
              <w:rPr>
                <w:rFonts w:ascii="Arial" w:cs="Arial" w:eastAsia="Arial" w:hAnsi="Arial"/>
                <w:sz w:val="18"/>
                <w:szCs w:val="18"/>
                <w:color w:val="auto"/>
              </w:rPr>
              <w:t>President, Chief Executive</w:t>
            </w:r>
          </w:p>
        </w:tc>
        <w:tc>
          <w:tcPr>
            <w:tcW w:w="280" w:type="dxa"/>
            <w:vAlign w:val="bottom"/>
          </w:tcPr>
          <w:p>
            <w:pPr>
              <w:spacing w:after="0"/>
              <w:rPr>
                <w:sz w:val="24"/>
                <w:szCs w:val="24"/>
                <w:color w:val="auto"/>
              </w:rPr>
            </w:pPr>
          </w:p>
        </w:tc>
        <w:tc>
          <w:tcPr>
            <w:tcW w:w="2780" w:type="dxa"/>
            <w:vAlign w:val="bottom"/>
          </w:tcPr>
          <w:p>
            <w:pPr>
              <w:spacing w:after="0"/>
              <w:rPr>
                <w:sz w:val="24"/>
                <w:szCs w:val="24"/>
                <w:color w:val="auto"/>
              </w:rPr>
            </w:pPr>
          </w:p>
        </w:tc>
        <w:tc>
          <w:tcPr>
            <w:tcW w:w="1480" w:type="dxa"/>
            <w:vAlign w:val="bottom"/>
            <w:gridSpan w:val="3"/>
          </w:tcPr>
          <w:p>
            <w:pPr>
              <w:jc w:val="center"/>
              <w:ind w:left="331"/>
              <w:spacing w:after="0"/>
              <w:rPr>
                <w:sz w:val="20"/>
                <w:szCs w:val="20"/>
                <w:color w:val="auto"/>
              </w:rPr>
            </w:pPr>
            <w:r>
              <w:rPr>
                <w:rFonts w:ascii="Arial" w:cs="Arial" w:eastAsia="Arial" w:hAnsi="Arial"/>
                <w:sz w:val="18"/>
                <w:szCs w:val="18"/>
                <w:color w:val="auto"/>
                <w:w w:val="92"/>
              </w:rPr>
              <w:t>March 1, 2016</w:t>
            </w:r>
          </w:p>
        </w:tc>
      </w:tr>
      <w:tr>
        <w:trPr>
          <w:trHeight w:val="216"/>
        </w:trPr>
        <w:tc>
          <w:tcPr>
            <w:tcW w:w="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020" w:type="dxa"/>
            <w:vAlign w:val="bottom"/>
          </w:tcPr>
          <w:p>
            <w:pPr>
              <w:spacing w:after="0"/>
              <w:rPr>
                <w:sz w:val="18"/>
                <w:szCs w:val="18"/>
                <w:color w:val="auto"/>
              </w:rPr>
            </w:pPr>
          </w:p>
        </w:tc>
        <w:tc>
          <w:tcPr>
            <w:tcW w:w="5900" w:type="dxa"/>
            <w:vAlign w:val="bottom"/>
            <w:gridSpan w:val="3"/>
          </w:tcPr>
          <w:p>
            <w:pPr>
              <w:ind w:left="160"/>
              <w:spacing w:after="0"/>
              <w:rPr>
                <w:sz w:val="20"/>
                <w:szCs w:val="20"/>
                <w:color w:val="auto"/>
              </w:rPr>
            </w:pPr>
            <w:r>
              <w:rPr>
                <w:rFonts w:ascii="Arial" w:cs="Arial" w:eastAsia="Arial" w:hAnsi="Arial"/>
                <w:sz w:val="18"/>
                <w:szCs w:val="18"/>
                <w:color w:val="auto"/>
              </w:rPr>
              <w:t>Officer and Director</w:t>
            </w:r>
          </w:p>
        </w:tc>
        <w:tc>
          <w:tcPr>
            <w:tcW w:w="8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80" w:type="dxa"/>
            <w:vAlign w:val="bottom"/>
          </w:tcPr>
          <w:p>
            <w:pPr>
              <w:spacing w:after="0"/>
              <w:rPr>
                <w:sz w:val="18"/>
                <w:szCs w:val="18"/>
                <w:color w:val="auto"/>
              </w:rPr>
            </w:pPr>
          </w:p>
        </w:tc>
      </w:tr>
      <w:tr>
        <w:trPr>
          <w:trHeight w:val="230"/>
        </w:trPr>
        <w:tc>
          <w:tcPr>
            <w:tcW w:w="3660" w:type="dxa"/>
            <w:vAlign w:val="bottom"/>
            <w:gridSpan w:val="3"/>
          </w:tcPr>
          <w:p>
            <w:pPr>
              <w:ind w:left="40"/>
              <w:spacing w:after="0"/>
              <w:rPr>
                <w:sz w:val="20"/>
                <w:szCs w:val="20"/>
                <w:color w:val="auto"/>
              </w:rPr>
            </w:pPr>
            <w:r>
              <w:rPr>
                <w:rFonts w:ascii="Arial" w:cs="Arial" w:eastAsia="Arial" w:hAnsi="Arial"/>
                <w:sz w:val="18"/>
                <w:szCs w:val="18"/>
                <w:color w:val="auto"/>
              </w:rPr>
              <w:t>/s/ Thomas J. Hook</w:t>
            </w:r>
          </w:p>
        </w:tc>
        <w:tc>
          <w:tcPr>
            <w:tcW w:w="5900" w:type="dxa"/>
            <w:vAlign w:val="bottom"/>
            <w:gridSpan w:val="3"/>
          </w:tcPr>
          <w:p>
            <w:pPr>
              <w:ind w:left="160"/>
              <w:spacing w:after="0"/>
              <w:rPr>
                <w:sz w:val="20"/>
                <w:szCs w:val="20"/>
                <w:color w:val="auto"/>
              </w:rPr>
            </w:pPr>
            <w:r>
              <w:rPr>
                <w:rFonts w:ascii="Arial" w:cs="Arial" w:eastAsia="Arial" w:hAnsi="Arial"/>
                <w:sz w:val="18"/>
                <w:szCs w:val="18"/>
                <w:color w:val="auto"/>
              </w:rPr>
              <w:t>(Principal Executive Officer)</w:t>
            </w:r>
          </w:p>
        </w:tc>
        <w:tc>
          <w:tcPr>
            <w:tcW w:w="8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80" w:type="dxa"/>
            <w:vAlign w:val="bottom"/>
          </w:tcPr>
          <w:p>
            <w:pPr>
              <w:spacing w:after="0"/>
              <w:rPr>
                <w:sz w:val="20"/>
                <w:szCs w:val="20"/>
                <w:color w:val="auto"/>
              </w:rPr>
            </w:pPr>
          </w:p>
        </w:tc>
      </w:tr>
      <w:tr>
        <w:trPr>
          <w:trHeight w:val="27"/>
        </w:trPr>
        <w:tc>
          <w:tcPr>
            <w:tcW w:w="4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3020" w:type="dxa"/>
            <w:vAlign w:val="bottom"/>
            <w:tcBorders>
              <w:bottom w:val="single" w:sz="8" w:color="auto"/>
            </w:tcBorders>
          </w:tcPr>
          <w:p>
            <w:pPr>
              <w:spacing w:after="0"/>
              <w:rPr>
                <w:sz w:val="2"/>
                <w:szCs w:val="2"/>
                <w:color w:val="auto"/>
              </w:rPr>
            </w:pPr>
          </w:p>
        </w:tc>
        <w:tc>
          <w:tcPr>
            <w:tcW w:w="2840" w:type="dxa"/>
            <w:vAlign w:val="bottom"/>
          </w:tcPr>
          <w:p>
            <w:pPr>
              <w:spacing w:after="0"/>
              <w:rPr>
                <w:sz w:val="2"/>
                <w:szCs w:val="2"/>
                <w:color w:val="auto"/>
              </w:rPr>
            </w:pPr>
          </w:p>
        </w:tc>
        <w:tc>
          <w:tcPr>
            <w:tcW w:w="280" w:type="dxa"/>
            <w:vAlign w:val="bottom"/>
          </w:tcPr>
          <w:p>
            <w:pPr>
              <w:spacing w:after="0"/>
              <w:rPr>
                <w:sz w:val="2"/>
                <w:szCs w:val="2"/>
                <w:color w:val="auto"/>
              </w:rPr>
            </w:pPr>
          </w:p>
        </w:tc>
        <w:tc>
          <w:tcPr>
            <w:tcW w:w="2780" w:type="dxa"/>
            <w:vAlign w:val="bottom"/>
          </w:tcPr>
          <w:p>
            <w:pPr>
              <w:spacing w:after="0"/>
              <w:rPr>
                <w:sz w:val="2"/>
                <w:szCs w:val="2"/>
                <w:color w:val="auto"/>
              </w:rPr>
            </w:pPr>
          </w:p>
        </w:tc>
        <w:tc>
          <w:tcPr>
            <w:tcW w:w="800" w:type="dxa"/>
            <w:vAlign w:val="bottom"/>
          </w:tcPr>
          <w:p>
            <w:pPr>
              <w:spacing w:after="0"/>
              <w:rPr>
                <w:sz w:val="2"/>
                <w:szCs w:val="2"/>
                <w:color w:val="auto"/>
              </w:rPr>
            </w:pPr>
          </w:p>
        </w:tc>
        <w:tc>
          <w:tcPr>
            <w:tcW w:w="300" w:type="dxa"/>
            <w:vAlign w:val="bottom"/>
          </w:tcPr>
          <w:p>
            <w:pPr>
              <w:spacing w:after="0"/>
              <w:rPr>
                <w:sz w:val="2"/>
                <w:szCs w:val="2"/>
                <w:color w:val="auto"/>
              </w:rPr>
            </w:pPr>
          </w:p>
        </w:tc>
        <w:tc>
          <w:tcPr>
            <w:tcW w:w="380" w:type="dxa"/>
            <w:vAlign w:val="bottom"/>
          </w:tcPr>
          <w:p>
            <w:pPr>
              <w:spacing w:after="0"/>
              <w:rPr>
                <w:sz w:val="2"/>
                <w:szCs w:val="2"/>
                <w:color w:val="auto"/>
              </w:rPr>
            </w:pPr>
          </w:p>
        </w:tc>
      </w:tr>
      <w:tr>
        <w:trPr>
          <w:trHeight w:val="237"/>
        </w:trPr>
        <w:tc>
          <w:tcPr>
            <w:tcW w:w="3660" w:type="dxa"/>
            <w:vAlign w:val="bottom"/>
            <w:gridSpan w:val="3"/>
          </w:tcPr>
          <w:p>
            <w:pPr>
              <w:ind w:left="40"/>
              <w:spacing w:after="0"/>
              <w:rPr>
                <w:sz w:val="20"/>
                <w:szCs w:val="20"/>
                <w:color w:val="auto"/>
              </w:rPr>
            </w:pPr>
            <w:r>
              <w:rPr>
                <w:rFonts w:ascii="Arial" w:cs="Arial" w:eastAsia="Arial" w:hAnsi="Arial"/>
                <w:sz w:val="18"/>
                <w:szCs w:val="18"/>
                <w:color w:val="auto"/>
              </w:rPr>
              <w:t>Thomas J. Hook</w:t>
            </w:r>
          </w:p>
        </w:tc>
        <w:tc>
          <w:tcPr>
            <w:tcW w:w="28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7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80" w:type="dxa"/>
            <w:vAlign w:val="bottom"/>
          </w:tcPr>
          <w:p>
            <w:pPr>
              <w:spacing w:after="0"/>
              <w:rPr>
                <w:sz w:val="20"/>
                <w:szCs w:val="20"/>
                <w:color w:val="auto"/>
              </w:rPr>
            </w:pPr>
          </w:p>
        </w:tc>
      </w:tr>
      <w:tr>
        <w:trPr>
          <w:trHeight w:val="377"/>
        </w:trPr>
        <w:tc>
          <w:tcPr>
            <w:tcW w:w="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020" w:type="dxa"/>
            <w:vAlign w:val="bottom"/>
          </w:tcPr>
          <w:p>
            <w:pPr>
              <w:spacing w:after="0"/>
              <w:rPr>
                <w:sz w:val="24"/>
                <w:szCs w:val="24"/>
                <w:color w:val="auto"/>
              </w:rPr>
            </w:pPr>
          </w:p>
        </w:tc>
        <w:tc>
          <w:tcPr>
            <w:tcW w:w="5900" w:type="dxa"/>
            <w:vAlign w:val="bottom"/>
            <w:gridSpan w:val="3"/>
          </w:tcPr>
          <w:p>
            <w:pPr>
              <w:ind w:left="160"/>
              <w:spacing w:after="0"/>
              <w:rPr>
                <w:sz w:val="20"/>
                <w:szCs w:val="20"/>
                <w:color w:val="auto"/>
              </w:rPr>
            </w:pPr>
            <w:r>
              <w:rPr>
                <w:rFonts w:ascii="Arial" w:cs="Arial" w:eastAsia="Arial" w:hAnsi="Arial"/>
                <w:sz w:val="18"/>
                <w:szCs w:val="18"/>
                <w:color w:val="auto"/>
                <w:w w:val="99"/>
              </w:rPr>
              <w:t>Executive Vice President and Chief Financial Officer (Principal Financial</w:t>
            </w:r>
          </w:p>
        </w:tc>
        <w:tc>
          <w:tcPr>
            <w:tcW w:w="1480" w:type="dxa"/>
            <w:vAlign w:val="bottom"/>
            <w:gridSpan w:val="3"/>
          </w:tcPr>
          <w:p>
            <w:pPr>
              <w:jc w:val="center"/>
              <w:ind w:left="331"/>
              <w:spacing w:after="0"/>
              <w:rPr>
                <w:sz w:val="20"/>
                <w:szCs w:val="20"/>
                <w:color w:val="auto"/>
              </w:rPr>
            </w:pPr>
            <w:r>
              <w:rPr>
                <w:rFonts w:ascii="Arial" w:cs="Arial" w:eastAsia="Arial" w:hAnsi="Arial"/>
                <w:sz w:val="18"/>
                <w:szCs w:val="18"/>
                <w:color w:val="auto"/>
                <w:w w:val="92"/>
              </w:rPr>
              <w:t>March 1, 2016</w:t>
            </w:r>
          </w:p>
        </w:tc>
      </w:tr>
      <w:tr>
        <w:trPr>
          <w:trHeight w:val="230"/>
        </w:trPr>
        <w:tc>
          <w:tcPr>
            <w:tcW w:w="3660" w:type="dxa"/>
            <w:vAlign w:val="bottom"/>
            <w:gridSpan w:val="3"/>
          </w:tcPr>
          <w:p>
            <w:pPr>
              <w:ind w:left="40"/>
              <w:spacing w:after="0"/>
              <w:rPr>
                <w:sz w:val="20"/>
                <w:szCs w:val="20"/>
                <w:color w:val="auto"/>
              </w:rPr>
            </w:pPr>
            <w:r>
              <w:rPr>
                <w:rFonts w:ascii="Arial" w:cs="Arial" w:eastAsia="Arial" w:hAnsi="Arial"/>
                <w:sz w:val="18"/>
                <w:szCs w:val="18"/>
                <w:color w:val="auto"/>
              </w:rPr>
              <w:t>/s/ Michael Dinkins</w:t>
            </w:r>
          </w:p>
        </w:tc>
        <w:tc>
          <w:tcPr>
            <w:tcW w:w="5900" w:type="dxa"/>
            <w:vAlign w:val="bottom"/>
            <w:gridSpan w:val="3"/>
          </w:tcPr>
          <w:p>
            <w:pPr>
              <w:ind w:left="160"/>
              <w:spacing w:after="0"/>
              <w:rPr>
                <w:sz w:val="20"/>
                <w:szCs w:val="20"/>
                <w:color w:val="auto"/>
              </w:rPr>
            </w:pPr>
            <w:r>
              <w:rPr>
                <w:rFonts w:ascii="Arial" w:cs="Arial" w:eastAsia="Arial" w:hAnsi="Arial"/>
                <w:sz w:val="18"/>
                <w:szCs w:val="18"/>
                <w:color w:val="auto"/>
              </w:rPr>
              <w:t>Officer)</w:t>
            </w:r>
          </w:p>
        </w:tc>
        <w:tc>
          <w:tcPr>
            <w:tcW w:w="8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80" w:type="dxa"/>
            <w:vAlign w:val="bottom"/>
          </w:tcPr>
          <w:p>
            <w:pPr>
              <w:spacing w:after="0"/>
              <w:rPr>
                <w:sz w:val="20"/>
                <w:szCs w:val="20"/>
                <w:color w:val="auto"/>
              </w:rPr>
            </w:pPr>
          </w:p>
        </w:tc>
      </w:tr>
      <w:tr>
        <w:trPr>
          <w:trHeight w:val="27"/>
        </w:trPr>
        <w:tc>
          <w:tcPr>
            <w:tcW w:w="4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3020" w:type="dxa"/>
            <w:vAlign w:val="bottom"/>
            <w:tcBorders>
              <w:bottom w:val="single" w:sz="8" w:color="auto"/>
            </w:tcBorders>
          </w:tcPr>
          <w:p>
            <w:pPr>
              <w:spacing w:after="0"/>
              <w:rPr>
                <w:sz w:val="2"/>
                <w:szCs w:val="2"/>
                <w:color w:val="auto"/>
              </w:rPr>
            </w:pPr>
          </w:p>
        </w:tc>
        <w:tc>
          <w:tcPr>
            <w:tcW w:w="2840" w:type="dxa"/>
            <w:vAlign w:val="bottom"/>
          </w:tcPr>
          <w:p>
            <w:pPr>
              <w:spacing w:after="0"/>
              <w:rPr>
                <w:sz w:val="2"/>
                <w:szCs w:val="2"/>
                <w:color w:val="auto"/>
              </w:rPr>
            </w:pPr>
          </w:p>
        </w:tc>
        <w:tc>
          <w:tcPr>
            <w:tcW w:w="280" w:type="dxa"/>
            <w:vAlign w:val="bottom"/>
          </w:tcPr>
          <w:p>
            <w:pPr>
              <w:spacing w:after="0"/>
              <w:rPr>
                <w:sz w:val="2"/>
                <w:szCs w:val="2"/>
                <w:color w:val="auto"/>
              </w:rPr>
            </w:pPr>
          </w:p>
        </w:tc>
        <w:tc>
          <w:tcPr>
            <w:tcW w:w="2780" w:type="dxa"/>
            <w:vAlign w:val="bottom"/>
          </w:tcPr>
          <w:p>
            <w:pPr>
              <w:spacing w:after="0"/>
              <w:rPr>
                <w:sz w:val="2"/>
                <w:szCs w:val="2"/>
                <w:color w:val="auto"/>
              </w:rPr>
            </w:pPr>
          </w:p>
        </w:tc>
        <w:tc>
          <w:tcPr>
            <w:tcW w:w="800" w:type="dxa"/>
            <w:vAlign w:val="bottom"/>
          </w:tcPr>
          <w:p>
            <w:pPr>
              <w:spacing w:after="0"/>
              <w:rPr>
                <w:sz w:val="2"/>
                <w:szCs w:val="2"/>
                <w:color w:val="auto"/>
              </w:rPr>
            </w:pPr>
          </w:p>
        </w:tc>
        <w:tc>
          <w:tcPr>
            <w:tcW w:w="300" w:type="dxa"/>
            <w:vAlign w:val="bottom"/>
          </w:tcPr>
          <w:p>
            <w:pPr>
              <w:spacing w:after="0"/>
              <w:rPr>
                <w:sz w:val="2"/>
                <w:szCs w:val="2"/>
                <w:color w:val="auto"/>
              </w:rPr>
            </w:pPr>
          </w:p>
        </w:tc>
        <w:tc>
          <w:tcPr>
            <w:tcW w:w="380" w:type="dxa"/>
            <w:vAlign w:val="bottom"/>
          </w:tcPr>
          <w:p>
            <w:pPr>
              <w:spacing w:after="0"/>
              <w:rPr>
                <w:sz w:val="2"/>
                <w:szCs w:val="2"/>
                <w:color w:val="auto"/>
              </w:rPr>
            </w:pPr>
          </w:p>
        </w:tc>
      </w:tr>
      <w:tr>
        <w:trPr>
          <w:trHeight w:val="237"/>
        </w:trPr>
        <w:tc>
          <w:tcPr>
            <w:tcW w:w="3660" w:type="dxa"/>
            <w:vAlign w:val="bottom"/>
            <w:gridSpan w:val="3"/>
          </w:tcPr>
          <w:p>
            <w:pPr>
              <w:ind w:left="40"/>
              <w:spacing w:after="0"/>
              <w:rPr>
                <w:sz w:val="20"/>
                <w:szCs w:val="20"/>
                <w:color w:val="auto"/>
              </w:rPr>
            </w:pPr>
            <w:r>
              <w:rPr>
                <w:rFonts w:ascii="Arial" w:cs="Arial" w:eastAsia="Arial" w:hAnsi="Arial"/>
                <w:sz w:val="18"/>
                <w:szCs w:val="18"/>
                <w:color w:val="auto"/>
              </w:rPr>
              <w:t>Michael Dinkins</w:t>
            </w:r>
          </w:p>
        </w:tc>
        <w:tc>
          <w:tcPr>
            <w:tcW w:w="28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7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80" w:type="dxa"/>
            <w:vAlign w:val="bottom"/>
          </w:tcPr>
          <w:p>
            <w:pPr>
              <w:spacing w:after="0"/>
              <w:rPr>
                <w:sz w:val="20"/>
                <w:szCs w:val="20"/>
                <w:color w:val="auto"/>
              </w:rPr>
            </w:pPr>
          </w:p>
        </w:tc>
      </w:tr>
      <w:tr>
        <w:trPr>
          <w:trHeight w:val="392"/>
        </w:trPr>
        <w:tc>
          <w:tcPr>
            <w:tcW w:w="3660" w:type="dxa"/>
            <w:vAlign w:val="bottom"/>
            <w:gridSpan w:val="3"/>
          </w:tcPr>
          <w:p>
            <w:pPr>
              <w:ind w:left="40"/>
              <w:spacing w:after="0"/>
              <w:rPr>
                <w:sz w:val="20"/>
                <w:szCs w:val="20"/>
                <w:color w:val="auto"/>
              </w:rPr>
            </w:pPr>
            <w:r>
              <w:rPr>
                <w:rFonts w:ascii="Arial" w:cs="Arial" w:eastAsia="Arial" w:hAnsi="Arial"/>
                <w:sz w:val="18"/>
                <w:szCs w:val="18"/>
                <w:color w:val="auto"/>
              </w:rPr>
              <w:t>/s/ Thomas J. Mazza</w:t>
            </w:r>
          </w:p>
        </w:tc>
        <w:tc>
          <w:tcPr>
            <w:tcW w:w="5900" w:type="dxa"/>
            <w:vAlign w:val="bottom"/>
            <w:gridSpan w:val="3"/>
          </w:tcPr>
          <w:p>
            <w:pPr>
              <w:ind w:left="160"/>
              <w:spacing w:after="0"/>
              <w:rPr>
                <w:sz w:val="20"/>
                <w:szCs w:val="20"/>
                <w:color w:val="auto"/>
              </w:rPr>
            </w:pPr>
            <w:r>
              <w:rPr>
                <w:rFonts w:ascii="Arial" w:cs="Arial" w:eastAsia="Arial" w:hAnsi="Arial"/>
                <w:sz w:val="18"/>
                <w:szCs w:val="18"/>
                <w:color w:val="auto"/>
              </w:rPr>
              <w:t>Vice President and Corporate Controller (Principal Accounting Officer)</w:t>
            </w:r>
          </w:p>
        </w:tc>
        <w:tc>
          <w:tcPr>
            <w:tcW w:w="1480" w:type="dxa"/>
            <w:vAlign w:val="bottom"/>
            <w:gridSpan w:val="3"/>
          </w:tcPr>
          <w:p>
            <w:pPr>
              <w:jc w:val="center"/>
              <w:ind w:left="331"/>
              <w:spacing w:after="0"/>
              <w:rPr>
                <w:sz w:val="20"/>
                <w:szCs w:val="20"/>
                <w:color w:val="auto"/>
              </w:rPr>
            </w:pPr>
            <w:r>
              <w:rPr>
                <w:rFonts w:ascii="Arial" w:cs="Arial" w:eastAsia="Arial" w:hAnsi="Arial"/>
                <w:sz w:val="18"/>
                <w:szCs w:val="18"/>
                <w:color w:val="auto"/>
                <w:w w:val="92"/>
              </w:rPr>
              <w:t>March 1, 2016</w:t>
            </w:r>
          </w:p>
        </w:tc>
      </w:tr>
      <w:tr>
        <w:trPr>
          <w:trHeight w:val="27"/>
        </w:trPr>
        <w:tc>
          <w:tcPr>
            <w:tcW w:w="4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3020" w:type="dxa"/>
            <w:vAlign w:val="bottom"/>
            <w:tcBorders>
              <w:bottom w:val="single" w:sz="8" w:color="auto"/>
            </w:tcBorders>
          </w:tcPr>
          <w:p>
            <w:pPr>
              <w:spacing w:after="0"/>
              <w:rPr>
                <w:sz w:val="2"/>
                <w:szCs w:val="2"/>
                <w:color w:val="auto"/>
              </w:rPr>
            </w:pPr>
          </w:p>
        </w:tc>
        <w:tc>
          <w:tcPr>
            <w:tcW w:w="2840" w:type="dxa"/>
            <w:vAlign w:val="bottom"/>
          </w:tcPr>
          <w:p>
            <w:pPr>
              <w:spacing w:after="0"/>
              <w:rPr>
                <w:sz w:val="2"/>
                <w:szCs w:val="2"/>
                <w:color w:val="auto"/>
              </w:rPr>
            </w:pPr>
          </w:p>
        </w:tc>
        <w:tc>
          <w:tcPr>
            <w:tcW w:w="280" w:type="dxa"/>
            <w:vAlign w:val="bottom"/>
          </w:tcPr>
          <w:p>
            <w:pPr>
              <w:spacing w:after="0"/>
              <w:rPr>
                <w:sz w:val="2"/>
                <w:szCs w:val="2"/>
                <w:color w:val="auto"/>
              </w:rPr>
            </w:pPr>
          </w:p>
        </w:tc>
        <w:tc>
          <w:tcPr>
            <w:tcW w:w="2780" w:type="dxa"/>
            <w:vAlign w:val="bottom"/>
          </w:tcPr>
          <w:p>
            <w:pPr>
              <w:spacing w:after="0"/>
              <w:rPr>
                <w:sz w:val="2"/>
                <w:szCs w:val="2"/>
                <w:color w:val="auto"/>
              </w:rPr>
            </w:pPr>
          </w:p>
        </w:tc>
        <w:tc>
          <w:tcPr>
            <w:tcW w:w="800" w:type="dxa"/>
            <w:vAlign w:val="bottom"/>
          </w:tcPr>
          <w:p>
            <w:pPr>
              <w:spacing w:after="0"/>
              <w:rPr>
                <w:sz w:val="2"/>
                <w:szCs w:val="2"/>
                <w:color w:val="auto"/>
              </w:rPr>
            </w:pPr>
          </w:p>
        </w:tc>
        <w:tc>
          <w:tcPr>
            <w:tcW w:w="300" w:type="dxa"/>
            <w:vAlign w:val="bottom"/>
          </w:tcPr>
          <w:p>
            <w:pPr>
              <w:spacing w:after="0"/>
              <w:rPr>
                <w:sz w:val="2"/>
                <w:szCs w:val="2"/>
                <w:color w:val="auto"/>
              </w:rPr>
            </w:pPr>
          </w:p>
        </w:tc>
        <w:tc>
          <w:tcPr>
            <w:tcW w:w="380" w:type="dxa"/>
            <w:vAlign w:val="bottom"/>
          </w:tcPr>
          <w:p>
            <w:pPr>
              <w:spacing w:after="0"/>
              <w:rPr>
                <w:sz w:val="2"/>
                <w:szCs w:val="2"/>
                <w:color w:val="auto"/>
              </w:rPr>
            </w:pPr>
          </w:p>
        </w:tc>
      </w:tr>
      <w:tr>
        <w:trPr>
          <w:trHeight w:val="237"/>
        </w:trPr>
        <w:tc>
          <w:tcPr>
            <w:tcW w:w="3660" w:type="dxa"/>
            <w:vAlign w:val="bottom"/>
            <w:gridSpan w:val="3"/>
          </w:tcPr>
          <w:p>
            <w:pPr>
              <w:ind w:left="40"/>
              <w:spacing w:after="0"/>
              <w:rPr>
                <w:sz w:val="20"/>
                <w:szCs w:val="20"/>
                <w:color w:val="auto"/>
              </w:rPr>
            </w:pPr>
            <w:r>
              <w:rPr>
                <w:rFonts w:ascii="Arial" w:cs="Arial" w:eastAsia="Arial" w:hAnsi="Arial"/>
                <w:sz w:val="18"/>
                <w:szCs w:val="18"/>
                <w:color w:val="auto"/>
              </w:rPr>
              <w:t>Thomas J. Mazza</w:t>
            </w:r>
          </w:p>
        </w:tc>
        <w:tc>
          <w:tcPr>
            <w:tcW w:w="28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7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80" w:type="dxa"/>
            <w:vAlign w:val="bottom"/>
          </w:tcPr>
          <w:p>
            <w:pPr>
              <w:spacing w:after="0"/>
              <w:rPr>
                <w:sz w:val="20"/>
                <w:szCs w:val="20"/>
                <w:color w:val="auto"/>
              </w:rPr>
            </w:pPr>
          </w:p>
        </w:tc>
      </w:tr>
      <w:tr>
        <w:trPr>
          <w:trHeight w:val="392"/>
        </w:trPr>
        <w:tc>
          <w:tcPr>
            <w:tcW w:w="3660" w:type="dxa"/>
            <w:vAlign w:val="bottom"/>
            <w:gridSpan w:val="3"/>
          </w:tcPr>
          <w:p>
            <w:pPr>
              <w:ind w:left="40"/>
              <w:spacing w:after="0"/>
              <w:rPr>
                <w:sz w:val="20"/>
                <w:szCs w:val="20"/>
                <w:color w:val="auto"/>
              </w:rPr>
            </w:pPr>
            <w:r>
              <w:rPr>
                <w:rFonts w:ascii="Arial" w:cs="Arial" w:eastAsia="Arial" w:hAnsi="Arial"/>
                <w:sz w:val="18"/>
                <w:szCs w:val="18"/>
                <w:color w:val="auto"/>
              </w:rPr>
              <w:t>/s/ Bill R. Sanford</w:t>
            </w:r>
          </w:p>
        </w:tc>
        <w:tc>
          <w:tcPr>
            <w:tcW w:w="5900" w:type="dxa"/>
            <w:vAlign w:val="bottom"/>
            <w:gridSpan w:val="3"/>
          </w:tcPr>
          <w:p>
            <w:pPr>
              <w:ind w:left="160"/>
              <w:spacing w:after="0"/>
              <w:rPr>
                <w:sz w:val="20"/>
                <w:szCs w:val="20"/>
                <w:color w:val="auto"/>
              </w:rPr>
            </w:pPr>
            <w:r>
              <w:rPr>
                <w:rFonts w:ascii="Arial" w:cs="Arial" w:eastAsia="Arial" w:hAnsi="Arial"/>
                <w:sz w:val="18"/>
                <w:szCs w:val="18"/>
                <w:color w:val="auto"/>
              </w:rPr>
              <w:t>Chairman</w:t>
            </w:r>
          </w:p>
        </w:tc>
        <w:tc>
          <w:tcPr>
            <w:tcW w:w="1480" w:type="dxa"/>
            <w:vAlign w:val="bottom"/>
            <w:gridSpan w:val="3"/>
          </w:tcPr>
          <w:p>
            <w:pPr>
              <w:jc w:val="center"/>
              <w:ind w:left="331"/>
              <w:spacing w:after="0"/>
              <w:rPr>
                <w:sz w:val="20"/>
                <w:szCs w:val="20"/>
                <w:color w:val="auto"/>
              </w:rPr>
            </w:pPr>
            <w:r>
              <w:rPr>
                <w:rFonts w:ascii="Arial" w:cs="Arial" w:eastAsia="Arial" w:hAnsi="Arial"/>
                <w:sz w:val="18"/>
                <w:szCs w:val="18"/>
                <w:color w:val="auto"/>
                <w:w w:val="92"/>
              </w:rPr>
              <w:t>March 1, 2016</w:t>
            </w:r>
          </w:p>
        </w:tc>
      </w:tr>
      <w:tr>
        <w:trPr>
          <w:trHeight w:val="27"/>
        </w:trPr>
        <w:tc>
          <w:tcPr>
            <w:tcW w:w="4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3020" w:type="dxa"/>
            <w:vAlign w:val="bottom"/>
            <w:tcBorders>
              <w:bottom w:val="single" w:sz="8" w:color="auto"/>
            </w:tcBorders>
          </w:tcPr>
          <w:p>
            <w:pPr>
              <w:spacing w:after="0"/>
              <w:rPr>
                <w:sz w:val="2"/>
                <w:szCs w:val="2"/>
                <w:color w:val="auto"/>
              </w:rPr>
            </w:pPr>
          </w:p>
        </w:tc>
        <w:tc>
          <w:tcPr>
            <w:tcW w:w="2840" w:type="dxa"/>
            <w:vAlign w:val="bottom"/>
          </w:tcPr>
          <w:p>
            <w:pPr>
              <w:spacing w:after="0"/>
              <w:rPr>
                <w:sz w:val="2"/>
                <w:szCs w:val="2"/>
                <w:color w:val="auto"/>
              </w:rPr>
            </w:pPr>
          </w:p>
        </w:tc>
        <w:tc>
          <w:tcPr>
            <w:tcW w:w="280" w:type="dxa"/>
            <w:vAlign w:val="bottom"/>
          </w:tcPr>
          <w:p>
            <w:pPr>
              <w:spacing w:after="0"/>
              <w:rPr>
                <w:sz w:val="2"/>
                <w:szCs w:val="2"/>
                <w:color w:val="auto"/>
              </w:rPr>
            </w:pPr>
          </w:p>
        </w:tc>
        <w:tc>
          <w:tcPr>
            <w:tcW w:w="2780" w:type="dxa"/>
            <w:vAlign w:val="bottom"/>
          </w:tcPr>
          <w:p>
            <w:pPr>
              <w:spacing w:after="0"/>
              <w:rPr>
                <w:sz w:val="2"/>
                <w:szCs w:val="2"/>
                <w:color w:val="auto"/>
              </w:rPr>
            </w:pPr>
          </w:p>
        </w:tc>
        <w:tc>
          <w:tcPr>
            <w:tcW w:w="800" w:type="dxa"/>
            <w:vAlign w:val="bottom"/>
          </w:tcPr>
          <w:p>
            <w:pPr>
              <w:spacing w:after="0"/>
              <w:rPr>
                <w:sz w:val="2"/>
                <w:szCs w:val="2"/>
                <w:color w:val="auto"/>
              </w:rPr>
            </w:pPr>
          </w:p>
        </w:tc>
        <w:tc>
          <w:tcPr>
            <w:tcW w:w="300" w:type="dxa"/>
            <w:vAlign w:val="bottom"/>
          </w:tcPr>
          <w:p>
            <w:pPr>
              <w:spacing w:after="0"/>
              <w:rPr>
                <w:sz w:val="2"/>
                <w:szCs w:val="2"/>
                <w:color w:val="auto"/>
              </w:rPr>
            </w:pPr>
          </w:p>
        </w:tc>
        <w:tc>
          <w:tcPr>
            <w:tcW w:w="380" w:type="dxa"/>
            <w:vAlign w:val="bottom"/>
          </w:tcPr>
          <w:p>
            <w:pPr>
              <w:spacing w:after="0"/>
              <w:rPr>
                <w:sz w:val="2"/>
                <w:szCs w:val="2"/>
                <w:color w:val="auto"/>
              </w:rPr>
            </w:pPr>
          </w:p>
        </w:tc>
      </w:tr>
      <w:tr>
        <w:trPr>
          <w:trHeight w:val="237"/>
        </w:trPr>
        <w:tc>
          <w:tcPr>
            <w:tcW w:w="3660" w:type="dxa"/>
            <w:vAlign w:val="bottom"/>
            <w:gridSpan w:val="3"/>
          </w:tcPr>
          <w:p>
            <w:pPr>
              <w:ind w:left="40"/>
              <w:spacing w:after="0"/>
              <w:rPr>
                <w:sz w:val="20"/>
                <w:szCs w:val="20"/>
                <w:color w:val="auto"/>
              </w:rPr>
            </w:pPr>
            <w:r>
              <w:rPr>
                <w:rFonts w:ascii="Arial" w:cs="Arial" w:eastAsia="Arial" w:hAnsi="Arial"/>
                <w:sz w:val="18"/>
                <w:szCs w:val="18"/>
                <w:color w:val="auto"/>
              </w:rPr>
              <w:t>Bill R. Sanford</w:t>
            </w:r>
          </w:p>
        </w:tc>
        <w:tc>
          <w:tcPr>
            <w:tcW w:w="28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7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80" w:type="dxa"/>
            <w:vAlign w:val="bottom"/>
          </w:tcPr>
          <w:p>
            <w:pPr>
              <w:spacing w:after="0"/>
              <w:rPr>
                <w:sz w:val="20"/>
                <w:szCs w:val="20"/>
                <w:color w:val="auto"/>
              </w:rPr>
            </w:pPr>
          </w:p>
        </w:tc>
      </w:tr>
      <w:tr>
        <w:trPr>
          <w:trHeight w:val="392"/>
        </w:trPr>
        <w:tc>
          <w:tcPr>
            <w:tcW w:w="3660" w:type="dxa"/>
            <w:vAlign w:val="bottom"/>
            <w:gridSpan w:val="3"/>
          </w:tcPr>
          <w:p>
            <w:pPr>
              <w:ind w:left="40"/>
              <w:spacing w:after="0"/>
              <w:rPr>
                <w:sz w:val="20"/>
                <w:szCs w:val="20"/>
                <w:color w:val="auto"/>
              </w:rPr>
            </w:pPr>
            <w:r>
              <w:rPr>
                <w:rFonts w:ascii="Arial" w:cs="Arial" w:eastAsia="Arial" w:hAnsi="Arial"/>
                <w:sz w:val="18"/>
                <w:szCs w:val="18"/>
                <w:color w:val="auto"/>
              </w:rPr>
              <w:t>/s/ Pamela G. Bailey</w:t>
            </w:r>
          </w:p>
        </w:tc>
        <w:tc>
          <w:tcPr>
            <w:tcW w:w="5900" w:type="dxa"/>
            <w:vAlign w:val="bottom"/>
            <w:gridSpan w:val="3"/>
          </w:tcPr>
          <w:p>
            <w:pPr>
              <w:ind w:left="160"/>
              <w:spacing w:after="0"/>
              <w:rPr>
                <w:sz w:val="20"/>
                <w:szCs w:val="20"/>
                <w:color w:val="auto"/>
              </w:rPr>
            </w:pPr>
            <w:r>
              <w:rPr>
                <w:rFonts w:ascii="Arial" w:cs="Arial" w:eastAsia="Arial" w:hAnsi="Arial"/>
                <w:sz w:val="18"/>
                <w:szCs w:val="18"/>
                <w:color w:val="auto"/>
              </w:rPr>
              <w:t>Director</w:t>
            </w:r>
          </w:p>
        </w:tc>
        <w:tc>
          <w:tcPr>
            <w:tcW w:w="1480" w:type="dxa"/>
            <w:vAlign w:val="bottom"/>
            <w:gridSpan w:val="3"/>
          </w:tcPr>
          <w:p>
            <w:pPr>
              <w:jc w:val="center"/>
              <w:ind w:left="331"/>
              <w:spacing w:after="0"/>
              <w:rPr>
                <w:sz w:val="20"/>
                <w:szCs w:val="20"/>
                <w:color w:val="auto"/>
              </w:rPr>
            </w:pPr>
            <w:r>
              <w:rPr>
                <w:rFonts w:ascii="Arial" w:cs="Arial" w:eastAsia="Arial" w:hAnsi="Arial"/>
                <w:sz w:val="18"/>
                <w:szCs w:val="18"/>
                <w:color w:val="auto"/>
                <w:w w:val="92"/>
              </w:rPr>
              <w:t>March 1, 2016</w:t>
            </w:r>
          </w:p>
        </w:tc>
      </w:tr>
      <w:tr>
        <w:trPr>
          <w:trHeight w:val="27"/>
        </w:trPr>
        <w:tc>
          <w:tcPr>
            <w:tcW w:w="4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3020" w:type="dxa"/>
            <w:vAlign w:val="bottom"/>
            <w:tcBorders>
              <w:bottom w:val="single" w:sz="8" w:color="auto"/>
            </w:tcBorders>
          </w:tcPr>
          <w:p>
            <w:pPr>
              <w:spacing w:after="0"/>
              <w:rPr>
                <w:sz w:val="2"/>
                <w:szCs w:val="2"/>
                <w:color w:val="auto"/>
              </w:rPr>
            </w:pPr>
          </w:p>
        </w:tc>
        <w:tc>
          <w:tcPr>
            <w:tcW w:w="2840" w:type="dxa"/>
            <w:vAlign w:val="bottom"/>
          </w:tcPr>
          <w:p>
            <w:pPr>
              <w:spacing w:after="0"/>
              <w:rPr>
                <w:sz w:val="2"/>
                <w:szCs w:val="2"/>
                <w:color w:val="auto"/>
              </w:rPr>
            </w:pPr>
          </w:p>
        </w:tc>
        <w:tc>
          <w:tcPr>
            <w:tcW w:w="280" w:type="dxa"/>
            <w:vAlign w:val="bottom"/>
          </w:tcPr>
          <w:p>
            <w:pPr>
              <w:spacing w:after="0"/>
              <w:rPr>
                <w:sz w:val="2"/>
                <w:szCs w:val="2"/>
                <w:color w:val="auto"/>
              </w:rPr>
            </w:pPr>
          </w:p>
        </w:tc>
        <w:tc>
          <w:tcPr>
            <w:tcW w:w="2780" w:type="dxa"/>
            <w:vAlign w:val="bottom"/>
          </w:tcPr>
          <w:p>
            <w:pPr>
              <w:spacing w:after="0"/>
              <w:rPr>
                <w:sz w:val="2"/>
                <w:szCs w:val="2"/>
                <w:color w:val="auto"/>
              </w:rPr>
            </w:pPr>
          </w:p>
        </w:tc>
        <w:tc>
          <w:tcPr>
            <w:tcW w:w="800" w:type="dxa"/>
            <w:vAlign w:val="bottom"/>
          </w:tcPr>
          <w:p>
            <w:pPr>
              <w:spacing w:after="0"/>
              <w:rPr>
                <w:sz w:val="2"/>
                <w:szCs w:val="2"/>
                <w:color w:val="auto"/>
              </w:rPr>
            </w:pPr>
          </w:p>
        </w:tc>
        <w:tc>
          <w:tcPr>
            <w:tcW w:w="300" w:type="dxa"/>
            <w:vAlign w:val="bottom"/>
          </w:tcPr>
          <w:p>
            <w:pPr>
              <w:spacing w:after="0"/>
              <w:rPr>
                <w:sz w:val="2"/>
                <w:szCs w:val="2"/>
                <w:color w:val="auto"/>
              </w:rPr>
            </w:pPr>
          </w:p>
        </w:tc>
        <w:tc>
          <w:tcPr>
            <w:tcW w:w="380" w:type="dxa"/>
            <w:vAlign w:val="bottom"/>
          </w:tcPr>
          <w:p>
            <w:pPr>
              <w:spacing w:after="0"/>
              <w:rPr>
                <w:sz w:val="2"/>
                <w:szCs w:val="2"/>
                <w:color w:val="auto"/>
              </w:rPr>
            </w:pPr>
          </w:p>
        </w:tc>
      </w:tr>
      <w:tr>
        <w:trPr>
          <w:trHeight w:val="237"/>
        </w:trPr>
        <w:tc>
          <w:tcPr>
            <w:tcW w:w="3660" w:type="dxa"/>
            <w:vAlign w:val="bottom"/>
            <w:gridSpan w:val="3"/>
          </w:tcPr>
          <w:p>
            <w:pPr>
              <w:ind w:left="40"/>
              <w:spacing w:after="0"/>
              <w:rPr>
                <w:sz w:val="20"/>
                <w:szCs w:val="20"/>
                <w:color w:val="auto"/>
              </w:rPr>
            </w:pPr>
            <w:r>
              <w:rPr>
                <w:rFonts w:ascii="Arial" w:cs="Arial" w:eastAsia="Arial" w:hAnsi="Arial"/>
                <w:sz w:val="18"/>
                <w:szCs w:val="18"/>
                <w:color w:val="auto"/>
              </w:rPr>
              <w:t>Pamela G. Bailey</w:t>
            </w:r>
          </w:p>
        </w:tc>
        <w:tc>
          <w:tcPr>
            <w:tcW w:w="28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7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80" w:type="dxa"/>
            <w:vAlign w:val="bottom"/>
          </w:tcPr>
          <w:p>
            <w:pPr>
              <w:spacing w:after="0"/>
              <w:rPr>
                <w:sz w:val="20"/>
                <w:szCs w:val="20"/>
                <w:color w:val="auto"/>
              </w:rPr>
            </w:pPr>
          </w:p>
        </w:tc>
      </w:tr>
      <w:tr>
        <w:trPr>
          <w:trHeight w:val="392"/>
        </w:trPr>
        <w:tc>
          <w:tcPr>
            <w:tcW w:w="3660" w:type="dxa"/>
            <w:vAlign w:val="bottom"/>
            <w:gridSpan w:val="3"/>
          </w:tcPr>
          <w:p>
            <w:pPr>
              <w:ind w:left="40"/>
              <w:spacing w:after="0"/>
              <w:rPr>
                <w:sz w:val="20"/>
                <w:szCs w:val="20"/>
                <w:color w:val="auto"/>
              </w:rPr>
            </w:pPr>
            <w:r>
              <w:rPr>
                <w:rFonts w:ascii="Arial" w:cs="Arial" w:eastAsia="Arial" w:hAnsi="Arial"/>
                <w:sz w:val="18"/>
                <w:szCs w:val="18"/>
                <w:color w:val="auto"/>
              </w:rPr>
              <w:t>/s/ Anthony P. Bihl III</w:t>
            </w:r>
          </w:p>
        </w:tc>
        <w:tc>
          <w:tcPr>
            <w:tcW w:w="5900" w:type="dxa"/>
            <w:vAlign w:val="bottom"/>
            <w:gridSpan w:val="3"/>
          </w:tcPr>
          <w:p>
            <w:pPr>
              <w:ind w:left="160"/>
              <w:spacing w:after="0"/>
              <w:rPr>
                <w:sz w:val="20"/>
                <w:szCs w:val="20"/>
                <w:color w:val="auto"/>
              </w:rPr>
            </w:pPr>
            <w:r>
              <w:rPr>
                <w:rFonts w:ascii="Arial" w:cs="Arial" w:eastAsia="Arial" w:hAnsi="Arial"/>
                <w:sz w:val="18"/>
                <w:szCs w:val="18"/>
                <w:color w:val="auto"/>
              </w:rPr>
              <w:t>Director</w:t>
            </w:r>
          </w:p>
        </w:tc>
        <w:tc>
          <w:tcPr>
            <w:tcW w:w="1480" w:type="dxa"/>
            <w:vAlign w:val="bottom"/>
            <w:gridSpan w:val="3"/>
          </w:tcPr>
          <w:p>
            <w:pPr>
              <w:jc w:val="center"/>
              <w:ind w:left="331"/>
              <w:spacing w:after="0"/>
              <w:rPr>
                <w:sz w:val="20"/>
                <w:szCs w:val="20"/>
                <w:color w:val="auto"/>
              </w:rPr>
            </w:pPr>
            <w:r>
              <w:rPr>
                <w:rFonts w:ascii="Arial" w:cs="Arial" w:eastAsia="Arial" w:hAnsi="Arial"/>
                <w:sz w:val="18"/>
                <w:szCs w:val="18"/>
                <w:color w:val="auto"/>
                <w:w w:val="92"/>
              </w:rPr>
              <w:t>March 1, 2016</w:t>
            </w:r>
          </w:p>
        </w:tc>
      </w:tr>
      <w:tr>
        <w:trPr>
          <w:trHeight w:val="27"/>
        </w:trPr>
        <w:tc>
          <w:tcPr>
            <w:tcW w:w="4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3020" w:type="dxa"/>
            <w:vAlign w:val="bottom"/>
            <w:tcBorders>
              <w:bottom w:val="single" w:sz="8" w:color="auto"/>
            </w:tcBorders>
          </w:tcPr>
          <w:p>
            <w:pPr>
              <w:spacing w:after="0"/>
              <w:rPr>
                <w:sz w:val="2"/>
                <w:szCs w:val="2"/>
                <w:color w:val="auto"/>
              </w:rPr>
            </w:pPr>
          </w:p>
        </w:tc>
        <w:tc>
          <w:tcPr>
            <w:tcW w:w="2840" w:type="dxa"/>
            <w:vAlign w:val="bottom"/>
          </w:tcPr>
          <w:p>
            <w:pPr>
              <w:spacing w:after="0"/>
              <w:rPr>
                <w:sz w:val="2"/>
                <w:szCs w:val="2"/>
                <w:color w:val="auto"/>
              </w:rPr>
            </w:pPr>
          </w:p>
        </w:tc>
        <w:tc>
          <w:tcPr>
            <w:tcW w:w="280" w:type="dxa"/>
            <w:vAlign w:val="bottom"/>
          </w:tcPr>
          <w:p>
            <w:pPr>
              <w:spacing w:after="0"/>
              <w:rPr>
                <w:sz w:val="2"/>
                <w:szCs w:val="2"/>
                <w:color w:val="auto"/>
              </w:rPr>
            </w:pPr>
          </w:p>
        </w:tc>
        <w:tc>
          <w:tcPr>
            <w:tcW w:w="2780" w:type="dxa"/>
            <w:vAlign w:val="bottom"/>
          </w:tcPr>
          <w:p>
            <w:pPr>
              <w:spacing w:after="0"/>
              <w:rPr>
                <w:sz w:val="2"/>
                <w:szCs w:val="2"/>
                <w:color w:val="auto"/>
              </w:rPr>
            </w:pPr>
          </w:p>
        </w:tc>
        <w:tc>
          <w:tcPr>
            <w:tcW w:w="800" w:type="dxa"/>
            <w:vAlign w:val="bottom"/>
          </w:tcPr>
          <w:p>
            <w:pPr>
              <w:spacing w:after="0"/>
              <w:rPr>
                <w:sz w:val="2"/>
                <w:szCs w:val="2"/>
                <w:color w:val="auto"/>
              </w:rPr>
            </w:pPr>
          </w:p>
        </w:tc>
        <w:tc>
          <w:tcPr>
            <w:tcW w:w="300" w:type="dxa"/>
            <w:vAlign w:val="bottom"/>
          </w:tcPr>
          <w:p>
            <w:pPr>
              <w:spacing w:after="0"/>
              <w:rPr>
                <w:sz w:val="2"/>
                <w:szCs w:val="2"/>
                <w:color w:val="auto"/>
              </w:rPr>
            </w:pPr>
          </w:p>
        </w:tc>
        <w:tc>
          <w:tcPr>
            <w:tcW w:w="380" w:type="dxa"/>
            <w:vAlign w:val="bottom"/>
          </w:tcPr>
          <w:p>
            <w:pPr>
              <w:spacing w:after="0"/>
              <w:rPr>
                <w:sz w:val="2"/>
                <w:szCs w:val="2"/>
                <w:color w:val="auto"/>
              </w:rPr>
            </w:pPr>
          </w:p>
        </w:tc>
      </w:tr>
      <w:tr>
        <w:trPr>
          <w:trHeight w:val="237"/>
        </w:trPr>
        <w:tc>
          <w:tcPr>
            <w:tcW w:w="3660" w:type="dxa"/>
            <w:vAlign w:val="bottom"/>
            <w:gridSpan w:val="3"/>
          </w:tcPr>
          <w:p>
            <w:pPr>
              <w:ind w:left="40"/>
              <w:spacing w:after="0"/>
              <w:rPr>
                <w:sz w:val="20"/>
                <w:szCs w:val="20"/>
                <w:color w:val="auto"/>
              </w:rPr>
            </w:pPr>
            <w:r>
              <w:rPr>
                <w:rFonts w:ascii="Arial" w:cs="Arial" w:eastAsia="Arial" w:hAnsi="Arial"/>
                <w:sz w:val="18"/>
                <w:szCs w:val="18"/>
                <w:color w:val="auto"/>
              </w:rPr>
              <w:t>Anthony P. Bihl III</w:t>
            </w:r>
          </w:p>
        </w:tc>
        <w:tc>
          <w:tcPr>
            <w:tcW w:w="28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7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80" w:type="dxa"/>
            <w:vAlign w:val="bottom"/>
          </w:tcPr>
          <w:p>
            <w:pPr>
              <w:spacing w:after="0"/>
              <w:rPr>
                <w:sz w:val="20"/>
                <w:szCs w:val="20"/>
                <w:color w:val="auto"/>
              </w:rPr>
            </w:pPr>
          </w:p>
        </w:tc>
      </w:tr>
      <w:tr>
        <w:trPr>
          <w:trHeight w:val="392"/>
        </w:trPr>
        <w:tc>
          <w:tcPr>
            <w:tcW w:w="3660" w:type="dxa"/>
            <w:vAlign w:val="bottom"/>
            <w:gridSpan w:val="3"/>
          </w:tcPr>
          <w:p>
            <w:pPr>
              <w:ind w:left="40"/>
              <w:spacing w:after="0"/>
              <w:rPr>
                <w:sz w:val="20"/>
                <w:szCs w:val="20"/>
                <w:color w:val="auto"/>
              </w:rPr>
            </w:pPr>
            <w:r>
              <w:rPr>
                <w:rFonts w:ascii="Arial" w:cs="Arial" w:eastAsia="Arial" w:hAnsi="Arial"/>
                <w:sz w:val="18"/>
                <w:szCs w:val="18"/>
                <w:color w:val="auto"/>
              </w:rPr>
              <w:t>/s/ Joseph W. Dziedzic</w:t>
            </w:r>
          </w:p>
        </w:tc>
        <w:tc>
          <w:tcPr>
            <w:tcW w:w="5900" w:type="dxa"/>
            <w:vAlign w:val="bottom"/>
            <w:gridSpan w:val="3"/>
          </w:tcPr>
          <w:p>
            <w:pPr>
              <w:ind w:left="160"/>
              <w:spacing w:after="0"/>
              <w:rPr>
                <w:sz w:val="20"/>
                <w:szCs w:val="20"/>
                <w:color w:val="auto"/>
              </w:rPr>
            </w:pPr>
            <w:r>
              <w:rPr>
                <w:rFonts w:ascii="Arial" w:cs="Arial" w:eastAsia="Arial" w:hAnsi="Arial"/>
                <w:sz w:val="18"/>
                <w:szCs w:val="18"/>
                <w:color w:val="auto"/>
              </w:rPr>
              <w:t>Director</w:t>
            </w:r>
          </w:p>
        </w:tc>
        <w:tc>
          <w:tcPr>
            <w:tcW w:w="1480" w:type="dxa"/>
            <w:vAlign w:val="bottom"/>
            <w:gridSpan w:val="3"/>
          </w:tcPr>
          <w:p>
            <w:pPr>
              <w:jc w:val="center"/>
              <w:ind w:left="331"/>
              <w:spacing w:after="0"/>
              <w:rPr>
                <w:sz w:val="20"/>
                <w:szCs w:val="20"/>
                <w:color w:val="auto"/>
              </w:rPr>
            </w:pPr>
            <w:r>
              <w:rPr>
                <w:rFonts w:ascii="Arial" w:cs="Arial" w:eastAsia="Arial" w:hAnsi="Arial"/>
                <w:sz w:val="18"/>
                <w:szCs w:val="18"/>
                <w:color w:val="auto"/>
                <w:w w:val="92"/>
              </w:rPr>
              <w:t>March 1, 2016</w:t>
            </w:r>
          </w:p>
        </w:tc>
      </w:tr>
      <w:tr>
        <w:trPr>
          <w:trHeight w:val="27"/>
        </w:trPr>
        <w:tc>
          <w:tcPr>
            <w:tcW w:w="4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3020" w:type="dxa"/>
            <w:vAlign w:val="bottom"/>
            <w:tcBorders>
              <w:bottom w:val="single" w:sz="8" w:color="auto"/>
            </w:tcBorders>
          </w:tcPr>
          <w:p>
            <w:pPr>
              <w:spacing w:after="0"/>
              <w:rPr>
                <w:sz w:val="2"/>
                <w:szCs w:val="2"/>
                <w:color w:val="auto"/>
              </w:rPr>
            </w:pPr>
          </w:p>
        </w:tc>
        <w:tc>
          <w:tcPr>
            <w:tcW w:w="2840" w:type="dxa"/>
            <w:vAlign w:val="bottom"/>
          </w:tcPr>
          <w:p>
            <w:pPr>
              <w:spacing w:after="0"/>
              <w:rPr>
                <w:sz w:val="2"/>
                <w:szCs w:val="2"/>
                <w:color w:val="auto"/>
              </w:rPr>
            </w:pPr>
          </w:p>
        </w:tc>
        <w:tc>
          <w:tcPr>
            <w:tcW w:w="280" w:type="dxa"/>
            <w:vAlign w:val="bottom"/>
          </w:tcPr>
          <w:p>
            <w:pPr>
              <w:spacing w:after="0"/>
              <w:rPr>
                <w:sz w:val="2"/>
                <w:szCs w:val="2"/>
                <w:color w:val="auto"/>
              </w:rPr>
            </w:pPr>
          </w:p>
        </w:tc>
        <w:tc>
          <w:tcPr>
            <w:tcW w:w="2780" w:type="dxa"/>
            <w:vAlign w:val="bottom"/>
          </w:tcPr>
          <w:p>
            <w:pPr>
              <w:spacing w:after="0"/>
              <w:rPr>
                <w:sz w:val="2"/>
                <w:szCs w:val="2"/>
                <w:color w:val="auto"/>
              </w:rPr>
            </w:pPr>
          </w:p>
        </w:tc>
        <w:tc>
          <w:tcPr>
            <w:tcW w:w="800" w:type="dxa"/>
            <w:vAlign w:val="bottom"/>
          </w:tcPr>
          <w:p>
            <w:pPr>
              <w:spacing w:after="0"/>
              <w:rPr>
                <w:sz w:val="2"/>
                <w:szCs w:val="2"/>
                <w:color w:val="auto"/>
              </w:rPr>
            </w:pPr>
          </w:p>
        </w:tc>
        <w:tc>
          <w:tcPr>
            <w:tcW w:w="300" w:type="dxa"/>
            <w:vAlign w:val="bottom"/>
          </w:tcPr>
          <w:p>
            <w:pPr>
              <w:spacing w:after="0"/>
              <w:rPr>
                <w:sz w:val="2"/>
                <w:szCs w:val="2"/>
                <w:color w:val="auto"/>
              </w:rPr>
            </w:pPr>
          </w:p>
        </w:tc>
        <w:tc>
          <w:tcPr>
            <w:tcW w:w="380" w:type="dxa"/>
            <w:vAlign w:val="bottom"/>
          </w:tcPr>
          <w:p>
            <w:pPr>
              <w:spacing w:after="0"/>
              <w:rPr>
                <w:sz w:val="2"/>
                <w:szCs w:val="2"/>
                <w:color w:val="auto"/>
              </w:rPr>
            </w:pPr>
          </w:p>
        </w:tc>
      </w:tr>
      <w:tr>
        <w:trPr>
          <w:trHeight w:val="237"/>
        </w:trPr>
        <w:tc>
          <w:tcPr>
            <w:tcW w:w="3660" w:type="dxa"/>
            <w:vAlign w:val="bottom"/>
            <w:gridSpan w:val="3"/>
          </w:tcPr>
          <w:p>
            <w:pPr>
              <w:ind w:left="40"/>
              <w:spacing w:after="0"/>
              <w:rPr>
                <w:sz w:val="20"/>
                <w:szCs w:val="20"/>
                <w:color w:val="auto"/>
              </w:rPr>
            </w:pPr>
            <w:r>
              <w:rPr>
                <w:rFonts w:ascii="Arial" w:cs="Arial" w:eastAsia="Arial" w:hAnsi="Arial"/>
                <w:sz w:val="18"/>
                <w:szCs w:val="18"/>
                <w:color w:val="auto"/>
              </w:rPr>
              <w:t>Joseph W. Dziedzic</w:t>
            </w:r>
          </w:p>
        </w:tc>
        <w:tc>
          <w:tcPr>
            <w:tcW w:w="28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7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80" w:type="dxa"/>
            <w:vAlign w:val="bottom"/>
          </w:tcPr>
          <w:p>
            <w:pPr>
              <w:spacing w:after="0"/>
              <w:rPr>
                <w:sz w:val="20"/>
                <w:szCs w:val="20"/>
                <w:color w:val="auto"/>
              </w:rPr>
            </w:pPr>
          </w:p>
        </w:tc>
      </w:tr>
      <w:tr>
        <w:trPr>
          <w:trHeight w:val="392"/>
        </w:trPr>
        <w:tc>
          <w:tcPr>
            <w:tcW w:w="3660" w:type="dxa"/>
            <w:vAlign w:val="bottom"/>
            <w:gridSpan w:val="3"/>
          </w:tcPr>
          <w:p>
            <w:pPr>
              <w:ind w:left="40"/>
              <w:spacing w:after="0"/>
              <w:rPr>
                <w:sz w:val="20"/>
                <w:szCs w:val="20"/>
                <w:color w:val="auto"/>
              </w:rPr>
            </w:pPr>
            <w:r>
              <w:rPr>
                <w:rFonts w:ascii="Arial" w:cs="Arial" w:eastAsia="Arial" w:hAnsi="Arial"/>
                <w:sz w:val="18"/>
                <w:szCs w:val="18"/>
                <w:color w:val="auto"/>
              </w:rPr>
              <w:t>/s/ Jean Hobby</w:t>
            </w:r>
          </w:p>
        </w:tc>
        <w:tc>
          <w:tcPr>
            <w:tcW w:w="5900" w:type="dxa"/>
            <w:vAlign w:val="bottom"/>
            <w:gridSpan w:val="3"/>
          </w:tcPr>
          <w:p>
            <w:pPr>
              <w:ind w:left="160"/>
              <w:spacing w:after="0"/>
              <w:rPr>
                <w:sz w:val="20"/>
                <w:szCs w:val="20"/>
                <w:color w:val="auto"/>
              </w:rPr>
            </w:pPr>
            <w:r>
              <w:rPr>
                <w:rFonts w:ascii="Arial" w:cs="Arial" w:eastAsia="Arial" w:hAnsi="Arial"/>
                <w:sz w:val="18"/>
                <w:szCs w:val="18"/>
                <w:color w:val="auto"/>
              </w:rPr>
              <w:t>Director</w:t>
            </w:r>
          </w:p>
        </w:tc>
        <w:tc>
          <w:tcPr>
            <w:tcW w:w="1480" w:type="dxa"/>
            <w:vAlign w:val="bottom"/>
            <w:gridSpan w:val="3"/>
          </w:tcPr>
          <w:p>
            <w:pPr>
              <w:jc w:val="center"/>
              <w:ind w:left="331"/>
              <w:spacing w:after="0"/>
              <w:rPr>
                <w:sz w:val="20"/>
                <w:szCs w:val="20"/>
                <w:color w:val="auto"/>
              </w:rPr>
            </w:pPr>
            <w:r>
              <w:rPr>
                <w:rFonts w:ascii="Arial" w:cs="Arial" w:eastAsia="Arial" w:hAnsi="Arial"/>
                <w:sz w:val="18"/>
                <w:szCs w:val="18"/>
                <w:color w:val="auto"/>
                <w:w w:val="92"/>
              </w:rPr>
              <w:t>March 1, 2016</w:t>
            </w:r>
          </w:p>
        </w:tc>
      </w:tr>
      <w:tr>
        <w:trPr>
          <w:trHeight w:val="27"/>
        </w:trPr>
        <w:tc>
          <w:tcPr>
            <w:tcW w:w="4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3020" w:type="dxa"/>
            <w:vAlign w:val="bottom"/>
            <w:tcBorders>
              <w:bottom w:val="single" w:sz="8" w:color="auto"/>
            </w:tcBorders>
          </w:tcPr>
          <w:p>
            <w:pPr>
              <w:spacing w:after="0"/>
              <w:rPr>
                <w:sz w:val="2"/>
                <w:szCs w:val="2"/>
                <w:color w:val="auto"/>
              </w:rPr>
            </w:pPr>
          </w:p>
        </w:tc>
        <w:tc>
          <w:tcPr>
            <w:tcW w:w="2840" w:type="dxa"/>
            <w:vAlign w:val="bottom"/>
          </w:tcPr>
          <w:p>
            <w:pPr>
              <w:spacing w:after="0"/>
              <w:rPr>
                <w:sz w:val="2"/>
                <w:szCs w:val="2"/>
                <w:color w:val="auto"/>
              </w:rPr>
            </w:pPr>
          </w:p>
        </w:tc>
        <w:tc>
          <w:tcPr>
            <w:tcW w:w="280" w:type="dxa"/>
            <w:vAlign w:val="bottom"/>
          </w:tcPr>
          <w:p>
            <w:pPr>
              <w:spacing w:after="0"/>
              <w:rPr>
                <w:sz w:val="2"/>
                <w:szCs w:val="2"/>
                <w:color w:val="auto"/>
              </w:rPr>
            </w:pPr>
          </w:p>
        </w:tc>
        <w:tc>
          <w:tcPr>
            <w:tcW w:w="2780" w:type="dxa"/>
            <w:vAlign w:val="bottom"/>
          </w:tcPr>
          <w:p>
            <w:pPr>
              <w:spacing w:after="0"/>
              <w:rPr>
                <w:sz w:val="2"/>
                <w:szCs w:val="2"/>
                <w:color w:val="auto"/>
              </w:rPr>
            </w:pPr>
          </w:p>
        </w:tc>
        <w:tc>
          <w:tcPr>
            <w:tcW w:w="800" w:type="dxa"/>
            <w:vAlign w:val="bottom"/>
          </w:tcPr>
          <w:p>
            <w:pPr>
              <w:spacing w:after="0"/>
              <w:rPr>
                <w:sz w:val="2"/>
                <w:szCs w:val="2"/>
                <w:color w:val="auto"/>
              </w:rPr>
            </w:pPr>
          </w:p>
        </w:tc>
        <w:tc>
          <w:tcPr>
            <w:tcW w:w="300" w:type="dxa"/>
            <w:vAlign w:val="bottom"/>
          </w:tcPr>
          <w:p>
            <w:pPr>
              <w:spacing w:after="0"/>
              <w:rPr>
                <w:sz w:val="2"/>
                <w:szCs w:val="2"/>
                <w:color w:val="auto"/>
              </w:rPr>
            </w:pPr>
          </w:p>
        </w:tc>
        <w:tc>
          <w:tcPr>
            <w:tcW w:w="380" w:type="dxa"/>
            <w:vAlign w:val="bottom"/>
          </w:tcPr>
          <w:p>
            <w:pPr>
              <w:spacing w:after="0"/>
              <w:rPr>
                <w:sz w:val="2"/>
                <w:szCs w:val="2"/>
                <w:color w:val="auto"/>
              </w:rPr>
            </w:pPr>
          </w:p>
        </w:tc>
      </w:tr>
      <w:tr>
        <w:trPr>
          <w:trHeight w:val="237"/>
        </w:trPr>
        <w:tc>
          <w:tcPr>
            <w:tcW w:w="3660" w:type="dxa"/>
            <w:vAlign w:val="bottom"/>
            <w:gridSpan w:val="3"/>
          </w:tcPr>
          <w:p>
            <w:pPr>
              <w:ind w:left="40"/>
              <w:spacing w:after="0"/>
              <w:rPr>
                <w:sz w:val="20"/>
                <w:szCs w:val="20"/>
                <w:color w:val="auto"/>
              </w:rPr>
            </w:pPr>
            <w:r>
              <w:rPr>
                <w:rFonts w:ascii="Arial" w:cs="Arial" w:eastAsia="Arial" w:hAnsi="Arial"/>
                <w:sz w:val="18"/>
                <w:szCs w:val="18"/>
                <w:color w:val="auto"/>
              </w:rPr>
              <w:t>Jean Hobby</w:t>
            </w:r>
          </w:p>
        </w:tc>
        <w:tc>
          <w:tcPr>
            <w:tcW w:w="28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7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80" w:type="dxa"/>
            <w:vAlign w:val="bottom"/>
          </w:tcPr>
          <w:p>
            <w:pPr>
              <w:spacing w:after="0"/>
              <w:rPr>
                <w:sz w:val="20"/>
                <w:szCs w:val="20"/>
                <w:color w:val="auto"/>
              </w:rPr>
            </w:pPr>
          </w:p>
        </w:tc>
      </w:tr>
      <w:tr>
        <w:trPr>
          <w:trHeight w:val="392"/>
        </w:trPr>
        <w:tc>
          <w:tcPr>
            <w:tcW w:w="3660" w:type="dxa"/>
            <w:vAlign w:val="bottom"/>
            <w:gridSpan w:val="3"/>
          </w:tcPr>
          <w:p>
            <w:pPr>
              <w:ind w:left="40"/>
              <w:spacing w:after="0"/>
              <w:rPr>
                <w:sz w:val="20"/>
                <w:szCs w:val="20"/>
                <w:color w:val="auto"/>
              </w:rPr>
            </w:pPr>
            <w:r>
              <w:rPr>
                <w:rFonts w:ascii="Arial" w:cs="Arial" w:eastAsia="Arial" w:hAnsi="Arial"/>
                <w:sz w:val="18"/>
                <w:szCs w:val="18"/>
                <w:color w:val="auto"/>
              </w:rPr>
              <w:t>/s/ M. Craig Maxwell</w:t>
            </w:r>
          </w:p>
        </w:tc>
        <w:tc>
          <w:tcPr>
            <w:tcW w:w="5900" w:type="dxa"/>
            <w:vAlign w:val="bottom"/>
            <w:gridSpan w:val="3"/>
          </w:tcPr>
          <w:p>
            <w:pPr>
              <w:ind w:left="160"/>
              <w:spacing w:after="0"/>
              <w:rPr>
                <w:sz w:val="20"/>
                <w:szCs w:val="20"/>
                <w:color w:val="auto"/>
              </w:rPr>
            </w:pPr>
            <w:r>
              <w:rPr>
                <w:rFonts w:ascii="Arial" w:cs="Arial" w:eastAsia="Arial" w:hAnsi="Arial"/>
                <w:sz w:val="18"/>
                <w:szCs w:val="18"/>
                <w:color w:val="auto"/>
              </w:rPr>
              <w:t>Director</w:t>
            </w:r>
          </w:p>
        </w:tc>
        <w:tc>
          <w:tcPr>
            <w:tcW w:w="1480" w:type="dxa"/>
            <w:vAlign w:val="bottom"/>
            <w:gridSpan w:val="3"/>
          </w:tcPr>
          <w:p>
            <w:pPr>
              <w:jc w:val="center"/>
              <w:ind w:left="331"/>
              <w:spacing w:after="0"/>
              <w:rPr>
                <w:sz w:val="20"/>
                <w:szCs w:val="20"/>
                <w:color w:val="auto"/>
              </w:rPr>
            </w:pPr>
            <w:r>
              <w:rPr>
                <w:rFonts w:ascii="Arial" w:cs="Arial" w:eastAsia="Arial" w:hAnsi="Arial"/>
                <w:sz w:val="18"/>
                <w:szCs w:val="18"/>
                <w:color w:val="auto"/>
                <w:w w:val="92"/>
              </w:rPr>
              <w:t>March 1, 2016</w:t>
            </w:r>
          </w:p>
        </w:tc>
      </w:tr>
      <w:tr>
        <w:trPr>
          <w:trHeight w:val="27"/>
        </w:trPr>
        <w:tc>
          <w:tcPr>
            <w:tcW w:w="4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3020" w:type="dxa"/>
            <w:vAlign w:val="bottom"/>
            <w:tcBorders>
              <w:bottom w:val="single" w:sz="8" w:color="auto"/>
            </w:tcBorders>
          </w:tcPr>
          <w:p>
            <w:pPr>
              <w:spacing w:after="0"/>
              <w:rPr>
                <w:sz w:val="2"/>
                <w:szCs w:val="2"/>
                <w:color w:val="auto"/>
              </w:rPr>
            </w:pPr>
          </w:p>
        </w:tc>
        <w:tc>
          <w:tcPr>
            <w:tcW w:w="2840" w:type="dxa"/>
            <w:vAlign w:val="bottom"/>
          </w:tcPr>
          <w:p>
            <w:pPr>
              <w:spacing w:after="0"/>
              <w:rPr>
                <w:sz w:val="2"/>
                <w:szCs w:val="2"/>
                <w:color w:val="auto"/>
              </w:rPr>
            </w:pPr>
          </w:p>
        </w:tc>
        <w:tc>
          <w:tcPr>
            <w:tcW w:w="280" w:type="dxa"/>
            <w:vAlign w:val="bottom"/>
          </w:tcPr>
          <w:p>
            <w:pPr>
              <w:spacing w:after="0"/>
              <w:rPr>
                <w:sz w:val="2"/>
                <w:szCs w:val="2"/>
                <w:color w:val="auto"/>
              </w:rPr>
            </w:pPr>
          </w:p>
        </w:tc>
        <w:tc>
          <w:tcPr>
            <w:tcW w:w="2780" w:type="dxa"/>
            <w:vAlign w:val="bottom"/>
          </w:tcPr>
          <w:p>
            <w:pPr>
              <w:spacing w:after="0"/>
              <w:rPr>
                <w:sz w:val="2"/>
                <w:szCs w:val="2"/>
                <w:color w:val="auto"/>
              </w:rPr>
            </w:pPr>
          </w:p>
        </w:tc>
        <w:tc>
          <w:tcPr>
            <w:tcW w:w="800" w:type="dxa"/>
            <w:vAlign w:val="bottom"/>
          </w:tcPr>
          <w:p>
            <w:pPr>
              <w:spacing w:after="0"/>
              <w:rPr>
                <w:sz w:val="2"/>
                <w:szCs w:val="2"/>
                <w:color w:val="auto"/>
              </w:rPr>
            </w:pPr>
          </w:p>
        </w:tc>
        <w:tc>
          <w:tcPr>
            <w:tcW w:w="300" w:type="dxa"/>
            <w:vAlign w:val="bottom"/>
          </w:tcPr>
          <w:p>
            <w:pPr>
              <w:spacing w:after="0"/>
              <w:rPr>
                <w:sz w:val="2"/>
                <w:szCs w:val="2"/>
                <w:color w:val="auto"/>
              </w:rPr>
            </w:pPr>
          </w:p>
        </w:tc>
        <w:tc>
          <w:tcPr>
            <w:tcW w:w="380" w:type="dxa"/>
            <w:vAlign w:val="bottom"/>
          </w:tcPr>
          <w:p>
            <w:pPr>
              <w:spacing w:after="0"/>
              <w:rPr>
                <w:sz w:val="2"/>
                <w:szCs w:val="2"/>
                <w:color w:val="auto"/>
              </w:rPr>
            </w:pPr>
          </w:p>
        </w:tc>
      </w:tr>
      <w:tr>
        <w:trPr>
          <w:trHeight w:val="237"/>
        </w:trPr>
        <w:tc>
          <w:tcPr>
            <w:tcW w:w="3660" w:type="dxa"/>
            <w:vAlign w:val="bottom"/>
            <w:gridSpan w:val="3"/>
          </w:tcPr>
          <w:p>
            <w:pPr>
              <w:ind w:left="40"/>
              <w:spacing w:after="0"/>
              <w:rPr>
                <w:sz w:val="20"/>
                <w:szCs w:val="20"/>
                <w:color w:val="auto"/>
              </w:rPr>
            </w:pPr>
            <w:r>
              <w:rPr>
                <w:rFonts w:ascii="Arial" w:cs="Arial" w:eastAsia="Arial" w:hAnsi="Arial"/>
                <w:sz w:val="18"/>
                <w:szCs w:val="18"/>
                <w:color w:val="auto"/>
              </w:rPr>
              <w:t>M. Craig Maxwell</w:t>
            </w:r>
          </w:p>
        </w:tc>
        <w:tc>
          <w:tcPr>
            <w:tcW w:w="28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7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80" w:type="dxa"/>
            <w:vAlign w:val="bottom"/>
          </w:tcPr>
          <w:p>
            <w:pPr>
              <w:spacing w:after="0"/>
              <w:rPr>
                <w:sz w:val="20"/>
                <w:szCs w:val="20"/>
                <w:color w:val="auto"/>
              </w:rPr>
            </w:pPr>
          </w:p>
        </w:tc>
      </w:tr>
      <w:tr>
        <w:trPr>
          <w:trHeight w:val="405"/>
        </w:trPr>
        <w:tc>
          <w:tcPr>
            <w:tcW w:w="3660" w:type="dxa"/>
            <w:vAlign w:val="bottom"/>
            <w:gridSpan w:val="3"/>
          </w:tcPr>
          <w:p>
            <w:pPr>
              <w:ind w:left="40"/>
              <w:spacing w:after="0"/>
              <w:rPr>
                <w:sz w:val="20"/>
                <w:szCs w:val="20"/>
                <w:color w:val="auto"/>
              </w:rPr>
            </w:pPr>
            <w:r>
              <w:rPr>
                <w:rFonts w:ascii="Arial" w:cs="Arial" w:eastAsia="Arial" w:hAnsi="Arial"/>
                <w:sz w:val="18"/>
                <w:szCs w:val="18"/>
                <w:color w:val="auto"/>
              </w:rPr>
              <w:t>/s/ Dr. Joseph A. Miller, Jr.</w:t>
            </w:r>
          </w:p>
        </w:tc>
        <w:tc>
          <w:tcPr>
            <w:tcW w:w="5900" w:type="dxa"/>
            <w:vAlign w:val="bottom"/>
            <w:gridSpan w:val="3"/>
          </w:tcPr>
          <w:p>
            <w:pPr>
              <w:ind w:left="160"/>
              <w:spacing w:after="0"/>
              <w:rPr>
                <w:sz w:val="20"/>
                <w:szCs w:val="20"/>
                <w:color w:val="auto"/>
              </w:rPr>
            </w:pPr>
            <w:r>
              <w:rPr>
                <w:rFonts w:ascii="Arial" w:cs="Arial" w:eastAsia="Arial" w:hAnsi="Arial"/>
                <w:sz w:val="18"/>
                <w:szCs w:val="18"/>
                <w:color w:val="auto"/>
              </w:rPr>
              <w:t>Director</w:t>
            </w:r>
          </w:p>
        </w:tc>
        <w:tc>
          <w:tcPr>
            <w:tcW w:w="1480" w:type="dxa"/>
            <w:vAlign w:val="bottom"/>
            <w:gridSpan w:val="3"/>
          </w:tcPr>
          <w:p>
            <w:pPr>
              <w:jc w:val="center"/>
              <w:ind w:left="331"/>
              <w:spacing w:after="0"/>
              <w:rPr>
                <w:sz w:val="20"/>
                <w:szCs w:val="20"/>
                <w:color w:val="auto"/>
              </w:rPr>
            </w:pPr>
            <w:r>
              <w:rPr>
                <w:rFonts w:ascii="Arial" w:cs="Arial" w:eastAsia="Arial" w:hAnsi="Arial"/>
                <w:sz w:val="18"/>
                <w:szCs w:val="18"/>
                <w:color w:val="auto"/>
                <w:w w:val="92"/>
              </w:rPr>
              <w:t>March 1, 2016</w:t>
            </w:r>
          </w:p>
        </w:tc>
      </w:tr>
      <w:tr>
        <w:trPr>
          <w:trHeight w:val="27"/>
        </w:trPr>
        <w:tc>
          <w:tcPr>
            <w:tcW w:w="4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3020" w:type="dxa"/>
            <w:vAlign w:val="bottom"/>
            <w:tcBorders>
              <w:bottom w:val="single" w:sz="8" w:color="auto"/>
            </w:tcBorders>
          </w:tcPr>
          <w:p>
            <w:pPr>
              <w:spacing w:after="0"/>
              <w:rPr>
                <w:sz w:val="2"/>
                <w:szCs w:val="2"/>
                <w:color w:val="auto"/>
              </w:rPr>
            </w:pPr>
          </w:p>
        </w:tc>
        <w:tc>
          <w:tcPr>
            <w:tcW w:w="2840" w:type="dxa"/>
            <w:vAlign w:val="bottom"/>
          </w:tcPr>
          <w:p>
            <w:pPr>
              <w:spacing w:after="0"/>
              <w:rPr>
                <w:sz w:val="2"/>
                <w:szCs w:val="2"/>
                <w:color w:val="auto"/>
              </w:rPr>
            </w:pPr>
          </w:p>
        </w:tc>
        <w:tc>
          <w:tcPr>
            <w:tcW w:w="280" w:type="dxa"/>
            <w:vAlign w:val="bottom"/>
          </w:tcPr>
          <w:p>
            <w:pPr>
              <w:spacing w:after="0"/>
              <w:rPr>
                <w:sz w:val="2"/>
                <w:szCs w:val="2"/>
                <w:color w:val="auto"/>
              </w:rPr>
            </w:pPr>
          </w:p>
        </w:tc>
        <w:tc>
          <w:tcPr>
            <w:tcW w:w="2780" w:type="dxa"/>
            <w:vAlign w:val="bottom"/>
          </w:tcPr>
          <w:p>
            <w:pPr>
              <w:spacing w:after="0"/>
              <w:rPr>
                <w:sz w:val="2"/>
                <w:szCs w:val="2"/>
                <w:color w:val="auto"/>
              </w:rPr>
            </w:pPr>
          </w:p>
        </w:tc>
        <w:tc>
          <w:tcPr>
            <w:tcW w:w="800" w:type="dxa"/>
            <w:vAlign w:val="bottom"/>
          </w:tcPr>
          <w:p>
            <w:pPr>
              <w:spacing w:after="0"/>
              <w:rPr>
                <w:sz w:val="2"/>
                <w:szCs w:val="2"/>
                <w:color w:val="auto"/>
              </w:rPr>
            </w:pPr>
          </w:p>
        </w:tc>
        <w:tc>
          <w:tcPr>
            <w:tcW w:w="300" w:type="dxa"/>
            <w:vAlign w:val="bottom"/>
          </w:tcPr>
          <w:p>
            <w:pPr>
              <w:spacing w:after="0"/>
              <w:rPr>
                <w:sz w:val="2"/>
                <w:szCs w:val="2"/>
                <w:color w:val="auto"/>
              </w:rPr>
            </w:pPr>
          </w:p>
        </w:tc>
        <w:tc>
          <w:tcPr>
            <w:tcW w:w="380" w:type="dxa"/>
            <w:vAlign w:val="bottom"/>
          </w:tcPr>
          <w:p>
            <w:pPr>
              <w:spacing w:after="0"/>
              <w:rPr>
                <w:sz w:val="2"/>
                <w:szCs w:val="2"/>
                <w:color w:val="auto"/>
              </w:rPr>
            </w:pPr>
          </w:p>
        </w:tc>
      </w:tr>
      <w:tr>
        <w:trPr>
          <w:trHeight w:val="237"/>
        </w:trPr>
        <w:tc>
          <w:tcPr>
            <w:tcW w:w="3660" w:type="dxa"/>
            <w:vAlign w:val="bottom"/>
            <w:gridSpan w:val="3"/>
          </w:tcPr>
          <w:p>
            <w:pPr>
              <w:ind w:left="40"/>
              <w:spacing w:after="0"/>
              <w:rPr>
                <w:sz w:val="20"/>
                <w:szCs w:val="20"/>
                <w:color w:val="auto"/>
              </w:rPr>
            </w:pPr>
            <w:r>
              <w:rPr>
                <w:rFonts w:ascii="Arial" w:cs="Arial" w:eastAsia="Arial" w:hAnsi="Arial"/>
                <w:sz w:val="18"/>
                <w:szCs w:val="18"/>
                <w:color w:val="auto"/>
              </w:rPr>
              <w:t>Dr. Joseph A. Miller, Jr.</w:t>
            </w:r>
          </w:p>
        </w:tc>
        <w:tc>
          <w:tcPr>
            <w:tcW w:w="28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7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80" w:type="dxa"/>
            <w:vAlign w:val="bottom"/>
          </w:tcPr>
          <w:p>
            <w:pPr>
              <w:spacing w:after="0"/>
              <w:rPr>
                <w:sz w:val="20"/>
                <w:szCs w:val="20"/>
                <w:color w:val="auto"/>
              </w:rPr>
            </w:pPr>
          </w:p>
        </w:tc>
      </w:tr>
      <w:tr>
        <w:trPr>
          <w:trHeight w:val="392"/>
        </w:trPr>
        <w:tc>
          <w:tcPr>
            <w:tcW w:w="3660" w:type="dxa"/>
            <w:vAlign w:val="bottom"/>
            <w:gridSpan w:val="3"/>
          </w:tcPr>
          <w:p>
            <w:pPr>
              <w:ind w:left="40"/>
              <w:spacing w:after="0"/>
              <w:rPr>
                <w:sz w:val="20"/>
                <w:szCs w:val="20"/>
                <w:color w:val="auto"/>
              </w:rPr>
            </w:pPr>
            <w:r>
              <w:rPr>
                <w:rFonts w:ascii="Arial" w:cs="Arial" w:eastAsia="Arial" w:hAnsi="Arial"/>
                <w:sz w:val="18"/>
                <w:szCs w:val="18"/>
                <w:color w:val="auto"/>
              </w:rPr>
              <w:t>/s/ Filippo Passerini</w:t>
            </w:r>
          </w:p>
        </w:tc>
        <w:tc>
          <w:tcPr>
            <w:tcW w:w="5900" w:type="dxa"/>
            <w:vAlign w:val="bottom"/>
            <w:gridSpan w:val="3"/>
          </w:tcPr>
          <w:p>
            <w:pPr>
              <w:ind w:left="160"/>
              <w:spacing w:after="0"/>
              <w:rPr>
                <w:sz w:val="20"/>
                <w:szCs w:val="20"/>
                <w:color w:val="auto"/>
              </w:rPr>
            </w:pPr>
            <w:r>
              <w:rPr>
                <w:rFonts w:ascii="Arial" w:cs="Arial" w:eastAsia="Arial" w:hAnsi="Arial"/>
                <w:sz w:val="18"/>
                <w:szCs w:val="18"/>
                <w:color w:val="auto"/>
              </w:rPr>
              <w:t>Director</w:t>
            </w:r>
          </w:p>
        </w:tc>
        <w:tc>
          <w:tcPr>
            <w:tcW w:w="1480" w:type="dxa"/>
            <w:vAlign w:val="bottom"/>
            <w:gridSpan w:val="3"/>
          </w:tcPr>
          <w:p>
            <w:pPr>
              <w:jc w:val="center"/>
              <w:ind w:left="331"/>
              <w:spacing w:after="0"/>
              <w:rPr>
                <w:sz w:val="20"/>
                <w:szCs w:val="20"/>
                <w:color w:val="auto"/>
              </w:rPr>
            </w:pPr>
            <w:r>
              <w:rPr>
                <w:rFonts w:ascii="Arial" w:cs="Arial" w:eastAsia="Arial" w:hAnsi="Arial"/>
                <w:sz w:val="18"/>
                <w:szCs w:val="18"/>
                <w:color w:val="auto"/>
                <w:w w:val="92"/>
              </w:rPr>
              <w:t>March 1, 2016</w:t>
            </w:r>
          </w:p>
        </w:tc>
      </w:tr>
      <w:tr>
        <w:trPr>
          <w:trHeight w:val="27"/>
        </w:trPr>
        <w:tc>
          <w:tcPr>
            <w:tcW w:w="4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3020" w:type="dxa"/>
            <w:vAlign w:val="bottom"/>
            <w:tcBorders>
              <w:bottom w:val="single" w:sz="8" w:color="auto"/>
            </w:tcBorders>
          </w:tcPr>
          <w:p>
            <w:pPr>
              <w:spacing w:after="0"/>
              <w:rPr>
                <w:sz w:val="2"/>
                <w:szCs w:val="2"/>
                <w:color w:val="auto"/>
              </w:rPr>
            </w:pPr>
          </w:p>
        </w:tc>
        <w:tc>
          <w:tcPr>
            <w:tcW w:w="2840" w:type="dxa"/>
            <w:vAlign w:val="bottom"/>
          </w:tcPr>
          <w:p>
            <w:pPr>
              <w:spacing w:after="0"/>
              <w:rPr>
                <w:sz w:val="2"/>
                <w:szCs w:val="2"/>
                <w:color w:val="auto"/>
              </w:rPr>
            </w:pPr>
          </w:p>
        </w:tc>
        <w:tc>
          <w:tcPr>
            <w:tcW w:w="280" w:type="dxa"/>
            <w:vAlign w:val="bottom"/>
          </w:tcPr>
          <w:p>
            <w:pPr>
              <w:spacing w:after="0"/>
              <w:rPr>
                <w:sz w:val="2"/>
                <w:szCs w:val="2"/>
                <w:color w:val="auto"/>
              </w:rPr>
            </w:pPr>
          </w:p>
        </w:tc>
        <w:tc>
          <w:tcPr>
            <w:tcW w:w="2780" w:type="dxa"/>
            <w:vAlign w:val="bottom"/>
          </w:tcPr>
          <w:p>
            <w:pPr>
              <w:spacing w:after="0"/>
              <w:rPr>
                <w:sz w:val="2"/>
                <w:szCs w:val="2"/>
                <w:color w:val="auto"/>
              </w:rPr>
            </w:pPr>
          </w:p>
        </w:tc>
        <w:tc>
          <w:tcPr>
            <w:tcW w:w="800" w:type="dxa"/>
            <w:vAlign w:val="bottom"/>
          </w:tcPr>
          <w:p>
            <w:pPr>
              <w:spacing w:after="0"/>
              <w:rPr>
                <w:sz w:val="2"/>
                <w:szCs w:val="2"/>
                <w:color w:val="auto"/>
              </w:rPr>
            </w:pPr>
          </w:p>
        </w:tc>
        <w:tc>
          <w:tcPr>
            <w:tcW w:w="300" w:type="dxa"/>
            <w:vAlign w:val="bottom"/>
          </w:tcPr>
          <w:p>
            <w:pPr>
              <w:spacing w:after="0"/>
              <w:rPr>
                <w:sz w:val="2"/>
                <w:szCs w:val="2"/>
                <w:color w:val="auto"/>
              </w:rPr>
            </w:pPr>
          </w:p>
        </w:tc>
        <w:tc>
          <w:tcPr>
            <w:tcW w:w="380" w:type="dxa"/>
            <w:vAlign w:val="bottom"/>
          </w:tcPr>
          <w:p>
            <w:pPr>
              <w:spacing w:after="0"/>
              <w:rPr>
                <w:sz w:val="2"/>
                <w:szCs w:val="2"/>
                <w:color w:val="auto"/>
              </w:rPr>
            </w:pPr>
          </w:p>
        </w:tc>
      </w:tr>
      <w:tr>
        <w:trPr>
          <w:trHeight w:val="237"/>
        </w:trPr>
        <w:tc>
          <w:tcPr>
            <w:tcW w:w="3660" w:type="dxa"/>
            <w:vAlign w:val="bottom"/>
            <w:gridSpan w:val="3"/>
          </w:tcPr>
          <w:p>
            <w:pPr>
              <w:ind w:left="40"/>
              <w:spacing w:after="0"/>
              <w:rPr>
                <w:sz w:val="20"/>
                <w:szCs w:val="20"/>
                <w:color w:val="auto"/>
              </w:rPr>
            </w:pPr>
            <w:r>
              <w:rPr>
                <w:rFonts w:ascii="Arial" w:cs="Arial" w:eastAsia="Arial" w:hAnsi="Arial"/>
                <w:sz w:val="18"/>
                <w:szCs w:val="18"/>
                <w:color w:val="auto"/>
              </w:rPr>
              <w:t>Filippo Passerini</w:t>
            </w:r>
          </w:p>
        </w:tc>
        <w:tc>
          <w:tcPr>
            <w:tcW w:w="28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7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80" w:type="dxa"/>
            <w:vAlign w:val="bottom"/>
          </w:tcPr>
          <w:p>
            <w:pPr>
              <w:spacing w:after="0"/>
              <w:rPr>
                <w:sz w:val="20"/>
                <w:szCs w:val="20"/>
                <w:color w:val="auto"/>
              </w:rPr>
            </w:pPr>
          </w:p>
        </w:tc>
      </w:tr>
      <w:tr>
        <w:trPr>
          <w:trHeight w:val="392"/>
        </w:trPr>
        <w:tc>
          <w:tcPr>
            <w:tcW w:w="3660" w:type="dxa"/>
            <w:vAlign w:val="bottom"/>
            <w:gridSpan w:val="3"/>
          </w:tcPr>
          <w:p>
            <w:pPr>
              <w:ind w:left="40"/>
              <w:spacing w:after="0"/>
              <w:rPr>
                <w:sz w:val="20"/>
                <w:szCs w:val="20"/>
                <w:color w:val="auto"/>
              </w:rPr>
            </w:pPr>
            <w:r>
              <w:rPr>
                <w:rFonts w:ascii="Arial" w:cs="Arial" w:eastAsia="Arial" w:hAnsi="Arial"/>
                <w:sz w:val="18"/>
                <w:szCs w:val="18"/>
                <w:color w:val="auto"/>
              </w:rPr>
              <w:t>/s/ Peter H. Soderberg</w:t>
            </w:r>
          </w:p>
        </w:tc>
        <w:tc>
          <w:tcPr>
            <w:tcW w:w="5900" w:type="dxa"/>
            <w:vAlign w:val="bottom"/>
            <w:gridSpan w:val="3"/>
          </w:tcPr>
          <w:p>
            <w:pPr>
              <w:ind w:left="160"/>
              <w:spacing w:after="0"/>
              <w:rPr>
                <w:sz w:val="20"/>
                <w:szCs w:val="20"/>
                <w:color w:val="auto"/>
              </w:rPr>
            </w:pPr>
            <w:r>
              <w:rPr>
                <w:rFonts w:ascii="Arial" w:cs="Arial" w:eastAsia="Arial" w:hAnsi="Arial"/>
                <w:sz w:val="18"/>
                <w:szCs w:val="18"/>
                <w:color w:val="auto"/>
              </w:rPr>
              <w:t>Director</w:t>
            </w:r>
          </w:p>
        </w:tc>
        <w:tc>
          <w:tcPr>
            <w:tcW w:w="1480" w:type="dxa"/>
            <w:vAlign w:val="bottom"/>
            <w:gridSpan w:val="3"/>
          </w:tcPr>
          <w:p>
            <w:pPr>
              <w:jc w:val="center"/>
              <w:ind w:left="331"/>
              <w:spacing w:after="0"/>
              <w:rPr>
                <w:sz w:val="20"/>
                <w:szCs w:val="20"/>
                <w:color w:val="auto"/>
              </w:rPr>
            </w:pPr>
            <w:r>
              <w:rPr>
                <w:rFonts w:ascii="Arial" w:cs="Arial" w:eastAsia="Arial" w:hAnsi="Arial"/>
                <w:sz w:val="18"/>
                <w:szCs w:val="18"/>
                <w:color w:val="auto"/>
                <w:w w:val="92"/>
              </w:rPr>
              <w:t>March 1, 2016</w:t>
            </w:r>
          </w:p>
        </w:tc>
      </w:tr>
      <w:tr>
        <w:trPr>
          <w:trHeight w:val="27"/>
        </w:trPr>
        <w:tc>
          <w:tcPr>
            <w:tcW w:w="4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3020" w:type="dxa"/>
            <w:vAlign w:val="bottom"/>
            <w:tcBorders>
              <w:bottom w:val="single" w:sz="8" w:color="auto"/>
            </w:tcBorders>
          </w:tcPr>
          <w:p>
            <w:pPr>
              <w:spacing w:after="0"/>
              <w:rPr>
                <w:sz w:val="2"/>
                <w:szCs w:val="2"/>
                <w:color w:val="auto"/>
              </w:rPr>
            </w:pPr>
          </w:p>
        </w:tc>
        <w:tc>
          <w:tcPr>
            <w:tcW w:w="2840" w:type="dxa"/>
            <w:vAlign w:val="bottom"/>
          </w:tcPr>
          <w:p>
            <w:pPr>
              <w:spacing w:after="0"/>
              <w:rPr>
                <w:sz w:val="2"/>
                <w:szCs w:val="2"/>
                <w:color w:val="auto"/>
              </w:rPr>
            </w:pPr>
          </w:p>
        </w:tc>
        <w:tc>
          <w:tcPr>
            <w:tcW w:w="280" w:type="dxa"/>
            <w:vAlign w:val="bottom"/>
          </w:tcPr>
          <w:p>
            <w:pPr>
              <w:spacing w:after="0"/>
              <w:rPr>
                <w:sz w:val="2"/>
                <w:szCs w:val="2"/>
                <w:color w:val="auto"/>
              </w:rPr>
            </w:pPr>
          </w:p>
        </w:tc>
        <w:tc>
          <w:tcPr>
            <w:tcW w:w="2780" w:type="dxa"/>
            <w:vAlign w:val="bottom"/>
          </w:tcPr>
          <w:p>
            <w:pPr>
              <w:spacing w:after="0"/>
              <w:rPr>
                <w:sz w:val="2"/>
                <w:szCs w:val="2"/>
                <w:color w:val="auto"/>
              </w:rPr>
            </w:pPr>
          </w:p>
        </w:tc>
        <w:tc>
          <w:tcPr>
            <w:tcW w:w="800" w:type="dxa"/>
            <w:vAlign w:val="bottom"/>
          </w:tcPr>
          <w:p>
            <w:pPr>
              <w:spacing w:after="0"/>
              <w:rPr>
                <w:sz w:val="2"/>
                <w:szCs w:val="2"/>
                <w:color w:val="auto"/>
              </w:rPr>
            </w:pPr>
          </w:p>
        </w:tc>
        <w:tc>
          <w:tcPr>
            <w:tcW w:w="300" w:type="dxa"/>
            <w:vAlign w:val="bottom"/>
          </w:tcPr>
          <w:p>
            <w:pPr>
              <w:spacing w:after="0"/>
              <w:rPr>
                <w:sz w:val="2"/>
                <w:szCs w:val="2"/>
                <w:color w:val="auto"/>
              </w:rPr>
            </w:pPr>
          </w:p>
        </w:tc>
        <w:tc>
          <w:tcPr>
            <w:tcW w:w="380" w:type="dxa"/>
            <w:vAlign w:val="bottom"/>
          </w:tcPr>
          <w:p>
            <w:pPr>
              <w:spacing w:after="0"/>
              <w:rPr>
                <w:sz w:val="2"/>
                <w:szCs w:val="2"/>
                <w:color w:val="auto"/>
              </w:rPr>
            </w:pPr>
          </w:p>
        </w:tc>
      </w:tr>
      <w:tr>
        <w:trPr>
          <w:trHeight w:val="237"/>
        </w:trPr>
        <w:tc>
          <w:tcPr>
            <w:tcW w:w="3660" w:type="dxa"/>
            <w:vAlign w:val="bottom"/>
            <w:gridSpan w:val="3"/>
          </w:tcPr>
          <w:p>
            <w:pPr>
              <w:ind w:left="40"/>
              <w:spacing w:after="0"/>
              <w:rPr>
                <w:sz w:val="20"/>
                <w:szCs w:val="20"/>
                <w:color w:val="auto"/>
              </w:rPr>
            </w:pPr>
            <w:r>
              <w:rPr>
                <w:rFonts w:ascii="Arial" w:cs="Arial" w:eastAsia="Arial" w:hAnsi="Arial"/>
                <w:sz w:val="18"/>
                <w:szCs w:val="18"/>
                <w:color w:val="auto"/>
              </w:rPr>
              <w:t>Peter H. Soderberg</w:t>
            </w:r>
          </w:p>
        </w:tc>
        <w:tc>
          <w:tcPr>
            <w:tcW w:w="28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7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80" w:type="dxa"/>
            <w:vAlign w:val="bottom"/>
          </w:tcPr>
          <w:p>
            <w:pPr>
              <w:spacing w:after="0"/>
              <w:rPr>
                <w:sz w:val="20"/>
                <w:szCs w:val="20"/>
                <w:color w:val="auto"/>
              </w:rPr>
            </w:pPr>
          </w:p>
        </w:tc>
      </w:tr>
      <w:tr>
        <w:trPr>
          <w:trHeight w:val="392"/>
        </w:trPr>
        <w:tc>
          <w:tcPr>
            <w:tcW w:w="3660" w:type="dxa"/>
            <w:vAlign w:val="bottom"/>
            <w:gridSpan w:val="3"/>
          </w:tcPr>
          <w:p>
            <w:pPr>
              <w:ind w:left="40"/>
              <w:spacing w:after="0"/>
              <w:rPr>
                <w:sz w:val="20"/>
                <w:szCs w:val="20"/>
                <w:color w:val="auto"/>
              </w:rPr>
            </w:pPr>
            <w:r>
              <w:rPr>
                <w:rFonts w:ascii="Arial" w:cs="Arial" w:eastAsia="Arial" w:hAnsi="Arial"/>
                <w:sz w:val="18"/>
                <w:szCs w:val="18"/>
                <w:color w:val="auto"/>
              </w:rPr>
              <w:t>/s/ William B. Summers, Jr.</w:t>
            </w:r>
          </w:p>
        </w:tc>
        <w:tc>
          <w:tcPr>
            <w:tcW w:w="5900" w:type="dxa"/>
            <w:vAlign w:val="bottom"/>
            <w:gridSpan w:val="3"/>
          </w:tcPr>
          <w:p>
            <w:pPr>
              <w:ind w:left="160"/>
              <w:spacing w:after="0"/>
              <w:rPr>
                <w:sz w:val="20"/>
                <w:szCs w:val="20"/>
                <w:color w:val="auto"/>
              </w:rPr>
            </w:pPr>
            <w:r>
              <w:rPr>
                <w:rFonts w:ascii="Arial" w:cs="Arial" w:eastAsia="Arial" w:hAnsi="Arial"/>
                <w:sz w:val="18"/>
                <w:szCs w:val="18"/>
                <w:color w:val="auto"/>
              </w:rPr>
              <w:t>Director</w:t>
            </w:r>
          </w:p>
        </w:tc>
        <w:tc>
          <w:tcPr>
            <w:tcW w:w="1480" w:type="dxa"/>
            <w:vAlign w:val="bottom"/>
            <w:gridSpan w:val="3"/>
          </w:tcPr>
          <w:p>
            <w:pPr>
              <w:jc w:val="center"/>
              <w:ind w:left="331"/>
              <w:spacing w:after="0"/>
              <w:rPr>
                <w:sz w:val="20"/>
                <w:szCs w:val="20"/>
                <w:color w:val="auto"/>
              </w:rPr>
            </w:pPr>
            <w:r>
              <w:rPr>
                <w:rFonts w:ascii="Arial" w:cs="Arial" w:eastAsia="Arial" w:hAnsi="Arial"/>
                <w:sz w:val="18"/>
                <w:szCs w:val="18"/>
                <w:color w:val="auto"/>
                <w:w w:val="92"/>
              </w:rPr>
              <w:t>March 1, 2016</w:t>
            </w:r>
          </w:p>
        </w:tc>
      </w:tr>
      <w:tr>
        <w:trPr>
          <w:trHeight w:val="27"/>
        </w:trPr>
        <w:tc>
          <w:tcPr>
            <w:tcW w:w="4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3020" w:type="dxa"/>
            <w:vAlign w:val="bottom"/>
            <w:tcBorders>
              <w:bottom w:val="single" w:sz="8" w:color="auto"/>
            </w:tcBorders>
          </w:tcPr>
          <w:p>
            <w:pPr>
              <w:spacing w:after="0"/>
              <w:rPr>
                <w:sz w:val="2"/>
                <w:szCs w:val="2"/>
                <w:color w:val="auto"/>
              </w:rPr>
            </w:pPr>
          </w:p>
        </w:tc>
        <w:tc>
          <w:tcPr>
            <w:tcW w:w="2840" w:type="dxa"/>
            <w:vAlign w:val="bottom"/>
          </w:tcPr>
          <w:p>
            <w:pPr>
              <w:spacing w:after="0"/>
              <w:rPr>
                <w:sz w:val="2"/>
                <w:szCs w:val="2"/>
                <w:color w:val="auto"/>
              </w:rPr>
            </w:pPr>
          </w:p>
        </w:tc>
        <w:tc>
          <w:tcPr>
            <w:tcW w:w="280" w:type="dxa"/>
            <w:vAlign w:val="bottom"/>
          </w:tcPr>
          <w:p>
            <w:pPr>
              <w:spacing w:after="0"/>
              <w:rPr>
                <w:sz w:val="2"/>
                <w:szCs w:val="2"/>
                <w:color w:val="auto"/>
              </w:rPr>
            </w:pPr>
          </w:p>
        </w:tc>
        <w:tc>
          <w:tcPr>
            <w:tcW w:w="2780" w:type="dxa"/>
            <w:vAlign w:val="bottom"/>
          </w:tcPr>
          <w:p>
            <w:pPr>
              <w:spacing w:after="0"/>
              <w:rPr>
                <w:sz w:val="2"/>
                <w:szCs w:val="2"/>
                <w:color w:val="auto"/>
              </w:rPr>
            </w:pPr>
          </w:p>
        </w:tc>
        <w:tc>
          <w:tcPr>
            <w:tcW w:w="800" w:type="dxa"/>
            <w:vAlign w:val="bottom"/>
          </w:tcPr>
          <w:p>
            <w:pPr>
              <w:spacing w:after="0"/>
              <w:rPr>
                <w:sz w:val="2"/>
                <w:szCs w:val="2"/>
                <w:color w:val="auto"/>
              </w:rPr>
            </w:pPr>
          </w:p>
        </w:tc>
        <w:tc>
          <w:tcPr>
            <w:tcW w:w="300" w:type="dxa"/>
            <w:vAlign w:val="bottom"/>
          </w:tcPr>
          <w:p>
            <w:pPr>
              <w:spacing w:after="0"/>
              <w:rPr>
                <w:sz w:val="2"/>
                <w:szCs w:val="2"/>
                <w:color w:val="auto"/>
              </w:rPr>
            </w:pPr>
          </w:p>
        </w:tc>
        <w:tc>
          <w:tcPr>
            <w:tcW w:w="380" w:type="dxa"/>
            <w:vAlign w:val="bottom"/>
          </w:tcPr>
          <w:p>
            <w:pPr>
              <w:spacing w:after="0"/>
              <w:rPr>
                <w:sz w:val="2"/>
                <w:szCs w:val="2"/>
                <w:color w:val="auto"/>
              </w:rPr>
            </w:pPr>
          </w:p>
        </w:tc>
      </w:tr>
      <w:tr>
        <w:trPr>
          <w:trHeight w:val="237"/>
        </w:trPr>
        <w:tc>
          <w:tcPr>
            <w:tcW w:w="3660" w:type="dxa"/>
            <w:vAlign w:val="bottom"/>
            <w:gridSpan w:val="3"/>
          </w:tcPr>
          <w:p>
            <w:pPr>
              <w:ind w:left="40"/>
              <w:spacing w:after="0"/>
              <w:rPr>
                <w:sz w:val="20"/>
                <w:szCs w:val="20"/>
                <w:color w:val="auto"/>
              </w:rPr>
            </w:pPr>
            <w:r>
              <w:rPr>
                <w:rFonts w:ascii="Arial" w:cs="Arial" w:eastAsia="Arial" w:hAnsi="Arial"/>
                <w:sz w:val="18"/>
                <w:szCs w:val="18"/>
                <w:color w:val="auto"/>
              </w:rPr>
              <w:t>William B. Summers, Jr.</w:t>
            </w:r>
          </w:p>
        </w:tc>
        <w:tc>
          <w:tcPr>
            <w:tcW w:w="28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7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80" w:type="dxa"/>
            <w:vAlign w:val="bottom"/>
          </w:tcPr>
          <w:p>
            <w:pPr>
              <w:spacing w:after="0"/>
              <w:rPr>
                <w:sz w:val="20"/>
                <w:szCs w:val="20"/>
                <w:color w:val="auto"/>
              </w:rPr>
            </w:pPr>
          </w:p>
        </w:tc>
      </w:tr>
      <w:tr>
        <w:trPr>
          <w:trHeight w:val="486"/>
        </w:trPr>
        <w:tc>
          <w:tcPr>
            <w:tcW w:w="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020" w:type="dxa"/>
            <w:vAlign w:val="bottom"/>
          </w:tcPr>
          <w:p>
            <w:pPr>
              <w:spacing w:after="0"/>
              <w:rPr>
                <w:sz w:val="24"/>
                <w:szCs w:val="24"/>
                <w:color w:val="auto"/>
              </w:rPr>
            </w:pPr>
          </w:p>
        </w:tc>
        <w:tc>
          <w:tcPr>
            <w:tcW w:w="2840" w:type="dxa"/>
            <w:vAlign w:val="bottom"/>
          </w:tcPr>
          <w:p>
            <w:pPr>
              <w:ind w:left="1820"/>
              <w:spacing w:after="0"/>
              <w:rPr>
                <w:sz w:val="20"/>
                <w:szCs w:val="20"/>
                <w:color w:val="auto"/>
              </w:rPr>
            </w:pPr>
            <w:r>
              <w:rPr>
                <w:rFonts w:ascii="Arial" w:cs="Arial" w:eastAsia="Arial" w:hAnsi="Arial"/>
                <w:sz w:val="18"/>
                <w:szCs w:val="18"/>
                <w:color w:val="auto"/>
              </w:rPr>
              <w:t>- 115 -</w:t>
            </w:r>
          </w:p>
        </w:tc>
        <w:tc>
          <w:tcPr>
            <w:tcW w:w="280" w:type="dxa"/>
            <w:vAlign w:val="bottom"/>
          </w:tcPr>
          <w:p>
            <w:pPr>
              <w:spacing w:after="0"/>
              <w:rPr>
                <w:sz w:val="24"/>
                <w:szCs w:val="24"/>
                <w:color w:val="auto"/>
              </w:rPr>
            </w:pPr>
          </w:p>
        </w:tc>
        <w:tc>
          <w:tcPr>
            <w:tcW w:w="27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80" w:type="dxa"/>
            <w:vAlign w:val="bottom"/>
          </w:tcPr>
          <w:p>
            <w:pPr>
              <w:spacing w:after="0"/>
              <w:rPr>
                <w:sz w:val="24"/>
                <w:szCs w:val="24"/>
                <w:color w:val="auto"/>
              </w:rPr>
            </w:pPr>
          </w:p>
        </w:tc>
      </w:tr>
    </w:tbl>
    <w:p>
      <w:pPr>
        <w:sectPr>
          <w:pgSz w:w="11900" w:h="16838" w:orient="portrait"/>
          <w:cols w:equalWidth="0" w:num="1">
            <w:col w:w="11180"/>
          </w:cols>
          <w:pgMar w:left="240" w:top="796" w:right="479" w:bottom="1440" w:gutter="0" w:footer="0" w:header="0"/>
        </w:sectPr>
      </w:pPr>
    </w:p>
    <w:bookmarkStart w:id="116" w:name="page117"/>
    <w:bookmarkEnd w:id="116"/>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40" w:type="dxa"/>
            <w:vAlign w:val="bottom"/>
          </w:tcPr>
          <w:p>
            <w:pPr>
              <w:spacing w:after="0"/>
              <w:rPr>
                <w:sz w:val="20"/>
                <w:szCs w:val="20"/>
                <w:color w:val="auto"/>
              </w:rPr>
            </w:pPr>
          </w:p>
        </w:tc>
        <w:tc>
          <w:tcPr>
            <w:tcW w:w="10700" w:type="dxa"/>
            <w:vAlign w:val="bottom"/>
            <w:gridSpan w:val="3"/>
          </w:tcPr>
          <w:p>
            <w:pPr>
              <w:ind w:left="4340"/>
              <w:spacing w:after="0"/>
              <w:rPr>
                <w:sz w:val="20"/>
                <w:szCs w:val="20"/>
                <w:color w:val="auto"/>
              </w:rPr>
            </w:pPr>
            <w:r>
              <w:rPr>
                <w:rFonts w:ascii="Arial" w:cs="Arial" w:eastAsia="Arial" w:hAnsi="Arial"/>
                <w:sz w:val="18"/>
                <w:szCs w:val="18"/>
                <w:b w:val="1"/>
                <w:bCs w:val="1"/>
                <w:color w:val="auto"/>
              </w:rPr>
              <w:t>EXHIBIT INDEX</w:t>
            </w:r>
          </w:p>
        </w:tc>
        <w:tc>
          <w:tcPr>
            <w:tcW w:w="0" w:type="dxa"/>
            <w:vAlign w:val="bottom"/>
          </w:tcPr>
          <w:p>
            <w:pPr>
              <w:spacing w:after="0"/>
              <w:rPr>
                <w:sz w:val="1"/>
                <w:szCs w:val="1"/>
                <w:color w:val="auto"/>
              </w:rPr>
            </w:pPr>
          </w:p>
        </w:tc>
      </w:tr>
      <w:tr>
        <w:trPr>
          <w:trHeight w:val="504"/>
        </w:trPr>
        <w:tc>
          <w:tcPr>
            <w:tcW w:w="640" w:type="dxa"/>
            <w:vAlign w:val="bottom"/>
          </w:tcPr>
          <w:p>
            <w:pPr>
              <w:spacing w:after="0"/>
              <w:rPr>
                <w:sz w:val="20"/>
                <w:szCs w:val="20"/>
                <w:color w:val="auto"/>
              </w:rPr>
            </w:pPr>
            <w:r>
              <w:rPr>
                <w:rFonts w:ascii="Arial" w:cs="Arial" w:eastAsia="Arial" w:hAnsi="Arial"/>
                <w:sz w:val="14"/>
                <w:szCs w:val="14"/>
                <w:b w:val="1"/>
                <w:bCs w:val="1"/>
                <w:color w:val="auto"/>
              </w:rPr>
              <w:t>EXHIBIT</w:t>
            </w:r>
          </w:p>
        </w:tc>
        <w:tc>
          <w:tcPr>
            <w:tcW w:w="10700" w:type="dxa"/>
            <w:vAlign w:val="bottom"/>
            <w:gridSpan w:val="3"/>
            <w:vMerge w:val="restart"/>
          </w:tcPr>
          <w:p>
            <w:pPr>
              <w:ind w:left="528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58"/>
        </w:trPr>
        <w:tc>
          <w:tcPr>
            <w:tcW w:w="640" w:type="dxa"/>
            <w:vAlign w:val="bottom"/>
          </w:tcPr>
          <w:p>
            <w:pPr>
              <w:spacing w:after="0" w:line="158" w:lineRule="exact"/>
              <w:rPr>
                <w:sz w:val="20"/>
                <w:szCs w:val="20"/>
                <w:color w:val="auto"/>
              </w:rPr>
            </w:pPr>
            <w:r>
              <w:rPr>
                <w:rFonts w:ascii="Arial" w:cs="Arial" w:eastAsia="Arial" w:hAnsi="Arial"/>
                <w:sz w:val="14"/>
                <w:szCs w:val="14"/>
                <w:b w:val="1"/>
                <w:bCs w:val="1"/>
                <w:color w:val="auto"/>
              </w:rPr>
              <w:t>NUMBER</w:t>
            </w:r>
          </w:p>
        </w:tc>
        <w:tc>
          <w:tcPr>
            <w:tcW w:w="10700" w:type="dxa"/>
            <w:vAlign w:val="bottom"/>
            <w:gridSpan w:val="3"/>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640" w:type="dxa"/>
            <w:vAlign w:val="bottom"/>
            <w:shd w:val="clear" w:color="auto" w:fill="000000"/>
          </w:tcPr>
          <w:p>
            <w:pPr>
              <w:spacing w:after="0" w:line="20" w:lineRule="exact"/>
              <w:rPr>
                <w:sz w:val="1"/>
                <w:szCs w:val="1"/>
                <w:color w:val="auto"/>
              </w:rPr>
            </w:pPr>
          </w:p>
        </w:tc>
        <w:tc>
          <w:tcPr>
            <w:tcW w:w="5280" w:type="dxa"/>
            <w:vAlign w:val="bottom"/>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44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71"/>
        </w:trPr>
        <w:tc>
          <w:tcPr>
            <w:tcW w:w="640" w:type="dxa"/>
            <w:vAlign w:val="bottom"/>
          </w:tcPr>
          <w:p>
            <w:pPr>
              <w:spacing w:after="0"/>
              <w:rPr>
                <w:sz w:val="20"/>
                <w:szCs w:val="20"/>
                <w:color w:val="auto"/>
              </w:rPr>
            </w:pPr>
            <w:r>
              <w:rPr>
                <w:rFonts w:ascii="Arial" w:cs="Arial" w:eastAsia="Arial" w:hAnsi="Arial"/>
                <w:sz w:val="18"/>
                <w:szCs w:val="18"/>
                <w:color w:val="auto"/>
              </w:rPr>
              <w:t>2.1</w:t>
            </w:r>
          </w:p>
        </w:tc>
        <w:tc>
          <w:tcPr>
            <w:tcW w:w="10700" w:type="dxa"/>
            <w:vAlign w:val="bottom"/>
            <w:gridSpan w:val="3"/>
          </w:tcPr>
          <w:p>
            <w:pPr>
              <w:ind w:left="840"/>
              <w:spacing w:after="0"/>
              <w:rPr>
                <w:sz w:val="20"/>
                <w:szCs w:val="20"/>
                <w:color w:val="auto"/>
              </w:rPr>
            </w:pPr>
            <w:r>
              <w:rPr>
                <w:rFonts w:ascii="Arial" w:cs="Arial" w:eastAsia="Arial" w:hAnsi="Arial"/>
                <w:sz w:val="18"/>
                <w:szCs w:val="18"/>
                <w:color w:val="auto"/>
                <w:w w:val="92"/>
              </w:rPr>
              <w:t>Agreement and Plan of Merger, dated as of August 27, 2015, by and among Lake Region Medical Holdings, Inc., Greatbatch, Inc. and</w:t>
            </w:r>
          </w:p>
        </w:tc>
        <w:tc>
          <w:tcPr>
            <w:tcW w:w="0" w:type="dxa"/>
            <w:vAlign w:val="bottom"/>
          </w:tcPr>
          <w:p>
            <w:pPr>
              <w:spacing w:after="0"/>
              <w:rPr>
                <w:sz w:val="1"/>
                <w:szCs w:val="1"/>
                <w:color w:val="auto"/>
              </w:rPr>
            </w:pPr>
          </w:p>
        </w:tc>
      </w:tr>
      <w:tr>
        <w:trPr>
          <w:trHeight w:val="230"/>
        </w:trPr>
        <w:tc>
          <w:tcPr>
            <w:tcW w:w="640" w:type="dxa"/>
            <w:vAlign w:val="bottom"/>
          </w:tcPr>
          <w:p>
            <w:pPr>
              <w:spacing w:after="0"/>
              <w:rPr>
                <w:sz w:val="20"/>
                <w:szCs w:val="20"/>
                <w:color w:val="auto"/>
              </w:rPr>
            </w:pPr>
          </w:p>
        </w:tc>
        <w:tc>
          <w:tcPr>
            <w:tcW w:w="10700" w:type="dxa"/>
            <w:vAlign w:val="bottom"/>
            <w:gridSpan w:val="3"/>
          </w:tcPr>
          <w:p>
            <w:pPr>
              <w:ind w:left="840"/>
              <w:spacing w:after="0"/>
              <w:rPr>
                <w:sz w:val="20"/>
                <w:szCs w:val="20"/>
                <w:color w:val="auto"/>
              </w:rPr>
            </w:pPr>
            <w:r>
              <w:rPr>
                <w:rFonts w:ascii="Arial" w:cs="Arial" w:eastAsia="Arial" w:hAnsi="Arial"/>
                <w:sz w:val="18"/>
                <w:szCs w:val="18"/>
                <w:color w:val="auto"/>
                <w:w w:val="94"/>
              </w:rPr>
              <w:t>Provenance Merger Sub Inc. (incorporated by reference to Exhibit 2.1 to our Current Report on Form 8-K filed on August 31, 2015).</w:t>
            </w:r>
          </w:p>
        </w:tc>
        <w:tc>
          <w:tcPr>
            <w:tcW w:w="0" w:type="dxa"/>
            <w:vAlign w:val="bottom"/>
          </w:tcPr>
          <w:p>
            <w:pPr>
              <w:spacing w:after="0"/>
              <w:rPr>
                <w:sz w:val="1"/>
                <w:szCs w:val="1"/>
                <w:color w:val="auto"/>
              </w:rPr>
            </w:pPr>
          </w:p>
        </w:tc>
      </w:tr>
      <w:tr>
        <w:trPr>
          <w:trHeight w:val="377"/>
        </w:trPr>
        <w:tc>
          <w:tcPr>
            <w:tcW w:w="640" w:type="dxa"/>
            <w:vAlign w:val="bottom"/>
          </w:tcPr>
          <w:p>
            <w:pPr>
              <w:spacing w:after="0"/>
              <w:rPr>
                <w:sz w:val="20"/>
                <w:szCs w:val="20"/>
                <w:color w:val="auto"/>
              </w:rPr>
            </w:pPr>
            <w:r>
              <w:rPr>
                <w:rFonts w:ascii="Arial" w:cs="Arial" w:eastAsia="Arial" w:hAnsi="Arial"/>
                <w:sz w:val="18"/>
                <w:szCs w:val="18"/>
                <w:color w:val="auto"/>
              </w:rPr>
              <w:t>3.1</w:t>
            </w:r>
          </w:p>
        </w:tc>
        <w:tc>
          <w:tcPr>
            <w:tcW w:w="10700" w:type="dxa"/>
            <w:vAlign w:val="bottom"/>
            <w:gridSpan w:val="3"/>
          </w:tcPr>
          <w:p>
            <w:pPr>
              <w:ind w:left="840"/>
              <w:spacing w:after="0"/>
              <w:rPr>
                <w:sz w:val="20"/>
                <w:szCs w:val="20"/>
                <w:color w:val="auto"/>
              </w:rPr>
            </w:pPr>
            <w:r>
              <w:rPr>
                <w:rFonts w:ascii="Arial" w:cs="Arial" w:eastAsia="Arial" w:hAnsi="Arial"/>
                <w:sz w:val="18"/>
                <w:szCs w:val="18"/>
                <w:color w:val="auto"/>
                <w:w w:val="93"/>
              </w:rPr>
              <w:t>Amended and Restated Certificate of Incorporation, as amended (incorporated by reference to Exhibit 3.1 to our Quarterly Report on</w:t>
            </w:r>
          </w:p>
        </w:tc>
        <w:tc>
          <w:tcPr>
            <w:tcW w:w="0" w:type="dxa"/>
            <w:vAlign w:val="bottom"/>
          </w:tcPr>
          <w:p>
            <w:pPr>
              <w:spacing w:after="0"/>
              <w:rPr>
                <w:sz w:val="1"/>
                <w:szCs w:val="1"/>
                <w:color w:val="auto"/>
              </w:rPr>
            </w:pPr>
          </w:p>
        </w:tc>
      </w:tr>
      <w:tr>
        <w:trPr>
          <w:trHeight w:val="230"/>
        </w:trPr>
        <w:tc>
          <w:tcPr>
            <w:tcW w:w="640" w:type="dxa"/>
            <w:vAlign w:val="bottom"/>
          </w:tcPr>
          <w:p>
            <w:pPr>
              <w:spacing w:after="0"/>
              <w:rPr>
                <w:sz w:val="20"/>
                <w:szCs w:val="20"/>
                <w:color w:val="auto"/>
              </w:rPr>
            </w:pPr>
          </w:p>
        </w:tc>
        <w:tc>
          <w:tcPr>
            <w:tcW w:w="10700" w:type="dxa"/>
            <w:vAlign w:val="bottom"/>
            <w:gridSpan w:val="3"/>
          </w:tcPr>
          <w:p>
            <w:pPr>
              <w:ind w:left="840"/>
              <w:spacing w:after="0"/>
              <w:rPr>
                <w:sz w:val="20"/>
                <w:szCs w:val="20"/>
                <w:color w:val="auto"/>
              </w:rPr>
            </w:pPr>
            <w:r>
              <w:rPr>
                <w:rFonts w:ascii="Arial" w:cs="Arial" w:eastAsia="Arial" w:hAnsi="Arial"/>
                <w:sz w:val="18"/>
                <w:szCs w:val="18"/>
                <w:color w:val="auto"/>
              </w:rPr>
              <w:t>Form 10-Q for the period ended June 27, 2008).</w:t>
            </w:r>
          </w:p>
        </w:tc>
        <w:tc>
          <w:tcPr>
            <w:tcW w:w="0" w:type="dxa"/>
            <w:vAlign w:val="bottom"/>
          </w:tcPr>
          <w:p>
            <w:pPr>
              <w:spacing w:after="0"/>
              <w:rPr>
                <w:sz w:val="1"/>
                <w:szCs w:val="1"/>
                <w:color w:val="auto"/>
              </w:rPr>
            </w:pPr>
          </w:p>
        </w:tc>
      </w:tr>
      <w:tr>
        <w:trPr>
          <w:trHeight w:val="377"/>
        </w:trPr>
        <w:tc>
          <w:tcPr>
            <w:tcW w:w="640" w:type="dxa"/>
            <w:vAlign w:val="bottom"/>
          </w:tcPr>
          <w:p>
            <w:pPr>
              <w:spacing w:after="0"/>
              <w:rPr>
                <w:sz w:val="20"/>
                <w:szCs w:val="20"/>
                <w:color w:val="auto"/>
              </w:rPr>
            </w:pPr>
            <w:r>
              <w:rPr>
                <w:rFonts w:ascii="Arial" w:cs="Arial" w:eastAsia="Arial" w:hAnsi="Arial"/>
                <w:sz w:val="18"/>
                <w:szCs w:val="18"/>
                <w:color w:val="auto"/>
              </w:rPr>
              <w:t>3.2</w:t>
            </w:r>
          </w:p>
        </w:tc>
        <w:tc>
          <w:tcPr>
            <w:tcW w:w="10700" w:type="dxa"/>
            <w:vAlign w:val="bottom"/>
            <w:gridSpan w:val="3"/>
          </w:tcPr>
          <w:p>
            <w:pPr>
              <w:ind w:left="840"/>
              <w:spacing w:after="0"/>
              <w:rPr>
                <w:sz w:val="20"/>
                <w:szCs w:val="20"/>
                <w:color w:val="auto"/>
              </w:rPr>
            </w:pPr>
            <w:r>
              <w:rPr>
                <w:rFonts w:ascii="Arial" w:cs="Arial" w:eastAsia="Arial" w:hAnsi="Arial"/>
                <w:sz w:val="18"/>
                <w:szCs w:val="18"/>
                <w:color w:val="auto"/>
                <w:w w:val="90"/>
              </w:rPr>
              <w:t>Amended and Restated Bylaws (incorporated by reference to Exhibit 3.2 to our Annual Report on Form 10-K for the year ended January</w:t>
            </w:r>
          </w:p>
        </w:tc>
        <w:tc>
          <w:tcPr>
            <w:tcW w:w="0" w:type="dxa"/>
            <w:vAlign w:val="bottom"/>
          </w:tcPr>
          <w:p>
            <w:pPr>
              <w:spacing w:after="0"/>
              <w:rPr>
                <w:sz w:val="1"/>
                <w:szCs w:val="1"/>
                <w:color w:val="auto"/>
              </w:rPr>
            </w:pPr>
          </w:p>
        </w:tc>
      </w:tr>
      <w:tr>
        <w:trPr>
          <w:trHeight w:val="230"/>
        </w:trPr>
        <w:tc>
          <w:tcPr>
            <w:tcW w:w="640" w:type="dxa"/>
            <w:vAlign w:val="bottom"/>
          </w:tcPr>
          <w:p>
            <w:pPr>
              <w:spacing w:after="0"/>
              <w:rPr>
                <w:sz w:val="20"/>
                <w:szCs w:val="20"/>
                <w:color w:val="auto"/>
              </w:rPr>
            </w:pPr>
          </w:p>
        </w:tc>
        <w:tc>
          <w:tcPr>
            <w:tcW w:w="5280" w:type="dxa"/>
            <w:vAlign w:val="bottom"/>
          </w:tcPr>
          <w:p>
            <w:pPr>
              <w:ind w:left="840"/>
              <w:spacing w:after="0"/>
              <w:rPr>
                <w:sz w:val="20"/>
                <w:szCs w:val="20"/>
                <w:color w:val="auto"/>
              </w:rPr>
            </w:pPr>
            <w:r>
              <w:rPr>
                <w:rFonts w:ascii="Arial" w:cs="Arial" w:eastAsia="Arial" w:hAnsi="Arial"/>
                <w:sz w:val="18"/>
                <w:szCs w:val="18"/>
                <w:color w:val="auto"/>
              </w:rPr>
              <w:t>1, 2010).</w:t>
            </w:r>
          </w:p>
        </w:tc>
        <w:tc>
          <w:tcPr>
            <w:tcW w:w="1000" w:type="dxa"/>
            <w:vAlign w:val="bottom"/>
          </w:tcPr>
          <w:p>
            <w:pPr>
              <w:spacing w:after="0"/>
              <w:rPr>
                <w:sz w:val="20"/>
                <w:szCs w:val="20"/>
                <w:color w:val="auto"/>
              </w:rPr>
            </w:pPr>
          </w:p>
        </w:tc>
        <w:tc>
          <w:tcPr>
            <w:tcW w:w="44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640" w:type="dxa"/>
            <w:vAlign w:val="bottom"/>
          </w:tcPr>
          <w:p>
            <w:pPr>
              <w:spacing w:after="0"/>
              <w:rPr>
                <w:sz w:val="20"/>
                <w:szCs w:val="20"/>
                <w:color w:val="auto"/>
              </w:rPr>
            </w:pPr>
            <w:r>
              <w:rPr>
                <w:rFonts w:ascii="Arial" w:cs="Arial" w:eastAsia="Arial" w:hAnsi="Arial"/>
                <w:sz w:val="18"/>
                <w:szCs w:val="18"/>
                <w:color w:val="auto"/>
              </w:rPr>
              <w:t>4.1</w:t>
            </w:r>
          </w:p>
        </w:tc>
        <w:tc>
          <w:tcPr>
            <w:tcW w:w="10700" w:type="dxa"/>
            <w:vAlign w:val="bottom"/>
            <w:gridSpan w:val="3"/>
          </w:tcPr>
          <w:p>
            <w:pPr>
              <w:ind w:left="840"/>
              <w:spacing w:after="0"/>
              <w:rPr>
                <w:sz w:val="20"/>
                <w:szCs w:val="20"/>
                <w:color w:val="auto"/>
              </w:rPr>
            </w:pPr>
            <w:r>
              <w:rPr>
                <w:rFonts w:ascii="Arial" w:cs="Arial" w:eastAsia="Arial" w:hAnsi="Arial"/>
                <w:sz w:val="18"/>
                <w:szCs w:val="18"/>
                <w:color w:val="auto"/>
                <w:w w:val="93"/>
              </w:rPr>
              <w:t>Indenture (including from Note), dated as of October 27, 2015, by and among Greatbatch Ltd., the guarantors from time to time party</w:t>
            </w:r>
          </w:p>
        </w:tc>
        <w:tc>
          <w:tcPr>
            <w:tcW w:w="0" w:type="dxa"/>
            <w:vAlign w:val="bottom"/>
          </w:tcPr>
          <w:p>
            <w:pPr>
              <w:spacing w:after="0"/>
              <w:rPr>
                <w:sz w:val="1"/>
                <w:szCs w:val="1"/>
                <w:color w:val="auto"/>
              </w:rPr>
            </w:pPr>
          </w:p>
        </w:tc>
      </w:tr>
      <w:tr>
        <w:trPr>
          <w:trHeight w:val="216"/>
        </w:trPr>
        <w:tc>
          <w:tcPr>
            <w:tcW w:w="640" w:type="dxa"/>
            <w:vAlign w:val="bottom"/>
          </w:tcPr>
          <w:p>
            <w:pPr>
              <w:spacing w:after="0"/>
              <w:rPr>
                <w:sz w:val="18"/>
                <w:szCs w:val="18"/>
                <w:color w:val="auto"/>
              </w:rPr>
            </w:pPr>
          </w:p>
        </w:tc>
        <w:tc>
          <w:tcPr>
            <w:tcW w:w="10700" w:type="dxa"/>
            <w:vAlign w:val="bottom"/>
            <w:gridSpan w:val="3"/>
          </w:tcPr>
          <w:p>
            <w:pPr>
              <w:ind w:left="840"/>
              <w:spacing w:after="0"/>
              <w:rPr>
                <w:sz w:val="20"/>
                <w:szCs w:val="20"/>
                <w:color w:val="auto"/>
              </w:rPr>
            </w:pPr>
            <w:r>
              <w:rPr>
                <w:rFonts w:ascii="Arial" w:cs="Arial" w:eastAsia="Arial" w:hAnsi="Arial"/>
                <w:sz w:val="18"/>
                <w:szCs w:val="18"/>
                <w:color w:val="auto"/>
                <w:w w:val="92"/>
              </w:rPr>
              <w:t>thereto and Wilmington Trust, National Association, as trustee(incorporated by reference to Exhibit 4.1 to our Current Report on Form</w:t>
            </w:r>
          </w:p>
        </w:tc>
        <w:tc>
          <w:tcPr>
            <w:tcW w:w="0" w:type="dxa"/>
            <w:vAlign w:val="bottom"/>
          </w:tcPr>
          <w:p>
            <w:pPr>
              <w:spacing w:after="0"/>
              <w:rPr>
                <w:sz w:val="1"/>
                <w:szCs w:val="1"/>
                <w:color w:val="auto"/>
              </w:rPr>
            </w:pPr>
          </w:p>
        </w:tc>
      </w:tr>
      <w:tr>
        <w:trPr>
          <w:trHeight w:val="230"/>
        </w:trPr>
        <w:tc>
          <w:tcPr>
            <w:tcW w:w="640" w:type="dxa"/>
            <w:vAlign w:val="bottom"/>
          </w:tcPr>
          <w:p>
            <w:pPr>
              <w:spacing w:after="0"/>
              <w:rPr>
                <w:sz w:val="20"/>
                <w:szCs w:val="20"/>
                <w:color w:val="auto"/>
              </w:rPr>
            </w:pPr>
          </w:p>
        </w:tc>
        <w:tc>
          <w:tcPr>
            <w:tcW w:w="10700" w:type="dxa"/>
            <w:vAlign w:val="bottom"/>
            <w:gridSpan w:val="3"/>
          </w:tcPr>
          <w:p>
            <w:pPr>
              <w:ind w:left="840"/>
              <w:spacing w:after="0"/>
              <w:rPr>
                <w:sz w:val="20"/>
                <w:szCs w:val="20"/>
                <w:color w:val="auto"/>
              </w:rPr>
            </w:pPr>
            <w:r>
              <w:rPr>
                <w:rFonts w:ascii="Arial" w:cs="Arial" w:eastAsia="Arial" w:hAnsi="Arial"/>
                <w:sz w:val="18"/>
                <w:szCs w:val="18"/>
                <w:color w:val="auto"/>
              </w:rPr>
              <w:t>8-K filed on October 28, 2015).</w:t>
            </w:r>
          </w:p>
        </w:tc>
        <w:tc>
          <w:tcPr>
            <w:tcW w:w="0" w:type="dxa"/>
            <w:vAlign w:val="bottom"/>
          </w:tcPr>
          <w:p>
            <w:pPr>
              <w:spacing w:after="0"/>
              <w:rPr>
                <w:sz w:val="1"/>
                <w:szCs w:val="1"/>
                <w:color w:val="auto"/>
              </w:rPr>
            </w:pPr>
          </w:p>
        </w:tc>
      </w:tr>
      <w:tr>
        <w:trPr>
          <w:trHeight w:val="377"/>
        </w:trPr>
        <w:tc>
          <w:tcPr>
            <w:tcW w:w="640" w:type="dxa"/>
            <w:vAlign w:val="bottom"/>
          </w:tcPr>
          <w:p>
            <w:pPr>
              <w:spacing w:after="0"/>
              <w:rPr>
                <w:sz w:val="20"/>
                <w:szCs w:val="20"/>
                <w:color w:val="auto"/>
              </w:rPr>
            </w:pPr>
            <w:r>
              <w:rPr>
                <w:rFonts w:ascii="Arial" w:cs="Arial" w:eastAsia="Arial" w:hAnsi="Arial"/>
                <w:sz w:val="18"/>
                <w:szCs w:val="18"/>
                <w:color w:val="auto"/>
              </w:rPr>
              <w:t>4.2</w:t>
            </w:r>
          </w:p>
        </w:tc>
        <w:tc>
          <w:tcPr>
            <w:tcW w:w="10700" w:type="dxa"/>
            <w:vAlign w:val="bottom"/>
            <w:gridSpan w:val="3"/>
          </w:tcPr>
          <w:p>
            <w:pPr>
              <w:ind w:left="840"/>
              <w:spacing w:after="0"/>
              <w:rPr>
                <w:sz w:val="20"/>
                <w:szCs w:val="20"/>
                <w:color w:val="auto"/>
              </w:rPr>
            </w:pPr>
            <w:r>
              <w:rPr>
                <w:rFonts w:ascii="Arial" w:cs="Arial" w:eastAsia="Arial" w:hAnsi="Arial"/>
                <w:sz w:val="18"/>
                <w:szCs w:val="18"/>
                <w:color w:val="auto"/>
                <w:w w:val="95"/>
              </w:rPr>
              <w:t>Stockholders Agreement, dated as of October 27, 2015, by and among Greatbatch, Inc., Kohlberg Kravis Roberts &amp; Co. L.P., Bain</w:t>
            </w:r>
          </w:p>
        </w:tc>
        <w:tc>
          <w:tcPr>
            <w:tcW w:w="0" w:type="dxa"/>
            <w:vAlign w:val="bottom"/>
          </w:tcPr>
          <w:p>
            <w:pPr>
              <w:spacing w:after="0"/>
              <w:rPr>
                <w:sz w:val="1"/>
                <w:szCs w:val="1"/>
                <w:color w:val="auto"/>
              </w:rPr>
            </w:pPr>
          </w:p>
        </w:tc>
      </w:tr>
      <w:tr>
        <w:trPr>
          <w:trHeight w:val="216"/>
        </w:trPr>
        <w:tc>
          <w:tcPr>
            <w:tcW w:w="640" w:type="dxa"/>
            <w:vAlign w:val="bottom"/>
          </w:tcPr>
          <w:p>
            <w:pPr>
              <w:spacing w:after="0"/>
              <w:rPr>
                <w:sz w:val="18"/>
                <w:szCs w:val="18"/>
                <w:color w:val="auto"/>
              </w:rPr>
            </w:pPr>
          </w:p>
        </w:tc>
        <w:tc>
          <w:tcPr>
            <w:tcW w:w="10700" w:type="dxa"/>
            <w:vAlign w:val="bottom"/>
            <w:gridSpan w:val="3"/>
          </w:tcPr>
          <w:p>
            <w:pPr>
              <w:ind w:left="840"/>
              <w:spacing w:after="0"/>
              <w:rPr>
                <w:sz w:val="20"/>
                <w:szCs w:val="20"/>
                <w:color w:val="auto"/>
              </w:rPr>
            </w:pPr>
            <w:r>
              <w:rPr>
                <w:rFonts w:ascii="Arial" w:cs="Arial" w:eastAsia="Arial" w:hAnsi="Arial"/>
                <w:sz w:val="18"/>
                <w:szCs w:val="18"/>
                <w:color w:val="auto"/>
                <w:w w:val="91"/>
              </w:rPr>
              <w:t>Capital Investors, LLC and each other stockholder party thereto (incorporated by reference to Exhibit 4.2 to our Current Report on Form</w:t>
            </w:r>
          </w:p>
        </w:tc>
        <w:tc>
          <w:tcPr>
            <w:tcW w:w="0" w:type="dxa"/>
            <w:vAlign w:val="bottom"/>
          </w:tcPr>
          <w:p>
            <w:pPr>
              <w:spacing w:after="0"/>
              <w:rPr>
                <w:sz w:val="1"/>
                <w:szCs w:val="1"/>
                <w:color w:val="auto"/>
              </w:rPr>
            </w:pPr>
          </w:p>
        </w:tc>
      </w:tr>
      <w:tr>
        <w:trPr>
          <w:trHeight w:val="230"/>
        </w:trPr>
        <w:tc>
          <w:tcPr>
            <w:tcW w:w="640" w:type="dxa"/>
            <w:vAlign w:val="bottom"/>
          </w:tcPr>
          <w:p>
            <w:pPr>
              <w:spacing w:after="0"/>
              <w:rPr>
                <w:sz w:val="20"/>
                <w:szCs w:val="20"/>
                <w:color w:val="auto"/>
              </w:rPr>
            </w:pPr>
          </w:p>
        </w:tc>
        <w:tc>
          <w:tcPr>
            <w:tcW w:w="10700" w:type="dxa"/>
            <w:vAlign w:val="bottom"/>
            <w:gridSpan w:val="3"/>
          </w:tcPr>
          <w:p>
            <w:pPr>
              <w:ind w:left="840"/>
              <w:spacing w:after="0"/>
              <w:rPr>
                <w:sz w:val="20"/>
                <w:szCs w:val="20"/>
                <w:color w:val="auto"/>
              </w:rPr>
            </w:pPr>
            <w:r>
              <w:rPr>
                <w:rFonts w:ascii="Arial" w:cs="Arial" w:eastAsia="Arial" w:hAnsi="Arial"/>
                <w:sz w:val="18"/>
                <w:szCs w:val="18"/>
                <w:color w:val="auto"/>
              </w:rPr>
              <w:t>8-K filed on October 28, 2015).</w:t>
            </w:r>
          </w:p>
        </w:tc>
        <w:tc>
          <w:tcPr>
            <w:tcW w:w="0" w:type="dxa"/>
            <w:vAlign w:val="bottom"/>
          </w:tcPr>
          <w:p>
            <w:pPr>
              <w:spacing w:after="0"/>
              <w:rPr>
                <w:sz w:val="1"/>
                <w:szCs w:val="1"/>
                <w:color w:val="auto"/>
              </w:rPr>
            </w:pPr>
          </w:p>
        </w:tc>
      </w:tr>
      <w:tr>
        <w:trPr>
          <w:trHeight w:val="377"/>
        </w:trPr>
        <w:tc>
          <w:tcPr>
            <w:tcW w:w="640" w:type="dxa"/>
            <w:vAlign w:val="bottom"/>
          </w:tcPr>
          <w:p>
            <w:pPr>
              <w:spacing w:after="0"/>
              <w:rPr>
                <w:sz w:val="20"/>
                <w:szCs w:val="20"/>
                <w:color w:val="auto"/>
              </w:rPr>
            </w:pPr>
            <w:r>
              <w:rPr>
                <w:rFonts w:ascii="Arial" w:cs="Arial" w:eastAsia="Arial" w:hAnsi="Arial"/>
                <w:sz w:val="18"/>
                <w:szCs w:val="18"/>
                <w:color w:val="auto"/>
              </w:rPr>
              <w:t>10.1#</w:t>
            </w:r>
          </w:p>
        </w:tc>
        <w:tc>
          <w:tcPr>
            <w:tcW w:w="10700" w:type="dxa"/>
            <w:vAlign w:val="bottom"/>
            <w:gridSpan w:val="3"/>
          </w:tcPr>
          <w:p>
            <w:pPr>
              <w:ind w:left="840"/>
              <w:spacing w:after="0"/>
              <w:rPr>
                <w:sz w:val="20"/>
                <w:szCs w:val="20"/>
                <w:color w:val="auto"/>
              </w:rPr>
            </w:pPr>
            <w:r>
              <w:rPr>
                <w:rFonts w:ascii="Arial" w:cs="Arial" w:eastAsia="Arial" w:hAnsi="Arial"/>
                <w:sz w:val="18"/>
                <w:szCs w:val="18"/>
                <w:color w:val="auto"/>
                <w:w w:val="99"/>
              </w:rPr>
              <w:t>1998 Stock Option Plan (including form of “standard” option agreement, form of “special” option agreement and form of “non-</w:t>
            </w:r>
          </w:p>
        </w:tc>
        <w:tc>
          <w:tcPr>
            <w:tcW w:w="0" w:type="dxa"/>
            <w:vAlign w:val="bottom"/>
          </w:tcPr>
          <w:p>
            <w:pPr>
              <w:spacing w:after="0"/>
              <w:rPr>
                <w:sz w:val="1"/>
                <w:szCs w:val="1"/>
                <w:color w:val="auto"/>
              </w:rPr>
            </w:pPr>
          </w:p>
        </w:tc>
      </w:tr>
      <w:tr>
        <w:trPr>
          <w:trHeight w:val="216"/>
        </w:trPr>
        <w:tc>
          <w:tcPr>
            <w:tcW w:w="640" w:type="dxa"/>
            <w:vAlign w:val="bottom"/>
          </w:tcPr>
          <w:p>
            <w:pPr>
              <w:spacing w:after="0"/>
              <w:rPr>
                <w:sz w:val="18"/>
                <w:szCs w:val="18"/>
                <w:color w:val="auto"/>
              </w:rPr>
            </w:pPr>
          </w:p>
        </w:tc>
        <w:tc>
          <w:tcPr>
            <w:tcW w:w="10700" w:type="dxa"/>
            <w:vAlign w:val="bottom"/>
            <w:gridSpan w:val="3"/>
          </w:tcPr>
          <w:p>
            <w:pPr>
              <w:ind w:left="840"/>
              <w:spacing w:after="0"/>
              <w:rPr>
                <w:sz w:val="20"/>
                <w:szCs w:val="20"/>
                <w:color w:val="auto"/>
              </w:rPr>
            </w:pPr>
            <w:r>
              <w:rPr>
                <w:rFonts w:ascii="Arial" w:cs="Arial" w:eastAsia="Arial" w:hAnsi="Arial"/>
                <w:sz w:val="18"/>
                <w:szCs w:val="18"/>
                <w:color w:val="auto"/>
                <w:w w:val="94"/>
              </w:rPr>
              <w:t>standard” option agreement) (incorporated by reference to Exhibit 10.2 to our Registration Statement on Form S-1 filed on May 22,</w:t>
            </w:r>
          </w:p>
        </w:tc>
        <w:tc>
          <w:tcPr>
            <w:tcW w:w="0" w:type="dxa"/>
            <w:vAlign w:val="bottom"/>
          </w:tcPr>
          <w:p>
            <w:pPr>
              <w:spacing w:after="0"/>
              <w:rPr>
                <w:sz w:val="1"/>
                <w:szCs w:val="1"/>
                <w:color w:val="auto"/>
              </w:rPr>
            </w:pPr>
          </w:p>
        </w:tc>
      </w:tr>
      <w:tr>
        <w:trPr>
          <w:trHeight w:val="230"/>
        </w:trPr>
        <w:tc>
          <w:tcPr>
            <w:tcW w:w="640" w:type="dxa"/>
            <w:vAlign w:val="bottom"/>
          </w:tcPr>
          <w:p>
            <w:pPr>
              <w:spacing w:after="0"/>
              <w:rPr>
                <w:sz w:val="20"/>
                <w:szCs w:val="20"/>
                <w:color w:val="auto"/>
              </w:rPr>
            </w:pPr>
          </w:p>
        </w:tc>
        <w:tc>
          <w:tcPr>
            <w:tcW w:w="10700" w:type="dxa"/>
            <w:vAlign w:val="bottom"/>
            <w:gridSpan w:val="3"/>
          </w:tcPr>
          <w:p>
            <w:pPr>
              <w:ind w:left="840"/>
              <w:spacing w:after="0"/>
              <w:rPr>
                <w:sz w:val="20"/>
                <w:szCs w:val="20"/>
                <w:color w:val="auto"/>
              </w:rPr>
            </w:pPr>
            <w:r>
              <w:rPr>
                <w:rFonts w:ascii="Arial" w:cs="Arial" w:eastAsia="Arial" w:hAnsi="Arial"/>
                <w:sz w:val="18"/>
                <w:szCs w:val="18"/>
                <w:color w:val="auto"/>
              </w:rPr>
              <w:t>2000 (File No. 333-37554)).</w:t>
            </w:r>
          </w:p>
        </w:tc>
        <w:tc>
          <w:tcPr>
            <w:tcW w:w="0" w:type="dxa"/>
            <w:vAlign w:val="bottom"/>
          </w:tcPr>
          <w:p>
            <w:pPr>
              <w:spacing w:after="0"/>
              <w:rPr>
                <w:sz w:val="1"/>
                <w:szCs w:val="1"/>
                <w:color w:val="auto"/>
              </w:rPr>
            </w:pPr>
          </w:p>
        </w:tc>
      </w:tr>
      <w:tr>
        <w:trPr>
          <w:trHeight w:val="377"/>
        </w:trPr>
        <w:tc>
          <w:tcPr>
            <w:tcW w:w="640" w:type="dxa"/>
            <w:vAlign w:val="bottom"/>
          </w:tcPr>
          <w:p>
            <w:pPr>
              <w:spacing w:after="0"/>
              <w:rPr>
                <w:sz w:val="20"/>
                <w:szCs w:val="20"/>
                <w:color w:val="auto"/>
              </w:rPr>
            </w:pPr>
            <w:r>
              <w:rPr>
                <w:rFonts w:ascii="Arial" w:cs="Arial" w:eastAsia="Arial" w:hAnsi="Arial"/>
                <w:sz w:val="18"/>
                <w:szCs w:val="18"/>
                <w:color w:val="auto"/>
              </w:rPr>
              <w:t>10.2#</w:t>
            </w:r>
          </w:p>
        </w:tc>
        <w:tc>
          <w:tcPr>
            <w:tcW w:w="10700" w:type="dxa"/>
            <w:vAlign w:val="bottom"/>
            <w:gridSpan w:val="3"/>
          </w:tcPr>
          <w:p>
            <w:pPr>
              <w:ind w:left="840"/>
              <w:spacing w:after="0"/>
              <w:rPr>
                <w:sz w:val="20"/>
                <w:szCs w:val="20"/>
                <w:color w:val="auto"/>
              </w:rPr>
            </w:pPr>
            <w:r>
              <w:rPr>
                <w:rFonts w:ascii="Arial" w:cs="Arial" w:eastAsia="Arial" w:hAnsi="Arial"/>
                <w:sz w:val="18"/>
                <w:szCs w:val="18"/>
                <w:color w:val="auto"/>
                <w:w w:val="92"/>
              </w:rPr>
              <w:t>Amendment to Greatbatch, Inc. 1998 Stock Option Plan (incorporated by reference to Exhibit 10.2 to our Annual Report on Form 10-K</w:t>
            </w:r>
          </w:p>
        </w:tc>
        <w:tc>
          <w:tcPr>
            <w:tcW w:w="0" w:type="dxa"/>
            <w:vAlign w:val="bottom"/>
          </w:tcPr>
          <w:p>
            <w:pPr>
              <w:spacing w:after="0"/>
              <w:rPr>
                <w:sz w:val="1"/>
                <w:szCs w:val="1"/>
                <w:color w:val="auto"/>
              </w:rPr>
            </w:pPr>
          </w:p>
        </w:tc>
      </w:tr>
      <w:tr>
        <w:trPr>
          <w:trHeight w:val="230"/>
        </w:trPr>
        <w:tc>
          <w:tcPr>
            <w:tcW w:w="640" w:type="dxa"/>
            <w:vAlign w:val="bottom"/>
          </w:tcPr>
          <w:p>
            <w:pPr>
              <w:spacing w:after="0"/>
              <w:rPr>
                <w:sz w:val="20"/>
                <w:szCs w:val="20"/>
                <w:color w:val="auto"/>
              </w:rPr>
            </w:pPr>
          </w:p>
        </w:tc>
        <w:tc>
          <w:tcPr>
            <w:tcW w:w="10700" w:type="dxa"/>
            <w:vAlign w:val="bottom"/>
            <w:gridSpan w:val="3"/>
          </w:tcPr>
          <w:p>
            <w:pPr>
              <w:ind w:left="840"/>
              <w:spacing w:after="0"/>
              <w:rPr>
                <w:sz w:val="20"/>
                <w:szCs w:val="20"/>
                <w:color w:val="auto"/>
              </w:rPr>
            </w:pPr>
            <w:r>
              <w:rPr>
                <w:rFonts w:ascii="Arial" w:cs="Arial" w:eastAsia="Arial" w:hAnsi="Arial"/>
                <w:sz w:val="18"/>
                <w:szCs w:val="18"/>
                <w:color w:val="auto"/>
              </w:rPr>
              <w:t>for the period ended January 3, 2014).</w:t>
            </w:r>
          </w:p>
        </w:tc>
        <w:tc>
          <w:tcPr>
            <w:tcW w:w="0" w:type="dxa"/>
            <w:vAlign w:val="bottom"/>
          </w:tcPr>
          <w:p>
            <w:pPr>
              <w:spacing w:after="0"/>
              <w:rPr>
                <w:sz w:val="1"/>
                <w:szCs w:val="1"/>
                <w:color w:val="auto"/>
              </w:rPr>
            </w:pPr>
          </w:p>
        </w:tc>
      </w:tr>
      <w:tr>
        <w:trPr>
          <w:trHeight w:val="377"/>
        </w:trPr>
        <w:tc>
          <w:tcPr>
            <w:tcW w:w="640" w:type="dxa"/>
            <w:vAlign w:val="bottom"/>
          </w:tcPr>
          <w:p>
            <w:pPr>
              <w:spacing w:after="0"/>
              <w:rPr>
                <w:sz w:val="20"/>
                <w:szCs w:val="20"/>
                <w:color w:val="auto"/>
              </w:rPr>
            </w:pPr>
            <w:r>
              <w:rPr>
                <w:rFonts w:ascii="Arial" w:cs="Arial" w:eastAsia="Arial" w:hAnsi="Arial"/>
                <w:sz w:val="18"/>
                <w:szCs w:val="18"/>
                <w:color w:val="auto"/>
              </w:rPr>
              <w:t>10.3#</w:t>
            </w:r>
          </w:p>
        </w:tc>
        <w:tc>
          <w:tcPr>
            <w:tcW w:w="10700" w:type="dxa"/>
            <w:vAlign w:val="bottom"/>
            <w:gridSpan w:val="3"/>
          </w:tcPr>
          <w:p>
            <w:pPr>
              <w:ind w:left="840"/>
              <w:spacing w:after="0"/>
              <w:rPr>
                <w:sz w:val="20"/>
                <w:szCs w:val="20"/>
                <w:color w:val="auto"/>
              </w:rPr>
            </w:pPr>
            <w:r>
              <w:rPr>
                <w:rFonts w:ascii="Arial" w:cs="Arial" w:eastAsia="Arial" w:hAnsi="Arial"/>
                <w:sz w:val="18"/>
                <w:szCs w:val="18"/>
                <w:color w:val="auto"/>
                <w:w w:val="91"/>
              </w:rPr>
              <w:t>Non-Employee Director Stock Incentive Plan (incorporated by reference to Exhibit A to our Definitive Proxy Statement on Schedule 14-</w:t>
            </w:r>
          </w:p>
        </w:tc>
        <w:tc>
          <w:tcPr>
            <w:tcW w:w="0" w:type="dxa"/>
            <w:vAlign w:val="bottom"/>
          </w:tcPr>
          <w:p>
            <w:pPr>
              <w:spacing w:after="0"/>
              <w:rPr>
                <w:sz w:val="1"/>
                <w:szCs w:val="1"/>
                <w:color w:val="auto"/>
              </w:rPr>
            </w:pPr>
          </w:p>
        </w:tc>
      </w:tr>
      <w:tr>
        <w:trPr>
          <w:trHeight w:val="230"/>
        </w:trPr>
        <w:tc>
          <w:tcPr>
            <w:tcW w:w="640" w:type="dxa"/>
            <w:vAlign w:val="bottom"/>
          </w:tcPr>
          <w:p>
            <w:pPr>
              <w:spacing w:after="0"/>
              <w:rPr>
                <w:sz w:val="20"/>
                <w:szCs w:val="20"/>
                <w:color w:val="auto"/>
              </w:rPr>
            </w:pPr>
          </w:p>
        </w:tc>
        <w:tc>
          <w:tcPr>
            <w:tcW w:w="10700" w:type="dxa"/>
            <w:vAlign w:val="bottom"/>
            <w:gridSpan w:val="3"/>
          </w:tcPr>
          <w:p>
            <w:pPr>
              <w:ind w:left="840"/>
              <w:spacing w:after="0"/>
              <w:rPr>
                <w:sz w:val="20"/>
                <w:szCs w:val="20"/>
                <w:color w:val="auto"/>
              </w:rPr>
            </w:pPr>
            <w:r>
              <w:rPr>
                <w:rFonts w:ascii="Arial" w:cs="Arial" w:eastAsia="Arial" w:hAnsi="Arial"/>
                <w:sz w:val="18"/>
                <w:szCs w:val="18"/>
                <w:color w:val="auto"/>
              </w:rPr>
              <w:t>A filed on April 22, 2002).</w:t>
            </w:r>
          </w:p>
        </w:tc>
        <w:tc>
          <w:tcPr>
            <w:tcW w:w="0" w:type="dxa"/>
            <w:vAlign w:val="bottom"/>
          </w:tcPr>
          <w:p>
            <w:pPr>
              <w:spacing w:after="0"/>
              <w:rPr>
                <w:sz w:val="1"/>
                <w:szCs w:val="1"/>
                <w:color w:val="auto"/>
              </w:rPr>
            </w:pPr>
          </w:p>
        </w:tc>
      </w:tr>
      <w:tr>
        <w:trPr>
          <w:trHeight w:val="377"/>
        </w:trPr>
        <w:tc>
          <w:tcPr>
            <w:tcW w:w="640" w:type="dxa"/>
            <w:vAlign w:val="bottom"/>
          </w:tcPr>
          <w:p>
            <w:pPr>
              <w:spacing w:after="0"/>
              <w:rPr>
                <w:sz w:val="20"/>
                <w:szCs w:val="20"/>
                <w:color w:val="auto"/>
              </w:rPr>
            </w:pPr>
            <w:r>
              <w:rPr>
                <w:rFonts w:ascii="Arial" w:cs="Arial" w:eastAsia="Arial" w:hAnsi="Arial"/>
                <w:sz w:val="18"/>
                <w:szCs w:val="18"/>
                <w:color w:val="auto"/>
              </w:rPr>
              <w:t>10.4#</w:t>
            </w:r>
          </w:p>
        </w:tc>
        <w:tc>
          <w:tcPr>
            <w:tcW w:w="10700" w:type="dxa"/>
            <w:vAlign w:val="bottom"/>
            <w:gridSpan w:val="3"/>
          </w:tcPr>
          <w:p>
            <w:pPr>
              <w:ind w:left="840"/>
              <w:spacing w:after="0"/>
              <w:rPr>
                <w:sz w:val="20"/>
                <w:szCs w:val="20"/>
                <w:color w:val="auto"/>
              </w:rPr>
            </w:pPr>
            <w:r>
              <w:rPr>
                <w:rFonts w:ascii="Arial" w:cs="Arial" w:eastAsia="Arial" w:hAnsi="Arial"/>
                <w:sz w:val="18"/>
                <w:szCs w:val="18"/>
                <w:color w:val="auto"/>
                <w:w w:val="94"/>
              </w:rPr>
              <w:t>Greatbatch, Inc. Executive Short Term Incentive Compensation Plan (incorporated by reference to Exhibit A to our Definitive Proxy</w:t>
            </w:r>
          </w:p>
        </w:tc>
        <w:tc>
          <w:tcPr>
            <w:tcW w:w="0" w:type="dxa"/>
            <w:vAlign w:val="bottom"/>
          </w:tcPr>
          <w:p>
            <w:pPr>
              <w:spacing w:after="0"/>
              <w:rPr>
                <w:sz w:val="1"/>
                <w:szCs w:val="1"/>
                <w:color w:val="auto"/>
              </w:rPr>
            </w:pPr>
          </w:p>
        </w:tc>
      </w:tr>
      <w:tr>
        <w:trPr>
          <w:trHeight w:val="230"/>
        </w:trPr>
        <w:tc>
          <w:tcPr>
            <w:tcW w:w="640" w:type="dxa"/>
            <w:vAlign w:val="bottom"/>
          </w:tcPr>
          <w:p>
            <w:pPr>
              <w:spacing w:after="0"/>
              <w:rPr>
                <w:sz w:val="20"/>
                <w:szCs w:val="20"/>
                <w:color w:val="auto"/>
              </w:rPr>
            </w:pPr>
          </w:p>
        </w:tc>
        <w:tc>
          <w:tcPr>
            <w:tcW w:w="10700" w:type="dxa"/>
            <w:vAlign w:val="bottom"/>
            <w:gridSpan w:val="3"/>
          </w:tcPr>
          <w:p>
            <w:pPr>
              <w:ind w:left="840"/>
              <w:spacing w:after="0"/>
              <w:rPr>
                <w:sz w:val="20"/>
                <w:szCs w:val="20"/>
                <w:color w:val="auto"/>
              </w:rPr>
            </w:pPr>
            <w:r>
              <w:rPr>
                <w:rFonts w:ascii="Arial" w:cs="Arial" w:eastAsia="Arial" w:hAnsi="Arial"/>
                <w:sz w:val="18"/>
                <w:szCs w:val="18"/>
                <w:color w:val="auto"/>
              </w:rPr>
              <w:t>Statement on Schedule 14-A filed on April 20, 2012).</w:t>
            </w:r>
          </w:p>
        </w:tc>
        <w:tc>
          <w:tcPr>
            <w:tcW w:w="0" w:type="dxa"/>
            <w:vAlign w:val="bottom"/>
          </w:tcPr>
          <w:p>
            <w:pPr>
              <w:spacing w:after="0"/>
              <w:rPr>
                <w:sz w:val="1"/>
                <w:szCs w:val="1"/>
                <w:color w:val="auto"/>
              </w:rPr>
            </w:pPr>
          </w:p>
        </w:tc>
      </w:tr>
      <w:tr>
        <w:trPr>
          <w:trHeight w:val="377"/>
        </w:trPr>
        <w:tc>
          <w:tcPr>
            <w:tcW w:w="640" w:type="dxa"/>
            <w:vAlign w:val="bottom"/>
          </w:tcPr>
          <w:p>
            <w:pPr>
              <w:spacing w:after="0"/>
              <w:rPr>
                <w:sz w:val="20"/>
                <w:szCs w:val="20"/>
                <w:color w:val="auto"/>
              </w:rPr>
            </w:pPr>
            <w:r>
              <w:rPr>
                <w:rFonts w:ascii="Arial" w:cs="Arial" w:eastAsia="Arial" w:hAnsi="Arial"/>
                <w:sz w:val="18"/>
                <w:szCs w:val="18"/>
                <w:color w:val="auto"/>
              </w:rPr>
              <w:t>10.5</w:t>
            </w:r>
          </w:p>
        </w:tc>
        <w:tc>
          <w:tcPr>
            <w:tcW w:w="10700" w:type="dxa"/>
            <w:vAlign w:val="bottom"/>
            <w:gridSpan w:val="3"/>
          </w:tcPr>
          <w:p>
            <w:pPr>
              <w:ind w:left="840"/>
              <w:spacing w:after="0"/>
              <w:rPr>
                <w:sz w:val="20"/>
                <w:szCs w:val="20"/>
                <w:color w:val="auto"/>
              </w:rPr>
            </w:pPr>
            <w:r>
              <w:rPr>
                <w:rFonts w:ascii="Arial" w:cs="Arial" w:eastAsia="Arial" w:hAnsi="Arial"/>
                <w:sz w:val="18"/>
                <w:szCs w:val="18"/>
                <w:color w:val="auto"/>
                <w:w w:val="90"/>
              </w:rPr>
              <w:t>License Agreement dated August 8, 1996, between Greatbatch Ltd. and Evans Capacitor Company (incorporated by reference to Exhibit</w:t>
            </w:r>
          </w:p>
        </w:tc>
        <w:tc>
          <w:tcPr>
            <w:tcW w:w="0" w:type="dxa"/>
            <w:vAlign w:val="bottom"/>
          </w:tcPr>
          <w:p>
            <w:pPr>
              <w:spacing w:after="0"/>
              <w:rPr>
                <w:sz w:val="1"/>
                <w:szCs w:val="1"/>
                <w:color w:val="auto"/>
              </w:rPr>
            </w:pPr>
          </w:p>
        </w:tc>
      </w:tr>
      <w:tr>
        <w:trPr>
          <w:trHeight w:val="230"/>
        </w:trPr>
        <w:tc>
          <w:tcPr>
            <w:tcW w:w="640" w:type="dxa"/>
            <w:vAlign w:val="bottom"/>
          </w:tcPr>
          <w:p>
            <w:pPr>
              <w:spacing w:after="0"/>
              <w:rPr>
                <w:sz w:val="20"/>
                <w:szCs w:val="20"/>
                <w:color w:val="auto"/>
              </w:rPr>
            </w:pPr>
          </w:p>
        </w:tc>
        <w:tc>
          <w:tcPr>
            <w:tcW w:w="10700" w:type="dxa"/>
            <w:vAlign w:val="bottom"/>
            <w:gridSpan w:val="3"/>
          </w:tcPr>
          <w:p>
            <w:pPr>
              <w:ind w:left="840"/>
              <w:spacing w:after="0"/>
              <w:rPr>
                <w:sz w:val="20"/>
                <w:szCs w:val="20"/>
                <w:color w:val="auto"/>
              </w:rPr>
            </w:pPr>
            <w:r>
              <w:rPr>
                <w:rFonts w:ascii="Arial" w:cs="Arial" w:eastAsia="Arial" w:hAnsi="Arial"/>
                <w:sz w:val="18"/>
                <w:szCs w:val="18"/>
                <w:color w:val="auto"/>
              </w:rPr>
              <w:t>10.23 to our Registration Statement on Form S-1 filed on May 22, 2000 (File No. 333-37554)).</w:t>
            </w:r>
          </w:p>
        </w:tc>
        <w:tc>
          <w:tcPr>
            <w:tcW w:w="0" w:type="dxa"/>
            <w:vAlign w:val="bottom"/>
          </w:tcPr>
          <w:p>
            <w:pPr>
              <w:spacing w:after="0"/>
              <w:rPr>
                <w:sz w:val="1"/>
                <w:szCs w:val="1"/>
                <w:color w:val="auto"/>
              </w:rPr>
            </w:pPr>
          </w:p>
        </w:tc>
      </w:tr>
      <w:tr>
        <w:trPr>
          <w:trHeight w:val="377"/>
        </w:trPr>
        <w:tc>
          <w:tcPr>
            <w:tcW w:w="640" w:type="dxa"/>
            <w:vAlign w:val="bottom"/>
          </w:tcPr>
          <w:p>
            <w:pPr>
              <w:spacing w:after="0"/>
              <w:rPr>
                <w:sz w:val="20"/>
                <w:szCs w:val="20"/>
                <w:color w:val="auto"/>
              </w:rPr>
            </w:pPr>
            <w:r>
              <w:rPr>
                <w:rFonts w:ascii="Arial" w:cs="Arial" w:eastAsia="Arial" w:hAnsi="Arial"/>
                <w:sz w:val="18"/>
                <w:szCs w:val="18"/>
                <w:color w:val="auto"/>
              </w:rPr>
              <w:t>10.6#</w:t>
            </w:r>
          </w:p>
        </w:tc>
        <w:tc>
          <w:tcPr>
            <w:tcW w:w="10700" w:type="dxa"/>
            <w:vAlign w:val="bottom"/>
            <w:gridSpan w:val="3"/>
          </w:tcPr>
          <w:p>
            <w:pPr>
              <w:ind w:left="840"/>
              <w:spacing w:after="0"/>
              <w:rPr>
                <w:sz w:val="20"/>
                <w:szCs w:val="20"/>
                <w:color w:val="auto"/>
              </w:rPr>
            </w:pPr>
            <w:r>
              <w:rPr>
                <w:rFonts w:ascii="Arial" w:cs="Arial" w:eastAsia="Arial" w:hAnsi="Arial"/>
                <w:sz w:val="18"/>
                <w:szCs w:val="18"/>
                <w:color w:val="auto"/>
                <w:w w:val="94"/>
              </w:rPr>
              <w:t>Form of Change of Control Agreement between Greatbatch, Inc. and its executive officers (Thomas J. Hook, Mauricio Arellano, and</w:t>
            </w:r>
          </w:p>
        </w:tc>
        <w:tc>
          <w:tcPr>
            <w:tcW w:w="0" w:type="dxa"/>
            <w:vAlign w:val="bottom"/>
          </w:tcPr>
          <w:p>
            <w:pPr>
              <w:spacing w:after="0"/>
              <w:rPr>
                <w:sz w:val="1"/>
                <w:szCs w:val="1"/>
                <w:color w:val="auto"/>
              </w:rPr>
            </w:pPr>
          </w:p>
        </w:tc>
      </w:tr>
      <w:tr>
        <w:trPr>
          <w:trHeight w:val="216"/>
        </w:trPr>
        <w:tc>
          <w:tcPr>
            <w:tcW w:w="640" w:type="dxa"/>
            <w:vAlign w:val="bottom"/>
          </w:tcPr>
          <w:p>
            <w:pPr>
              <w:spacing w:after="0"/>
              <w:rPr>
                <w:sz w:val="18"/>
                <w:szCs w:val="18"/>
                <w:color w:val="auto"/>
              </w:rPr>
            </w:pPr>
          </w:p>
        </w:tc>
        <w:tc>
          <w:tcPr>
            <w:tcW w:w="10700" w:type="dxa"/>
            <w:vAlign w:val="bottom"/>
            <w:gridSpan w:val="3"/>
          </w:tcPr>
          <w:p>
            <w:pPr>
              <w:ind w:left="840"/>
              <w:spacing w:after="0"/>
              <w:rPr>
                <w:sz w:val="20"/>
                <w:szCs w:val="20"/>
                <w:color w:val="auto"/>
              </w:rPr>
            </w:pPr>
            <w:r>
              <w:rPr>
                <w:rFonts w:ascii="Arial" w:cs="Arial" w:eastAsia="Arial" w:hAnsi="Arial"/>
                <w:sz w:val="18"/>
                <w:szCs w:val="18"/>
                <w:color w:val="auto"/>
                <w:w w:val="95"/>
              </w:rPr>
              <w:t>Timothy G. McEvoy) (incorporated by reference to Exhibit 10.1 to our Quarterly Report on Form 10-Q for the period ended July 1,</w:t>
            </w:r>
          </w:p>
        </w:tc>
        <w:tc>
          <w:tcPr>
            <w:tcW w:w="0" w:type="dxa"/>
            <w:vAlign w:val="bottom"/>
          </w:tcPr>
          <w:p>
            <w:pPr>
              <w:spacing w:after="0"/>
              <w:rPr>
                <w:sz w:val="1"/>
                <w:szCs w:val="1"/>
                <w:color w:val="auto"/>
              </w:rPr>
            </w:pPr>
          </w:p>
        </w:tc>
      </w:tr>
      <w:tr>
        <w:trPr>
          <w:trHeight w:val="230"/>
        </w:trPr>
        <w:tc>
          <w:tcPr>
            <w:tcW w:w="640" w:type="dxa"/>
            <w:vAlign w:val="bottom"/>
          </w:tcPr>
          <w:p>
            <w:pPr>
              <w:spacing w:after="0"/>
              <w:rPr>
                <w:sz w:val="20"/>
                <w:szCs w:val="20"/>
                <w:color w:val="auto"/>
              </w:rPr>
            </w:pPr>
          </w:p>
        </w:tc>
        <w:tc>
          <w:tcPr>
            <w:tcW w:w="5280" w:type="dxa"/>
            <w:vAlign w:val="bottom"/>
          </w:tcPr>
          <w:p>
            <w:pPr>
              <w:ind w:left="840"/>
              <w:spacing w:after="0"/>
              <w:rPr>
                <w:sz w:val="20"/>
                <w:szCs w:val="20"/>
                <w:color w:val="auto"/>
              </w:rPr>
            </w:pPr>
            <w:r>
              <w:rPr>
                <w:rFonts w:ascii="Arial" w:cs="Arial" w:eastAsia="Arial" w:hAnsi="Arial"/>
                <w:sz w:val="18"/>
                <w:szCs w:val="18"/>
                <w:color w:val="auto"/>
              </w:rPr>
              <w:t>2011).</w:t>
            </w:r>
          </w:p>
        </w:tc>
        <w:tc>
          <w:tcPr>
            <w:tcW w:w="1000" w:type="dxa"/>
            <w:vAlign w:val="bottom"/>
          </w:tcPr>
          <w:p>
            <w:pPr>
              <w:spacing w:after="0"/>
              <w:rPr>
                <w:sz w:val="20"/>
                <w:szCs w:val="20"/>
                <w:color w:val="auto"/>
              </w:rPr>
            </w:pPr>
          </w:p>
        </w:tc>
        <w:tc>
          <w:tcPr>
            <w:tcW w:w="44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640" w:type="dxa"/>
            <w:vAlign w:val="bottom"/>
          </w:tcPr>
          <w:p>
            <w:pPr>
              <w:spacing w:after="0"/>
              <w:rPr>
                <w:sz w:val="20"/>
                <w:szCs w:val="20"/>
                <w:color w:val="auto"/>
              </w:rPr>
            </w:pPr>
            <w:r>
              <w:rPr>
                <w:rFonts w:ascii="Arial" w:cs="Arial" w:eastAsia="Arial" w:hAnsi="Arial"/>
                <w:sz w:val="18"/>
                <w:szCs w:val="18"/>
                <w:color w:val="auto"/>
              </w:rPr>
              <w:t>10.7#</w:t>
            </w:r>
          </w:p>
        </w:tc>
        <w:tc>
          <w:tcPr>
            <w:tcW w:w="10700" w:type="dxa"/>
            <w:vAlign w:val="bottom"/>
            <w:gridSpan w:val="3"/>
          </w:tcPr>
          <w:p>
            <w:pPr>
              <w:ind w:left="840"/>
              <w:spacing w:after="0"/>
              <w:rPr>
                <w:sz w:val="20"/>
                <w:szCs w:val="20"/>
                <w:color w:val="auto"/>
              </w:rPr>
            </w:pPr>
            <w:r>
              <w:rPr>
                <w:rFonts w:ascii="Arial" w:cs="Arial" w:eastAsia="Arial" w:hAnsi="Arial"/>
                <w:sz w:val="18"/>
                <w:szCs w:val="18"/>
                <w:color w:val="auto"/>
                <w:w w:val="96"/>
              </w:rPr>
              <w:t>Form of Change of Control Agreement between Greatbatch, Inc. and its executive officers (Michael Dinkins, Andrew P. Holman,</w:t>
            </w:r>
          </w:p>
        </w:tc>
        <w:tc>
          <w:tcPr>
            <w:tcW w:w="0" w:type="dxa"/>
            <w:vAlign w:val="bottom"/>
          </w:tcPr>
          <w:p>
            <w:pPr>
              <w:spacing w:after="0"/>
              <w:rPr>
                <w:sz w:val="1"/>
                <w:szCs w:val="1"/>
                <w:color w:val="auto"/>
              </w:rPr>
            </w:pPr>
          </w:p>
        </w:tc>
      </w:tr>
      <w:tr>
        <w:trPr>
          <w:trHeight w:val="216"/>
        </w:trPr>
        <w:tc>
          <w:tcPr>
            <w:tcW w:w="640" w:type="dxa"/>
            <w:vAlign w:val="bottom"/>
          </w:tcPr>
          <w:p>
            <w:pPr>
              <w:spacing w:after="0"/>
              <w:rPr>
                <w:sz w:val="18"/>
                <w:szCs w:val="18"/>
                <w:color w:val="auto"/>
              </w:rPr>
            </w:pPr>
          </w:p>
        </w:tc>
        <w:tc>
          <w:tcPr>
            <w:tcW w:w="10700" w:type="dxa"/>
            <w:vAlign w:val="bottom"/>
            <w:gridSpan w:val="3"/>
          </w:tcPr>
          <w:p>
            <w:pPr>
              <w:ind w:left="840"/>
              <w:spacing w:after="0"/>
              <w:rPr>
                <w:sz w:val="20"/>
                <w:szCs w:val="20"/>
                <w:color w:val="auto"/>
              </w:rPr>
            </w:pPr>
            <w:r>
              <w:rPr>
                <w:rFonts w:ascii="Arial" w:cs="Arial" w:eastAsia="Arial" w:hAnsi="Arial"/>
                <w:sz w:val="18"/>
                <w:szCs w:val="18"/>
                <w:color w:val="auto"/>
                <w:w w:val="91"/>
              </w:rPr>
              <w:t>Jennifer M. Bolt, Jeremy Friedman, Antonio Gonzalez, Declan Smyth, and Kristin Trecker) (incorporated by reference to Exhibit 10.8 to</w:t>
            </w:r>
          </w:p>
        </w:tc>
        <w:tc>
          <w:tcPr>
            <w:tcW w:w="0" w:type="dxa"/>
            <w:vAlign w:val="bottom"/>
          </w:tcPr>
          <w:p>
            <w:pPr>
              <w:spacing w:after="0"/>
              <w:rPr>
                <w:sz w:val="1"/>
                <w:szCs w:val="1"/>
                <w:color w:val="auto"/>
              </w:rPr>
            </w:pPr>
          </w:p>
        </w:tc>
      </w:tr>
      <w:tr>
        <w:trPr>
          <w:trHeight w:val="230"/>
        </w:trPr>
        <w:tc>
          <w:tcPr>
            <w:tcW w:w="640" w:type="dxa"/>
            <w:vAlign w:val="bottom"/>
          </w:tcPr>
          <w:p>
            <w:pPr>
              <w:spacing w:after="0"/>
              <w:rPr>
                <w:sz w:val="20"/>
                <w:szCs w:val="20"/>
                <w:color w:val="auto"/>
              </w:rPr>
            </w:pPr>
          </w:p>
        </w:tc>
        <w:tc>
          <w:tcPr>
            <w:tcW w:w="10700" w:type="dxa"/>
            <w:vAlign w:val="bottom"/>
            <w:gridSpan w:val="3"/>
          </w:tcPr>
          <w:p>
            <w:pPr>
              <w:ind w:left="840"/>
              <w:spacing w:after="0"/>
              <w:rPr>
                <w:sz w:val="20"/>
                <w:szCs w:val="20"/>
                <w:color w:val="auto"/>
              </w:rPr>
            </w:pPr>
            <w:r>
              <w:rPr>
                <w:rFonts w:ascii="Arial" w:cs="Arial" w:eastAsia="Arial" w:hAnsi="Arial"/>
                <w:sz w:val="18"/>
                <w:szCs w:val="18"/>
                <w:color w:val="auto"/>
              </w:rPr>
              <w:t>our Annual Report on Form 10-K for the year ended December 28, 2012).</w:t>
            </w:r>
          </w:p>
        </w:tc>
        <w:tc>
          <w:tcPr>
            <w:tcW w:w="0" w:type="dxa"/>
            <w:vAlign w:val="bottom"/>
          </w:tcPr>
          <w:p>
            <w:pPr>
              <w:spacing w:after="0"/>
              <w:rPr>
                <w:sz w:val="1"/>
                <w:szCs w:val="1"/>
                <w:color w:val="auto"/>
              </w:rPr>
            </w:pPr>
          </w:p>
        </w:tc>
      </w:tr>
      <w:tr>
        <w:trPr>
          <w:trHeight w:val="377"/>
        </w:trPr>
        <w:tc>
          <w:tcPr>
            <w:tcW w:w="640" w:type="dxa"/>
            <w:vAlign w:val="bottom"/>
          </w:tcPr>
          <w:p>
            <w:pPr>
              <w:spacing w:after="0"/>
              <w:rPr>
                <w:sz w:val="20"/>
                <w:szCs w:val="20"/>
                <w:color w:val="auto"/>
              </w:rPr>
            </w:pPr>
            <w:r>
              <w:rPr>
                <w:rFonts w:ascii="Arial" w:cs="Arial" w:eastAsia="Arial" w:hAnsi="Arial"/>
                <w:sz w:val="18"/>
                <w:szCs w:val="18"/>
                <w:color w:val="auto"/>
              </w:rPr>
              <w:t>10.8</w:t>
            </w:r>
          </w:p>
        </w:tc>
        <w:tc>
          <w:tcPr>
            <w:tcW w:w="10700" w:type="dxa"/>
            <w:vAlign w:val="bottom"/>
            <w:gridSpan w:val="3"/>
          </w:tcPr>
          <w:p>
            <w:pPr>
              <w:ind w:left="840"/>
              <w:spacing w:after="0"/>
              <w:rPr>
                <w:sz w:val="20"/>
                <w:szCs w:val="20"/>
                <w:color w:val="auto"/>
              </w:rPr>
            </w:pPr>
            <w:r>
              <w:rPr>
                <w:rFonts w:ascii="Arial" w:cs="Arial" w:eastAsia="Arial" w:hAnsi="Arial"/>
                <w:sz w:val="18"/>
                <w:szCs w:val="18"/>
                <w:color w:val="auto"/>
                <w:w w:val="92"/>
              </w:rPr>
              <w:t>Credit Agreement, dated as of October 27, 2015, by among Greatbatch Ltd., as the borrower, Greatbatch, Inc., as parent, the financial</w:t>
            </w:r>
          </w:p>
        </w:tc>
        <w:tc>
          <w:tcPr>
            <w:tcW w:w="0" w:type="dxa"/>
            <w:vAlign w:val="bottom"/>
          </w:tcPr>
          <w:p>
            <w:pPr>
              <w:spacing w:after="0"/>
              <w:rPr>
                <w:sz w:val="1"/>
                <w:szCs w:val="1"/>
                <w:color w:val="auto"/>
              </w:rPr>
            </w:pPr>
          </w:p>
        </w:tc>
      </w:tr>
      <w:tr>
        <w:trPr>
          <w:trHeight w:val="216"/>
        </w:trPr>
        <w:tc>
          <w:tcPr>
            <w:tcW w:w="640" w:type="dxa"/>
            <w:vAlign w:val="bottom"/>
          </w:tcPr>
          <w:p>
            <w:pPr>
              <w:spacing w:after="0"/>
              <w:rPr>
                <w:sz w:val="18"/>
                <w:szCs w:val="18"/>
                <w:color w:val="auto"/>
              </w:rPr>
            </w:pPr>
          </w:p>
        </w:tc>
        <w:tc>
          <w:tcPr>
            <w:tcW w:w="10700" w:type="dxa"/>
            <w:vAlign w:val="bottom"/>
            <w:gridSpan w:val="3"/>
          </w:tcPr>
          <w:p>
            <w:pPr>
              <w:ind w:left="840"/>
              <w:spacing w:after="0"/>
              <w:rPr>
                <w:sz w:val="20"/>
                <w:szCs w:val="20"/>
                <w:color w:val="auto"/>
              </w:rPr>
            </w:pPr>
            <w:r>
              <w:rPr>
                <w:rFonts w:ascii="Arial" w:cs="Arial" w:eastAsia="Arial" w:hAnsi="Arial"/>
                <w:sz w:val="18"/>
                <w:szCs w:val="18"/>
                <w:color w:val="auto"/>
                <w:w w:val="92"/>
              </w:rPr>
              <w:t>institutions party thereto and Manufacturers and Traders Trust Company, as administrative agent (incorporated by reference to Exhibit</w:t>
            </w:r>
          </w:p>
        </w:tc>
        <w:tc>
          <w:tcPr>
            <w:tcW w:w="0" w:type="dxa"/>
            <w:vAlign w:val="bottom"/>
          </w:tcPr>
          <w:p>
            <w:pPr>
              <w:spacing w:after="0"/>
              <w:rPr>
                <w:sz w:val="1"/>
                <w:szCs w:val="1"/>
                <w:color w:val="auto"/>
              </w:rPr>
            </w:pPr>
          </w:p>
        </w:tc>
      </w:tr>
      <w:tr>
        <w:trPr>
          <w:trHeight w:val="230"/>
        </w:trPr>
        <w:tc>
          <w:tcPr>
            <w:tcW w:w="640" w:type="dxa"/>
            <w:vAlign w:val="bottom"/>
          </w:tcPr>
          <w:p>
            <w:pPr>
              <w:spacing w:after="0"/>
              <w:rPr>
                <w:sz w:val="20"/>
                <w:szCs w:val="20"/>
                <w:color w:val="auto"/>
              </w:rPr>
            </w:pPr>
          </w:p>
        </w:tc>
        <w:tc>
          <w:tcPr>
            <w:tcW w:w="10700" w:type="dxa"/>
            <w:vAlign w:val="bottom"/>
            <w:gridSpan w:val="3"/>
          </w:tcPr>
          <w:p>
            <w:pPr>
              <w:ind w:left="840"/>
              <w:spacing w:after="0"/>
              <w:rPr>
                <w:sz w:val="20"/>
                <w:szCs w:val="20"/>
                <w:color w:val="auto"/>
              </w:rPr>
            </w:pPr>
            <w:r>
              <w:rPr>
                <w:rFonts w:ascii="Arial" w:cs="Arial" w:eastAsia="Arial" w:hAnsi="Arial"/>
                <w:sz w:val="18"/>
                <w:szCs w:val="18"/>
                <w:color w:val="auto"/>
              </w:rPr>
              <w:t>10.1 to our Current Report on Form 8-K filed on October 28, 2015).</w:t>
            </w:r>
          </w:p>
        </w:tc>
        <w:tc>
          <w:tcPr>
            <w:tcW w:w="0" w:type="dxa"/>
            <w:vAlign w:val="bottom"/>
          </w:tcPr>
          <w:p>
            <w:pPr>
              <w:spacing w:after="0"/>
              <w:rPr>
                <w:sz w:val="1"/>
                <w:szCs w:val="1"/>
                <w:color w:val="auto"/>
              </w:rPr>
            </w:pPr>
          </w:p>
        </w:tc>
      </w:tr>
      <w:tr>
        <w:trPr>
          <w:trHeight w:val="377"/>
        </w:trPr>
        <w:tc>
          <w:tcPr>
            <w:tcW w:w="640" w:type="dxa"/>
            <w:vAlign w:val="bottom"/>
          </w:tcPr>
          <w:p>
            <w:pPr>
              <w:spacing w:after="0"/>
              <w:rPr>
                <w:sz w:val="20"/>
                <w:szCs w:val="20"/>
                <w:color w:val="auto"/>
              </w:rPr>
            </w:pPr>
            <w:r>
              <w:rPr>
                <w:rFonts w:ascii="Arial" w:cs="Arial" w:eastAsia="Arial" w:hAnsi="Arial"/>
                <w:sz w:val="18"/>
                <w:szCs w:val="18"/>
                <w:color w:val="auto"/>
              </w:rPr>
              <w:t>10.9#</w:t>
            </w:r>
          </w:p>
        </w:tc>
        <w:tc>
          <w:tcPr>
            <w:tcW w:w="10700" w:type="dxa"/>
            <w:vAlign w:val="bottom"/>
            <w:gridSpan w:val="3"/>
          </w:tcPr>
          <w:p>
            <w:pPr>
              <w:ind w:left="840"/>
              <w:spacing w:after="0"/>
              <w:rPr>
                <w:sz w:val="20"/>
                <w:szCs w:val="20"/>
                <w:color w:val="auto"/>
              </w:rPr>
            </w:pPr>
            <w:r>
              <w:rPr>
                <w:rFonts w:ascii="Arial" w:cs="Arial" w:eastAsia="Arial" w:hAnsi="Arial"/>
                <w:sz w:val="18"/>
                <w:szCs w:val="18"/>
                <w:color w:val="auto"/>
                <w:w w:val="90"/>
              </w:rPr>
              <w:t>Employment Agreement dated August 5, 2013 between Greatbatch, Inc. and Thomas J. Hook (incorporated by reference to Exhibit 10.1</w:t>
            </w:r>
          </w:p>
        </w:tc>
        <w:tc>
          <w:tcPr>
            <w:tcW w:w="0" w:type="dxa"/>
            <w:vAlign w:val="bottom"/>
          </w:tcPr>
          <w:p>
            <w:pPr>
              <w:spacing w:after="0"/>
              <w:rPr>
                <w:sz w:val="1"/>
                <w:szCs w:val="1"/>
                <w:color w:val="auto"/>
              </w:rPr>
            </w:pPr>
          </w:p>
        </w:tc>
      </w:tr>
      <w:tr>
        <w:trPr>
          <w:trHeight w:val="230"/>
        </w:trPr>
        <w:tc>
          <w:tcPr>
            <w:tcW w:w="640" w:type="dxa"/>
            <w:vAlign w:val="bottom"/>
          </w:tcPr>
          <w:p>
            <w:pPr>
              <w:spacing w:after="0"/>
              <w:rPr>
                <w:sz w:val="20"/>
                <w:szCs w:val="20"/>
                <w:color w:val="auto"/>
              </w:rPr>
            </w:pPr>
          </w:p>
        </w:tc>
        <w:tc>
          <w:tcPr>
            <w:tcW w:w="10700" w:type="dxa"/>
            <w:vAlign w:val="bottom"/>
            <w:gridSpan w:val="3"/>
          </w:tcPr>
          <w:p>
            <w:pPr>
              <w:ind w:left="840"/>
              <w:spacing w:after="0"/>
              <w:rPr>
                <w:sz w:val="20"/>
                <w:szCs w:val="20"/>
                <w:color w:val="auto"/>
              </w:rPr>
            </w:pPr>
            <w:r>
              <w:rPr>
                <w:rFonts w:ascii="Arial" w:cs="Arial" w:eastAsia="Arial" w:hAnsi="Arial"/>
                <w:sz w:val="18"/>
                <w:szCs w:val="18"/>
                <w:color w:val="auto"/>
              </w:rPr>
              <w:t>to our Current Report on Form 8-K filed on August 9, 2013).</w:t>
            </w:r>
          </w:p>
        </w:tc>
        <w:tc>
          <w:tcPr>
            <w:tcW w:w="0" w:type="dxa"/>
            <w:vAlign w:val="bottom"/>
          </w:tcPr>
          <w:p>
            <w:pPr>
              <w:spacing w:after="0"/>
              <w:rPr>
                <w:sz w:val="1"/>
                <w:szCs w:val="1"/>
                <w:color w:val="auto"/>
              </w:rPr>
            </w:pPr>
          </w:p>
        </w:tc>
      </w:tr>
      <w:tr>
        <w:trPr>
          <w:trHeight w:val="377"/>
        </w:trPr>
        <w:tc>
          <w:tcPr>
            <w:tcW w:w="640" w:type="dxa"/>
            <w:vAlign w:val="bottom"/>
          </w:tcPr>
          <w:p>
            <w:pPr>
              <w:spacing w:after="0"/>
              <w:rPr>
                <w:sz w:val="20"/>
                <w:szCs w:val="20"/>
                <w:color w:val="auto"/>
              </w:rPr>
            </w:pPr>
            <w:r>
              <w:rPr>
                <w:rFonts w:ascii="Arial" w:cs="Arial" w:eastAsia="Arial" w:hAnsi="Arial"/>
                <w:sz w:val="18"/>
                <w:szCs w:val="18"/>
                <w:color w:val="auto"/>
              </w:rPr>
              <w:t>10.10#</w:t>
            </w:r>
          </w:p>
        </w:tc>
        <w:tc>
          <w:tcPr>
            <w:tcW w:w="10700" w:type="dxa"/>
            <w:vAlign w:val="bottom"/>
            <w:gridSpan w:val="3"/>
          </w:tcPr>
          <w:p>
            <w:pPr>
              <w:ind w:left="840"/>
              <w:spacing w:after="0"/>
              <w:rPr>
                <w:sz w:val="20"/>
                <w:szCs w:val="20"/>
                <w:color w:val="auto"/>
              </w:rPr>
            </w:pPr>
            <w:r>
              <w:rPr>
                <w:rFonts w:ascii="Arial" w:cs="Arial" w:eastAsia="Arial" w:hAnsi="Arial"/>
                <w:sz w:val="18"/>
                <w:szCs w:val="18"/>
                <w:color w:val="auto"/>
                <w:w w:val="92"/>
              </w:rPr>
              <w:t>2005 Stock Incentive Plan (incorporated by reference to Exhibit B to our Definitive Proxy Statement on Schedule 14A filed on April 20,</w:t>
            </w:r>
          </w:p>
        </w:tc>
        <w:tc>
          <w:tcPr>
            <w:tcW w:w="0" w:type="dxa"/>
            <w:vAlign w:val="bottom"/>
          </w:tcPr>
          <w:p>
            <w:pPr>
              <w:spacing w:after="0"/>
              <w:rPr>
                <w:sz w:val="1"/>
                <w:szCs w:val="1"/>
                <w:color w:val="auto"/>
              </w:rPr>
            </w:pPr>
          </w:p>
        </w:tc>
      </w:tr>
      <w:tr>
        <w:trPr>
          <w:trHeight w:val="230"/>
        </w:trPr>
        <w:tc>
          <w:tcPr>
            <w:tcW w:w="640" w:type="dxa"/>
            <w:vAlign w:val="bottom"/>
          </w:tcPr>
          <w:p>
            <w:pPr>
              <w:spacing w:after="0"/>
              <w:rPr>
                <w:sz w:val="20"/>
                <w:szCs w:val="20"/>
                <w:color w:val="auto"/>
              </w:rPr>
            </w:pPr>
          </w:p>
        </w:tc>
        <w:tc>
          <w:tcPr>
            <w:tcW w:w="5280" w:type="dxa"/>
            <w:vAlign w:val="bottom"/>
          </w:tcPr>
          <w:p>
            <w:pPr>
              <w:ind w:left="840"/>
              <w:spacing w:after="0"/>
              <w:rPr>
                <w:sz w:val="20"/>
                <w:szCs w:val="20"/>
                <w:color w:val="auto"/>
              </w:rPr>
            </w:pPr>
            <w:r>
              <w:rPr>
                <w:rFonts w:ascii="Arial" w:cs="Arial" w:eastAsia="Arial" w:hAnsi="Arial"/>
                <w:sz w:val="18"/>
                <w:szCs w:val="18"/>
                <w:color w:val="auto"/>
              </w:rPr>
              <w:t>2007).</w:t>
            </w:r>
          </w:p>
        </w:tc>
        <w:tc>
          <w:tcPr>
            <w:tcW w:w="1000" w:type="dxa"/>
            <w:vAlign w:val="bottom"/>
          </w:tcPr>
          <w:p>
            <w:pPr>
              <w:spacing w:after="0"/>
              <w:rPr>
                <w:sz w:val="20"/>
                <w:szCs w:val="20"/>
                <w:color w:val="auto"/>
              </w:rPr>
            </w:pPr>
          </w:p>
        </w:tc>
        <w:tc>
          <w:tcPr>
            <w:tcW w:w="44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640" w:type="dxa"/>
            <w:vAlign w:val="bottom"/>
          </w:tcPr>
          <w:p>
            <w:pPr>
              <w:spacing w:after="0"/>
              <w:rPr>
                <w:sz w:val="20"/>
                <w:szCs w:val="20"/>
                <w:color w:val="auto"/>
              </w:rPr>
            </w:pPr>
            <w:r>
              <w:rPr>
                <w:rFonts w:ascii="Arial" w:cs="Arial" w:eastAsia="Arial" w:hAnsi="Arial"/>
                <w:sz w:val="18"/>
                <w:szCs w:val="18"/>
                <w:color w:val="auto"/>
              </w:rPr>
              <w:t>10.11#</w:t>
            </w:r>
          </w:p>
        </w:tc>
        <w:tc>
          <w:tcPr>
            <w:tcW w:w="10700" w:type="dxa"/>
            <w:vAlign w:val="bottom"/>
            <w:gridSpan w:val="3"/>
          </w:tcPr>
          <w:p>
            <w:pPr>
              <w:ind w:left="840"/>
              <w:spacing w:after="0"/>
              <w:rPr>
                <w:sz w:val="20"/>
                <w:szCs w:val="20"/>
                <w:color w:val="auto"/>
              </w:rPr>
            </w:pPr>
            <w:r>
              <w:rPr>
                <w:rFonts w:ascii="Arial" w:cs="Arial" w:eastAsia="Arial" w:hAnsi="Arial"/>
                <w:sz w:val="18"/>
                <w:szCs w:val="18"/>
                <w:color w:val="auto"/>
                <w:w w:val="92"/>
              </w:rPr>
              <w:t>2009 Stock Incentive Plan (incorporated by reference to Exhibit A to our Definitive Proxy Statement on Schedule 14A filed on April 13,</w:t>
            </w:r>
          </w:p>
        </w:tc>
        <w:tc>
          <w:tcPr>
            <w:tcW w:w="0" w:type="dxa"/>
            <w:vAlign w:val="bottom"/>
          </w:tcPr>
          <w:p>
            <w:pPr>
              <w:spacing w:after="0"/>
              <w:rPr>
                <w:sz w:val="1"/>
                <w:szCs w:val="1"/>
                <w:color w:val="auto"/>
              </w:rPr>
            </w:pPr>
          </w:p>
        </w:tc>
      </w:tr>
      <w:tr>
        <w:trPr>
          <w:trHeight w:val="230"/>
        </w:trPr>
        <w:tc>
          <w:tcPr>
            <w:tcW w:w="640" w:type="dxa"/>
            <w:vAlign w:val="bottom"/>
          </w:tcPr>
          <w:p>
            <w:pPr>
              <w:spacing w:after="0"/>
              <w:rPr>
                <w:sz w:val="20"/>
                <w:szCs w:val="20"/>
                <w:color w:val="auto"/>
              </w:rPr>
            </w:pPr>
          </w:p>
        </w:tc>
        <w:tc>
          <w:tcPr>
            <w:tcW w:w="5280" w:type="dxa"/>
            <w:vAlign w:val="bottom"/>
          </w:tcPr>
          <w:p>
            <w:pPr>
              <w:ind w:left="840"/>
              <w:spacing w:after="0"/>
              <w:rPr>
                <w:sz w:val="20"/>
                <w:szCs w:val="20"/>
                <w:color w:val="auto"/>
              </w:rPr>
            </w:pPr>
            <w:r>
              <w:rPr>
                <w:rFonts w:ascii="Arial" w:cs="Arial" w:eastAsia="Arial" w:hAnsi="Arial"/>
                <w:sz w:val="18"/>
                <w:szCs w:val="18"/>
                <w:color w:val="auto"/>
              </w:rPr>
              <w:t>2009).</w:t>
            </w:r>
          </w:p>
        </w:tc>
        <w:tc>
          <w:tcPr>
            <w:tcW w:w="1000" w:type="dxa"/>
            <w:vAlign w:val="bottom"/>
          </w:tcPr>
          <w:p>
            <w:pPr>
              <w:spacing w:after="0"/>
              <w:rPr>
                <w:sz w:val="20"/>
                <w:szCs w:val="20"/>
                <w:color w:val="auto"/>
              </w:rPr>
            </w:pPr>
          </w:p>
        </w:tc>
        <w:tc>
          <w:tcPr>
            <w:tcW w:w="44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640" w:type="dxa"/>
            <w:vAlign w:val="bottom"/>
          </w:tcPr>
          <w:p>
            <w:pPr>
              <w:spacing w:after="0"/>
              <w:rPr>
                <w:sz w:val="20"/>
                <w:szCs w:val="20"/>
                <w:color w:val="auto"/>
              </w:rPr>
            </w:pPr>
            <w:r>
              <w:rPr>
                <w:rFonts w:ascii="Arial" w:cs="Arial" w:eastAsia="Arial" w:hAnsi="Arial"/>
                <w:sz w:val="18"/>
                <w:szCs w:val="18"/>
                <w:color w:val="auto"/>
              </w:rPr>
              <w:t>10.12#</w:t>
            </w:r>
          </w:p>
        </w:tc>
        <w:tc>
          <w:tcPr>
            <w:tcW w:w="10700" w:type="dxa"/>
            <w:vAlign w:val="bottom"/>
            <w:gridSpan w:val="3"/>
          </w:tcPr>
          <w:p>
            <w:pPr>
              <w:ind w:left="840"/>
              <w:spacing w:after="0"/>
              <w:rPr>
                <w:sz w:val="20"/>
                <w:szCs w:val="20"/>
                <w:color w:val="auto"/>
              </w:rPr>
            </w:pPr>
            <w:r>
              <w:rPr>
                <w:rFonts w:ascii="Arial" w:cs="Arial" w:eastAsia="Arial" w:hAnsi="Arial"/>
                <w:sz w:val="18"/>
                <w:szCs w:val="18"/>
                <w:color w:val="auto"/>
                <w:w w:val="92"/>
              </w:rPr>
              <w:t>2011 Stock Incentive Plan (incorporated by reference to Exhibit A to our Definitive Proxy Statement on Schedule 14A filed on April 14,</w:t>
            </w:r>
          </w:p>
        </w:tc>
        <w:tc>
          <w:tcPr>
            <w:tcW w:w="0" w:type="dxa"/>
            <w:vAlign w:val="bottom"/>
          </w:tcPr>
          <w:p>
            <w:pPr>
              <w:spacing w:after="0"/>
              <w:rPr>
                <w:sz w:val="1"/>
                <w:szCs w:val="1"/>
                <w:color w:val="auto"/>
              </w:rPr>
            </w:pPr>
          </w:p>
        </w:tc>
      </w:tr>
      <w:tr>
        <w:trPr>
          <w:trHeight w:val="230"/>
        </w:trPr>
        <w:tc>
          <w:tcPr>
            <w:tcW w:w="640" w:type="dxa"/>
            <w:vAlign w:val="bottom"/>
          </w:tcPr>
          <w:p>
            <w:pPr>
              <w:spacing w:after="0"/>
              <w:rPr>
                <w:sz w:val="20"/>
                <w:szCs w:val="20"/>
                <w:color w:val="auto"/>
              </w:rPr>
            </w:pPr>
          </w:p>
        </w:tc>
        <w:tc>
          <w:tcPr>
            <w:tcW w:w="5280" w:type="dxa"/>
            <w:vAlign w:val="bottom"/>
          </w:tcPr>
          <w:p>
            <w:pPr>
              <w:ind w:left="840"/>
              <w:spacing w:after="0"/>
              <w:rPr>
                <w:sz w:val="20"/>
                <w:szCs w:val="20"/>
                <w:color w:val="auto"/>
              </w:rPr>
            </w:pPr>
            <w:r>
              <w:rPr>
                <w:rFonts w:ascii="Arial" w:cs="Arial" w:eastAsia="Arial" w:hAnsi="Arial"/>
                <w:sz w:val="18"/>
                <w:szCs w:val="18"/>
                <w:color w:val="auto"/>
              </w:rPr>
              <w:t>2014).</w:t>
            </w:r>
          </w:p>
        </w:tc>
        <w:tc>
          <w:tcPr>
            <w:tcW w:w="1000" w:type="dxa"/>
            <w:vAlign w:val="bottom"/>
          </w:tcPr>
          <w:p>
            <w:pPr>
              <w:spacing w:after="0"/>
              <w:rPr>
                <w:sz w:val="20"/>
                <w:szCs w:val="20"/>
                <w:color w:val="auto"/>
              </w:rPr>
            </w:pPr>
          </w:p>
        </w:tc>
        <w:tc>
          <w:tcPr>
            <w:tcW w:w="44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7"/>
        </w:trPr>
        <w:tc>
          <w:tcPr>
            <w:tcW w:w="640" w:type="dxa"/>
            <w:vAlign w:val="bottom"/>
          </w:tcPr>
          <w:p>
            <w:pPr>
              <w:spacing w:after="0"/>
              <w:rPr>
                <w:sz w:val="20"/>
                <w:szCs w:val="20"/>
                <w:color w:val="auto"/>
              </w:rPr>
            </w:pPr>
            <w:r>
              <w:rPr>
                <w:rFonts w:ascii="Arial" w:cs="Arial" w:eastAsia="Arial" w:hAnsi="Arial"/>
                <w:sz w:val="18"/>
                <w:szCs w:val="18"/>
                <w:color w:val="auto"/>
              </w:rPr>
              <w:t>10.13#</w:t>
            </w:r>
          </w:p>
        </w:tc>
        <w:tc>
          <w:tcPr>
            <w:tcW w:w="10700" w:type="dxa"/>
            <w:vAlign w:val="bottom"/>
            <w:gridSpan w:val="3"/>
          </w:tcPr>
          <w:p>
            <w:pPr>
              <w:ind w:left="840"/>
              <w:spacing w:after="0"/>
              <w:rPr>
                <w:sz w:val="20"/>
                <w:szCs w:val="20"/>
                <w:color w:val="auto"/>
              </w:rPr>
            </w:pPr>
            <w:r>
              <w:rPr>
                <w:rFonts w:ascii="Arial" w:cs="Arial" w:eastAsia="Arial" w:hAnsi="Arial"/>
                <w:sz w:val="18"/>
                <w:szCs w:val="18"/>
                <w:color w:val="auto"/>
                <w:w w:val="93"/>
              </w:rPr>
              <w:t>Amendment to Greatbatch, Inc. 2011 Stock Incentive Plan, Greatbatch, Inc. 2009 Stock Incentive Plan, Greatbatch, Inc. 2005 Stock</w:t>
            </w:r>
          </w:p>
        </w:tc>
        <w:tc>
          <w:tcPr>
            <w:tcW w:w="0" w:type="dxa"/>
            <w:vAlign w:val="bottom"/>
          </w:tcPr>
          <w:p>
            <w:pPr>
              <w:spacing w:after="0"/>
              <w:rPr>
                <w:sz w:val="1"/>
                <w:szCs w:val="1"/>
                <w:color w:val="auto"/>
              </w:rPr>
            </w:pPr>
          </w:p>
        </w:tc>
      </w:tr>
      <w:tr>
        <w:trPr>
          <w:trHeight w:val="230"/>
        </w:trPr>
        <w:tc>
          <w:tcPr>
            <w:tcW w:w="640" w:type="dxa"/>
            <w:vAlign w:val="bottom"/>
          </w:tcPr>
          <w:p>
            <w:pPr>
              <w:spacing w:after="0"/>
              <w:rPr>
                <w:sz w:val="20"/>
                <w:szCs w:val="20"/>
                <w:color w:val="auto"/>
              </w:rPr>
            </w:pPr>
          </w:p>
        </w:tc>
        <w:tc>
          <w:tcPr>
            <w:tcW w:w="10700" w:type="dxa"/>
            <w:vAlign w:val="bottom"/>
            <w:gridSpan w:val="3"/>
          </w:tcPr>
          <w:p>
            <w:pPr>
              <w:ind w:left="840"/>
              <w:spacing w:after="0"/>
              <w:rPr>
                <w:sz w:val="20"/>
                <w:szCs w:val="20"/>
                <w:color w:val="auto"/>
              </w:rPr>
            </w:pPr>
            <w:r>
              <w:rPr>
                <w:rFonts w:ascii="Arial" w:cs="Arial" w:eastAsia="Arial" w:hAnsi="Arial"/>
                <w:sz w:val="18"/>
                <w:szCs w:val="18"/>
                <w:color w:val="auto"/>
                <w:w w:val="94"/>
              </w:rPr>
              <w:t>Incentive Plan (incorporated by reference to Exhibit 10.14 to our Annual Report on Form 10-K for the year ended January 3, 2014).</w:t>
            </w:r>
          </w:p>
        </w:tc>
        <w:tc>
          <w:tcPr>
            <w:tcW w:w="0" w:type="dxa"/>
            <w:vAlign w:val="bottom"/>
          </w:tcPr>
          <w:p>
            <w:pPr>
              <w:spacing w:after="0"/>
              <w:rPr>
                <w:sz w:val="1"/>
                <w:szCs w:val="1"/>
                <w:color w:val="auto"/>
              </w:rPr>
            </w:pPr>
          </w:p>
        </w:tc>
      </w:tr>
      <w:tr>
        <w:trPr>
          <w:trHeight w:val="486"/>
        </w:trPr>
        <w:tc>
          <w:tcPr>
            <w:tcW w:w="640" w:type="dxa"/>
            <w:vAlign w:val="bottom"/>
          </w:tcPr>
          <w:p>
            <w:pPr>
              <w:spacing w:after="0"/>
              <w:rPr>
                <w:sz w:val="24"/>
                <w:szCs w:val="24"/>
                <w:color w:val="auto"/>
              </w:rPr>
            </w:pPr>
          </w:p>
        </w:tc>
        <w:tc>
          <w:tcPr>
            <w:tcW w:w="5280" w:type="dxa"/>
            <w:vAlign w:val="bottom"/>
          </w:tcPr>
          <w:p>
            <w:pPr>
              <w:ind w:left="4800"/>
              <w:spacing w:after="0"/>
              <w:rPr>
                <w:sz w:val="20"/>
                <w:szCs w:val="20"/>
                <w:color w:val="auto"/>
              </w:rPr>
            </w:pPr>
            <w:r>
              <w:rPr>
                <w:rFonts w:ascii="Arial" w:cs="Arial" w:eastAsia="Arial" w:hAnsi="Arial"/>
                <w:sz w:val="18"/>
                <w:szCs w:val="18"/>
                <w:color w:val="auto"/>
                <w:w w:val="88"/>
              </w:rPr>
              <w:t>- 116 -</w:t>
            </w:r>
          </w:p>
        </w:tc>
        <w:tc>
          <w:tcPr>
            <w:tcW w:w="1000" w:type="dxa"/>
            <w:vAlign w:val="bottom"/>
          </w:tcPr>
          <w:p>
            <w:pPr>
              <w:spacing w:after="0"/>
              <w:rPr>
                <w:sz w:val="24"/>
                <w:szCs w:val="24"/>
                <w:color w:val="auto"/>
              </w:rPr>
            </w:pPr>
          </w:p>
        </w:tc>
        <w:tc>
          <w:tcPr>
            <w:tcW w:w="44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340"/>
          </w:cols>
          <w:pgMar w:left="280" w:top="796" w:right="279" w:bottom="1440" w:gutter="0" w:footer="0" w:header="0"/>
        </w:sectPr>
      </w:pPr>
    </w:p>
    <w:bookmarkStart w:id="117" w:name="page118"/>
    <w:bookmarkEnd w:id="117"/>
    <w:p>
      <w:pPr>
        <w:spacing w:after="0" w:line="1" w:lineRule="exact"/>
        <w:rPr>
          <w:sz w:val="20"/>
          <w:szCs w:val="20"/>
          <w:color w:val="auto"/>
        </w:rPr>
      </w:pPr>
    </w:p>
    <w:tbl>
      <w:tblPr>
        <w:tblLayout w:type="fixed"/>
        <w:tblInd w:w="40" w:type="dxa"/>
        <w:tblCellMar>
          <w:top w:w="0" w:type="dxa"/>
          <w:left w:w="0" w:type="dxa"/>
          <w:bottom w:w="0" w:type="dxa"/>
          <w:right w:w="0" w:type="dxa"/>
        </w:tblCellMar>
      </w:tblPr>
      <w:tr>
        <w:trPr>
          <w:trHeight w:val="161"/>
        </w:trPr>
        <w:tc>
          <w:tcPr>
            <w:tcW w:w="1120" w:type="dxa"/>
            <w:vAlign w:val="bottom"/>
            <w:gridSpan w:val="2"/>
          </w:tcPr>
          <w:p>
            <w:pPr>
              <w:spacing w:after="0"/>
              <w:rPr>
                <w:sz w:val="20"/>
                <w:szCs w:val="20"/>
                <w:color w:val="auto"/>
              </w:rPr>
            </w:pPr>
            <w:r>
              <w:rPr>
                <w:rFonts w:ascii="Arial" w:cs="Arial" w:eastAsia="Arial" w:hAnsi="Arial"/>
                <w:sz w:val="14"/>
                <w:szCs w:val="14"/>
                <w:b w:val="1"/>
                <w:bCs w:val="1"/>
                <w:color w:val="auto"/>
              </w:rPr>
              <w:t>EXHIBIT</w:t>
            </w:r>
          </w:p>
        </w:tc>
        <w:tc>
          <w:tcPr>
            <w:tcW w:w="10220" w:type="dxa"/>
            <w:vAlign w:val="bottom"/>
            <w:gridSpan w:val="3"/>
            <w:vMerge w:val="restart"/>
          </w:tcPr>
          <w:p>
            <w:pPr>
              <w:ind w:left="480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58"/>
        </w:trPr>
        <w:tc>
          <w:tcPr>
            <w:tcW w:w="640" w:type="dxa"/>
            <w:vAlign w:val="bottom"/>
          </w:tcPr>
          <w:p>
            <w:pPr>
              <w:spacing w:after="0" w:line="158" w:lineRule="exact"/>
              <w:rPr>
                <w:sz w:val="20"/>
                <w:szCs w:val="20"/>
                <w:color w:val="auto"/>
              </w:rPr>
            </w:pPr>
            <w:r>
              <w:rPr>
                <w:rFonts w:ascii="Arial" w:cs="Arial" w:eastAsia="Arial" w:hAnsi="Arial"/>
                <w:sz w:val="14"/>
                <w:szCs w:val="14"/>
                <w:b w:val="1"/>
                <w:bCs w:val="1"/>
                <w:color w:val="auto"/>
              </w:rPr>
              <w:t>NUMBER</w:t>
            </w:r>
          </w:p>
        </w:tc>
        <w:tc>
          <w:tcPr>
            <w:tcW w:w="480" w:type="dxa"/>
            <w:vAlign w:val="bottom"/>
          </w:tcPr>
          <w:p>
            <w:pPr>
              <w:spacing w:after="0"/>
              <w:rPr>
                <w:sz w:val="13"/>
                <w:szCs w:val="13"/>
                <w:color w:val="auto"/>
              </w:rPr>
            </w:pPr>
          </w:p>
        </w:tc>
        <w:tc>
          <w:tcPr>
            <w:tcW w:w="10220" w:type="dxa"/>
            <w:vAlign w:val="bottom"/>
            <w:gridSpan w:val="3"/>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640" w:type="dxa"/>
            <w:vAlign w:val="bottom"/>
            <w:shd w:val="clear" w:color="auto" w:fill="000000"/>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4800" w:type="dxa"/>
            <w:vAlign w:val="bottom"/>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44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71"/>
        </w:trPr>
        <w:tc>
          <w:tcPr>
            <w:tcW w:w="640" w:type="dxa"/>
            <w:vAlign w:val="bottom"/>
          </w:tcPr>
          <w:p>
            <w:pPr>
              <w:spacing w:after="0"/>
              <w:rPr>
                <w:sz w:val="20"/>
                <w:szCs w:val="20"/>
                <w:color w:val="auto"/>
              </w:rPr>
            </w:pPr>
            <w:r>
              <w:rPr>
                <w:rFonts w:ascii="Arial" w:cs="Arial" w:eastAsia="Arial" w:hAnsi="Arial"/>
                <w:sz w:val="18"/>
                <w:szCs w:val="18"/>
                <w:color w:val="auto"/>
              </w:rPr>
              <w:t>10.14#</w:t>
            </w:r>
          </w:p>
        </w:tc>
        <w:tc>
          <w:tcPr>
            <w:tcW w:w="480" w:type="dxa"/>
            <w:vAlign w:val="bottom"/>
          </w:tcPr>
          <w:p>
            <w:pPr>
              <w:spacing w:after="0"/>
              <w:rPr>
                <w:sz w:val="24"/>
                <w:szCs w:val="24"/>
                <w:color w:val="auto"/>
              </w:rPr>
            </w:pPr>
          </w:p>
        </w:tc>
        <w:tc>
          <w:tcPr>
            <w:tcW w:w="10220" w:type="dxa"/>
            <w:vAlign w:val="bottom"/>
            <w:gridSpan w:val="3"/>
          </w:tcPr>
          <w:p>
            <w:pPr>
              <w:ind w:left="360"/>
              <w:spacing w:after="0"/>
              <w:rPr>
                <w:sz w:val="20"/>
                <w:szCs w:val="20"/>
                <w:color w:val="auto"/>
              </w:rPr>
            </w:pPr>
            <w:r>
              <w:rPr>
                <w:rFonts w:ascii="Arial" w:cs="Arial" w:eastAsia="Arial" w:hAnsi="Arial"/>
                <w:sz w:val="18"/>
                <w:szCs w:val="18"/>
                <w:color w:val="auto"/>
                <w:w w:val="95"/>
              </w:rPr>
              <w:t>Form of Restricted Stock Award Letter (incorporated by reference to Exhibit 10.15 to our Annual Report on Form 10-K for the year</w:t>
            </w:r>
          </w:p>
        </w:tc>
        <w:tc>
          <w:tcPr>
            <w:tcW w:w="0" w:type="dxa"/>
            <w:vAlign w:val="bottom"/>
          </w:tcPr>
          <w:p>
            <w:pPr>
              <w:spacing w:after="0"/>
              <w:rPr>
                <w:sz w:val="1"/>
                <w:szCs w:val="1"/>
                <w:color w:val="auto"/>
              </w:rPr>
            </w:pPr>
          </w:p>
        </w:tc>
      </w:tr>
      <w:tr>
        <w:trPr>
          <w:trHeight w:val="230"/>
        </w:trPr>
        <w:tc>
          <w:tcPr>
            <w:tcW w:w="6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0220" w:type="dxa"/>
            <w:vAlign w:val="bottom"/>
            <w:gridSpan w:val="3"/>
          </w:tcPr>
          <w:p>
            <w:pPr>
              <w:ind w:left="360"/>
              <w:spacing w:after="0"/>
              <w:rPr>
                <w:sz w:val="20"/>
                <w:szCs w:val="20"/>
                <w:color w:val="auto"/>
              </w:rPr>
            </w:pPr>
            <w:r>
              <w:rPr>
                <w:rFonts w:ascii="Arial" w:cs="Arial" w:eastAsia="Arial" w:hAnsi="Arial"/>
                <w:sz w:val="18"/>
                <w:szCs w:val="18"/>
                <w:color w:val="auto"/>
              </w:rPr>
              <w:t>ended January 3, 2014).</w:t>
            </w:r>
          </w:p>
        </w:tc>
        <w:tc>
          <w:tcPr>
            <w:tcW w:w="0" w:type="dxa"/>
            <w:vAlign w:val="bottom"/>
          </w:tcPr>
          <w:p>
            <w:pPr>
              <w:spacing w:after="0"/>
              <w:rPr>
                <w:sz w:val="1"/>
                <w:szCs w:val="1"/>
                <w:color w:val="auto"/>
              </w:rPr>
            </w:pPr>
          </w:p>
        </w:tc>
      </w:tr>
      <w:tr>
        <w:trPr>
          <w:trHeight w:val="377"/>
        </w:trPr>
        <w:tc>
          <w:tcPr>
            <w:tcW w:w="640" w:type="dxa"/>
            <w:vAlign w:val="bottom"/>
          </w:tcPr>
          <w:p>
            <w:pPr>
              <w:spacing w:after="0"/>
              <w:rPr>
                <w:sz w:val="20"/>
                <w:szCs w:val="20"/>
                <w:color w:val="auto"/>
              </w:rPr>
            </w:pPr>
            <w:r>
              <w:rPr>
                <w:rFonts w:ascii="Arial" w:cs="Arial" w:eastAsia="Arial" w:hAnsi="Arial"/>
                <w:sz w:val="18"/>
                <w:szCs w:val="18"/>
                <w:color w:val="auto"/>
              </w:rPr>
              <w:t>10.15#</w:t>
            </w:r>
          </w:p>
        </w:tc>
        <w:tc>
          <w:tcPr>
            <w:tcW w:w="480" w:type="dxa"/>
            <w:vAlign w:val="bottom"/>
          </w:tcPr>
          <w:p>
            <w:pPr>
              <w:spacing w:after="0"/>
              <w:rPr>
                <w:sz w:val="24"/>
                <w:szCs w:val="24"/>
                <w:color w:val="auto"/>
              </w:rPr>
            </w:pPr>
          </w:p>
        </w:tc>
        <w:tc>
          <w:tcPr>
            <w:tcW w:w="10220" w:type="dxa"/>
            <w:vAlign w:val="bottom"/>
            <w:gridSpan w:val="3"/>
          </w:tcPr>
          <w:p>
            <w:pPr>
              <w:ind w:left="360"/>
              <w:spacing w:after="0"/>
              <w:rPr>
                <w:sz w:val="20"/>
                <w:szCs w:val="20"/>
                <w:color w:val="auto"/>
              </w:rPr>
            </w:pPr>
            <w:r>
              <w:rPr>
                <w:rFonts w:ascii="Arial" w:cs="Arial" w:eastAsia="Arial" w:hAnsi="Arial"/>
                <w:sz w:val="18"/>
                <w:szCs w:val="18"/>
                <w:color w:val="auto"/>
                <w:w w:val="93"/>
              </w:rPr>
              <w:t>Form of Performance-Based Restricted Stock Units Award Letter (incorporated by reference to Exhibit 10.16 to our Annual Report on</w:t>
            </w:r>
          </w:p>
        </w:tc>
        <w:tc>
          <w:tcPr>
            <w:tcW w:w="0" w:type="dxa"/>
            <w:vAlign w:val="bottom"/>
          </w:tcPr>
          <w:p>
            <w:pPr>
              <w:spacing w:after="0"/>
              <w:rPr>
                <w:sz w:val="1"/>
                <w:szCs w:val="1"/>
                <w:color w:val="auto"/>
              </w:rPr>
            </w:pPr>
          </w:p>
        </w:tc>
      </w:tr>
      <w:tr>
        <w:trPr>
          <w:trHeight w:val="230"/>
        </w:trPr>
        <w:tc>
          <w:tcPr>
            <w:tcW w:w="6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0220" w:type="dxa"/>
            <w:vAlign w:val="bottom"/>
            <w:gridSpan w:val="3"/>
          </w:tcPr>
          <w:p>
            <w:pPr>
              <w:ind w:left="360"/>
              <w:spacing w:after="0"/>
              <w:rPr>
                <w:sz w:val="20"/>
                <w:szCs w:val="20"/>
                <w:color w:val="auto"/>
              </w:rPr>
            </w:pPr>
            <w:r>
              <w:rPr>
                <w:rFonts w:ascii="Arial" w:cs="Arial" w:eastAsia="Arial" w:hAnsi="Arial"/>
                <w:sz w:val="18"/>
                <w:szCs w:val="18"/>
                <w:color w:val="auto"/>
              </w:rPr>
              <w:t>Form 10-K for the year ended January 3, 2014).</w:t>
            </w:r>
          </w:p>
        </w:tc>
        <w:tc>
          <w:tcPr>
            <w:tcW w:w="0" w:type="dxa"/>
            <w:vAlign w:val="bottom"/>
          </w:tcPr>
          <w:p>
            <w:pPr>
              <w:spacing w:after="0"/>
              <w:rPr>
                <w:sz w:val="1"/>
                <w:szCs w:val="1"/>
                <w:color w:val="auto"/>
              </w:rPr>
            </w:pPr>
          </w:p>
        </w:tc>
      </w:tr>
      <w:tr>
        <w:trPr>
          <w:trHeight w:val="377"/>
        </w:trPr>
        <w:tc>
          <w:tcPr>
            <w:tcW w:w="640" w:type="dxa"/>
            <w:vAlign w:val="bottom"/>
          </w:tcPr>
          <w:p>
            <w:pPr>
              <w:spacing w:after="0"/>
              <w:rPr>
                <w:sz w:val="20"/>
                <w:szCs w:val="20"/>
                <w:color w:val="auto"/>
              </w:rPr>
            </w:pPr>
            <w:r>
              <w:rPr>
                <w:rFonts w:ascii="Arial" w:cs="Arial" w:eastAsia="Arial" w:hAnsi="Arial"/>
                <w:sz w:val="18"/>
                <w:szCs w:val="18"/>
                <w:color w:val="auto"/>
              </w:rPr>
              <w:t>10.16#</w:t>
            </w:r>
          </w:p>
        </w:tc>
        <w:tc>
          <w:tcPr>
            <w:tcW w:w="480" w:type="dxa"/>
            <w:vAlign w:val="bottom"/>
          </w:tcPr>
          <w:p>
            <w:pPr>
              <w:spacing w:after="0"/>
              <w:rPr>
                <w:sz w:val="24"/>
                <w:szCs w:val="24"/>
                <w:color w:val="auto"/>
              </w:rPr>
            </w:pPr>
          </w:p>
        </w:tc>
        <w:tc>
          <w:tcPr>
            <w:tcW w:w="10220" w:type="dxa"/>
            <w:vAlign w:val="bottom"/>
            <w:gridSpan w:val="3"/>
          </w:tcPr>
          <w:p>
            <w:pPr>
              <w:ind w:left="360"/>
              <w:spacing w:after="0"/>
              <w:rPr>
                <w:sz w:val="20"/>
                <w:szCs w:val="20"/>
                <w:color w:val="auto"/>
              </w:rPr>
            </w:pPr>
            <w:r>
              <w:rPr>
                <w:rFonts w:ascii="Arial" w:cs="Arial" w:eastAsia="Arial" w:hAnsi="Arial"/>
                <w:sz w:val="18"/>
                <w:szCs w:val="18"/>
                <w:color w:val="auto"/>
                <w:w w:val="92"/>
              </w:rPr>
              <w:t>Form of Nonqualified Option Award Letter (incorporated by reference to Exhibit 10.17 to our Annual Report on Form 10-K for the year</w:t>
            </w:r>
          </w:p>
        </w:tc>
        <w:tc>
          <w:tcPr>
            <w:tcW w:w="0" w:type="dxa"/>
            <w:vAlign w:val="bottom"/>
          </w:tcPr>
          <w:p>
            <w:pPr>
              <w:spacing w:after="0"/>
              <w:rPr>
                <w:sz w:val="1"/>
                <w:szCs w:val="1"/>
                <w:color w:val="auto"/>
              </w:rPr>
            </w:pPr>
          </w:p>
        </w:tc>
      </w:tr>
      <w:tr>
        <w:trPr>
          <w:trHeight w:val="230"/>
        </w:trPr>
        <w:tc>
          <w:tcPr>
            <w:tcW w:w="6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0220" w:type="dxa"/>
            <w:vAlign w:val="bottom"/>
            <w:gridSpan w:val="3"/>
          </w:tcPr>
          <w:p>
            <w:pPr>
              <w:ind w:left="360"/>
              <w:spacing w:after="0"/>
              <w:rPr>
                <w:sz w:val="20"/>
                <w:szCs w:val="20"/>
                <w:color w:val="auto"/>
              </w:rPr>
            </w:pPr>
            <w:r>
              <w:rPr>
                <w:rFonts w:ascii="Arial" w:cs="Arial" w:eastAsia="Arial" w:hAnsi="Arial"/>
                <w:sz w:val="18"/>
                <w:szCs w:val="18"/>
                <w:color w:val="auto"/>
              </w:rPr>
              <w:t>ended January 3, 2014).</w:t>
            </w:r>
          </w:p>
        </w:tc>
        <w:tc>
          <w:tcPr>
            <w:tcW w:w="0" w:type="dxa"/>
            <w:vAlign w:val="bottom"/>
          </w:tcPr>
          <w:p>
            <w:pPr>
              <w:spacing w:after="0"/>
              <w:rPr>
                <w:sz w:val="1"/>
                <w:szCs w:val="1"/>
                <w:color w:val="auto"/>
              </w:rPr>
            </w:pPr>
          </w:p>
        </w:tc>
      </w:tr>
      <w:tr>
        <w:trPr>
          <w:trHeight w:val="377"/>
        </w:trPr>
        <w:tc>
          <w:tcPr>
            <w:tcW w:w="640" w:type="dxa"/>
            <w:vAlign w:val="bottom"/>
          </w:tcPr>
          <w:p>
            <w:pPr>
              <w:spacing w:after="0"/>
              <w:rPr>
                <w:sz w:val="20"/>
                <w:szCs w:val="20"/>
                <w:color w:val="auto"/>
              </w:rPr>
            </w:pPr>
            <w:r>
              <w:rPr>
                <w:rFonts w:ascii="Arial" w:cs="Arial" w:eastAsia="Arial" w:hAnsi="Arial"/>
                <w:sz w:val="18"/>
                <w:szCs w:val="18"/>
                <w:color w:val="auto"/>
              </w:rPr>
              <w:t>10.17#</w:t>
            </w:r>
          </w:p>
        </w:tc>
        <w:tc>
          <w:tcPr>
            <w:tcW w:w="480" w:type="dxa"/>
            <w:vAlign w:val="bottom"/>
          </w:tcPr>
          <w:p>
            <w:pPr>
              <w:spacing w:after="0"/>
              <w:rPr>
                <w:sz w:val="24"/>
                <w:szCs w:val="24"/>
                <w:color w:val="auto"/>
              </w:rPr>
            </w:pPr>
          </w:p>
        </w:tc>
        <w:tc>
          <w:tcPr>
            <w:tcW w:w="10220" w:type="dxa"/>
            <w:vAlign w:val="bottom"/>
            <w:gridSpan w:val="3"/>
          </w:tcPr>
          <w:p>
            <w:pPr>
              <w:ind w:left="360"/>
              <w:spacing w:after="0"/>
              <w:rPr>
                <w:sz w:val="20"/>
                <w:szCs w:val="20"/>
                <w:color w:val="auto"/>
              </w:rPr>
            </w:pPr>
            <w:r>
              <w:rPr>
                <w:rFonts w:ascii="Arial" w:cs="Arial" w:eastAsia="Arial" w:hAnsi="Arial"/>
                <w:sz w:val="18"/>
                <w:szCs w:val="18"/>
                <w:color w:val="auto"/>
                <w:w w:val="91"/>
              </w:rPr>
              <w:t>Form of Time-Based Restricted Stock Units Award Letter (incorporated by reference to Exhibit 10.18 to our Annual Report on Form 10-</w:t>
            </w:r>
          </w:p>
        </w:tc>
        <w:tc>
          <w:tcPr>
            <w:tcW w:w="0" w:type="dxa"/>
            <w:vAlign w:val="bottom"/>
          </w:tcPr>
          <w:p>
            <w:pPr>
              <w:spacing w:after="0"/>
              <w:rPr>
                <w:sz w:val="1"/>
                <w:szCs w:val="1"/>
                <w:color w:val="auto"/>
              </w:rPr>
            </w:pPr>
          </w:p>
        </w:tc>
      </w:tr>
      <w:tr>
        <w:trPr>
          <w:trHeight w:val="230"/>
        </w:trPr>
        <w:tc>
          <w:tcPr>
            <w:tcW w:w="6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0220" w:type="dxa"/>
            <w:vAlign w:val="bottom"/>
            <w:gridSpan w:val="3"/>
          </w:tcPr>
          <w:p>
            <w:pPr>
              <w:ind w:left="360"/>
              <w:spacing w:after="0"/>
              <w:rPr>
                <w:sz w:val="20"/>
                <w:szCs w:val="20"/>
                <w:color w:val="auto"/>
              </w:rPr>
            </w:pPr>
            <w:r>
              <w:rPr>
                <w:rFonts w:ascii="Arial" w:cs="Arial" w:eastAsia="Arial" w:hAnsi="Arial"/>
                <w:sz w:val="18"/>
                <w:szCs w:val="18"/>
                <w:color w:val="auto"/>
              </w:rPr>
              <w:t>K for the year ended January 3, 2014).</w:t>
            </w:r>
          </w:p>
        </w:tc>
        <w:tc>
          <w:tcPr>
            <w:tcW w:w="0" w:type="dxa"/>
            <w:vAlign w:val="bottom"/>
          </w:tcPr>
          <w:p>
            <w:pPr>
              <w:spacing w:after="0"/>
              <w:rPr>
                <w:sz w:val="1"/>
                <w:szCs w:val="1"/>
                <w:color w:val="auto"/>
              </w:rPr>
            </w:pPr>
          </w:p>
        </w:tc>
      </w:tr>
      <w:tr>
        <w:trPr>
          <w:trHeight w:val="392"/>
        </w:trPr>
        <w:tc>
          <w:tcPr>
            <w:tcW w:w="640" w:type="dxa"/>
            <w:vAlign w:val="bottom"/>
          </w:tcPr>
          <w:p>
            <w:pPr>
              <w:spacing w:after="0"/>
              <w:rPr>
                <w:sz w:val="20"/>
                <w:szCs w:val="20"/>
                <w:color w:val="auto"/>
              </w:rPr>
            </w:pPr>
            <w:r>
              <w:rPr>
                <w:rFonts w:ascii="Arial" w:cs="Arial" w:eastAsia="Arial" w:hAnsi="Arial"/>
                <w:sz w:val="18"/>
                <w:szCs w:val="18"/>
                <w:color w:val="auto"/>
              </w:rPr>
              <w:t>12.1*</w:t>
            </w:r>
          </w:p>
        </w:tc>
        <w:tc>
          <w:tcPr>
            <w:tcW w:w="480" w:type="dxa"/>
            <w:vAlign w:val="bottom"/>
          </w:tcPr>
          <w:p>
            <w:pPr>
              <w:spacing w:after="0"/>
              <w:rPr>
                <w:sz w:val="24"/>
                <w:szCs w:val="24"/>
                <w:color w:val="auto"/>
              </w:rPr>
            </w:pPr>
          </w:p>
        </w:tc>
        <w:tc>
          <w:tcPr>
            <w:tcW w:w="10220" w:type="dxa"/>
            <w:vAlign w:val="bottom"/>
            <w:gridSpan w:val="3"/>
          </w:tcPr>
          <w:p>
            <w:pPr>
              <w:ind w:left="360"/>
              <w:spacing w:after="0"/>
              <w:rPr>
                <w:sz w:val="20"/>
                <w:szCs w:val="20"/>
                <w:color w:val="auto"/>
              </w:rPr>
            </w:pPr>
            <w:r>
              <w:rPr>
                <w:rFonts w:ascii="Arial" w:cs="Arial" w:eastAsia="Arial" w:hAnsi="Arial"/>
                <w:sz w:val="18"/>
                <w:szCs w:val="18"/>
                <w:color w:val="auto"/>
              </w:rPr>
              <w:t>Ratio of Earnings to Fixed Charges (Unaudited)</w:t>
            </w:r>
          </w:p>
        </w:tc>
        <w:tc>
          <w:tcPr>
            <w:tcW w:w="0" w:type="dxa"/>
            <w:vAlign w:val="bottom"/>
          </w:tcPr>
          <w:p>
            <w:pPr>
              <w:spacing w:after="0"/>
              <w:rPr>
                <w:sz w:val="1"/>
                <w:szCs w:val="1"/>
                <w:color w:val="auto"/>
              </w:rPr>
            </w:pPr>
          </w:p>
        </w:tc>
      </w:tr>
      <w:tr>
        <w:trPr>
          <w:trHeight w:val="392"/>
        </w:trPr>
        <w:tc>
          <w:tcPr>
            <w:tcW w:w="640" w:type="dxa"/>
            <w:vAlign w:val="bottom"/>
          </w:tcPr>
          <w:p>
            <w:pPr>
              <w:spacing w:after="0"/>
              <w:rPr>
                <w:sz w:val="20"/>
                <w:szCs w:val="20"/>
                <w:color w:val="auto"/>
              </w:rPr>
            </w:pPr>
            <w:r>
              <w:rPr>
                <w:rFonts w:ascii="Arial" w:cs="Arial" w:eastAsia="Arial" w:hAnsi="Arial"/>
                <w:sz w:val="18"/>
                <w:szCs w:val="18"/>
                <w:color w:val="auto"/>
              </w:rPr>
              <w:t>21.1*</w:t>
            </w:r>
          </w:p>
        </w:tc>
        <w:tc>
          <w:tcPr>
            <w:tcW w:w="480" w:type="dxa"/>
            <w:vAlign w:val="bottom"/>
          </w:tcPr>
          <w:p>
            <w:pPr>
              <w:spacing w:after="0"/>
              <w:rPr>
                <w:sz w:val="24"/>
                <w:szCs w:val="24"/>
                <w:color w:val="auto"/>
              </w:rPr>
            </w:pPr>
          </w:p>
        </w:tc>
        <w:tc>
          <w:tcPr>
            <w:tcW w:w="10220" w:type="dxa"/>
            <w:vAlign w:val="bottom"/>
            <w:gridSpan w:val="3"/>
          </w:tcPr>
          <w:p>
            <w:pPr>
              <w:ind w:left="360"/>
              <w:spacing w:after="0"/>
              <w:rPr>
                <w:sz w:val="20"/>
                <w:szCs w:val="20"/>
                <w:color w:val="auto"/>
              </w:rPr>
            </w:pPr>
            <w:r>
              <w:rPr>
                <w:rFonts w:ascii="Arial" w:cs="Arial" w:eastAsia="Arial" w:hAnsi="Arial"/>
                <w:sz w:val="18"/>
                <w:szCs w:val="18"/>
                <w:color w:val="auto"/>
              </w:rPr>
              <w:t>Subsidiaries of Greatbatch, Inc.</w:t>
            </w:r>
          </w:p>
        </w:tc>
        <w:tc>
          <w:tcPr>
            <w:tcW w:w="0" w:type="dxa"/>
            <w:vAlign w:val="bottom"/>
          </w:tcPr>
          <w:p>
            <w:pPr>
              <w:spacing w:after="0"/>
              <w:rPr>
                <w:sz w:val="1"/>
                <w:szCs w:val="1"/>
                <w:color w:val="auto"/>
              </w:rPr>
            </w:pPr>
          </w:p>
        </w:tc>
      </w:tr>
      <w:tr>
        <w:trPr>
          <w:trHeight w:val="392"/>
        </w:trPr>
        <w:tc>
          <w:tcPr>
            <w:tcW w:w="640" w:type="dxa"/>
            <w:vAlign w:val="bottom"/>
          </w:tcPr>
          <w:p>
            <w:pPr>
              <w:spacing w:after="0"/>
              <w:rPr>
                <w:sz w:val="20"/>
                <w:szCs w:val="20"/>
                <w:color w:val="auto"/>
              </w:rPr>
            </w:pPr>
            <w:r>
              <w:rPr>
                <w:rFonts w:ascii="Arial" w:cs="Arial" w:eastAsia="Arial" w:hAnsi="Arial"/>
                <w:sz w:val="18"/>
                <w:szCs w:val="18"/>
                <w:color w:val="auto"/>
              </w:rPr>
              <w:t>23.1*</w:t>
            </w:r>
          </w:p>
        </w:tc>
        <w:tc>
          <w:tcPr>
            <w:tcW w:w="480" w:type="dxa"/>
            <w:vAlign w:val="bottom"/>
          </w:tcPr>
          <w:p>
            <w:pPr>
              <w:spacing w:after="0"/>
              <w:rPr>
                <w:sz w:val="24"/>
                <w:szCs w:val="24"/>
                <w:color w:val="auto"/>
              </w:rPr>
            </w:pPr>
          </w:p>
        </w:tc>
        <w:tc>
          <w:tcPr>
            <w:tcW w:w="10220" w:type="dxa"/>
            <w:vAlign w:val="bottom"/>
            <w:gridSpan w:val="3"/>
          </w:tcPr>
          <w:p>
            <w:pPr>
              <w:ind w:left="360"/>
              <w:spacing w:after="0"/>
              <w:rPr>
                <w:sz w:val="20"/>
                <w:szCs w:val="20"/>
                <w:color w:val="auto"/>
              </w:rPr>
            </w:pPr>
            <w:r>
              <w:rPr>
                <w:rFonts w:ascii="Arial" w:cs="Arial" w:eastAsia="Arial" w:hAnsi="Arial"/>
                <w:sz w:val="18"/>
                <w:szCs w:val="18"/>
                <w:color w:val="auto"/>
              </w:rPr>
              <w:t>Consent of Independent Registered Public Accounting Firm</w:t>
            </w:r>
          </w:p>
        </w:tc>
        <w:tc>
          <w:tcPr>
            <w:tcW w:w="0" w:type="dxa"/>
            <w:vAlign w:val="bottom"/>
          </w:tcPr>
          <w:p>
            <w:pPr>
              <w:spacing w:after="0"/>
              <w:rPr>
                <w:sz w:val="1"/>
                <w:szCs w:val="1"/>
                <w:color w:val="auto"/>
              </w:rPr>
            </w:pPr>
          </w:p>
        </w:tc>
      </w:tr>
      <w:tr>
        <w:trPr>
          <w:trHeight w:val="405"/>
        </w:trPr>
        <w:tc>
          <w:tcPr>
            <w:tcW w:w="640" w:type="dxa"/>
            <w:vAlign w:val="bottom"/>
          </w:tcPr>
          <w:p>
            <w:pPr>
              <w:spacing w:after="0"/>
              <w:rPr>
                <w:sz w:val="20"/>
                <w:szCs w:val="20"/>
                <w:color w:val="auto"/>
              </w:rPr>
            </w:pPr>
            <w:r>
              <w:rPr>
                <w:rFonts w:ascii="Arial" w:cs="Arial" w:eastAsia="Arial" w:hAnsi="Arial"/>
                <w:sz w:val="18"/>
                <w:szCs w:val="18"/>
                <w:color w:val="auto"/>
              </w:rPr>
              <w:t>31.1*</w:t>
            </w:r>
          </w:p>
        </w:tc>
        <w:tc>
          <w:tcPr>
            <w:tcW w:w="480" w:type="dxa"/>
            <w:vAlign w:val="bottom"/>
          </w:tcPr>
          <w:p>
            <w:pPr>
              <w:spacing w:after="0"/>
              <w:rPr>
                <w:sz w:val="24"/>
                <w:szCs w:val="24"/>
                <w:color w:val="auto"/>
              </w:rPr>
            </w:pPr>
          </w:p>
        </w:tc>
        <w:tc>
          <w:tcPr>
            <w:tcW w:w="10220" w:type="dxa"/>
            <w:vAlign w:val="bottom"/>
            <w:gridSpan w:val="3"/>
          </w:tcPr>
          <w:p>
            <w:pPr>
              <w:ind w:left="360"/>
              <w:spacing w:after="0"/>
              <w:rPr>
                <w:sz w:val="20"/>
                <w:szCs w:val="20"/>
                <w:color w:val="auto"/>
              </w:rPr>
            </w:pPr>
            <w:r>
              <w:rPr>
                <w:rFonts w:ascii="Arial" w:cs="Arial" w:eastAsia="Arial" w:hAnsi="Arial"/>
                <w:sz w:val="18"/>
                <w:szCs w:val="18"/>
                <w:color w:val="auto"/>
              </w:rPr>
              <w:t>Certification of Chief Executive Officer pursuant to Rule 13a-14(a) of the Securities Exchange Act.</w:t>
            </w:r>
          </w:p>
        </w:tc>
        <w:tc>
          <w:tcPr>
            <w:tcW w:w="0" w:type="dxa"/>
            <w:vAlign w:val="bottom"/>
          </w:tcPr>
          <w:p>
            <w:pPr>
              <w:spacing w:after="0"/>
              <w:rPr>
                <w:sz w:val="1"/>
                <w:szCs w:val="1"/>
                <w:color w:val="auto"/>
              </w:rPr>
            </w:pPr>
          </w:p>
        </w:tc>
      </w:tr>
      <w:tr>
        <w:trPr>
          <w:trHeight w:val="392"/>
        </w:trPr>
        <w:tc>
          <w:tcPr>
            <w:tcW w:w="640" w:type="dxa"/>
            <w:vAlign w:val="bottom"/>
          </w:tcPr>
          <w:p>
            <w:pPr>
              <w:spacing w:after="0"/>
              <w:rPr>
                <w:sz w:val="20"/>
                <w:szCs w:val="20"/>
                <w:color w:val="auto"/>
              </w:rPr>
            </w:pPr>
            <w:r>
              <w:rPr>
                <w:rFonts w:ascii="Arial" w:cs="Arial" w:eastAsia="Arial" w:hAnsi="Arial"/>
                <w:sz w:val="18"/>
                <w:szCs w:val="18"/>
                <w:color w:val="auto"/>
              </w:rPr>
              <w:t>31.2*</w:t>
            </w:r>
          </w:p>
        </w:tc>
        <w:tc>
          <w:tcPr>
            <w:tcW w:w="480" w:type="dxa"/>
            <w:vAlign w:val="bottom"/>
          </w:tcPr>
          <w:p>
            <w:pPr>
              <w:spacing w:after="0"/>
              <w:rPr>
                <w:sz w:val="24"/>
                <w:szCs w:val="24"/>
                <w:color w:val="auto"/>
              </w:rPr>
            </w:pPr>
          </w:p>
        </w:tc>
        <w:tc>
          <w:tcPr>
            <w:tcW w:w="10220" w:type="dxa"/>
            <w:vAlign w:val="bottom"/>
            <w:gridSpan w:val="3"/>
          </w:tcPr>
          <w:p>
            <w:pPr>
              <w:ind w:left="360"/>
              <w:spacing w:after="0"/>
              <w:rPr>
                <w:sz w:val="20"/>
                <w:szCs w:val="20"/>
                <w:color w:val="auto"/>
              </w:rPr>
            </w:pPr>
            <w:r>
              <w:rPr>
                <w:rFonts w:ascii="Arial" w:cs="Arial" w:eastAsia="Arial" w:hAnsi="Arial"/>
                <w:sz w:val="18"/>
                <w:szCs w:val="18"/>
                <w:color w:val="auto"/>
              </w:rPr>
              <w:t>Certification of Chief Financial Officer pursuant to Rule 13a-14(a) of the Securities Exchange Act.</w:t>
            </w:r>
          </w:p>
        </w:tc>
        <w:tc>
          <w:tcPr>
            <w:tcW w:w="0" w:type="dxa"/>
            <w:vAlign w:val="bottom"/>
          </w:tcPr>
          <w:p>
            <w:pPr>
              <w:spacing w:after="0"/>
              <w:rPr>
                <w:sz w:val="1"/>
                <w:szCs w:val="1"/>
                <w:color w:val="auto"/>
              </w:rPr>
            </w:pPr>
          </w:p>
        </w:tc>
      </w:tr>
      <w:tr>
        <w:trPr>
          <w:trHeight w:val="377"/>
        </w:trPr>
        <w:tc>
          <w:tcPr>
            <w:tcW w:w="640" w:type="dxa"/>
            <w:vAlign w:val="bottom"/>
          </w:tcPr>
          <w:p>
            <w:pPr>
              <w:spacing w:after="0"/>
              <w:rPr>
                <w:sz w:val="20"/>
                <w:szCs w:val="20"/>
                <w:color w:val="auto"/>
              </w:rPr>
            </w:pPr>
            <w:r>
              <w:rPr>
                <w:rFonts w:ascii="Arial" w:cs="Arial" w:eastAsia="Arial" w:hAnsi="Arial"/>
                <w:sz w:val="18"/>
                <w:szCs w:val="18"/>
                <w:color w:val="auto"/>
              </w:rPr>
              <w:t>32.1**</w:t>
            </w:r>
          </w:p>
        </w:tc>
        <w:tc>
          <w:tcPr>
            <w:tcW w:w="480" w:type="dxa"/>
            <w:vAlign w:val="bottom"/>
          </w:tcPr>
          <w:p>
            <w:pPr>
              <w:spacing w:after="0"/>
              <w:rPr>
                <w:sz w:val="24"/>
                <w:szCs w:val="24"/>
                <w:color w:val="auto"/>
              </w:rPr>
            </w:pPr>
          </w:p>
        </w:tc>
        <w:tc>
          <w:tcPr>
            <w:tcW w:w="10220" w:type="dxa"/>
            <w:vAlign w:val="bottom"/>
            <w:gridSpan w:val="3"/>
          </w:tcPr>
          <w:p>
            <w:pPr>
              <w:ind w:left="360"/>
              <w:spacing w:after="0"/>
              <w:rPr>
                <w:sz w:val="20"/>
                <w:szCs w:val="20"/>
                <w:color w:val="auto"/>
              </w:rPr>
            </w:pPr>
            <w:r>
              <w:rPr>
                <w:rFonts w:ascii="Arial" w:cs="Arial" w:eastAsia="Arial" w:hAnsi="Arial"/>
                <w:sz w:val="18"/>
                <w:szCs w:val="18"/>
                <w:color w:val="auto"/>
                <w:w w:val="92"/>
              </w:rPr>
              <w:t>Certification of Chief Executive Officer and Chief Financial Officer pursuant to 18 U.S.C. Section 1350 as adopted pursuant to Section</w:t>
            </w:r>
          </w:p>
        </w:tc>
        <w:tc>
          <w:tcPr>
            <w:tcW w:w="0" w:type="dxa"/>
            <w:vAlign w:val="bottom"/>
          </w:tcPr>
          <w:p>
            <w:pPr>
              <w:spacing w:after="0"/>
              <w:rPr>
                <w:sz w:val="1"/>
                <w:szCs w:val="1"/>
                <w:color w:val="auto"/>
              </w:rPr>
            </w:pPr>
          </w:p>
        </w:tc>
      </w:tr>
      <w:tr>
        <w:trPr>
          <w:trHeight w:val="230"/>
        </w:trPr>
        <w:tc>
          <w:tcPr>
            <w:tcW w:w="6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0220" w:type="dxa"/>
            <w:vAlign w:val="bottom"/>
            <w:gridSpan w:val="3"/>
          </w:tcPr>
          <w:p>
            <w:pPr>
              <w:ind w:left="360"/>
              <w:spacing w:after="0"/>
              <w:rPr>
                <w:sz w:val="20"/>
                <w:szCs w:val="20"/>
                <w:color w:val="auto"/>
              </w:rPr>
            </w:pPr>
            <w:r>
              <w:rPr>
                <w:rFonts w:ascii="Arial" w:cs="Arial" w:eastAsia="Arial" w:hAnsi="Arial"/>
                <w:sz w:val="18"/>
                <w:szCs w:val="18"/>
                <w:color w:val="auto"/>
              </w:rPr>
              <w:t>906 of the Sarbanes-Oxley Act of 2002.</w:t>
            </w:r>
          </w:p>
        </w:tc>
        <w:tc>
          <w:tcPr>
            <w:tcW w:w="0" w:type="dxa"/>
            <w:vAlign w:val="bottom"/>
          </w:tcPr>
          <w:p>
            <w:pPr>
              <w:spacing w:after="0"/>
              <w:rPr>
                <w:sz w:val="1"/>
                <w:szCs w:val="1"/>
                <w:color w:val="auto"/>
              </w:rPr>
            </w:pPr>
          </w:p>
        </w:tc>
      </w:tr>
      <w:tr>
        <w:trPr>
          <w:trHeight w:val="392"/>
        </w:trPr>
        <w:tc>
          <w:tcPr>
            <w:tcW w:w="1120" w:type="dxa"/>
            <w:vAlign w:val="bottom"/>
            <w:gridSpan w:val="2"/>
          </w:tcPr>
          <w:p>
            <w:pPr>
              <w:spacing w:after="0"/>
              <w:rPr>
                <w:sz w:val="20"/>
                <w:szCs w:val="20"/>
                <w:color w:val="auto"/>
              </w:rPr>
            </w:pPr>
            <w:r>
              <w:rPr>
                <w:rFonts w:ascii="Arial" w:cs="Arial" w:eastAsia="Arial" w:hAnsi="Arial"/>
                <w:sz w:val="18"/>
                <w:szCs w:val="18"/>
                <w:color w:val="auto"/>
              </w:rPr>
              <w:t>101.INS*</w:t>
            </w:r>
          </w:p>
        </w:tc>
        <w:tc>
          <w:tcPr>
            <w:tcW w:w="10220" w:type="dxa"/>
            <w:vAlign w:val="bottom"/>
            <w:gridSpan w:val="3"/>
          </w:tcPr>
          <w:p>
            <w:pPr>
              <w:ind w:left="360"/>
              <w:spacing w:after="0"/>
              <w:rPr>
                <w:sz w:val="20"/>
                <w:szCs w:val="20"/>
                <w:color w:val="auto"/>
              </w:rPr>
            </w:pPr>
            <w:r>
              <w:rPr>
                <w:rFonts w:ascii="Arial" w:cs="Arial" w:eastAsia="Arial" w:hAnsi="Arial"/>
                <w:sz w:val="18"/>
                <w:szCs w:val="18"/>
                <w:color w:val="auto"/>
              </w:rPr>
              <w:t>XBRL Instance Document</w:t>
            </w:r>
          </w:p>
        </w:tc>
        <w:tc>
          <w:tcPr>
            <w:tcW w:w="0" w:type="dxa"/>
            <w:vAlign w:val="bottom"/>
          </w:tcPr>
          <w:p>
            <w:pPr>
              <w:spacing w:after="0"/>
              <w:rPr>
                <w:sz w:val="1"/>
                <w:szCs w:val="1"/>
                <w:color w:val="auto"/>
              </w:rPr>
            </w:pPr>
          </w:p>
        </w:tc>
      </w:tr>
      <w:tr>
        <w:trPr>
          <w:trHeight w:val="392"/>
        </w:trPr>
        <w:tc>
          <w:tcPr>
            <w:tcW w:w="1120" w:type="dxa"/>
            <w:vAlign w:val="bottom"/>
            <w:gridSpan w:val="2"/>
          </w:tcPr>
          <w:p>
            <w:pPr>
              <w:spacing w:after="0"/>
              <w:rPr>
                <w:sz w:val="20"/>
                <w:szCs w:val="20"/>
                <w:color w:val="auto"/>
              </w:rPr>
            </w:pPr>
            <w:r>
              <w:rPr>
                <w:rFonts w:ascii="Arial" w:cs="Arial" w:eastAsia="Arial" w:hAnsi="Arial"/>
                <w:sz w:val="18"/>
                <w:szCs w:val="18"/>
                <w:color w:val="auto"/>
              </w:rPr>
              <w:t>101.SCH*</w:t>
            </w:r>
          </w:p>
        </w:tc>
        <w:tc>
          <w:tcPr>
            <w:tcW w:w="10220" w:type="dxa"/>
            <w:vAlign w:val="bottom"/>
            <w:gridSpan w:val="3"/>
          </w:tcPr>
          <w:p>
            <w:pPr>
              <w:ind w:left="360"/>
              <w:spacing w:after="0"/>
              <w:rPr>
                <w:sz w:val="20"/>
                <w:szCs w:val="20"/>
                <w:color w:val="auto"/>
              </w:rPr>
            </w:pPr>
            <w:r>
              <w:rPr>
                <w:rFonts w:ascii="Arial" w:cs="Arial" w:eastAsia="Arial" w:hAnsi="Arial"/>
                <w:sz w:val="18"/>
                <w:szCs w:val="18"/>
                <w:color w:val="auto"/>
              </w:rPr>
              <w:t>XRBL Taxonomy Extension Schema Document</w:t>
            </w:r>
          </w:p>
        </w:tc>
        <w:tc>
          <w:tcPr>
            <w:tcW w:w="0" w:type="dxa"/>
            <w:vAlign w:val="bottom"/>
          </w:tcPr>
          <w:p>
            <w:pPr>
              <w:spacing w:after="0"/>
              <w:rPr>
                <w:sz w:val="1"/>
                <w:szCs w:val="1"/>
                <w:color w:val="auto"/>
              </w:rPr>
            </w:pPr>
          </w:p>
        </w:tc>
      </w:tr>
      <w:tr>
        <w:trPr>
          <w:trHeight w:val="392"/>
        </w:trPr>
        <w:tc>
          <w:tcPr>
            <w:tcW w:w="1120" w:type="dxa"/>
            <w:vAlign w:val="bottom"/>
            <w:gridSpan w:val="2"/>
          </w:tcPr>
          <w:p>
            <w:pPr>
              <w:spacing w:after="0"/>
              <w:rPr>
                <w:sz w:val="20"/>
                <w:szCs w:val="20"/>
                <w:color w:val="auto"/>
              </w:rPr>
            </w:pPr>
            <w:r>
              <w:rPr>
                <w:rFonts w:ascii="Arial" w:cs="Arial" w:eastAsia="Arial" w:hAnsi="Arial"/>
                <w:sz w:val="18"/>
                <w:szCs w:val="18"/>
                <w:color w:val="auto"/>
              </w:rPr>
              <w:t>101.CAL*</w:t>
            </w:r>
          </w:p>
        </w:tc>
        <w:tc>
          <w:tcPr>
            <w:tcW w:w="10220" w:type="dxa"/>
            <w:vAlign w:val="bottom"/>
            <w:gridSpan w:val="3"/>
          </w:tcPr>
          <w:p>
            <w:pPr>
              <w:ind w:left="360"/>
              <w:spacing w:after="0"/>
              <w:rPr>
                <w:sz w:val="20"/>
                <w:szCs w:val="20"/>
                <w:color w:val="auto"/>
              </w:rPr>
            </w:pPr>
            <w:r>
              <w:rPr>
                <w:rFonts w:ascii="Arial" w:cs="Arial" w:eastAsia="Arial" w:hAnsi="Arial"/>
                <w:sz w:val="18"/>
                <w:szCs w:val="18"/>
                <w:color w:val="auto"/>
              </w:rPr>
              <w:t>XBRL Taxonomy Extension Calculation Linkbase Document</w:t>
            </w:r>
          </w:p>
        </w:tc>
        <w:tc>
          <w:tcPr>
            <w:tcW w:w="0" w:type="dxa"/>
            <w:vAlign w:val="bottom"/>
          </w:tcPr>
          <w:p>
            <w:pPr>
              <w:spacing w:after="0"/>
              <w:rPr>
                <w:sz w:val="1"/>
                <w:szCs w:val="1"/>
                <w:color w:val="auto"/>
              </w:rPr>
            </w:pPr>
          </w:p>
        </w:tc>
      </w:tr>
      <w:tr>
        <w:trPr>
          <w:trHeight w:val="392"/>
        </w:trPr>
        <w:tc>
          <w:tcPr>
            <w:tcW w:w="1120" w:type="dxa"/>
            <w:vAlign w:val="bottom"/>
            <w:gridSpan w:val="2"/>
          </w:tcPr>
          <w:p>
            <w:pPr>
              <w:spacing w:after="0"/>
              <w:rPr>
                <w:sz w:val="20"/>
                <w:szCs w:val="20"/>
                <w:color w:val="auto"/>
              </w:rPr>
            </w:pPr>
            <w:r>
              <w:rPr>
                <w:rFonts w:ascii="Arial" w:cs="Arial" w:eastAsia="Arial" w:hAnsi="Arial"/>
                <w:sz w:val="18"/>
                <w:szCs w:val="18"/>
                <w:color w:val="auto"/>
              </w:rPr>
              <w:t>101.LAB*</w:t>
            </w:r>
          </w:p>
        </w:tc>
        <w:tc>
          <w:tcPr>
            <w:tcW w:w="10220" w:type="dxa"/>
            <w:vAlign w:val="bottom"/>
            <w:gridSpan w:val="3"/>
          </w:tcPr>
          <w:p>
            <w:pPr>
              <w:ind w:left="360"/>
              <w:spacing w:after="0"/>
              <w:rPr>
                <w:sz w:val="20"/>
                <w:szCs w:val="20"/>
                <w:color w:val="auto"/>
              </w:rPr>
            </w:pPr>
            <w:r>
              <w:rPr>
                <w:rFonts w:ascii="Arial" w:cs="Arial" w:eastAsia="Arial" w:hAnsi="Arial"/>
                <w:sz w:val="18"/>
                <w:szCs w:val="18"/>
                <w:color w:val="auto"/>
              </w:rPr>
              <w:t>XBRL Taxonomy Extension Labels Linkbase Document</w:t>
            </w:r>
          </w:p>
        </w:tc>
        <w:tc>
          <w:tcPr>
            <w:tcW w:w="0" w:type="dxa"/>
            <w:vAlign w:val="bottom"/>
          </w:tcPr>
          <w:p>
            <w:pPr>
              <w:spacing w:after="0"/>
              <w:rPr>
                <w:sz w:val="1"/>
                <w:szCs w:val="1"/>
                <w:color w:val="auto"/>
              </w:rPr>
            </w:pPr>
          </w:p>
        </w:tc>
      </w:tr>
      <w:tr>
        <w:trPr>
          <w:trHeight w:val="392"/>
        </w:trPr>
        <w:tc>
          <w:tcPr>
            <w:tcW w:w="1120" w:type="dxa"/>
            <w:vAlign w:val="bottom"/>
            <w:gridSpan w:val="2"/>
          </w:tcPr>
          <w:p>
            <w:pPr>
              <w:spacing w:after="0"/>
              <w:rPr>
                <w:sz w:val="20"/>
                <w:szCs w:val="20"/>
                <w:color w:val="auto"/>
              </w:rPr>
            </w:pPr>
            <w:r>
              <w:rPr>
                <w:rFonts w:ascii="Arial" w:cs="Arial" w:eastAsia="Arial" w:hAnsi="Arial"/>
                <w:sz w:val="18"/>
                <w:szCs w:val="18"/>
                <w:color w:val="auto"/>
              </w:rPr>
              <w:t>101.PRE*</w:t>
            </w:r>
          </w:p>
        </w:tc>
        <w:tc>
          <w:tcPr>
            <w:tcW w:w="10220" w:type="dxa"/>
            <w:vAlign w:val="bottom"/>
            <w:gridSpan w:val="3"/>
          </w:tcPr>
          <w:p>
            <w:pPr>
              <w:ind w:left="360"/>
              <w:spacing w:after="0"/>
              <w:rPr>
                <w:sz w:val="20"/>
                <w:szCs w:val="20"/>
                <w:color w:val="auto"/>
              </w:rPr>
            </w:pPr>
            <w:r>
              <w:rPr>
                <w:rFonts w:ascii="Arial" w:cs="Arial" w:eastAsia="Arial" w:hAnsi="Arial"/>
                <w:sz w:val="18"/>
                <w:szCs w:val="18"/>
                <w:color w:val="auto"/>
              </w:rPr>
              <w:t>XBRL Taxonomy Extension Presentation Linkbase Document</w:t>
            </w:r>
          </w:p>
        </w:tc>
        <w:tc>
          <w:tcPr>
            <w:tcW w:w="0" w:type="dxa"/>
            <w:vAlign w:val="bottom"/>
          </w:tcPr>
          <w:p>
            <w:pPr>
              <w:spacing w:after="0"/>
              <w:rPr>
                <w:sz w:val="1"/>
                <w:szCs w:val="1"/>
                <w:color w:val="auto"/>
              </w:rPr>
            </w:pPr>
          </w:p>
        </w:tc>
      </w:tr>
      <w:tr>
        <w:trPr>
          <w:trHeight w:val="392"/>
        </w:trPr>
        <w:tc>
          <w:tcPr>
            <w:tcW w:w="1120" w:type="dxa"/>
            <w:vAlign w:val="bottom"/>
            <w:gridSpan w:val="2"/>
          </w:tcPr>
          <w:p>
            <w:pPr>
              <w:spacing w:after="0"/>
              <w:rPr>
                <w:sz w:val="20"/>
                <w:szCs w:val="20"/>
                <w:color w:val="auto"/>
              </w:rPr>
            </w:pPr>
            <w:r>
              <w:rPr>
                <w:rFonts w:ascii="Arial" w:cs="Arial" w:eastAsia="Arial" w:hAnsi="Arial"/>
                <w:sz w:val="18"/>
                <w:szCs w:val="18"/>
                <w:color w:val="auto"/>
              </w:rPr>
              <w:t>101.DEF*</w:t>
            </w:r>
          </w:p>
        </w:tc>
        <w:tc>
          <w:tcPr>
            <w:tcW w:w="10220" w:type="dxa"/>
            <w:vAlign w:val="bottom"/>
            <w:gridSpan w:val="3"/>
          </w:tcPr>
          <w:p>
            <w:pPr>
              <w:ind w:left="360"/>
              <w:spacing w:after="0"/>
              <w:rPr>
                <w:sz w:val="20"/>
                <w:szCs w:val="20"/>
                <w:color w:val="auto"/>
              </w:rPr>
            </w:pPr>
            <w:r>
              <w:rPr>
                <w:rFonts w:ascii="Arial" w:cs="Arial" w:eastAsia="Arial" w:hAnsi="Arial"/>
                <w:sz w:val="18"/>
                <w:szCs w:val="18"/>
                <w:color w:val="auto"/>
              </w:rPr>
              <w:t>XBRL Taxonomy Extension Definition Linkbase Document</w:t>
            </w:r>
          </w:p>
        </w:tc>
        <w:tc>
          <w:tcPr>
            <w:tcW w:w="0" w:type="dxa"/>
            <w:vAlign w:val="bottom"/>
          </w:tcPr>
          <w:p>
            <w:pPr>
              <w:spacing w:after="0"/>
              <w:rPr>
                <w:sz w:val="1"/>
                <w:szCs w:val="1"/>
                <w:color w:val="auto"/>
              </w:rPr>
            </w:pPr>
          </w:p>
        </w:tc>
      </w:tr>
    </w:tbl>
    <w:p>
      <w:pPr>
        <w:spacing w:after="0" w:line="175" w:lineRule="exact"/>
        <w:rPr>
          <w:sz w:val="20"/>
          <w:szCs w:val="20"/>
          <w:color w:val="auto"/>
        </w:rPr>
      </w:pPr>
    </w:p>
    <w:p>
      <w:pPr>
        <w:ind w:right="640"/>
        <w:spacing w:after="0" w:line="277" w:lineRule="auto"/>
        <w:rPr>
          <w:sz w:val="20"/>
          <w:szCs w:val="20"/>
          <w:color w:val="auto"/>
        </w:rPr>
      </w:pPr>
      <w:r>
        <w:rPr>
          <w:rFonts w:ascii="Arial" w:cs="Arial" w:eastAsia="Arial" w:hAnsi="Arial"/>
          <w:sz w:val="18"/>
          <w:szCs w:val="18"/>
          <w:color w:val="auto"/>
        </w:rPr>
        <w:t>Portions of those exhibits marked “+” have been omitted and filed separately with the Securities and Exchange Commission pursuant to a request for confidential treatment.</w:t>
      </w:r>
    </w:p>
    <w:p>
      <w:pPr>
        <w:spacing w:after="0" w:line="116" w:lineRule="exact"/>
        <w:rPr>
          <w:sz w:val="20"/>
          <w:szCs w:val="20"/>
          <w:color w:val="auto"/>
        </w:rPr>
      </w:pPr>
    </w:p>
    <w:p>
      <w:pPr>
        <w:ind w:left="40"/>
        <w:spacing w:after="0"/>
        <w:tabs>
          <w:tab w:leader="none" w:pos="700" w:val="left"/>
        </w:tabs>
        <w:rPr>
          <w:sz w:val="20"/>
          <w:szCs w:val="20"/>
          <w:color w:val="auto"/>
        </w:rPr>
      </w:pPr>
      <w:r>
        <w:rPr>
          <w:rFonts w:ascii="Arial" w:cs="Arial" w:eastAsia="Arial" w:hAnsi="Arial"/>
          <w:sz w:val="18"/>
          <w:szCs w:val="18"/>
          <w:color w:val="auto"/>
        </w:rPr>
        <w:t>* -</w:t>
      </w:r>
      <w:r>
        <w:rPr>
          <w:sz w:val="20"/>
          <w:szCs w:val="20"/>
          <w:color w:val="auto"/>
        </w:rPr>
        <w:tab/>
      </w:r>
      <w:r>
        <w:rPr>
          <w:rFonts w:ascii="Arial" w:cs="Arial" w:eastAsia="Arial" w:hAnsi="Arial"/>
          <w:sz w:val="16"/>
          <w:szCs w:val="16"/>
          <w:color w:val="auto"/>
        </w:rPr>
        <w:t>Filed herewith.</w:t>
      </w:r>
    </w:p>
    <w:p>
      <w:pPr>
        <w:spacing w:after="0" w:line="198" w:lineRule="exact"/>
        <w:rPr>
          <w:sz w:val="20"/>
          <w:szCs w:val="20"/>
          <w:color w:val="auto"/>
        </w:rPr>
      </w:pPr>
    </w:p>
    <w:p>
      <w:pPr>
        <w:ind w:left="40"/>
        <w:spacing w:after="0"/>
        <w:tabs>
          <w:tab w:leader="none" w:pos="700" w:val="left"/>
        </w:tabs>
        <w:rPr>
          <w:sz w:val="20"/>
          <w:szCs w:val="20"/>
          <w:color w:val="auto"/>
        </w:rPr>
      </w:pPr>
      <w:r>
        <w:rPr>
          <w:rFonts w:ascii="Arial" w:cs="Arial" w:eastAsia="Arial" w:hAnsi="Arial"/>
          <w:sz w:val="18"/>
          <w:szCs w:val="18"/>
          <w:color w:val="auto"/>
        </w:rPr>
        <w:t>** -</w:t>
      </w:r>
      <w:r>
        <w:rPr>
          <w:sz w:val="20"/>
          <w:szCs w:val="20"/>
          <w:color w:val="auto"/>
        </w:rPr>
        <w:tab/>
      </w:r>
      <w:r>
        <w:rPr>
          <w:rFonts w:ascii="Arial" w:cs="Arial" w:eastAsia="Arial" w:hAnsi="Arial"/>
          <w:sz w:val="16"/>
          <w:szCs w:val="16"/>
          <w:color w:val="auto"/>
        </w:rPr>
        <w:t>Furnished herewith.</w:t>
      </w:r>
    </w:p>
    <w:p>
      <w:pPr>
        <w:spacing w:after="0" w:line="198" w:lineRule="exact"/>
        <w:rPr>
          <w:sz w:val="20"/>
          <w:szCs w:val="20"/>
          <w:color w:val="auto"/>
        </w:rPr>
      </w:pPr>
    </w:p>
    <w:p>
      <w:pPr>
        <w:ind w:left="180" w:hanging="145"/>
        <w:spacing w:after="0"/>
        <w:tabs>
          <w:tab w:leader="none" w:pos="180" w:val="left"/>
        </w:tabs>
        <w:numPr>
          <w:ilvl w:val="0"/>
          <w:numId w:val="63"/>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6"/>
          <w:szCs w:val="16"/>
          <w:color w:val="auto"/>
        </w:rPr>
        <w:t>Indicates exhibits that are management contracts or compensation plans or arrangements required to be filed pursuant to Item 15(b) of Form 10-K.</w:t>
      </w:r>
    </w:p>
    <w:p>
      <w:pPr>
        <w:spacing w:after="0" w:line="279" w:lineRule="exact"/>
        <w:rPr>
          <w:rFonts w:ascii="Arial" w:cs="Arial" w:eastAsia="Arial" w:hAnsi="Arial"/>
          <w:sz w:val="18"/>
          <w:szCs w:val="18"/>
          <w:color w:val="auto"/>
        </w:rPr>
      </w:pPr>
    </w:p>
    <w:p>
      <w:pPr>
        <w:ind w:left="5580" w:hanging="103"/>
        <w:spacing w:after="0"/>
        <w:tabs>
          <w:tab w:leader="none" w:pos="5580" w:val="left"/>
        </w:tabs>
        <w:numPr>
          <w:ilvl w:val="1"/>
          <w:numId w:val="63"/>
        </w:numPr>
        <w:rPr>
          <w:rFonts w:ascii="Arial" w:cs="Arial" w:eastAsia="Arial" w:hAnsi="Arial"/>
          <w:sz w:val="18"/>
          <w:szCs w:val="18"/>
          <w:color w:val="auto"/>
        </w:rPr>
      </w:pPr>
      <w:r>
        <w:rPr>
          <w:rFonts w:ascii="Arial" w:cs="Arial" w:eastAsia="Arial" w:hAnsi="Arial"/>
          <w:sz w:val="18"/>
          <w:szCs w:val="18"/>
          <w:color w:val="auto"/>
        </w:rPr>
        <w:t>117 -</w:t>
      </w:r>
    </w:p>
    <w:p>
      <w:pPr>
        <w:sectPr>
          <w:pgSz w:w="11900" w:h="16838" w:orient="portrait"/>
          <w:cols w:equalWidth="0" w:num="1">
            <w:col w:w="11380"/>
          </w:cols>
          <w:pgMar w:left="240" w:top="942" w:right="279" w:bottom="1440" w:gutter="0" w:footer="0" w:header="0"/>
        </w:sectPr>
      </w:pPr>
    </w:p>
    <w:bookmarkStart w:id="118" w:name="page119"/>
    <w:bookmarkEnd w:id="118"/>
    <w:tbl>
      <w:tblPr>
        <w:tblLayout w:type="fixed"/>
        <w:tblInd w:w="0" w:type="dxa"/>
        <w:tblCellMar>
          <w:top w:w="0" w:type="dxa"/>
          <w:left w:w="0" w:type="dxa"/>
          <w:bottom w:w="0" w:type="dxa"/>
          <w:right w:w="0" w:type="dxa"/>
        </w:tblCellMar>
      </w:tblPr>
      <w:tr>
        <w:trPr>
          <w:trHeight w:val="234"/>
        </w:trPr>
        <w:tc>
          <w:tcPr>
            <w:tcW w:w="32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jc w:val="right"/>
              <w:spacing w:after="0"/>
              <w:rPr>
                <w:sz w:val="20"/>
                <w:szCs w:val="20"/>
                <w:color w:val="auto"/>
              </w:rPr>
            </w:pPr>
            <w:r>
              <w:rPr>
                <w:rFonts w:ascii="Arial" w:cs="Arial" w:eastAsia="Arial" w:hAnsi="Arial"/>
                <w:sz w:val="18"/>
                <w:szCs w:val="18"/>
                <w:b w:val="1"/>
                <w:bCs w:val="1"/>
                <w:color w:val="auto"/>
              </w:rPr>
              <w:t>EXHIBIT 12.1</w:t>
            </w:r>
          </w:p>
        </w:tc>
        <w:tc>
          <w:tcPr>
            <w:tcW w:w="0" w:type="dxa"/>
            <w:vAlign w:val="bottom"/>
          </w:tcPr>
          <w:p>
            <w:pPr>
              <w:spacing w:after="0"/>
              <w:rPr>
                <w:sz w:val="1"/>
                <w:szCs w:val="1"/>
                <w:color w:val="auto"/>
              </w:rPr>
            </w:pPr>
          </w:p>
        </w:tc>
      </w:tr>
      <w:tr>
        <w:trPr>
          <w:trHeight w:val="378"/>
        </w:trPr>
        <w:tc>
          <w:tcPr>
            <w:tcW w:w="3200" w:type="dxa"/>
            <w:vAlign w:val="bottom"/>
          </w:tcPr>
          <w:p>
            <w:pPr>
              <w:spacing w:after="0"/>
              <w:rPr>
                <w:sz w:val="24"/>
                <w:szCs w:val="24"/>
                <w:color w:val="auto"/>
              </w:rPr>
            </w:pPr>
          </w:p>
        </w:tc>
        <w:tc>
          <w:tcPr>
            <w:tcW w:w="5380" w:type="dxa"/>
            <w:vAlign w:val="bottom"/>
            <w:gridSpan w:val="10"/>
          </w:tcPr>
          <w:p>
            <w:pPr>
              <w:jc w:val="center"/>
              <w:ind w:right="340"/>
              <w:spacing w:after="0"/>
              <w:rPr>
                <w:sz w:val="20"/>
                <w:szCs w:val="20"/>
                <w:color w:val="auto"/>
              </w:rPr>
            </w:pPr>
            <w:r>
              <w:rPr>
                <w:rFonts w:ascii="Arial" w:cs="Arial" w:eastAsia="Arial" w:hAnsi="Arial"/>
                <w:sz w:val="18"/>
                <w:szCs w:val="18"/>
                <w:b w:val="1"/>
                <w:bCs w:val="1"/>
                <w:color w:val="auto"/>
                <w:w w:val="98"/>
              </w:rPr>
              <w:t>RATIO OF EARNINGS TO FIXED CHARGES (Unaudited)</w:t>
            </w:r>
          </w:p>
        </w:tc>
        <w:tc>
          <w:tcPr>
            <w:tcW w:w="2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21"/>
        </w:trPr>
        <w:tc>
          <w:tcPr>
            <w:tcW w:w="3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gridSpan w:val="2"/>
          </w:tcPr>
          <w:p>
            <w:pPr>
              <w:jc w:val="center"/>
              <w:ind w:right="340"/>
              <w:spacing w:after="0"/>
              <w:rPr>
                <w:sz w:val="20"/>
                <w:szCs w:val="20"/>
                <w:color w:val="auto"/>
              </w:rPr>
            </w:pPr>
            <w:r>
              <w:rPr>
                <w:rFonts w:ascii="Arial" w:cs="Arial" w:eastAsia="Arial" w:hAnsi="Arial"/>
                <w:sz w:val="14"/>
                <w:szCs w:val="14"/>
                <w:b w:val="1"/>
                <w:bCs w:val="1"/>
                <w:color w:val="auto"/>
                <w:w w:val="93"/>
              </w:rPr>
              <w:t>Year Ended</w:t>
            </w:r>
          </w:p>
        </w:tc>
        <w:tc>
          <w:tcPr>
            <w:tcW w:w="28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2"/>
        </w:trPr>
        <w:tc>
          <w:tcPr>
            <w:tcW w:w="32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200" w:type="dxa"/>
            <w:vAlign w:val="bottom"/>
            <w:gridSpan w:val="2"/>
          </w:tcPr>
          <w:p>
            <w:pPr>
              <w:ind w:left="180"/>
              <w:spacing w:after="0" w:line="153" w:lineRule="exact"/>
              <w:rPr>
                <w:sz w:val="20"/>
                <w:szCs w:val="20"/>
                <w:color w:val="auto"/>
              </w:rPr>
            </w:pPr>
            <w:r>
              <w:rPr>
                <w:rFonts w:ascii="Arial" w:cs="Arial" w:eastAsia="Arial" w:hAnsi="Arial"/>
                <w:sz w:val="14"/>
                <w:szCs w:val="14"/>
                <w:b w:val="1"/>
                <w:bCs w:val="1"/>
                <w:color w:val="auto"/>
              </w:rPr>
              <w:t>Jan. 1,</w:t>
            </w:r>
          </w:p>
        </w:tc>
        <w:tc>
          <w:tcPr>
            <w:tcW w:w="300" w:type="dxa"/>
            <w:vAlign w:val="bottom"/>
          </w:tcPr>
          <w:p>
            <w:pPr>
              <w:spacing w:after="0"/>
              <w:rPr>
                <w:sz w:val="13"/>
                <w:szCs w:val="13"/>
                <w:color w:val="auto"/>
              </w:rPr>
            </w:pPr>
          </w:p>
        </w:tc>
        <w:tc>
          <w:tcPr>
            <w:tcW w:w="1180" w:type="dxa"/>
            <w:vAlign w:val="bottom"/>
            <w:gridSpan w:val="2"/>
          </w:tcPr>
          <w:p>
            <w:pPr>
              <w:ind w:left="180"/>
              <w:spacing w:after="0" w:line="153" w:lineRule="exact"/>
              <w:rPr>
                <w:sz w:val="20"/>
                <w:szCs w:val="20"/>
                <w:color w:val="auto"/>
              </w:rPr>
            </w:pPr>
            <w:r>
              <w:rPr>
                <w:rFonts w:ascii="Arial" w:cs="Arial" w:eastAsia="Arial" w:hAnsi="Arial"/>
                <w:sz w:val="14"/>
                <w:szCs w:val="14"/>
                <w:b w:val="1"/>
                <w:bCs w:val="1"/>
                <w:color w:val="auto"/>
              </w:rPr>
              <w:t>Jan. 2,</w:t>
            </w:r>
          </w:p>
        </w:tc>
        <w:tc>
          <w:tcPr>
            <w:tcW w:w="200" w:type="dxa"/>
            <w:vAlign w:val="bottom"/>
          </w:tcPr>
          <w:p>
            <w:pPr>
              <w:spacing w:after="0"/>
              <w:rPr>
                <w:sz w:val="13"/>
                <w:szCs w:val="13"/>
                <w:color w:val="auto"/>
              </w:rPr>
            </w:pPr>
          </w:p>
        </w:tc>
        <w:tc>
          <w:tcPr>
            <w:tcW w:w="1260" w:type="dxa"/>
            <w:vAlign w:val="bottom"/>
            <w:gridSpan w:val="2"/>
          </w:tcPr>
          <w:p>
            <w:pPr>
              <w:jc w:val="center"/>
              <w:ind w:right="300"/>
              <w:spacing w:after="0" w:line="153" w:lineRule="exact"/>
              <w:rPr>
                <w:sz w:val="20"/>
                <w:szCs w:val="20"/>
                <w:color w:val="auto"/>
              </w:rPr>
            </w:pPr>
            <w:r>
              <w:rPr>
                <w:rFonts w:ascii="Arial" w:cs="Arial" w:eastAsia="Arial" w:hAnsi="Arial"/>
                <w:sz w:val="14"/>
                <w:szCs w:val="14"/>
                <w:b w:val="1"/>
                <w:bCs w:val="1"/>
                <w:color w:val="auto"/>
                <w:w w:val="91"/>
              </w:rPr>
              <w:t>Jan. 3,</w:t>
            </w:r>
          </w:p>
        </w:tc>
        <w:tc>
          <w:tcPr>
            <w:tcW w:w="280" w:type="dxa"/>
            <w:vAlign w:val="bottom"/>
          </w:tcPr>
          <w:p>
            <w:pPr>
              <w:spacing w:after="0"/>
              <w:rPr>
                <w:sz w:val="13"/>
                <w:szCs w:val="13"/>
                <w:color w:val="auto"/>
              </w:rPr>
            </w:pPr>
          </w:p>
        </w:tc>
        <w:tc>
          <w:tcPr>
            <w:tcW w:w="1200" w:type="dxa"/>
            <w:vAlign w:val="bottom"/>
            <w:gridSpan w:val="2"/>
          </w:tcPr>
          <w:p>
            <w:pPr>
              <w:ind w:left="160"/>
              <w:spacing w:after="0" w:line="153" w:lineRule="exact"/>
              <w:rPr>
                <w:sz w:val="20"/>
                <w:szCs w:val="20"/>
                <w:color w:val="auto"/>
              </w:rPr>
            </w:pPr>
            <w:r>
              <w:rPr>
                <w:rFonts w:ascii="Arial" w:cs="Arial" w:eastAsia="Arial" w:hAnsi="Arial"/>
                <w:sz w:val="14"/>
                <w:szCs w:val="14"/>
                <w:b w:val="1"/>
                <w:bCs w:val="1"/>
                <w:color w:val="auto"/>
              </w:rPr>
              <w:t>Dec. 28,</w:t>
            </w:r>
          </w:p>
        </w:tc>
        <w:tc>
          <w:tcPr>
            <w:tcW w:w="180" w:type="dxa"/>
            <w:vAlign w:val="bottom"/>
          </w:tcPr>
          <w:p>
            <w:pPr>
              <w:spacing w:after="0"/>
              <w:rPr>
                <w:sz w:val="13"/>
                <w:szCs w:val="13"/>
                <w:color w:val="auto"/>
              </w:rPr>
            </w:pPr>
          </w:p>
        </w:tc>
        <w:tc>
          <w:tcPr>
            <w:tcW w:w="1180" w:type="dxa"/>
            <w:vAlign w:val="bottom"/>
          </w:tcPr>
          <w:p>
            <w:pPr>
              <w:jc w:val="right"/>
              <w:ind w:right="353"/>
              <w:spacing w:after="0" w:line="153" w:lineRule="exact"/>
              <w:rPr>
                <w:sz w:val="20"/>
                <w:szCs w:val="20"/>
                <w:color w:val="auto"/>
              </w:rPr>
            </w:pPr>
            <w:r>
              <w:rPr>
                <w:rFonts w:ascii="Arial" w:cs="Arial" w:eastAsia="Arial" w:hAnsi="Arial"/>
                <w:sz w:val="14"/>
                <w:szCs w:val="14"/>
                <w:b w:val="1"/>
                <w:bCs w:val="1"/>
                <w:color w:val="auto"/>
              </w:rPr>
              <w:t>Dec. 30,</w:t>
            </w:r>
          </w:p>
        </w:tc>
        <w:tc>
          <w:tcPr>
            <w:tcW w:w="0" w:type="dxa"/>
            <w:vAlign w:val="bottom"/>
          </w:tcPr>
          <w:p>
            <w:pPr>
              <w:spacing w:after="0"/>
              <w:rPr>
                <w:sz w:val="1"/>
                <w:szCs w:val="1"/>
                <w:color w:val="auto"/>
              </w:rPr>
            </w:pPr>
          </w:p>
        </w:tc>
      </w:tr>
      <w:tr>
        <w:trPr>
          <w:trHeight w:val="192"/>
        </w:trPr>
        <w:tc>
          <w:tcPr>
            <w:tcW w:w="3200" w:type="dxa"/>
            <w:vAlign w:val="bottom"/>
            <w:tcBorders>
              <w:bottom w:val="single" w:sz="8" w:color="CCEEFF"/>
            </w:tcBorders>
          </w:tcPr>
          <w:p>
            <w:pPr>
              <w:spacing w:after="0"/>
              <w:rPr>
                <w:sz w:val="16"/>
                <w:szCs w:val="16"/>
                <w:color w:val="auto"/>
              </w:rPr>
            </w:pPr>
          </w:p>
        </w:tc>
        <w:tc>
          <w:tcPr>
            <w:tcW w:w="92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473"/>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ind w:right="453"/>
              <w:spacing w:after="0"/>
              <w:rPr>
                <w:sz w:val="20"/>
                <w:szCs w:val="20"/>
                <w:color w:val="auto"/>
              </w:rPr>
            </w:pPr>
            <w:r>
              <w:rPr>
                <w:rFonts w:ascii="Arial" w:cs="Arial" w:eastAsia="Arial" w:hAnsi="Arial"/>
                <w:sz w:val="14"/>
                <w:szCs w:val="14"/>
                <w:b w:val="1"/>
                <w:bCs w:val="1"/>
                <w:color w:val="auto"/>
              </w:rPr>
              <w:t>2015</w:t>
            </w:r>
          </w:p>
        </w:tc>
        <w:tc>
          <w:tcPr>
            <w:tcW w:w="1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center"/>
              <w:ind w:right="134"/>
              <w:spacing w:after="0"/>
              <w:rPr>
                <w:sz w:val="20"/>
                <w:szCs w:val="20"/>
                <w:color w:val="auto"/>
              </w:rPr>
            </w:pPr>
            <w:r>
              <w:rPr>
                <w:rFonts w:ascii="Arial" w:cs="Arial" w:eastAsia="Arial" w:hAnsi="Arial"/>
                <w:sz w:val="14"/>
                <w:szCs w:val="14"/>
                <w:b w:val="1"/>
                <w:bCs w:val="1"/>
                <w:color w:val="auto"/>
                <w:w w:val="96"/>
              </w:rPr>
              <w:t>2014</w:t>
            </w:r>
          </w:p>
        </w:tc>
        <w:tc>
          <w:tcPr>
            <w:tcW w:w="10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453"/>
              <w:spacing w:after="0"/>
              <w:rPr>
                <w:sz w:val="20"/>
                <w:szCs w:val="20"/>
                <w:color w:val="auto"/>
              </w:rPr>
            </w:pPr>
            <w:r>
              <w:rPr>
                <w:rFonts w:ascii="Arial" w:cs="Arial" w:eastAsia="Arial" w:hAnsi="Arial"/>
                <w:sz w:val="14"/>
                <w:szCs w:val="14"/>
                <w:b w:val="1"/>
                <w:bCs w:val="1"/>
                <w:color w:val="auto"/>
              </w:rPr>
              <w:t>2012</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jc w:val="right"/>
              <w:ind w:right="453"/>
              <w:spacing w:after="0"/>
              <w:rPr>
                <w:sz w:val="20"/>
                <w:szCs w:val="20"/>
                <w:color w:val="auto"/>
              </w:rPr>
            </w:pPr>
            <w:r>
              <w:rPr>
                <w:rFonts w:ascii="Arial" w:cs="Arial" w:eastAsia="Arial" w:hAnsi="Arial"/>
                <w:sz w:val="14"/>
                <w:szCs w:val="14"/>
                <w:b w:val="1"/>
                <w:bCs w:val="1"/>
                <w:color w:val="auto"/>
              </w:rPr>
              <w:t>2011</w:t>
            </w:r>
          </w:p>
        </w:tc>
        <w:tc>
          <w:tcPr>
            <w:tcW w:w="0" w:type="dxa"/>
            <w:vAlign w:val="bottom"/>
          </w:tcPr>
          <w:p>
            <w:pPr>
              <w:spacing w:after="0"/>
              <w:rPr>
                <w:sz w:val="1"/>
                <w:szCs w:val="1"/>
                <w:color w:val="auto"/>
              </w:rPr>
            </w:pPr>
          </w:p>
        </w:tc>
      </w:tr>
      <w:tr>
        <w:trPr>
          <w:trHeight w:val="250"/>
        </w:trPr>
        <w:tc>
          <w:tcPr>
            <w:tcW w:w="3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Earnings:</w:t>
            </w:r>
          </w:p>
        </w:tc>
        <w:tc>
          <w:tcPr>
            <w:tcW w:w="9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200" w:type="dxa"/>
            <w:vAlign w:val="bottom"/>
          </w:tcPr>
          <w:p>
            <w:pPr>
              <w:ind w:left="40"/>
              <w:spacing w:after="0"/>
              <w:rPr>
                <w:sz w:val="20"/>
                <w:szCs w:val="20"/>
                <w:color w:val="auto"/>
              </w:rPr>
            </w:pPr>
            <w:r>
              <w:rPr>
                <w:rFonts w:ascii="Arial" w:cs="Arial" w:eastAsia="Arial" w:hAnsi="Arial"/>
                <w:sz w:val="18"/>
                <w:szCs w:val="18"/>
                <w:color w:val="auto"/>
              </w:rPr>
              <w:t>Income (loss) before income taxes</w:t>
            </w:r>
          </w:p>
        </w:tc>
        <w:tc>
          <w:tcPr>
            <w:tcW w:w="1240" w:type="dxa"/>
            <w:vAlign w:val="bottom"/>
            <w:gridSpan w:val="2"/>
          </w:tcPr>
          <w:p>
            <w:pPr>
              <w:jc w:val="right"/>
              <w:ind w:right="110"/>
              <w:spacing w:after="0"/>
              <w:rPr>
                <w:sz w:val="20"/>
                <w:szCs w:val="20"/>
                <w:color w:val="auto"/>
              </w:rPr>
            </w:pPr>
            <w:r>
              <w:rPr>
                <w:rFonts w:ascii="Arial" w:cs="Arial" w:eastAsia="Arial" w:hAnsi="Arial"/>
                <w:sz w:val="18"/>
                <w:szCs w:val="18"/>
                <w:color w:val="auto"/>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(15,700)</w:t>
            </w:r>
          </w:p>
        </w:tc>
        <w:tc>
          <w:tcPr>
            <w:tcW w:w="100" w:type="dxa"/>
            <w:vAlign w:val="bottom"/>
          </w:tcPr>
          <w:p>
            <w:pPr>
              <w:spacing w:after="0"/>
              <w:rPr>
                <w:sz w:val="21"/>
                <w:szCs w:val="21"/>
                <w:color w:val="auto"/>
              </w:rPr>
            </w:pPr>
          </w:p>
        </w:tc>
        <w:tc>
          <w:tcPr>
            <w:tcW w:w="300" w:type="dxa"/>
            <w:vAlign w:val="bottom"/>
          </w:tcPr>
          <w:p>
            <w:pPr>
              <w:jc w:val="center"/>
              <w:ind w:right="70"/>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ind w:right="13"/>
              <w:spacing w:after="0"/>
              <w:rPr>
                <w:sz w:val="20"/>
                <w:szCs w:val="20"/>
                <w:color w:val="auto"/>
              </w:rPr>
            </w:pPr>
            <w:r>
              <w:rPr>
                <w:rFonts w:ascii="Arial" w:cs="Arial" w:eastAsia="Arial" w:hAnsi="Arial"/>
                <w:sz w:val="18"/>
                <w:szCs w:val="18"/>
                <w:color w:val="auto"/>
              </w:rPr>
              <w:t>76,579</w:t>
            </w:r>
          </w:p>
        </w:tc>
        <w:tc>
          <w:tcPr>
            <w:tcW w:w="120" w:type="dxa"/>
            <w:vAlign w:val="bottom"/>
          </w:tcPr>
          <w:p>
            <w:pPr>
              <w:spacing w:after="0"/>
              <w:rPr>
                <w:sz w:val="21"/>
                <w:szCs w:val="21"/>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160" w:type="dxa"/>
            <w:vAlign w:val="bottom"/>
          </w:tcPr>
          <w:p>
            <w:pPr>
              <w:jc w:val="right"/>
              <w:ind w:right="34"/>
              <w:spacing w:after="0"/>
              <w:rPr>
                <w:sz w:val="20"/>
                <w:szCs w:val="20"/>
                <w:color w:val="auto"/>
              </w:rPr>
            </w:pPr>
            <w:r>
              <w:rPr>
                <w:rFonts w:ascii="Arial" w:cs="Arial" w:eastAsia="Arial" w:hAnsi="Arial"/>
                <w:sz w:val="18"/>
                <w:szCs w:val="18"/>
                <w:color w:val="auto"/>
              </w:rPr>
              <w:t>48,838</w:t>
            </w:r>
          </w:p>
        </w:tc>
        <w:tc>
          <w:tcPr>
            <w:tcW w:w="10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13"/>
              <w:spacing w:after="0"/>
              <w:rPr>
                <w:sz w:val="20"/>
                <w:szCs w:val="20"/>
                <w:color w:val="auto"/>
              </w:rPr>
            </w:pPr>
            <w:r>
              <w:rPr>
                <w:rFonts w:ascii="Arial" w:cs="Arial" w:eastAsia="Arial" w:hAnsi="Arial"/>
                <w:sz w:val="18"/>
                <w:szCs w:val="18"/>
                <w:color w:val="auto"/>
              </w:rPr>
              <w:t>6,730</w:t>
            </w:r>
          </w:p>
        </w:tc>
        <w:tc>
          <w:tcPr>
            <w:tcW w:w="12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Pr>
          <w:p>
            <w:pPr>
              <w:jc w:val="right"/>
              <w:ind w:right="13"/>
              <w:spacing w:after="0"/>
              <w:rPr>
                <w:sz w:val="20"/>
                <w:szCs w:val="20"/>
                <w:color w:val="auto"/>
              </w:rPr>
            </w:pPr>
            <w:r>
              <w:rPr>
                <w:rFonts w:ascii="Arial" w:cs="Arial" w:eastAsia="Arial" w:hAnsi="Arial"/>
                <w:sz w:val="18"/>
                <w:szCs w:val="18"/>
                <w:color w:val="auto"/>
              </w:rPr>
              <w:t>48,392</w:t>
            </w:r>
          </w:p>
        </w:tc>
        <w:tc>
          <w:tcPr>
            <w:tcW w:w="0" w:type="dxa"/>
            <w:vAlign w:val="bottom"/>
          </w:tcPr>
          <w:p>
            <w:pPr>
              <w:spacing w:after="0"/>
              <w:rPr>
                <w:sz w:val="1"/>
                <w:szCs w:val="1"/>
                <w:color w:val="auto"/>
              </w:rPr>
            </w:pPr>
          </w:p>
        </w:tc>
      </w:tr>
      <w:tr>
        <w:trPr>
          <w:trHeight w:val="27"/>
        </w:trPr>
        <w:tc>
          <w:tcPr>
            <w:tcW w:w="3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Fixed Charges:</w:t>
            </w:r>
          </w:p>
        </w:tc>
        <w:tc>
          <w:tcPr>
            <w:tcW w:w="9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200" w:type="dxa"/>
            <w:vAlign w:val="bottom"/>
          </w:tcPr>
          <w:p>
            <w:pPr>
              <w:ind w:left="380"/>
              <w:spacing w:after="0"/>
              <w:rPr>
                <w:sz w:val="20"/>
                <w:szCs w:val="20"/>
                <w:color w:val="auto"/>
              </w:rPr>
            </w:pPr>
            <w:r>
              <w:rPr>
                <w:rFonts w:ascii="Arial" w:cs="Arial" w:eastAsia="Arial" w:hAnsi="Arial"/>
                <w:sz w:val="18"/>
                <w:szCs w:val="18"/>
                <w:color w:val="auto"/>
              </w:rPr>
              <w:t>Interest expense</w:t>
            </w:r>
          </w:p>
        </w:tc>
        <w:tc>
          <w:tcPr>
            <w:tcW w:w="9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00" w:type="dxa"/>
            <w:vAlign w:val="bottom"/>
          </w:tcPr>
          <w:p>
            <w:pPr>
              <w:jc w:val="right"/>
              <w:ind w:right="33"/>
              <w:spacing w:after="0"/>
              <w:rPr>
                <w:sz w:val="20"/>
                <w:szCs w:val="20"/>
                <w:color w:val="auto"/>
              </w:rPr>
            </w:pPr>
            <w:r>
              <w:rPr>
                <w:rFonts w:ascii="Arial" w:cs="Arial" w:eastAsia="Arial" w:hAnsi="Arial"/>
                <w:sz w:val="18"/>
                <w:szCs w:val="18"/>
                <w:color w:val="auto"/>
              </w:rPr>
              <w:t>22,193</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60" w:type="dxa"/>
            <w:vAlign w:val="bottom"/>
          </w:tcPr>
          <w:p>
            <w:pPr>
              <w:jc w:val="right"/>
              <w:ind w:right="13"/>
              <w:spacing w:after="0"/>
              <w:rPr>
                <w:sz w:val="20"/>
                <w:szCs w:val="20"/>
                <w:color w:val="auto"/>
              </w:rPr>
            </w:pPr>
            <w:r>
              <w:rPr>
                <w:rFonts w:ascii="Arial" w:cs="Arial" w:eastAsia="Arial" w:hAnsi="Arial"/>
                <w:sz w:val="18"/>
                <w:szCs w:val="18"/>
                <w:color w:val="auto"/>
              </w:rPr>
              <w:t>3,479</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60" w:type="dxa"/>
            <w:vAlign w:val="bottom"/>
          </w:tcPr>
          <w:p>
            <w:pPr>
              <w:jc w:val="right"/>
              <w:ind w:right="34"/>
              <w:spacing w:after="0"/>
              <w:rPr>
                <w:sz w:val="20"/>
                <w:szCs w:val="20"/>
                <w:color w:val="auto"/>
              </w:rPr>
            </w:pPr>
            <w:r>
              <w:rPr>
                <w:rFonts w:ascii="Arial" w:cs="Arial" w:eastAsia="Arial" w:hAnsi="Arial"/>
                <w:sz w:val="18"/>
                <w:szCs w:val="18"/>
                <w:color w:val="auto"/>
              </w:rPr>
              <w:t>4,895</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tcPr>
          <w:p>
            <w:pPr>
              <w:jc w:val="right"/>
              <w:ind w:right="13"/>
              <w:spacing w:after="0"/>
              <w:rPr>
                <w:sz w:val="20"/>
                <w:szCs w:val="20"/>
                <w:color w:val="auto"/>
              </w:rPr>
            </w:pPr>
            <w:r>
              <w:rPr>
                <w:rFonts w:ascii="Arial" w:cs="Arial" w:eastAsia="Arial" w:hAnsi="Arial"/>
                <w:sz w:val="18"/>
                <w:szCs w:val="18"/>
                <w:color w:val="auto"/>
              </w:rPr>
              <w:t>5,497</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3"/>
              <w:spacing w:after="0"/>
              <w:rPr>
                <w:sz w:val="20"/>
                <w:szCs w:val="20"/>
                <w:color w:val="auto"/>
              </w:rPr>
            </w:pPr>
            <w:r>
              <w:rPr>
                <w:rFonts w:ascii="Arial" w:cs="Arial" w:eastAsia="Arial" w:hAnsi="Arial"/>
                <w:sz w:val="18"/>
                <w:szCs w:val="18"/>
                <w:color w:val="auto"/>
              </w:rPr>
              <w:t>5,539</w:t>
            </w:r>
          </w:p>
        </w:tc>
        <w:tc>
          <w:tcPr>
            <w:tcW w:w="0" w:type="dxa"/>
            <w:vAlign w:val="bottom"/>
          </w:tcPr>
          <w:p>
            <w:pPr>
              <w:spacing w:after="0"/>
              <w:rPr>
                <w:sz w:val="1"/>
                <w:szCs w:val="1"/>
                <w:color w:val="auto"/>
              </w:rPr>
            </w:pPr>
          </w:p>
        </w:tc>
      </w:tr>
      <w:tr>
        <w:trPr>
          <w:trHeight w:val="27"/>
        </w:trPr>
        <w:tc>
          <w:tcPr>
            <w:tcW w:w="3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2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Discounts &amp; debt issuance costs</w:t>
            </w:r>
          </w:p>
        </w:tc>
        <w:tc>
          <w:tcPr>
            <w:tcW w:w="9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11,320</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773</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6,366</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12,557</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11,389</w:t>
            </w:r>
          </w:p>
        </w:tc>
        <w:tc>
          <w:tcPr>
            <w:tcW w:w="0" w:type="dxa"/>
            <w:vAlign w:val="bottom"/>
          </w:tcPr>
          <w:p>
            <w:pPr>
              <w:spacing w:after="0"/>
              <w:rPr>
                <w:sz w:val="1"/>
                <w:szCs w:val="1"/>
                <w:color w:val="auto"/>
              </w:rPr>
            </w:pPr>
          </w:p>
        </w:tc>
      </w:tr>
      <w:tr>
        <w:trPr>
          <w:trHeight w:val="243"/>
        </w:trPr>
        <w:tc>
          <w:tcPr>
            <w:tcW w:w="3200" w:type="dxa"/>
            <w:vAlign w:val="bottom"/>
          </w:tcPr>
          <w:p>
            <w:pPr>
              <w:ind w:left="380"/>
              <w:spacing w:after="0"/>
              <w:rPr>
                <w:sz w:val="20"/>
                <w:szCs w:val="20"/>
                <w:color w:val="auto"/>
              </w:rPr>
            </w:pPr>
            <w:r>
              <w:rPr>
                <w:rFonts w:ascii="Arial" w:cs="Arial" w:eastAsia="Arial" w:hAnsi="Arial"/>
                <w:sz w:val="18"/>
                <w:szCs w:val="18"/>
                <w:color w:val="auto"/>
              </w:rPr>
              <w:t>Interest portion of rental expense</w:t>
            </w:r>
          </w:p>
        </w:tc>
        <w:tc>
          <w:tcPr>
            <w:tcW w:w="9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00" w:type="dxa"/>
            <w:vAlign w:val="bottom"/>
          </w:tcPr>
          <w:p>
            <w:pPr>
              <w:jc w:val="right"/>
              <w:ind w:right="33"/>
              <w:spacing w:after="0"/>
              <w:rPr>
                <w:sz w:val="20"/>
                <w:szCs w:val="20"/>
                <w:color w:val="auto"/>
              </w:rPr>
            </w:pPr>
            <w:r>
              <w:rPr>
                <w:rFonts w:ascii="Arial" w:cs="Arial" w:eastAsia="Arial" w:hAnsi="Arial"/>
                <w:sz w:val="18"/>
                <w:szCs w:val="18"/>
                <w:color w:val="auto"/>
              </w:rPr>
              <w:t>2,172</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60" w:type="dxa"/>
            <w:vAlign w:val="bottom"/>
          </w:tcPr>
          <w:p>
            <w:pPr>
              <w:jc w:val="right"/>
              <w:ind w:right="13"/>
              <w:spacing w:after="0"/>
              <w:rPr>
                <w:sz w:val="20"/>
                <w:szCs w:val="20"/>
                <w:color w:val="auto"/>
              </w:rPr>
            </w:pPr>
            <w:r>
              <w:rPr>
                <w:rFonts w:ascii="Arial" w:cs="Arial" w:eastAsia="Arial" w:hAnsi="Arial"/>
                <w:sz w:val="18"/>
                <w:szCs w:val="18"/>
                <w:color w:val="auto"/>
              </w:rPr>
              <w:t>1,413</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60" w:type="dxa"/>
            <w:vAlign w:val="bottom"/>
          </w:tcPr>
          <w:p>
            <w:pPr>
              <w:jc w:val="right"/>
              <w:ind w:right="34"/>
              <w:spacing w:after="0"/>
              <w:rPr>
                <w:sz w:val="20"/>
                <w:szCs w:val="20"/>
                <w:color w:val="auto"/>
              </w:rPr>
            </w:pPr>
            <w:r>
              <w:rPr>
                <w:rFonts w:ascii="Arial" w:cs="Arial" w:eastAsia="Arial" w:hAnsi="Arial"/>
                <w:sz w:val="18"/>
                <w:szCs w:val="18"/>
                <w:color w:val="auto"/>
              </w:rPr>
              <w:t>1,460</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tcPr>
          <w:p>
            <w:pPr>
              <w:jc w:val="right"/>
              <w:ind w:right="13"/>
              <w:spacing w:after="0"/>
              <w:rPr>
                <w:sz w:val="20"/>
                <w:szCs w:val="20"/>
                <w:color w:val="auto"/>
              </w:rPr>
            </w:pPr>
            <w:r>
              <w:rPr>
                <w:rFonts w:ascii="Arial" w:cs="Arial" w:eastAsia="Arial" w:hAnsi="Arial"/>
                <w:sz w:val="18"/>
                <w:szCs w:val="18"/>
                <w:color w:val="auto"/>
              </w:rPr>
              <w:t>1,056</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3"/>
              <w:spacing w:after="0"/>
              <w:rPr>
                <w:sz w:val="20"/>
                <w:szCs w:val="20"/>
                <w:color w:val="auto"/>
              </w:rPr>
            </w:pPr>
            <w:r>
              <w:rPr>
                <w:rFonts w:ascii="Arial" w:cs="Arial" w:eastAsia="Arial" w:hAnsi="Arial"/>
                <w:sz w:val="18"/>
                <w:szCs w:val="18"/>
                <w:color w:val="auto"/>
              </w:rPr>
              <w:t>766</w:t>
            </w:r>
          </w:p>
        </w:tc>
        <w:tc>
          <w:tcPr>
            <w:tcW w:w="0" w:type="dxa"/>
            <w:vAlign w:val="bottom"/>
          </w:tcPr>
          <w:p>
            <w:pPr>
              <w:spacing w:after="0"/>
              <w:rPr>
                <w:sz w:val="1"/>
                <w:szCs w:val="1"/>
                <w:color w:val="auto"/>
              </w:rPr>
            </w:pPr>
          </w:p>
        </w:tc>
      </w:tr>
      <w:tr>
        <w:trPr>
          <w:trHeight w:val="27"/>
        </w:trPr>
        <w:tc>
          <w:tcPr>
            <w:tcW w:w="3200" w:type="dxa"/>
            <w:vAlign w:val="bottom"/>
            <w:tcBorders>
              <w:bottom w:val="single" w:sz="8" w:color="CCEEFF"/>
            </w:tcBorders>
          </w:tcPr>
          <w:p>
            <w:pPr>
              <w:spacing w:after="0"/>
              <w:rPr>
                <w:sz w:val="2"/>
                <w:szCs w:val="2"/>
                <w:color w:val="auto"/>
              </w:rPr>
            </w:pPr>
          </w:p>
        </w:tc>
        <w:tc>
          <w:tcPr>
            <w:tcW w:w="9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3200" w:type="dxa"/>
            <w:vAlign w:val="bottom"/>
            <w:shd w:val="clear" w:color="auto" w:fill="CCEEFF"/>
          </w:tcPr>
          <w:p>
            <w:pPr>
              <w:ind w:left="720"/>
              <w:spacing w:after="0"/>
              <w:rPr>
                <w:sz w:val="20"/>
                <w:szCs w:val="20"/>
                <w:color w:val="auto"/>
              </w:rPr>
            </w:pPr>
            <w:r>
              <w:rPr>
                <w:rFonts w:ascii="Arial" w:cs="Arial" w:eastAsia="Arial" w:hAnsi="Arial"/>
                <w:sz w:val="18"/>
                <w:szCs w:val="18"/>
                <w:color w:val="auto"/>
                <w:w w:val="94"/>
              </w:rPr>
              <w:t>Total earnings and fixed charges</w:t>
            </w:r>
          </w:p>
        </w:tc>
        <w:tc>
          <w:tcPr>
            <w:tcW w:w="1240" w:type="dxa"/>
            <w:vAlign w:val="bottom"/>
            <w:gridSpan w:val="2"/>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1100" w:type="dxa"/>
            <w:vAlign w:val="bottom"/>
            <w:shd w:val="clear" w:color="auto" w:fill="CCEEFF"/>
          </w:tcPr>
          <w:p>
            <w:pPr>
              <w:jc w:val="right"/>
              <w:ind w:right="33"/>
              <w:spacing w:after="0"/>
              <w:rPr>
                <w:sz w:val="20"/>
                <w:szCs w:val="20"/>
                <w:color w:val="auto"/>
              </w:rPr>
            </w:pPr>
            <w:r>
              <w:rPr>
                <w:rFonts w:ascii="Arial" w:cs="Arial" w:eastAsia="Arial" w:hAnsi="Arial"/>
                <w:sz w:val="18"/>
                <w:szCs w:val="18"/>
                <w:color w:val="auto"/>
              </w:rPr>
              <w:t>19,985</w:t>
            </w:r>
          </w:p>
        </w:tc>
        <w:tc>
          <w:tcPr>
            <w:tcW w:w="100" w:type="dxa"/>
            <w:vAlign w:val="bottom"/>
            <w:shd w:val="clear" w:color="auto" w:fill="CCEEFF"/>
          </w:tcPr>
          <w:p>
            <w:pPr>
              <w:spacing w:after="0"/>
              <w:rPr>
                <w:sz w:val="22"/>
                <w:szCs w:val="22"/>
                <w:color w:val="auto"/>
              </w:rPr>
            </w:pPr>
          </w:p>
        </w:tc>
        <w:tc>
          <w:tcPr>
            <w:tcW w:w="300" w:type="dxa"/>
            <w:vAlign w:val="bottom"/>
            <w:shd w:val="clear" w:color="auto" w:fill="CCEEFF"/>
          </w:tcPr>
          <w:p>
            <w:pPr>
              <w:jc w:val="center"/>
              <w:ind w:right="70"/>
              <w:spacing w:after="0"/>
              <w:rPr>
                <w:sz w:val="20"/>
                <w:szCs w:val="20"/>
                <w:color w:val="auto"/>
              </w:rPr>
            </w:pPr>
            <w:r>
              <w:rPr>
                <w:rFonts w:ascii="Arial" w:cs="Arial" w:eastAsia="Arial" w:hAnsi="Arial"/>
                <w:sz w:val="18"/>
                <w:szCs w:val="18"/>
                <w:color w:val="auto"/>
                <w:w w:val="99"/>
              </w:rPr>
              <w:t>$</w:t>
            </w:r>
          </w:p>
        </w:tc>
        <w:tc>
          <w:tcPr>
            <w:tcW w:w="106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82,244</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160" w:type="dxa"/>
            <w:vAlign w:val="bottom"/>
            <w:shd w:val="clear" w:color="auto" w:fill="CCEEFF"/>
          </w:tcPr>
          <w:p>
            <w:pPr>
              <w:jc w:val="right"/>
              <w:ind w:right="34"/>
              <w:spacing w:after="0"/>
              <w:rPr>
                <w:sz w:val="20"/>
                <w:szCs w:val="20"/>
                <w:color w:val="auto"/>
              </w:rPr>
            </w:pPr>
            <w:r>
              <w:rPr>
                <w:rFonts w:ascii="Arial" w:cs="Arial" w:eastAsia="Arial" w:hAnsi="Arial"/>
                <w:sz w:val="18"/>
                <w:szCs w:val="18"/>
                <w:color w:val="auto"/>
              </w:rPr>
              <w:t>61,559</w:t>
            </w:r>
          </w:p>
        </w:tc>
        <w:tc>
          <w:tcPr>
            <w:tcW w:w="100" w:type="dxa"/>
            <w:vAlign w:val="bottom"/>
            <w:shd w:val="clear" w:color="auto" w:fill="CCEEFF"/>
          </w:tcPr>
          <w:p>
            <w:pPr>
              <w:spacing w:after="0"/>
              <w:rPr>
                <w:sz w:val="22"/>
                <w:szCs w:val="22"/>
                <w:color w:val="auto"/>
              </w:rPr>
            </w:pPr>
          </w:p>
        </w:tc>
        <w:tc>
          <w:tcPr>
            <w:tcW w:w="2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08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25,840</w:t>
            </w: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66,086</w:t>
            </w:r>
          </w:p>
        </w:tc>
        <w:tc>
          <w:tcPr>
            <w:tcW w:w="0" w:type="dxa"/>
            <w:vAlign w:val="bottom"/>
          </w:tcPr>
          <w:p>
            <w:pPr>
              <w:spacing w:after="0"/>
              <w:rPr>
                <w:sz w:val="1"/>
                <w:szCs w:val="1"/>
                <w:color w:val="auto"/>
              </w:rPr>
            </w:pPr>
          </w:p>
        </w:tc>
      </w:tr>
      <w:tr>
        <w:trPr>
          <w:trHeight w:val="20"/>
        </w:trPr>
        <w:tc>
          <w:tcPr>
            <w:tcW w:w="3200" w:type="dxa"/>
            <w:vAlign w:val="bottom"/>
            <w:tcBorders>
              <w:top w:val="single" w:sz="8" w:color="CCEEFF"/>
              <w:bottom w:val="single" w:sz="8" w:color="CCEEFF"/>
            </w:tcBorders>
            <w:vMerge w:val="restart"/>
          </w:tcPr>
          <w:p>
            <w:pPr>
              <w:ind w:left="40"/>
              <w:spacing w:after="0"/>
              <w:rPr>
                <w:sz w:val="20"/>
                <w:szCs w:val="20"/>
                <w:color w:val="auto"/>
              </w:rPr>
            </w:pPr>
            <w:r>
              <w:rPr>
                <w:rFonts w:ascii="Arial" w:cs="Arial" w:eastAsia="Arial" w:hAnsi="Arial"/>
                <w:sz w:val="18"/>
                <w:szCs w:val="18"/>
                <w:color w:val="auto"/>
              </w:rPr>
              <w:t>Fixed Charges:</w:t>
            </w:r>
          </w:p>
        </w:tc>
        <w:tc>
          <w:tcPr>
            <w:tcW w:w="9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3200" w:type="dxa"/>
            <w:vAlign w:val="bottom"/>
            <w:vMerge w:val="continue"/>
          </w:tcPr>
          <w:p>
            <w:pPr>
              <w:spacing w:after="0"/>
              <w:rPr>
                <w:sz w:val="20"/>
                <w:szCs w:val="20"/>
                <w:color w:val="auto"/>
              </w:rPr>
            </w:pPr>
          </w:p>
        </w:tc>
        <w:tc>
          <w:tcPr>
            <w:tcW w:w="9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3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2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Interest expense</w:t>
            </w:r>
          </w:p>
        </w:tc>
        <w:tc>
          <w:tcPr>
            <w:tcW w:w="1240" w:type="dxa"/>
            <w:vAlign w:val="bottom"/>
            <w:tcBorders>
              <w:bottom w:val="single" w:sz="8" w:color="CCEEFF"/>
            </w:tcBorders>
            <w:gridSpan w:val="2"/>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110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22,193</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center"/>
              <w:ind w:right="7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3,479</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1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4,895</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5,497</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5,539</w:t>
            </w:r>
          </w:p>
        </w:tc>
        <w:tc>
          <w:tcPr>
            <w:tcW w:w="0" w:type="dxa"/>
            <w:vAlign w:val="bottom"/>
          </w:tcPr>
          <w:p>
            <w:pPr>
              <w:spacing w:after="0"/>
              <w:rPr>
                <w:sz w:val="1"/>
                <w:szCs w:val="1"/>
                <w:color w:val="auto"/>
              </w:rPr>
            </w:pPr>
          </w:p>
        </w:tc>
      </w:tr>
      <w:tr>
        <w:trPr>
          <w:trHeight w:val="243"/>
        </w:trPr>
        <w:tc>
          <w:tcPr>
            <w:tcW w:w="3200" w:type="dxa"/>
            <w:vAlign w:val="bottom"/>
          </w:tcPr>
          <w:p>
            <w:pPr>
              <w:ind w:left="380"/>
              <w:spacing w:after="0"/>
              <w:rPr>
                <w:sz w:val="20"/>
                <w:szCs w:val="20"/>
                <w:color w:val="auto"/>
              </w:rPr>
            </w:pPr>
            <w:r>
              <w:rPr>
                <w:rFonts w:ascii="Arial" w:cs="Arial" w:eastAsia="Arial" w:hAnsi="Arial"/>
                <w:sz w:val="18"/>
                <w:szCs w:val="18"/>
                <w:color w:val="auto"/>
              </w:rPr>
              <w:t>Discounts &amp; debt issuance costs</w:t>
            </w:r>
          </w:p>
        </w:tc>
        <w:tc>
          <w:tcPr>
            <w:tcW w:w="9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00" w:type="dxa"/>
            <w:vAlign w:val="bottom"/>
          </w:tcPr>
          <w:p>
            <w:pPr>
              <w:jc w:val="right"/>
              <w:ind w:right="33"/>
              <w:spacing w:after="0"/>
              <w:rPr>
                <w:sz w:val="20"/>
                <w:szCs w:val="20"/>
                <w:color w:val="auto"/>
              </w:rPr>
            </w:pPr>
            <w:r>
              <w:rPr>
                <w:rFonts w:ascii="Arial" w:cs="Arial" w:eastAsia="Arial" w:hAnsi="Arial"/>
                <w:sz w:val="18"/>
                <w:szCs w:val="18"/>
                <w:color w:val="auto"/>
              </w:rPr>
              <w:t>11,320</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60" w:type="dxa"/>
            <w:vAlign w:val="bottom"/>
          </w:tcPr>
          <w:p>
            <w:pPr>
              <w:jc w:val="right"/>
              <w:ind w:right="13"/>
              <w:spacing w:after="0"/>
              <w:rPr>
                <w:sz w:val="20"/>
                <w:szCs w:val="20"/>
                <w:color w:val="auto"/>
              </w:rPr>
            </w:pPr>
            <w:r>
              <w:rPr>
                <w:rFonts w:ascii="Arial" w:cs="Arial" w:eastAsia="Arial" w:hAnsi="Arial"/>
                <w:sz w:val="18"/>
                <w:szCs w:val="18"/>
                <w:color w:val="auto"/>
              </w:rPr>
              <w:t>773</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60" w:type="dxa"/>
            <w:vAlign w:val="bottom"/>
          </w:tcPr>
          <w:p>
            <w:pPr>
              <w:jc w:val="right"/>
              <w:ind w:right="34"/>
              <w:spacing w:after="0"/>
              <w:rPr>
                <w:sz w:val="20"/>
                <w:szCs w:val="20"/>
                <w:color w:val="auto"/>
              </w:rPr>
            </w:pPr>
            <w:r>
              <w:rPr>
                <w:rFonts w:ascii="Arial" w:cs="Arial" w:eastAsia="Arial" w:hAnsi="Arial"/>
                <w:sz w:val="18"/>
                <w:szCs w:val="18"/>
                <w:color w:val="auto"/>
              </w:rPr>
              <w:t>6,366</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tcPr>
          <w:p>
            <w:pPr>
              <w:jc w:val="right"/>
              <w:ind w:right="13"/>
              <w:spacing w:after="0"/>
              <w:rPr>
                <w:sz w:val="20"/>
                <w:szCs w:val="20"/>
                <w:color w:val="auto"/>
              </w:rPr>
            </w:pPr>
            <w:r>
              <w:rPr>
                <w:rFonts w:ascii="Arial" w:cs="Arial" w:eastAsia="Arial" w:hAnsi="Arial"/>
                <w:sz w:val="18"/>
                <w:szCs w:val="18"/>
                <w:color w:val="auto"/>
              </w:rPr>
              <w:t>12,557</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3"/>
              <w:spacing w:after="0"/>
              <w:rPr>
                <w:sz w:val="20"/>
                <w:szCs w:val="20"/>
                <w:color w:val="auto"/>
              </w:rPr>
            </w:pPr>
            <w:r>
              <w:rPr>
                <w:rFonts w:ascii="Arial" w:cs="Arial" w:eastAsia="Arial" w:hAnsi="Arial"/>
                <w:sz w:val="18"/>
                <w:szCs w:val="18"/>
                <w:color w:val="auto"/>
              </w:rPr>
              <w:t>11,389</w:t>
            </w:r>
          </w:p>
        </w:tc>
        <w:tc>
          <w:tcPr>
            <w:tcW w:w="0" w:type="dxa"/>
            <w:vAlign w:val="bottom"/>
          </w:tcPr>
          <w:p>
            <w:pPr>
              <w:spacing w:after="0"/>
              <w:rPr>
                <w:sz w:val="1"/>
                <w:szCs w:val="1"/>
                <w:color w:val="auto"/>
              </w:rPr>
            </w:pPr>
          </w:p>
        </w:tc>
      </w:tr>
      <w:tr>
        <w:trPr>
          <w:trHeight w:val="27"/>
        </w:trPr>
        <w:tc>
          <w:tcPr>
            <w:tcW w:w="3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2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Interest portion of rental expense</w:t>
            </w:r>
          </w:p>
        </w:tc>
        <w:tc>
          <w:tcPr>
            <w:tcW w:w="92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2,172</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1,413</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1,460</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1,056</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766</w:t>
            </w:r>
          </w:p>
        </w:tc>
        <w:tc>
          <w:tcPr>
            <w:tcW w:w="0" w:type="dxa"/>
            <w:vAlign w:val="bottom"/>
          </w:tcPr>
          <w:p>
            <w:pPr>
              <w:spacing w:after="0"/>
              <w:rPr>
                <w:sz w:val="1"/>
                <w:szCs w:val="1"/>
                <w:color w:val="auto"/>
              </w:rPr>
            </w:pPr>
          </w:p>
        </w:tc>
      </w:tr>
      <w:tr>
        <w:trPr>
          <w:trHeight w:val="297"/>
        </w:trPr>
        <w:tc>
          <w:tcPr>
            <w:tcW w:w="3200" w:type="dxa"/>
            <w:vAlign w:val="bottom"/>
            <w:tcBorders>
              <w:bottom w:val="single" w:sz="8" w:color="CCEEFF"/>
            </w:tcBorders>
          </w:tcPr>
          <w:p>
            <w:pPr>
              <w:ind w:left="720"/>
              <w:spacing w:after="0"/>
              <w:rPr>
                <w:sz w:val="20"/>
                <w:szCs w:val="20"/>
                <w:color w:val="auto"/>
              </w:rPr>
            </w:pPr>
            <w:r>
              <w:rPr>
                <w:rFonts w:ascii="Arial" w:cs="Arial" w:eastAsia="Arial" w:hAnsi="Arial"/>
                <w:sz w:val="18"/>
                <w:szCs w:val="18"/>
                <w:color w:val="auto"/>
              </w:rPr>
              <w:t>Total fixed charges</w:t>
            </w:r>
          </w:p>
        </w:tc>
        <w:tc>
          <w:tcPr>
            <w:tcW w:w="920" w:type="dxa"/>
            <w:vAlign w:val="bottom"/>
            <w:tcBorders>
              <w:bottom w:val="single" w:sz="8" w:color="CCEEFF"/>
            </w:tcBorders>
          </w:tcPr>
          <w:p>
            <w:pPr>
              <w:spacing w:after="0"/>
              <w:rPr>
                <w:sz w:val="24"/>
                <w:szCs w:val="24"/>
                <w:color w:val="auto"/>
              </w:rPr>
            </w:pPr>
          </w:p>
        </w:tc>
        <w:tc>
          <w:tcPr>
            <w:tcW w:w="32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auto"/>
            </w:tcBorders>
          </w:tcPr>
          <w:p>
            <w:pPr>
              <w:jc w:val="right"/>
              <w:ind w:right="33"/>
              <w:spacing w:after="0"/>
              <w:rPr>
                <w:sz w:val="20"/>
                <w:szCs w:val="20"/>
                <w:color w:val="auto"/>
              </w:rPr>
            </w:pPr>
            <w:r>
              <w:rPr>
                <w:rFonts w:ascii="Arial" w:cs="Arial" w:eastAsia="Arial" w:hAnsi="Arial"/>
                <w:sz w:val="18"/>
                <w:szCs w:val="18"/>
                <w:color w:val="auto"/>
              </w:rPr>
              <w:t>35,685</w:t>
            </w:r>
          </w:p>
        </w:tc>
        <w:tc>
          <w:tcPr>
            <w:tcW w:w="100" w:type="dxa"/>
            <w:vAlign w:val="bottom"/>
            <w:tcBorders>
              <w:top w:val="single" w:sz="8" w:color="auto"/>
              <w:bottom w:val="single" w:sz="8" w:color="CCEEFF"/>
            </w:tcBorders>
          </w:tcPr>
          <w:p>
            <w:pPr>
              <w:spacing w:after="0"/>
              <w:rPr>
                <w:sz w:val="24"/>
                <w:szCs w:val="24"/>
                <w:color w:val="auto"/>
              </w:rPr>
            </w:pPr>
          </w:p>
        </w:tc>
        <w:tc>
          <w:tcPr>
            <w:tcW w:w="300" w:type="dxa"/>
            <w:vAlign w:val="bottom"/>
            <w:tcBorders>
              <w:top w:val="single" w:sz="8" w:color="auto"/>
              <w:bottom w:val="single" w:sz="8" w:color="auto"/>
            </w:tcBorders>
          </w:tcPr>
          <w:p>
            <w:pPr>
              <w:jc w:val="center"/>
              <w:ind w:right="70"/>
              <w:spacing w:after="0"/>
              <w:rPr>
                <w:sz w:val="20"/>
                <w:szCs w:val="20"/>
                <w:color w:val="auto"/>
              </w:rPr>
            </w:pPr>
            <w:r>
              <w:rPr>
                <w:rFonts w:ascii="Arial" w:cs="Arial" w:eastAsia="Arial" w:hAnsi="Arial"/>
                <w:sz w:val="18"/>
                <w:szCs w:val="18"/>
                <w:color w:val="auto"/>
                <w:w w:val="99"/>
              </w:rPr>
              <w:t>$</w:t>
            </w:r>
          </w:p>
        </w:tc>
        <w:tc>
          <w:tcPr>
            <w:tcW w:w="1060" w:type="dxa"/>
            <w:vAlign w:val="bottom"/>
            <w:tcBorders>
              <w:top w:val="single" w:sz="8" w:color="auto"/>
              <w:bottom w:val="single" w:sz="8" w:color="auto"/>
            </w:tcBorders>
          </w:tcPr>
          <w:p>
            <w:pPr>
              <w:jc w:val="right"/>
              <w:ind w:right="13"/>
              <w:spacing w:after="0"/>
              <w:rPr>
                <w:sz w:val="20"/>
                <w:szCs w:val="20"/>
                <w:color w:val="auto"/>
              </w:rPr>
            </w:pPr>
            <w:r>
              <w:rPr>
                <w:rFonts w:ascii="Arial" w:cs="Arial" w:eastAsia="Arial" w:hAnsi="Arial"/>
                <w:sz w:val="18"/>
                <w:szCs w:val="18"/>
                <w:color w:val="auto"/>
              </w:rPr>
              <w:t>5,665</w:t>
            </w:r>
          </w:p>
        </w:tc>
        <w:tc>
          <w:tcPr>
            <w:tcW w:w="120" w:type="dxa"/>
            <w:vAlign w:val="bottom"/>
            <w:tcBorders>
              <w:bottom w:val="single" w:sz="8" w:color="CCEEFF"/>
            </w:tcBorders>
          </w:tcPr>
          <w:p>
            <w:pPr>
              <w:spacing w:after="0"/>
              <w:rPr>
                <w:sz w:val="24"/>
                <w:szCs w:val="24"/>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1160" w:type="dxa"/>
            <w:vAlign w:val="bottom"/>
            <w:tcBorders>
              <w:top w:val="single" w:sz="8" w:color="auto"/>
              <w:bottom w:val="single" w:sz="8" w:color="auto"/>
            </w:tcBorders>
          </w:tcPr>
          <w:p>
            <w:pPr>
              <w:jc w:val="right"/>
              <w:ind w:right="34"/>
              <w:spacing w:after="0"/>
              <w:rPr>
                <w:sz w:val="20"/>
                <w:szCs w:val="20"/>
                <w:color w:val="auto"/>
              </w:rPr>
            </w:pPr>
            <w:r>
              <w:rPr>
                <w:rFonts w:ascii="Arial" w:cs="Arial" w:eastAsia="Arial" w:hAnsi="Arial"/>
                <w:sz w:val="18"/>
                <w:szCs w:val="18"/>
                <w:color w:val="auto"/>
              </w:rPr>
              <w:t>12,721</w:t>
            </w:r>
          </w:p>
        </w:tc>
        <w:tc>
          <w:tcPr>
            <w:tcW w:w="100" w:type="dxa"/>
            <w:vAlign w:val="bottom"/>
            <w:tcBorders>
              <w:bottom w:val="single" w:sz="8" w:color="CCEEFF"/>
            </w:tcBorders>
          </w:tcPr>
          <w:p>
            <w:pPr>
              <w:spacing w:after="0"/>
              <w:rPr>
                <w:sz w:val="24"/>
                <w:szCs w:val="24"/>
                <w:color w:val="auto"/>
              </w:rPr>
            </w:pPr>
          </w:p>
        </w:tc>
        <w:tc>
          <w:tcPr>
            <w:tcW w:w="28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080" w:type="dxa"/>
            <w:vAlign w:val="bottom"/>
            <w:tcBorders>
              <w:top w:val="single" w:sz="8" w:color="auto"/>
              <w:bottom w:val="single" w:sz="8" w:color="auto"/>
            </w:tcBorders>
          </w:tcPr>
          <w:p>
            <w:pPr>
              <w:jc w:val="right"/>
              <w:ind w:right="13"/>
              <w:spacing w:after="0"/>
              <w:rPr>
                <w:sz w:val="20"/>
                <w:szCs w:val="20"/>
                <w:color w:val="auto"/>
              </w:rPr>
            </w:pPr>
            <w:r>
              <w:rPr>
                <w:rFonts w:ascii="Arial" w:cs="Arial" w:eastAsia="Arial" w:hAnsi="Arial"/>
                <w:sz w:val="18"/>
                <w:szCs w:val="18"/>
                <w:color w:val="auto"/>
              </w:rPr>
              <w:t>19,110</w:t>
            </w:r>
          </w:p>
        </w:tc>
        <w:tc>
          <w:tcPr>
            <w:tcW w:w="120" w:type="dxa"/>
            <w:vAlign w:val="bottom"/>
            <w:tcBorders>
              <w:bottom w:val="single" w:sz="8" w:color="CCEEFF"/>
            </w:tcBorders>
          </w:tcPr>
          <w:p>
            <w:pPr>
              <w:spacing w:after="0"/>
              <w:rPr>
                <w:sz w:val="24"/>
                <w:szCs w:val="24"/>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bottom w:val="single" w:sz="8" w:color="auto"/>
            </w:tcBorders>
          </w:tcPr>
          <w:p>
            <w:pPr>
              <w:jc w:val="right"/>
              <w:ind w:right="13"/>
              <w:spacing w:after="0"/>
              <w:rPr>
                <w:sz w:val="20"/>
                <w:szCs w:val="20"/>
                <w:color w:val="auto"/>
              </w:rPr>
            </w:pPr>
            <w:r>
              <w:rPr>
                <w:rFonts w:ascii="Arial" w:cs="Arial" w:eastAsia="Arial" w:hAnsi="Arial"/>
                <w:sz w:val="18"/>
                <w:szCs w:val="18"/>
                <w:color w:val="auto"/>
              </w:rPr>
              <w:t>17,694</w:t>
            </w:r>
          </w:p>
        </w:tc>
        <w:tc>
          <w:tcPr>
            <w:tcW w:w="0" w:type="dxa"/>
            <w:vAlign w:val="bottom"/>
          </w:tcPr>
          <w:p>
            <w:pPr>
              <w:spacing w:after="0"/>
              <w:rPr>
                <w:sz w:val="1"/>
                <w:szCs w:val="1"/>
                <w:color w:val="auto"/>
              </w:rPr>
            </w:pPr>
          </w:p>
        </w:tc>
      </w:tr>
      <w:tr>
        <w:trPr>
          <w:trHeight w:val="251"/>
        </w:trPr>
        <w:tc>
          <w:tcPr>
            <w:tcW w:w="3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Ratio of earnings to fixed charges</w:t>
            </w:r>
          </w:p>
        </w:tc>
        <w:tc>
          <w:tcPr>
            <w:tcW w:w="9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auto"/>
            </w:tcBorders>
            <w:shd w:val="clear" w:color="auto" w:fill="CCEEFF"/>
          </w:tcPr>
          <w:p>
            <w:pPr>
              <w:spacing w:after="0"/>
              <w:rPr>
                <w:sz w:val="21"/>
                <w:szCs w:val="21"/>
                <w:color w:val="auto"/>
              </w:rPr>
            </w:pPr>
          </w:p>
        </w:tc>
        <w:tc>
          <w:tcPr>
            <w:tcW w:w="110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8"/>
                <w:szCs w:val="18"/>
                <w:color w:val="auto"/>
              </w:rPr>
              <w:t>0.6</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spacing w:after="0"/>
              <w:rPr>
                <w:sz w:val="21"/>
                <w:szCs w:val="21"/>
                <w:color w:val="auto"/>
              </w:rPr>
            </w:pPr>
          </w:p>
        </w:tc>
        <w:tc>
          <w:tcPr>
            <w:tcW w:w="106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14.5</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spacing w:after="0"/>
              <w:rPr>
                <w:sz w:val="21"/>
                <w:szCs w:val="21"/>
                <w:color w:val="auto"/>
              </w:rPr>
            </w:pPr>
          </w:p>
        </w:tc>
        <w:tc>
          <w:tcPr>
            <w:tcW w:w="1160" w:type="dxa"/>
            <w:vAlign w:val="bottom"/>
            <w:tcBorders>
              <w:bottom w:val="single" w:sz="8" w:color="auto"/>
            </w:tcBorders>
            <w:shd w:val="clear" w:color="auto" w:fill="CCEEFF"/>
          </w:tcPr>
          <w:p>
            <w:pPr>
              <w:jc w:val="right"/>
              <w:ind w:right="34"/>
              <w:spacing w:after="0"/>
              <w:rPr>
                <w:sz w:val="20"/>
                <w:szCs w:val="20"/>
                <w:color w:val="auto"/>
              </w:rPr>
            </w:pPr>
            <w:r>
              <w:rPr>
                <w:rFonts w:ascii="Arial" w:cs="Arial" w:eastAsia="Arial" w:hAnsi="Arial"/>
                <w:sz w:val="18"/>
                <w:szCs w:val="18"/>
                <w:color w:val="auto"/>
              </w:rPr>
              <w:t>4.8</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spacing w:after="0"/>
              <w:rPr>
                <w:sz w:val="21"/>
                <w:szCs w:val="21"/>
                <w:color w:val="auto"/>
              </w:rPr>
            </w:pPr>
          </w:p>
        </w:tc>
        <w:tc>
          <w:tcPr>
            <w:tcW w:w="108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1.4</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spacing w:after="0"/>
              <w:rPr>
                <w:sz w:val="21"/>
                <w:szCs w:val="21"/>
                <w:color w:val="auto"/>
              </w:rPr>
            </w:pPr>
          </w:p>
        </w:tc>
        <w:tc>
          <w:tcPr>
            <w:tcW w:w="118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3.7</w:t>
            </w:r>
          </w:p>
        </w:tc>
        <w:tc>
          <w:tcPr>
            <w:tcW w:w="0" w:type="dxa"/>
            <w:vAlign w:val="bottom"/>
          </w:tcPr>
          <w:p>
            <w:pPr>
              <w:spacing w:after="0"/>
              <w:rPr>
                <w:sz w:val="1"/>
                <w:szCs w:val="1"/>
                <w:color w:val="auto"/>
              </w:rPr>
            </w:pPr>
          </w:p>
        </w:tc>
      </w:tr>
      <w:tr>
        <w:trPr>
          <w:trHeight w:val="20"/>
        </w:trPr>
        <w:tc>
          <w:tcPr>
            <w:tcW w:w="32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420"/>
          </w:cols>
          <w:pgMar w:left="240" w:top="580" w:right="239" w:bottom="1440" w:gutter="0" w:footer="0" w:header="0"/>
        </w:sectPr>
      </w:pPr>
    </w:p>
    <w:bookmarkStart w:id="119" w:name="page120"/>
    <w:bookmarkEnd w:id="119"/>
    <w:p>
      <w:pPr>
        <w:jc w:val="right"/>
        <w:spacing w:after="0"/>
        <w:rPr>
          <w:sz w:val="20"/>
          <w:szCs w:val="20"/>
          <w:color w:val="auto"/>
        </w:rPr>
      </w:pPr>
      <w:r>
        <w:rPr>
          <w:rFonts w:ascii="Arial" w:cs="Arial" w:eastAsia="Arial" w:hAnsi="Arial"/>
          <w:sz w:val="18"/>
          <w:szCs w:val="18"/>
          <w:b w:val="1"/>
          <w:bCs w:val="1"/>
          <w:color w:val="auto"/>
        </w:rPr>
        <w:t>EXHIBIT 21.1</w:t>
      </w:r>
    </w:p>
    <w:p>
      <w:pPr>
        <w:spacing w:after="0" w:line="17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60" w:type="dxa"/>
            <w:vAlign w:val="bottom"/>
          </w:tcPr>
          <w:p>
            <w:pPr>
              <w:spacing w:after="0"/>
              <w:rPr>
                <w:sz w:val="20"/>
                <w:szCs w:val="20"/>
                <w:color w:val="auto"/>
              </w:rPr>
            </w:pPr>
          </w:p>
        </w:tc>
        <w:tc>
          <w:tcPr>
            <w:tcW w:w="7660" w:type="dxa"/>
            <w:vAlign w:val="bottom"/>
            <w:gridSpan w:val="3"/>
          </w:tcPr>
          <w:p>
            <w:pPr>
              <w:ind w:left="3340"/>
              <w:spacing w:after="0"/>
              <w:rPr>
                <w:sz w:val="20"/>
                <w:szCs w:val="20"/>
                <w:color w:val="auto"/>
              </w:rPr>
            </w:pPr>
            <w:r>
              <w:rPr>
                <w:rFonts w:ascii="Arial" w:cs="Arial" w:eastAsia="Arial" w:hAnsi="Arial"/>
                <w:sz w:val="18"/>
                <w:szCs w:val="18"/>
                <w:b w:val="1"/>
                <w:bCs w:val="1"/>
                <w:color w:val="auto"/>
              </w:rPr>
              <w:t>SUBSIDIARIES OF GREATBATCH, INC.</w:t>
            </w:r>
          </w:p>
        </w:tc>
      </w:tr>
      <w:tr>
        <w:trPr>
          <w:trHeight w:val="486"/>
        </w:trPr>
        <w:tc>
          <w:tcPr>
            <w:tcW w:w="660" w:type="dxa"/>
            <w:vAlign w:val="bottom"/>
          </w:tcPr>
          <w:p>
            <w:pPr>
              <w:spacing w:after="0"/>
              <w:rPr>
                <w:sz w:val="20"/>
                <w:szCs w:val="20"/>
                <w:color w:val="auto"/>
              </w:rPr>
            </w:pPr>
            <w:r>
              <w:rPr>
                <w:rFonts w:ascii="Arial" w:cs="Arial" w:eastAsia="Arial" w:hAnsi="Arial"/>
                <w:sz w:val="14"/>
                <w:szCs w:val="14"/>
                <w:b w:val="1"/>
                <w:bCs w:val="1"/>
                <w:color w:val="auto"/>
                <w:w w:val="89"/>
              </w:rPr>
              <w:t>Subsidiary</w:t>
            </w:r>
          </w:p>
        </w:tc>
        <w:tc>
          <w:tcPr>
            <w:tcW w:w="6460" w:type="dxa"/>
            <w:vAlign w:val="bottom"/>
          </w:tcPr>
          <w:p>
            <w:pPr>
              <w:spacing w:after="0"/>
              <w:rPr>
                <w:sz w:val="24"/>
                <w:szCs w:val="24"/>
                <w:color w:val="auto"/>
              </w:rPr>
            </w:pPr>
          </w:p>
        </w:tc>
        <w:tc>
          <w:tcPr>
            <w:tcW w:w="1200" w:type="dxa"/>
            <w:vAlign w:val="bottom"/>
            <w:gridSpan w:val="2"/>
          </w:tcPr>
          <w:p>
            <w:pPr>
              <w:spacing w:after="0"/>
              <w:rPr>
                <w:sz w:val="20"/>
                <w:szCs w:val="20"/>
                <w:color w:val="auto"/>
              </w:rPr>
            </w:pPr>
            <w:r>
              <w:rPr>
                <w:rFonts w:ascii="Arial" w:cs="Arial" w:eastAsia="Arial" w:hAnsi="Arial"/>
                <w:sz w:val="14"/>
                <w:szCs w:val="14"/>
                <w:b w:val="1"/>
                <w:bCs w:val="1"/>
                <w:color w:val="auto"/>
              </w:rPr>
              <w:t>Incorporated</w:t>
            </w:r>
          </w:p>
        </w:tc>
      </w:tr>
      <w:tr>
        <w:trPr>
          <w:trHeight w:val="20"/>
        </w:trPr>
        <w:tc>
          <w:tcPr>
            <w:tcW w:w="660" w:type="dxa"/>
            <w:vAlign w:val="bottom"/>
            <w:shd w:val="clear" w:color="auto" w:fill="000000"/>
          </w:tcPr>
          <w:p>
            <w:pPr>
              <w:spacing w:after="0" w:line="20" w:lineRule="exact"/>
              <w:rPr>
                <w:sz w:val="1"/>
                <w:szCs w:val="1"/>
                <w:color w:val="auto"/>
              </w:rPr>
            </w:pPr>
          </w:p>
        </w:tc>
        <w:tc>
          <w:tcPr>
            <w:tcW w:w="646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r>
      <w:tr>
        <w:trPr>
          <w:trHeight w:val="588"/>
        </w:trPr>
        <w:tc>
          <w:tcPr>
            <w:tcW w:w="7120" w:type="dxa"/>
            <w:vAlign w:val="bottom"/>
            <w:gridSpan w:val="2"/>
          </w:tcPr>
          <w:p>
            <w:pPr>
              <w:spacing w:after="0"/>
              <w:rPr>
                <w:sz w:val="20"/>
                <w:szCs w:val="20"/>
                <w:color w:val="auto"/>
              </w:rPr>
            </w:pPr>
            <w:r>
              <w:rPr>
                <w:rFonts w:ascii="Arial" w:cs="Arial" w:eastAsia="Arial" w:hAnsi="Arial"/>
                <w:sz w:val="18"/>
                <w:szCs w:val="18"/>
                <w:color w:val="auto"/>
              </w:rPr>
              <w:t>Greatbatch Ltd.</w:t>
            </w:r>
          </w:p>
        </w:tc>
        <w:tc>
          <w:tcPr>
            <w:tcW w:w="1200" w:type="dxa"/>
            <w:vAlign w:val="bottom"/>
            <w:gridSpan w:val="2"/>
          </w:tcPr>
          <w:p>
            <w:pPr>
              <w:spacing w:after="0"/>
              <w:rPr>
                <w:sz w:val="20"/>
                <w:szCs w:val="20"/>
                <w:color w:val="auto"/>
              </w:rPr>
            </w:pPr>
            <w:r>
              <w:rPr>
                <w:rFonts w:ascii="Arial" w:cs="Arial" w:eastAsia="Arial" w:hAnsi="Arial"/>
                <w:sz w:val="18"/>
                <w:szCs w:val="18"/>
                <w:color w:val="auto"/>
              </w:rPr>
              <w:t>New York</w:t>
            </w:r>
          </w:p>
        </w:tc>
      </w:tr>
      <w:tr>
        <w:trPr>
          <w:trHeight w:val="716"/>
        </w:trPr>
        <w:tc>
          <w:tcPr>
            <w:tcW w:w="7120" w:type="dxa"/>
            <w:vAlign w:val="bottom"/>
            <w:gridSpan w:val="2"/>
          </w:tcPr>
          <w:p>
            <w:pPr>
              <w:spacing w:after="0"/>
              <w:rPr>
                <w:sz w:val="20"/>
                <w:szCs w:val="20"/>
                <w:color w:val="auto"/>
              </w:rPr>
            </w:pPr>
            <w:r>
              <w:rPr>
                <w:rFonts w:ascii="Arial" w:cs="Arial" w:eastAsia="Arial" w:hAnsi="Arial"/>
                <w:sz w:val="18"/>
                <w:szCs w:val="18"/>
                <w:color w:val="auto"/>
              </w:rPr>
              <w:t>Electrochem Solutions, Inc.</w:t>
            </w:r>
          </w:p>
        </w:tc>
        <w:tc>
          <w:tcPr>
            <w:tcW w:w="1200" w:type="dxa"/>
            <w:vAlign w:val="bottom"/>
            <w:gridSpan w:val="2"/>
          </w:tcPr>
          <w:p>
            <w:pPr>
              <w:spacing w:after="0"/>
              <w:rPr>
                <w:sz w:val="20"/>
                <w:szCs w:val="20"/>
                <w:color w:val="auto"/>
              </w:rPr>
            </w:pPr>
            <w:r>
              <w:rPr>
                <w:rFonts w:ascii="Arial" w:cs="Arial" w:eastAsia="Arial" w:hAnsi="Arial"/>
                <w:sz w:val="18"/>
                <w:szCs w:val="18"/>
                <w:color w:val="auto"/>
                <w:w w:val="98"/>
              </w:rPr>
              <w:t>Massachusetts</w:t>
            </w:r>
          </w:p>
        </w:tc>
      </w:tr>
      <w:tr>
        <w:trPr>
          <w:trHeight w:val="716"/>
        </w:trPr>
        <w:tc>
          <w:tcPr>
            <w:tcW w:w="7120" w:type="dxa"/>
            <w:vAlign w:val="bottom"/>
            <w:gridSpan w:val="2"/>
          </w:tcPr>
          <w:p>
            <w:pPr>
              <w:spacing w:after="0"/>
              <w:rPr>
                <w:sz w:val="20"/>
                <w:szCs w:val="20"/>
                <w:color w:val="auto"/>
              </w:rPr>
            </w:pPr>
            <w:r>
              <w:rPr>
                <w:rFonts w:ascii="Arial" w:cs="Arial" w:eastAsia="Arial" w:hAnsi="Arial"/>
                <w:sz w:val="18"/>
                <w:szCs w:val="18"/>
                <w:color w:val="auto"/>
              </w:rPr>
              <w:t>Micro Power Electronics, Inc.</w:t>
            </w:r>
          </w:p>
        </w:tc>
        <w:tc>
          <w:tcPr>
            <w:tcW w:w="1200" w:type="dxa"/>
            <w:vAlign w:val="bottom"/>
            <w:gridSpan w:val="2"/>
          </w:tcPr>
          <w:p>
            <w:pPr>
              <w:spacing w:after="0"/>
              <w:rPr>
                <w:sz w:val="20"/>
                <w:szCs w:val="20"/>
                <w:color w:val="auto"/>
              </w:rPr>
            </w:pPr>
            <w:r>
              <w:rPr>
                <w:rFonts w:ascii="Arial" w:cs="Arial" w:eastAsia="Arial" w:hAnsi="Arial"/>
                <w:sz w:val="18"/>
                <w:szCs w:val="18"/>
                <w:color w:val="auto"/>
              </w:rPr>
              <w:t>Delaware</w:t>
            </w:r>
          </w:p>
        </w:tc>
      </w:tr>
      <w:tr>
        <w:trPr>
          <w:trHeight w:val="716"/>
        </w:trPr>
        <w:tc>
          <w:tcPr>
            <w:tcW w:w="7120" w:type="dxa"/>
            <w:vAlign w:val="bottom"/>
            <w:gridSpan w:val="2"/>
          </w:tcPr>
          <w:p>
            <w:pPr>
              <w:spacing w:after="0"/>
              <w:rPr>
                <w:sz w:val="20"/>
                <w:szCs w:val="20"/>
                <w:color w:val="auto"/>
              </w:rPr>
            </w:pPr>
            <w:r>
              <w:rPr>
                <w:rFonts w:ascii="Arial" w:cs="Arial" w:eastAsia="Arial" w:hAnsi="Arial"/>
                <w:sz w:val="18"/>
                <w:szCs w:val="18"/>
                <w:color w:val="auto"/>
              </w:rPr>
              <w:t>Greatbatch-Globe Tool, Inc.</w:t>
            </w:r>
          </w:p>
        </w:tc>
        <w:tc>
          <w:tcPr>
            <w:tcW w:w="1200" w:type="dxa"/>
            <w:vAlign w:val="bottom"/>
            <w:gridSpan w:val="2"/>
          </w:tcPr>
          <w:p>
            <w:pPr>
              <w:spacing w:after="0"/>
              <w:rPr>
                <w:sz w:val="20"/>
                <w:szCs w:val="20"/>
                <w:color w:val="auto"/>
              </w:rPr>
            </w:pPr>
            <w:r>
              <w:rPr>
                <w:rFonts w:ascii="Arial" w:cs="Arial" w:eastAsia="Arial" w:hAnsi="Arial"/>
                <w:sz w:val="18"/>
                <w:szCs w:val="18"/>
                <w:color w:val="auto"/>
              </w:rPr>
              <w:t>Minnesota</w:t>
            </w:r>
          </w:p>
        </w:tc>
      </w:tr>
      <w:tr>
        <w:trPr>
          <w:trHeight w:val="716"/>
        </w:trPr>
        <w:tc>
          <w:tcPr>
            <w:tcW w:w="7120" w:type="dxa"/>
            <w:vAlign w:val="bottom"/>
            <w:gridSpan w:val="2"/>
          </w:tcPr>
          <w:p>
            <w:pPr>
              <w:spacing w:after="0"/>
              <w:rPr>
                <w:sz w:val="20"/>
                <w:szCs w:val="20"/>
                <w:color w:val="auto"/>
              </w:rPr>
            </w:pPr>
            <w:r>
              <w:rPr>
                <w:rFonts w:ascii="Arial" w:cs="Arial" w:eastAsia="Arial" w:hAnsi="Arial"/>
                <w:sz w:val="18"/>
                <w:szCs w:val="18"/>
                <w:color w:val="auto"/>
              </w:rPr>
              <w:t>Precimed, Inc.</w:t>
            </w:r>
          </w:p>
        </w:tc>
        <w:tc>
          <w:tcPr>
            <w:tcW w:w="1200" w:type="dxa"/>
            <w:vAlign w:val="bottom"/>
            <w:gridSpan w:val="2"/>
          </w:tcPr>
          <w:p>
            <w:pPr>
              <w:spacing w:after="0"/>
              <w:rPr>
                <w:sz w:val="20"/>
                <w:szCs w:val="20"/>
                <w:color w:val="auto"/>
              </w:rPr>
            </w:pPr>
            <w:r>
              <w:rPr>
                <w:rFonts w:ascii="Arial" w:cs="Arial" w:eastAsia="Arial" w:hAnsi="Arial"/>
                <w:sz w:val="18"/>
                <w:szCs w:val="18"/>
                <w:color w:val="auto"/>
              </w:rPr>
              <w:t>Pennsylvania</w:t>
            </w:r>
          </w:p>
        </w:tc>
      </w:tr>
      <w:tr>
        <w:trPr>
          <w:trHeight w:val="500"/>
        </w:trPr>
        <w:tc>
          <w:tcPr>
            <w:tcW w:w="7120" w:type="dxa"/>
            <w:vAlign w:val="bottom"/>
            <w:gridSpan w:val="2"/>
          </w:tcPr>
          <w:p>
            <w:pPr>
              <w:spacing w:after="0"/>
              <w:rPr>
                <w:sz w:val="20"/>
                <w:szCs w:val="20"/>
                <w:color w:val="auto"/>
              </w:rPr>
            </w:pPr>
            <w:r>
              <w:rPr>
                <w:rFonts w:ascii="Arial" w:cs="Arial" w:eastAsia="Arial" w:hAnsi="Arial"/>
                <w:sz w:val="18"/>
                <w:szCs w:val="18"/>
                <w:color w:val="auto"/>
              </w:rPr>
              <w:t>QiG Group, LLC</w:t>
            </w:r>
          </w:p>
        </w:tc>
        <w:tc>
          <w:tcPr>
            <w:tcW w:w="1200" w:type="dxa"/>
            <w:vAlign w:val="bottom"/>
            <w:gridSpan w:val="2"/>
          </w:tcPr>
          <w:p>
            <w:pPr>
              <w:spacing w:after="0"/>
              <w:rPr>
                <w:sz w:val="20"/>
                <w:szCs w:val="20"/>
                <w:color w:val="auto"/>
              </w:rPr>
            </w:pPr>
            <w:r>
              <w:rPr>
                <w:rFonts w:ascii="Arial" w:cs="Arial" w:eastAsia="Arial" w:hAnsi="Arial"/>
                <w:sz w:val="18"/>
                <w:szCs w:val="18"/>
                <w:color w:val="auto"/>
              </w:rPr>
              <w:t>Delaware</w:t>
            </w:r>
          </w:p>
        </w:tc>
      </w:tr>
      <w:tr>
        <w:trPr>
          <w:trHeight w:val="716"/>
        </w:trPr>
        <w:tc>
          <w:tcPr>
            <w:tcW w:w="7120" w:type="dxa"/>
            <w:vAlign w:val="bottom"/>
            <w:gridSpan w:val="2"/>
          </w:tcPr>
          <w:p>
            <w:pPr>
              <w:spacing w:after="0"/>
              <w:rPr>
                <w:sz w:val="20"/>
                <w:szCs w:val="20"/>
                <w:color w:val="auto"/>
              </w:rPr>
            </w:pPr>
            <w:r>
              <w:rPr>
                <w:rFonts w:ascii="Arial" w:cs="Arial" w:eastAsia="Arial" w:hAnsi="Arial"/>
                <w:sz w:val="18"/>
                <w:szCs w:val="18"/>
                <w:color w:val="auto"/>
              </w:rPr>
              <w:t>P Medical Holding SA</w:t>
            </w:r>
          </w:p>
        </w:tc>
        <w:tc>
          <w:tcPr>
            <w:tcW w:w="1200" w:type="dxa"/>
            <w:vAlign w:val="bottom"/>
            <w:gridSpan w:val="2"/>
          </w:tcPr>
          <w:p>
            <w:pPr>
              <w:spacing w:after="0"/>
              <w:rPr>
                <w:sz w:val="20"/>
                <w:szCs w:val="20"/>
                <w:color w:val="auto"/>
              </w:rPr>
            </w:pPr>
            <w:r>
              <w:rPr>
                <w:rFonts w:ascii="Arial" w:cs="Arial" w:eastAsia="Arial" w:hAnsi="Arial"/>
                <w:sz w:val="18"/>
                <w:szCs w:val="18"/>
                <w:color w:val="auto"/>
              </w:rPr>
              <w:t>Switzerland</w:t>
            </w:r>
          </w:p>
        </w:tc>
      </w:tr>
      <w:tr>
        <w:trPr>
          <w:trHeight w:val="716"/>
        </w:trPr>
        <w:tc>
          <w:tcPr>
            <w:tcW w:w="7120" w:type="dxa"/>
            <w:vAlign w:val="bottom"/>
            <w:gridSpan w:val="2"/>
          </w:tcPr>
          <w:p>
            <w:pPr>
              <w:spacing w:after="0"/>
              <w:rPr>
                <w:sz w:val="20"/>
                <w:szCs w:val="20"/>
                <w:color w:val="auto"/>
              </w:rPr>
            </w:pPr>
            <w:r>
              <w:rPr>
                <w:rFonts w:ascii="Arial" w:cs="Arial" w:eastAsia="Arial" w:hAnsi="Arial"/>
                <w:sz w:val="18"/>
                <w:szCs w:val="18"/>
                <w:color w:val="auto"/>
              </w:rPr>
              <w:t>QiG Singapore Pte. Ltd.</w:t>
            </w:r>
          </w:p>
        </w:tc>
        <w:tc>
          <w:tcPr>
            <w:tcW w:w="1200" w:type="dxa"/>
            <w:vAlign w:val="bottom"/>
            <w:gridSpan w:val="2"/>
          </w:tcPr>
          <w:p>
            <w:pPr>
              <w:spacing w:after="0"/>
              <w:rPr>
                <w:sz w:val="20"/>
                <w:szCs w:val="20"/>
                <w:color w:val="auto"/>
              </w:rPr>
            </w:pPr>
            <w:r>
              <w:rPr>
                <w:rFonts w:ascii="Arial" w:cs="Arial" w:eastAsia="Arial" w:hAnsi="Arial"/>
                <w:sz w:val="18"/>
                <w:szCs w:val="18"/>
                <w:color w:val="auto"/>
              </w:rPr>
              <w:t>Singapore</w:t>
            </w:r>
          </w:p>
        </w:tc>
      </w:tr>
      <w:tr>
        <w:trPr>
          <w:trHeight w:val="500"/>
        </w:trPr>
        <w:tc>
          <w:tcPr>
            <w:tcW w:w="7120" w:type="dxa"/>
            <w:vAlign w:val="bottom"/>
            <w:gridSpan w:val="2"/>
          </w:tcPr>
          <w:p>
            <w:pPr>
              <w:spacing w:after="0"/>
              <w:rPr>
                <w:sz w:val="20"/>
                <w:szCs w:val="20"/>
                <w:color w:val="auto"/>
              </w:rPr>
            </w:pPr>
            <w:r>
              <w:rPr>
                <w:rFonts w:ascii="Arial" w:cs="Arial" w:eastAsia="Arial" w:hAnsi="Arial"/>
                <w:sz w:val="18"/>
                <w:szCs w:val="18"/>
                <w:color w:val="auto"/>
              </w:rPr>
              <w:t>Greatbatch Medical SA</w:t>
            </w:r>
          </w:p>
        </w:tc>
        <w:tc>
          <w:tcPr>
            <w:tcW w:w="1200" w:type="dxa"/>
            <w:vAlign w:val="bottom"/>
            <w:gridSpan w:val="2"/>
          </w:tcPr>
          <w:p>
            <w:pPr>
              <w:spacing w:after="0"/>
              <w:rPr>
                <w:sz w:val="20"/>
                <w:szCs w:val="20"/>
                <w:color w:val="auto"/>
              </w:rPr>
            </w:pPr>
            <w:r>
              <w:rPr>
                <w:rFonts w:ascii="Arial" w:cs="Arial" w:eastAsia="Arial" w:hAnsi="Arial"/>
                <w:sz w:val="18"/>
                <w:szCs w:val="18"/>
                <w:color w:val="auto"/>
              </w:rPr>
              <w:t>Switzerland</w:t>
            </w:r>
          </w:p>
        </w:tc>
      </w:tr>
      <w:tr>
        <w:trPr>
          <w:trHeight w:val="716"/>
        </w:trPr>
        <w:tc>
          <w:tcPr>
            <w:tcW w:w="7120" w:type="dxa"/>
            <w:vAlign w:val="bottom"/>
            <w:gridSpan w:val="2"/>
          </w:tcPr>
          <w:p>
            <w:pPr>
              <w:spacing w:after="0"/>
              <w:rPr>
                <w:sz w:val="20"/>
                <w:szCs w:val="20"/>
                <w:color w:val="auto"/>
              </w:rPr>
            </w:pPr>
            <w:r>
              <w:rPr>
                <w:rFonts w:ascii="Arial" w:cs="Arial" w:eastAsia="Arial" w:hAnsi="Arial"/>
                <w:sz w:val="18"/>
                <w:szCs w:val="18"/>
                <w:color w:val="auto"/>
              </w:rPr>
              <w:t>Greatbatch LLC</w:t>
            </w:r>
          </w:p>
        </w:tc>
        <w:tc>
          <w:tcPr>
            <w:tcW w:w="1200" w:type="dxa"/>
            <w:vAlign w:val="bottom"/>
            <w:gridSpan w:val="2"/>
          </w:tcPr>
          <w:p>
            <w:pPr>
              <w:spacing w:after="0"/>
              <w:rPr>
                <w:sz w:val="20"/>
                <w:szCs w:val="20"/>
                <w:color w:val="auto"/>
              </w:rPr>
            </w:pPr>
            <w:r>
              <w:rPr>
                <w:rFonts w:ascii="Arial" w:cs="Arial" w:eastAsia="Arial" w:hAnsi="Arial"/>
                <w:sz w:val="18"/>
                <w:szCs w:val="18"/>
                <w:color w:val="auto"/>
              </w:rPr>
              <w:t>Delaware</w:t>
            </w:r>
          </w:p>
        </w:tc>
      </w:tr>
      <w:tr>
        <w:trPr>
          <w:trHeight w:val="716"/>
        </w:trPr>
        <w:tc>
          <w:tcPr>
            <w:tcW w:w="7120" w:type="dxa"/>
            <w:vAlign w:val="bottom"/>
            <w:gridSpan w:val="2"/>
          </w:tcPr>
          <w:p>
            <w:pPr>
              <w:spacing w:after="0"/>
              <w:rPr>
                <w:sz w:val="20"/>
                <w:szCs w:val="20"/>
                <w:color w:val="auto"/>
              </w:rPr>
            </w:pPr>
            <w:r>
              <w:rPr>
                <w:rFonts w:ascii="Arial" w:cs="Arial" w:eastAsia="Arial" w:hAnsi="Arial"/>
                <w:sz w:val="18"/>
                <w:szCs w:val="18"/>
                <w:color w:val="auto"/>
              </w:rPr>
              <w:t>Greatbatch Medical, S. de R.L. de C.V.</w:t>
            </w:r>
          </w:p>
        </w:tc>
        <w:tc>
          <w:tcPr>
            <w:tcW w:w="1200" w:type="dxa"/>
            <w:vAlign w:val="bottom"/>
            <w:gridSpan w:val="2"/>
          </w:tcPr>
          <w:p>
            <w:pPr>
              <w:spacing w:after="0"/>
              <w:rPr>
                <w:sz w:val="20"/>
                <w:szCs w:val="20"/>
                <w:color w:val="auto"/>
              </w:rPr>
            </w:pPr>
            <w:r>
              <w:rPr>
                <w:rFonts w:ascii="Arial" w:cs="Arial" w:eastAsia="Arial" w:hAnsi="Arial"/>
                <w:sz w:val="18"/>
                <w:szCs w:val="18"/>
                <w:color w:val="auto"/>
              </w:rPr>
              <w:t>Mexico</w:t>
            </w:r>
          </w:p>
        </w:tc>
      </w:tr>
      <w:tr>
        <w:trPr>
          <w:trHeight w:val="716"/>
        </w:trPr>
        <w:tc>
          <w:tcPr>
            <w:tcW w:w="7120" w:type="dxa"/>
            <w:vAlign w:val="bottom"/>
            <w:gridSpan w:val="2"/>
          </w:tcPr>
          <w:p>
            <w:pPr>
              <w:spacing w:after="0"/>
              <w:rPr>
                <w:sz w:val="20"/>
                <w:szCs w:val="20"/>
                <w:color w:val="auto"/>
              </w:rPr>
            </w:pPr>
            <w:r>
              <w:rPr>
                <w:rFonts w:ascii="Arial" w:cs="Arial" w:eastAsia="Arial" w:hAnsi="Arial"/>
                <w:sz w:val="18"/>
                <w:szCs w:val="18"/>
                <w:color w:val="auto"/>
              </w:rPr>
              <w:t>Greatbatch Medical SAS</w:t>
            </w:r>
          </w:p>
        </w:tc>
        <w:tc>
          <w:tcPr>
            <w:tcW w:w="1200" w:type="dxa"/>
            <w:vAlign w:val="bottom"/>
            <w:gridSpan w:val="2"/>
          </w:tcPr>
          <w:p>
            <w:pPr>
              <w:spacing w:after="0"/>
              <w:rPr>
                <w:sz w:val="20"/>
                <w:szCs w:val="20"/>
                <w:color w:val="auto"/>
              </w:rPr>
            </w:pPr>
            <w:r>
              <w:rPr>
                <w:rFonts w:ascii="Arial" w:cs="Arial" w:eastAsia="Arial" w:hAnsi="Arial"/>
                <w:sz w:val="18"/>
                <w:szCs w:val="18"/>
                <w:color w:val="auto"/>
              </w:rPr>
              <w:t>France</w:t>
            </w:r>
          </w:p>
        </w:tc>
      </w:tr>
      <w:tr>
        <w:trPr>
          <w:trHeight w:val="716"/>
        </w:trPr>
        <w:tc>
          <w:tcPr>
            <w:tcW w:w="7120" w:type="dxa"/>
            <w:vAlign w:val="bottom"/>
            <w:gridSpan w:val="2"/>
          </w:tcPr>
          <w:p>
            <w:pPr>
              <w:spacing w:after="0"/>
              <w:rPr>
                <w:sz w:val="20"/>
                <w:szCs w:val="20"/>
                <w:color w:val="auto"/>
              </w:rPr>
            </w:pPr>
            <w:r>
              <w:rPr>
                <w:rFonts w:ascii="Arial" w:cs="Arial" w:eastAsia="Arial" w:hAnsi="Arial"/>
                <w:sz w:val="18"/>
                <w:szCs w:val="18"/>
                <w:color w:val="auto"/>
              </w:rPr>
              <w:t>Greatbatch Medical Limited</w:t>
            </w:r>
          </w:p>
        </w:tc>
        <w:tc>
          <w:tcPr>
            <w:tcW w:w="1200" w:type="dxa"/>
            <w:vAlign w:val="bottom"/>
            <w:gridSpan w:val="2"/>
          </w:tcPr>
          <w:p>
            <w:pPr>
              <w:spacing w:after="0"/>
              <w:rPr>
                <w:sz w:val="20"/>
                <w:szCs w:val="20"/>
                <w:color w:val="auto"/>
              </w:rPr>
            </w:pPr>
            <w:r>
              <w:rPr>
                <w:rFonts w:ascii="Arial" w:cs="Arial" w:eastAsia="Arial" w:hAnsi="Arial"/>
                <w:sz w:val="18"/>
                <w:szCs w:val="18"/>
                <w:color w:val="auto"/>
                <w:w w:val="92"/>
              </w:rPr>
              <w:t>United Kingdom</w:t>
            </w:r>
          </w:p>
        </w:tc>
      </w:tr>
      <w:tr>
        <w:trPr>
          <w:trHeight w:val="716"/>
        </w:trPr>
        <w:tc>
          <w:tcPr>
            <w:tcW w:w="7120" w:type="dxa"/>
            <w:vAlign w:val="bottom"/>
            <w:gridSpan w:val="2"/>
          </w:tcPr>
          <w:p>
            <w:pPr>
              <w:spacing w:after="0"/>
              <w:rPr>
                <w:sz w:val="20"/>
                <w:szCs w:val="20"/>
                <w:color w:val="auto"/>
              </w:rPr>
            </w:pPr>
            <w:r>
              <w:rPr>
                <w:rFonts w:ascii="Arial" w:cs="Arial" w:eastAsia="Arial" w:hAnsi="Arial"/>
                <w:sz w:val="18"/>
                <w:szCs w:val="18"/>
                <w:color w:val="auto"/>
              </w:rPr>
              <w:t>NeuroNexus Technologies, Inc.</w:t>
            </w:r>
          </w:p>
        </w:tc>
        <w:tc>
          <w:tcPr>
            <w:tcW w:w="1200" w:type="dxa"/>
            <w:vAlign w:val="bottom"/>
            <w:gridSpan w:val="2"/>
          </w:tcPr>
          <w:p>
            <w:pPr>
              <w:spacing w:after="0"/>
              <w:rPr>
                <w:sz w:val="20"/>
                <w:szCs w:val="20"/>
                <w:color w:val="auto"/>
              </w:rPr>
            </w:pPr>
            <w:r>
              <w:rPr>
                <w:rFonts w:ascii="Arial" w:cs="Arial" w:eastAsia="Arial" w:hAnsi="Arial"/>
                <w:sz w:val="18"/>
                <w:szCs w:val="18"/>
                <w:color w:val="auto"/>
              </w:rPr>
              <w:t>Michigan</w:t>
            </w:r>
          </w:p>
        </w:tc>
      </w:tr>
      <w:tr>
        <w:trPr>
          <w:trHeight w:val="716"/>
        </w:trPr>
        <w:tc>
          <w:tcPr>
            <w:tcW w:w="7120" w:type="dxa"/>
            <w:vAlign w:val="bottom"/>
            <w:gridSpan w:val="2"/>
          </w:tcPr>
          <w:p>
            <w:pPr>
              <w:spacing w:after="0"/>
              <w:rPr>
                <w:sz w:val="20"/>
                <w:szCs w:val="20"/>
                <w:color w:val="auto"/>
              </w:rPr>
            </w:pPr>
            <w:r>
              <w:rPr>
                <w:rFonts w:ascii="Arial" w:cs="Arial" w:eastAsia="Arial" w:hAnsi="Arial"/>
                <w:sz w:val="18"/>
                <w:szCs w:val="18"/>
                <w:color w:val="auto"/>
              </w:rPr>
              <w:t>AlgoStim LLC</w:t>
            </w:r>
          </w:p>
        </w:tc>
        <w:tc>
          <w:tcPr>
            <w:tcW w:w="1200" w:type="dxa"/>
            <w:vAlign w:val="bottom"/>
            <w:gridSpan w:val="2"/>
          </w:tcPr>
          <w:p>
            <w:pPr>
              <w:spacing w:after="0"/>
              <w:rPr>
                <w:sz w:val="20"/>
                <w:szCs w:val="20"/>
                <w:color w:val="auto"/>
              </w:rPr>
            </w:pPr>
            <w:r>
              <w:rPr>
                <w:rFonts w:ascii="Arial" w:cs="Arial" w:eastAsia="Arial" w:hAnsi="Arial"/>
                <w:sz w:val="18"/>
                <w:szCs w:val="18"/>
                <w:color w:val="auto"/>
              </w:rPr>
              <w:t>Delaware</w:t>
            </w:r>
          </w:p>
        </w:tc>
      </w:tr>
      <w:tr>
        <w:trPr>
          <w:trHeight w:val="716"/>
        </w:trPr>
        <w:tc>
          <w:tcPr>
            <w:tcW w:w="7120" w:type="dxa"/>
            <w:vAlign w:val="bottom"/>
            <w:gridSpan w:val="2"/>
          </w:tcPr>
          <w:p>
            <w:pPr>
              <w:spacing w:after="0"/>
              <w:rPr>
                <w:sz w:val="20"/>
                <w:szCs w:val="20"/>
                <w:color w:val="auto"/>
              </w:rPr>
            </w:pPr>
            <w:r>
              <w:rPr>
                <w:rFonts w:ascii="Arial" w:cs="Arial" w:eastAsia="Arial" w:hAnsi="Arial"/>
                <w:sz w:val="18"/>
                <w:szCs w:val="18"/>
                <w:color w:val="auto"/>
              </w:rPr>
              <w:t>PelviStim LLC</w:t>
            </w:r>
          </w:p>
        </w:tc>
        <w:tc>
          <w:tcPr>
            <w:tcW w:w="1200" w:type="dxa"/>
            <w:vAlign w:val="bottom"/>
            <w:gridSpan w:val="2"/>
          </w:tcPr>
          <w:p>
            <w:pPr>
              <w:spacing w:after="0"/>
              <w:rPr>
                <w:sz w:val="20"/>
                <w:szCs w:val="20"/>
                <w:color w:val="auto"/>
              </w:rPr>
            </w:pPr>
            <w:r>
              <w:rPr>
                <w:rFonts w:ascii="Arial" w:cs="Arial" w:eastAsia="Arial" w:hAnsi="Arial"/>
                <w:sz w:val="18"/>
                <w:szCs w:val="18"/>
                <w:color w:val="auto"/>
              </w:rPr>
              <w:t>Delaware</w:t>
            </w:r>
          </w:p>
        </w:tc>
      </w:tr>
      <w:tr>
        <w:trPr>
          <w:trHeight w:val="513"/>
        </w:trPr>
        <w:tc>
          <w:tcPr>
            <w:tcW w:w="7120" w:type="dxa"/>
            <w:vAlign w:val="bottom"/>
            <w:gridSpan w:val="2"/>
          </w:tcPr>
          <w:p>
            <w:pPr>
              <w:spacing w:after="0"/>
              <w:rPr>
                <w:sz w:val="20"/>
                <w:szCs w:val="20"/>
                <w:color w:val="auto"/>
              </w:rPr>
            </w:pPr>
            <w:r>
              <w:rPr>
                <w:rFonts w:ascii="Arial" w:cs="Arial" w:eastAsia="Arial" w:hAnsi="Arial"/>
                <w:sz w:val="18"/>
                <w:szCs w:val="18"/>
                <w:color w:val="auto"/>
              </w:rPr>
              <w:t>Greatbatch UHC SA</w:t>
            </w:r>
          </w:p>
        </w:tc>
        <w:tc>
          <w:tcPr>
            <w:tcW w:w="1200" w:type="dxa"/>
            <w:vAlign w:val="bottom"/>
            <w:gridSpan w:val="2"/>
          </w:tcPr>
          <w:p>
            <w:pPr>
              <w:spacing w:after="0"/>
              <w:rPr>
                <w:sz w:val="20"/>
                <w:szCs w:val="20"/>
                <w:color w:val="auto"/>
              </w:rPr>
            </w:pPr>
            <w:r>
              <w:rPr>
                <w:rFonts w:ascii="Arial" w:cs="Arial" w:eastAsia="Arial" w:hAnsi="Arial"/>
                <w:sz w:val="18"/>
                <w:szCs w:val="18"/>
                <w:color w:val="auto"/>
              </w:rPr>
              <w:t>Switzerland</w:t>
            </w:r>
          </w:p>
        </w:tc>
      </w:tr>
      <w:tr>
        <w:trPr>
          <w:trHeight w:val="729"/>
        </w:trPr>
        <w:tc>
          <w:tcPr>
            <w:tcW w:w="7120" w:type="dxa"/>
            <w:vAlign w:val="bottom"/>
            <w:gridSpan w:val="2"/>
          </w:tcPr>
          <w:p>
            <w:pPr>
              <w:spacing w:after="0"/>
              <w:rPr>
                <w:sz w:val="20"/>
                <w:szCs w:val="20"/>
                <w:color w:val="auto"/>
              </w:rPr>
            </w:pPr>
            <w:r>
              <w:rPr>
                <w:rFonts w:ascii="Arial" w:cs="Arial" w:eastAsia="Arial" w:hAnsi="Arial"/>
                <w:sz w:val="18"/>
                <w:szCs w:val="18"/>
                <w:color w:val="auto"/>
              </w:rPr>
              <w:t>Centro de Construcción de Cardioestimuladores del Uruguay SA</w:t>
            </w:r>
          </w:p>
        </w:tc>
        <w:tc>
          <w:tcPr>
            <w:tcW w:w="1200" w:type="dxa"/>
            <w:vAlign w:val="bottom"/>
            <w:gridSpan w:val="2"/>
          </w:tcPr>
          <w:p>
            <w:pPr>
              <w:spacing w:after="0"/>
              <w:rPr>
                <w:sz w:val="20"/>
                <w:szCs w:val="20"/>
                <w:color w:val="auto"/>
              </w:rPr>
            </w:pPr>
            <w:r>
              <w:rPr>
                <w:rFonts w:ascii="Arial" w:cs="Arial" w:eastAsia="Arial" w:hAnsi="Arial"/>
                <w:sz w:val="18"/>
                <w:szCs w:val="18"/>
                <w:color w:val="auto"/>
              </w:rPr>
              <w:t>Uruguay</w:t>
            </w:r>
          </w:p>
        </w:tc>
      </w:tr>
      <w:tr>
        <w:trPr>
          <w:trHeight w:val="729"/>
        </w:trPr>
        <w:tc>
          <w:tcPr>
            <w:tcW w:w="7120" w:type="dxa"/>
            <w:vAlign w:val="bottom"/>
            <w:gridSpan w:val="2"/>
          </w:tcPr>
          <w:p>
            <w:pPr>
              <w:spacing w:after="0"/>
              <w:rPr>
                <w:sz w:val="20"/>
                <w:szCs w:val="20"/>
                <w:color w:val="auto"/>
              </w:rPr>
            </w:pPr>
            <w:r>
              <w:rPr>
                <w:rFonts w:ascii="Arial" w:cs="Arial" w:eastAsia="Arial" w:hAnsi="Arial"/>
                <w:sz w:val="18"/>
                <w:szCs w:val="18"/>
                <w:color w:val="auto"/>
              </w:rPr>
              <w:t>GBV, LLC</w:t>
            </w:r>
          </w:p>
        </w:tc>
        <w:tc>
          <w:tcPr>
            <w:tcW w:w="1200" w:type="dxa"/>
            <w:vAlign w:val="bottom"/>
            <w:gridSpan w:val="2"/>
          </w:tcPr>
          <w:p>
            <w:pPr>
              <w:spacing w:after="0"/>
              <w:rPr>
                <w:sz w:val="20"/>
                <w:szCs w:val="20"/>
                <w:color w:val="auto"/>
              </w:rPr>
            </w:pPr>
            <w:r>
              <w:rPr>
                <w:rFonts w:ascii="Arial" w:cs="Arial" w:eastAsia="Arial" w:hAnsi="Arial"/>
                <w:sz w:val="18"/>
                <w:szCs w:val="18"/>
                <w:color w:val="auto"/>
              </w:rPr>
              <w:t>Delaware</w:t>
            </w:r>
          </w:p>
        </w:tc>
      </w:tr>
      <w:tr>
        <w:trPr>
          <w:trHeight w:val="513"/>
        </w:trPr>
        <w:tc>
          <w:tcPr>
            <w:tcW w:w="7120" w:type="dxa"/>
            <w:vAlign w:val="bottom"/>
            <w:gridSpan w:val="2"/>
          </w:tcPr>
          <w:p>
            <w:pPr>
              <w:spacing w:after="0"/>
              <w:rPr>
                <w:sz w:val="20"/>
                <w:szCs w:val="20"/>
                <w:color w:val="auto"/>
              </w:rPr>
            </w:pPr>
            <w:r>
              <w:rPr>
                <w:rFonts w:ascii="Arial" w:cs="Arial" w:eastAsia="Arial" w:hAnsi="Arial"/>
                <w:sz w:val="18"/>
                <w:szCs w:val="18"/>
                <w:color w:val="auto"/>
              </w:rPr>
              <w:t>Greatbatch MCSO, S. de R.L. de C.V</w:t>
            </w:r>
          </w:p>
        </w:tc>
        <w:tc>
          <w:tcPr>
            <w:tcW w:w="1200" w:type="dxa"/>
            <w:vAlign w:val="bottom"/>
            <w:gridSpan w:val="2"/>
          </w:tcPr>
          <w:p>
            <w:pPr>
              <w:spacing w:after="0"/>
              <w:rPr>
                <w:sz w:val="20"/>
                <w:szCs w:val="20"/>
                <w:color w:val="auto"/>
              </w:rPr>
            </w:pPr>
            <w:r>
              <w:rPr>
                <w:rFonts w:ascii="Arial" w:cs="Arial" w:eastAsia="Arial" w:hAnsi="Arial"/>
                <w:sz w:val="18"/>
                <w:szCs w:val="18"/>
                <w:color w:val="auto"/>
              </w:rPr>
              <w:t>Mexico</w:t>
            </w:r>
          </w:p>
        </w:tc>
      </w:tr>
      <w:tr>
        <w:trPr>
          <w:trHeight w:val="500"/>
        </w:trPr>
        <w:tc>
          <w:tcPr>
            <w:tcW w:w="7120" w:type="dxa"/>
            <w:vAlign w:val="bottom"/>
            <w:gridSpan w:val="2"/>
          </w:tcPr>
          <w:p>
            <w:pPr>
              <w:spacing w:after="0"/>
              <w:rPr>
                <w:sz w:val="20"/>
                <w:szCs w:val="20"/>
                <w:color w:val="auto"/>
              </w:rPr>
            </w:pPr>
            <w:r>
              <w:rPr>
                <w:rFonts w:ascii="Arial" w:cs="Arial" w:eastAsia="Arial" w:hAnsi="Arial"/>
                <w:sz w:val="18"/>
                <w:szCs w:val="18"/>
                <w:color w:val="auto"/>
              </w:rPr>
              <w:t>Greatbatch European Business Development Organization, SA</w:t>
            </w:r>
          </w:p>
        </w:tc>
        <w:tc>
          <w:tcPr>
            <w:tcW w:w="1200" w:type="dxa"/>
            <w:vAlign w:val="bottom"/>
            <w:gridSpan w:val="2"/>
          </w:tcPr>
          <w:p>
            <w:pPr>
              <w:spacing w:after="0"/>
              <w:rPr>
                <w:sz w:val="20"/>
                <w:szCs w:val="20"/>
                <w:color w:val="auto"/>
              </w:rPr>
            </w:pPr>
            <w:r>
              <w:rPr>
                <w:rFonts w:ascii="Arial" w:cs="Arial" w:eastAsia="Arial" w:hAnsi="Arial"/>
                <w:sz w:val="18"/>
                <w:szCs w:val="18"/>
                <w:color w:val="auto"/>
              </w:rPr>
              <w:t>Switzerland</w:t>
            </w:r>
          </w:p>
        </w:tc>
      </w:tr>
    </w:tbl>
    <w:p>
      <w:pPr>
        <w:sectPr>
          <w:pgSz w:w="11900" w:h="16838" w:orient="portrait"/>
          <w:cols w:equalWidth="0" w:num="1">
            <w:col w:w="11380"/>
          </w:cols>
          <w:pgMar w:left="280" w:top="580" w:right="239" w:bottom="697" w:gutter="0" w:footer="0" w:header="0"/>
        </w:sectPr>
      </w:pPr>
    </w:p>
    <w:bookmarkStart w:id="120" w:name="page121"/>
    <w:bookmarkEnd w:id="120"/>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6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89"/>
              </w:rPr>
              <w:t>Subsidiary</w:t>
            </w:r>
          </w:p>
        </w:tc>
        <w:tc>
          <w:tcPr>
            <w:tcW w:w="6460" w:type="dxa"/>
            <w:vAlign w:val="bottom"/>
          </w:tcPr>
          <w:p>
            <w:pPr>
              <w:spacing w:after="0"/>
              <w:rPr>
                <w:sz w:val="14"/>
                <w:szCs w:val="14"/>
                <w:color w:val="auto"/>
              </w:rPr>
            </w:pPr>
          </w:p>
        </w:tc>
        <w:tc>
          <w:tcPr>
            <w:tcW w:w="80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91"/>
              </w:rPr>
              <w:t>Incorporated</w:t>
            </w:r>
          </w:p>
        </w:tc>
      </w:tr>
      <w:tr>
        <w:trPr>
          <w:trHeight w:val="507"/>
        </w:trPr>
        <w:tc>
          <w:tcPr>
            <w:tcW w:w="7120" w:type="dxa"/>
            <w:vAlign w:val="bottom"/>
            <w:gridSpan w:val="2"/>
          </w:tcPr>
          <w:p>
            <w:pPr>
              <w:spacing w:after="0"/>
              <w:rPr>
                <w:sz w:val="20"/>
                <w:szCs w:val="20"/>
                <w:color w:val="auto"/>
              </w:rPr>
            </w:pPr>
            <w:r>
              <w:rPr>
                <w:rFonts w:ascii="Arial" w:cs="Arial" w:eastAsia="Arial" w:hAnsi="Arial"/>
                <w:sz w:val="18"/>
                <w:szCs w:val="18"/>
                <w:color w:val="auto"/>
              </w:rPr>
              <w:t>Lake Region Medical Holdings, Inc</w:t>
            </w:r>
          </w:p>
        </w:tc>
        <w:tc>
          <w:tcPr>
            <w:tcW w:w="800" w:type="dxa"/>
            <w:vAlign w:val="bottom"/>
          </w:tcPr>
          <w:p>
            <w:pPr>
              <w:spacing w:after="0"/>
              <w:rPr>
                <w:sz w:val="20"/>
                <w:szCs w:val="20"/>
                <w:color w:val="auto"/>
              </w:rPr>
            </w:pPr>
            <w:r>
              <w:rPr>
                <w:rFonts w:ascii="Arial" w:cs="Arial" w:eastAsia="Arial" w:hAnsi="Arial"/>
                <w:sz w:val="18"/>
                <w:szCs w:val="18"/>
                <w:color w:val="auto"/>
              </w:rPr>
              <w:t>Delaware</w:t>
            </w:r>
          </w:p>
        </w:tc>
      </w:tr>
      <w:tr>
        <w:trPr>
          <w:trHeight w:val="729"/>
        </w:trPr>
        <w:tc>
          <w:tcPr>
            <w:tcW w:w="7120" w:type="dxa"/>
            <w:vAlign w:val="bottom"/>
            <w:gridSpan w:val="2"/>
          </w:tcPr>
          <w:p>
            <w:pPr>
              <w:spacing w:after="0"/>
              <w:rPr>
                <w:sz w:val="20"/>
                <w:szCs w:val="20"/>
                <w:color w:val="auto"/>
              </w:rPr>
            </w:pPr>
            <w:r>
              <w:rPr>
                <w:rFonts w:ascii="Arial" w:cs="Arial" w:eastAsia="Arial" w:hAnsi="Arial"/>
                <w:sz w:val="18"/>
                <w:szCs w:val="18"/>
                <w:color w:val="auto"/>
              </w:rPr>
              <w:t>Lake Region Medical, Inc.</w:t>
            </w:r>
          </w:p>
        </w:tc>
        <w:tc>
          <w:tcPr>
            <w:tcW w:w="800" w:type="dxa"/>
            <w:vAlign w:val="bottom"/>
          </w:tcPr>
          <w:p>
            <w:pPr>
              <w:spacing w:after="0"/>
              <w:rPr>
                <w:sz w:val="20"/>
                <w:szCs w:val="20"/>
                <w:color w:val="auto"/>
              </w:rPr>
            </w:pPr>
            <w:r>
              <w:rPr>
                <w:rFonts w:ascii="Arial" w:cs="Arial" w:eastAsia="Arial" w:hAnsi="Arial"/>
                <w:sz w:val="18"/>
                <w:szCs w:val="18"/>
                <w:color w:val="auto"/>
              </w:rPr>
              <w:t>Maryland</w:t>
            </w:r>
          </w:p>
        </w:tc>
      </w:tr>
      <w:tr>
        <w:trPr>
          <w:trHeight w:val="513"/>
        </w:trPr>
        <w:tc>
          <w:tcPr>
            <w:tcW w:w="7120" w:type="dxa"/>
            <w:vAlign w:val="bottom"/>
            <w:gridSpan w:val="2"/>
          </w:tcPr>
          <w:p>
            <w:pPr>
              <w:spacing w:after="0"/>
              <w:rPr>
                <w:sz w:val="20"/>
                <w:szCs w:val="20"/>
                <w:color w:val="auto"/>
              </w:rPr>
            </w:pPr>
            <w:r>
              <w:rPr>
                <w:rFonts w:ascii="Arial" w:cs="Arial" w:eastAsia="Arial" w:hAnsi="Arial"/>
                <w:sz w:val="18"/>
                <w:szCs w:val="18"/>
                <w:color w:val="auto"/>
              </w:rPr>
              <w:t>Lake Region Medical Holdings Limited</w:t>
            </w:r>
          </w:p>
        </w:tc>
        <w:tc>
          <w:tcPr>
            <w:tcW w:w="800" w:type="dxa"/>
            <w:vAlign w:val="bottom"/>
          </w:tcPr>
          <w:p>
            <w:pPr>
              <w:spacing w:after="0"/>
              <w:rPr>
                <w:sz w:val="20"/>
                <w:szCs w:val="20"/>
                <w:color w:val="auto"/>
              </w:rPr>
            </w:pPr>
            <w:r>
              <w:rPr>
                <w:rFonts w:ascii="Arial" w:cs="Arial" w:eastAsia="Arial" w:hAnsi="Arial"/>
                <w:sz w:val="18"/>
                <w:szCs w:val="18"/>
                <w:color w:val="auto"/>
              </w:rPr>
              <w:t>Ireland</w:t>
            </w:r>
          </w:p>
        </w:tc>
      </w:tr>
      <w:tr>
        <w:trPr>
          <w:trHeight w:val="729"/>
        </w:trPr>
        <w:tc>
          <w:tcPr>
            <w:tcW w:w="7120" w:type="dxa"/>
            <w:vAlign w:val="bottom"/>
            <w:gridSpan w:val="2"/>
          </w:tcPr>
          <w:p>
            <w:pPr>
              <w:spacing w:after="0"/>
              <w:rPr>
                <w:sz w:val="20"/>
                <w:szCs w:val="20"/>
                <w:color w:val="auto"/>
              </w:rPr>
            </w:pPr>
            <w:r>
              <w:rPr>
                <w:rFonts w:ascii="Arial" w:cs="Arial" w:eastAsia="Arial" w:hAnsi="Arial"/>
                <w:sz w:val="18"/>
                <w:szCs w:val="18"/>
                <w:color w:val="auto"/>
              </w:rPr>
              <w:t>Lake Region Medical Limited</w:t>
            </w:r>
          </w:p>
        </w:tc>
        <w:tc>
          <w:tcPr>
            <w:tcW w:w="800" w:type="dxa"/>
            <w:vAlign w:val="bottom"/>
          </w:tcPr>
          <w:p>
            <w:pPr>
              <w:spacing w:after="0"/>
              <w:rPr>
                <w:sz w:val="20"/>
                <w:szCs w:val="20"/>
                <w:color w:val="auto"/>
              </w:rPr>
            </w:pPr>
            <w:r>
              <w:rPr>
                <w:rFonts w:ascii="Arial" w:cs="Arial" w:eastAsia="Arial" w:hAnsi="Arial"/>
                <w:sz w:val="18"/>
                <w:szCs w:val="18"/>
                <w:color w:val="auto"/>
              </w:rPr>
              <w:t>Ireland</w:t>
            </w:r>
          </w:p>
        </w:tc>
      </w:tr>
      <w:tr>
        <w:trPr>
          <w:trHeight w:val="729"/>
        </w:trPr>
        <w:tc>
          <w:tcPr>
            <w:tcW w:w="7120" w:type="dxa"/>
            <w:vAlign w:val="bottom"/>
            <w:gridSpan w:val="2"/>
          </w:tcPr>
          <w:p>
            <w:pPr>
              <w:spacing w:after="0"/>
              <w:rPr>
                <w:sz w:val="20"/>
                <w:szCs w:val="20"/>
                <w:color w:val="auto"/>
              </w:rPr>
            </w:pPr>
            <w:r>
              <w:rPr>
                <w:rFonts w:ascii="Arial" w:cs="Arial" w:eastAsia="Arial" w:hAnsi="Arial"/>
                <w:sz w:val="18"/>
                <w:szCs w:val="18"/>
                <w:color w:val="auto"/>
              </w:rPr>
              <w:t>Brivant Limited</w:t>
            </w:r>
          </w:p>
        </w:tc>
        <w:tc>
          <w:tcPr>
            <w:tcW w:w="800" w:type="dxa"/>
            <w:vAlign w:val="bottom"/>
          </w:tcPr>
          <w:p>
            <w:pPr>
              <w:spacing w:after="0"/>
              <w:rPr>
                <w:sz w:val="20"/>
                <w:szCs w:val="20"/>
                <w:color w:val="auto"/>
              </w:rPr>
            </w:pPr>
            <w:r>
              <w:rPr>
                <w:rFonts w:ascii="Arial" w:cs="Arial" w:eastAsia="Arial" w:hAnsi="Arial"/>
                <w:sz w:val="18"/>
                <w:szCs w:val="18"/>
                <w:color w:val="auto"/>
              </w:rPr>
              <w:t>Ireland</w:t>
            </w:r>
          </w:p>
        </w:tc>
      </w:tr>
      <w:tr>
        <w:trPr>
          <w:trHeight w:val="513"/>
        </w:trPr>
        <w:tc>
          <w:tcPr>
            <w:tcW w:w="7120" w:type="dxa"/>
            <w:vAlign w:val="bottom"/>
            <w:gridSpan w:val="2"/>
          </w:tcPr>
          <w:p>
            <w:pPr>
              <w:spacing w:after="0"/>
              <w:rPr>
                <w:sz w:val="20"/>
                <w:szCs w:val="20"/>
                <w:color w:val="auto"/>
              </w:rPr>
            </w:pPr>
            <w:r>
              <w:rPr>
                <w:rFonts w:ascii="Arial" w:cs="Arial" w:eastAsia="Arial" w:hAnsi="Arial"/>
                <w:sz w:val="18"/>
                <w:szCs w:val="18"/>
                <w:color w:val="auto"/>
              </w:rPr>
              <w:t>Lake (Shanghai) Medical device Trading Co., Ltd.</w:t>
            </w:r>
          </w:p>
        </w:tc>
        <w:tc>
          <w:tcPr>
            <w:tcW w:w="800" w:type="dxa"/>
            <w:vAlign w:val="bottom"/>
          </w:tcPr>
          <w:p>
            <w:pPr>
              <w:spacing w:after="0"/>
              <w:rPr>
                <w:sz w:val="20"/>
                <w:szCs w:val="20"/>
                <w:color w:val="auto"/>
              </w:rPr>
            </w:pPr>
            <w:r>
              <w:rPr>
                <w:rFonts w:ascii="Arial" w:cs="Arial" w:eastAsia="Arial" w:hAnsi="Arial"/>
                <w:sz w:val="18"/>
                <w:szCs w:val="18"/>
                <w:color w:val="auto"/>
              </w:rPr>
              <w:t>China</w:t>
            </w:r>
          </w:p>
        </w:tc>
      </w:tr>
      <w:tr>
        <w:trPr>
          <w:trHeight w:val="513"/>
        </w:trPr>
        <w:tc>
          <w:tcPr>
            <w:tcW w:w="7120" w:type="dxa"/>
            <w:vAlign w:val="bottom"/>
            <w:gridSpan w:val="2"/>
          </w:tcPr>
          <w:p>
            <w:pPr>
              <w:spacing w:after="0"/>
              <w:rPr>
                <w:sz w:val="20"/>
                <w:szCs w:val="20"/>
                <w:color w:val="auto"/>
              </w:rPr>
            </w:pPr>
            <w:r>
              <w:rPr>
                <w:rFonts w:ascii="Arial" w:cs="Arial" w:eastAsia="Arial" w:hAnsi="Arial"/>
                <w:sz w:val="18"/>
                <w:szCs w:val="18"/>
                <w:color w:val="auto"/>
              </w:rPr>
              <w:t>Lake Region Medical, Limitada</w:t>
            </w:r>
          </w:p>
        </w:tc>
        <w:tc>
          <w:tcPr>
            <w:tcW w:w="800" w:type="dxa"/>
            <w:vAlign w:val="bottom"/>
          </w:tcPr>
          <w:p>
            <w:pPr>
              <w:spacing w:after="0"/>
              <w:rPr>
                <w:sz w:val="20"/>
                <w:szCs w:val="20"/>
                <w:color w:val="auto"/>
              </w:rPr>
            </w:pPr>
            <w:r>
              <w:rPr>
                <w:rFonts w:ascii="Arial" w:cs="Arial" w:eastAsia="Arial" w:hAnsi="Arial"/>
                <w:sz w:val="18"/>
                <w:szCs w:val="18"/>
                <w:color w:val="auto"/>
                <w:w w:val="88"/>
              </w:rPr>
              <w:t>Costa Rica</w:t>
            </w:r>
          </w:p>
        </w:tc>
      </w:tr>
      <w:tr>
        <w:trPr>
          <w:trHeight w:val="513"/>
        </w:trPr>
        <w:tc>
          <w:tcPr>
            <w:tcW w:w="7120" w:type="dxa"/>
            <w:vAlign w:val="bottom"/>
            <w:gridSpan w:val="2"/>
          </w:tcPr>
          <w:p>
            <w:pPr>
              <w:spacing w:after="0"/>
              <w:rPr>
                <w:sz w:val="20"/>
                <w:szCs w:val="20"/>
                <w:color w:val="auto"/>
              </w:rPr>
            </w:pPr>
            <w:r>
              <w:rPr>
                <w:rFonts w:ascii="Arial" w:cs="Arial" w:eastAsia="Arial" w:hAnsi="Arial"/>
                <w:sz w:val="18"/>
                <w:szCs w:val="18"/>
                <w:color w:val="auto"/>
              </w:rPr>
              <w:t>American Technical Molding, Inc.</w:t>
            </w:r>
          </w:p>
        </w:tc>
        <w:tc>
          <w:tcPr>
            <w:tcW w:w="800" w:type="dxa"/>
            <w:vAlign w:val="bottom"/>
          </w:tcPr>
          <w:p>
            <w:pPr>
              <w:spacing w:after="0"/>
              <w:rPr>
                <w:sz w:val="20"/>
                <w:szCs w:val="20"/>
                <w:color w:val="auto"/>
              </w:rPr>
            </w:pPr>
            <w:r>
              <w:rPr>
                <w:rFonts w:ascii="Arial" w:cs="Arial" w:eastAsia="Arial" w:hAnsi="Arial"/>
                <w:sz w:val="18"/>
                <w:szCs w:val="18"/>
                <w:color w:val="auto"/>
              </w:rPr>
              <w:t>California</w:t>
            </w:r>
          </w:p>
        </w:tc>
      </w:tr>
      <w:tr>
        <w:trPr>
          <w:trHeight w:val="729"/>
        </w:trPr>
        <w:tc>
          <w:tcPr>
            <w:tcW w:w="7120" w:type="dxa"/>
            <w:vAlign w:val="bottom"/>
            <w:gridSpan w:val="2"/>
          </w:tcPr>
          <w:p>
            <w:pPr>
              <w:spacing w:after="0"/>
              <w:rPr>
                <w:sz w:val="20"/>
                <w:szCs w:val="20"/>
                <w:color w:val="auto"/>
              </w:rPr>
            </w:pPr>
            <w:r>
              <w:rPr>
                <w:rFonts w:ascii="Arial" w:cs="Arial" w:eastAsia="Arial" w:hAnsi="Arial"/>
                <w:sz w:val="18"/>
                <w:szCs w:val="18"/>
                <w:color w:val="auto"/>
              </w:rPr>
              <w:t>G&amp;D LLC</w:t>
            </w:r>
          </w:p>
        </w:tc>
        <w:tc>
          <w:tcPr>
            <w:tcW w:w="800" w:type="dxa"/>
            <w:vAlign w:val="bottom"/>
          </w:tcPr>
          <w:p>
            <w:pPr>
              <w:spacing w:after="0"/>
              <w:rPr>
                <w:sz w:val="20"/>
                <w:szCs w:val="20"/>
                <w:color w:val="auto"/>
              </w:rPr>
            </w:pPr>
            <w:r>
              <w:rPr>
                <w:rFonts w:ascii="Arial" w:cs="Arial" w:eastAsia="Arial" w:hAnsi="Arial"/>
                <w:sz w:val="18"/>
                <w:szCs w:val="18"/>
                <w:color w:val="auto"/>
              </w:rPr>
              <w:t>Colorado</w:t>
            </w:r>
          </w:p>
        </w:tc>
      </w:tr>
      <w:tr>
        <w:trPr>
          <w:trHeight w:val="729"/>
        </w:trPr>
        <w:tc>
          <w:tcPr>
            <w:tcW w:w="7120" w:type="dxa"/>
            <w:vAlign w:val="bottom"/>
            <w:gridSpan w:val="2"/>
          </w:tcPr>
          <w:p>
            <w:pPr>
              <w:spacing w:after="0"/>
              <w:rPr>
                <w:sz w:val="20"/>
                <w:szCs w:val="20"/>
                <w:color w:val="auto"/>
              </w:rPr>
            </w:pPr>
            <w:r>
              <w:rPr>
                <w:rFonts w:ascii="Arial" w:cs="Arial" w:eastAsia="Arial" w:hAnsi="Arial"/>
                <w:sz w:val="18"/>
                <w:szCs w:val="18"/>
                <w:color w:val="auto"/>
              </w:rPr>
              <w:t>UTI Holdings, LLC</w:t>
            </w:r>
          </w:p>
        </w:tc>
        <w:tc>
          <w:tcPr>
            <w:tcW w:w="800" w:type="dxa"/>
            <w:vAlign w:val="bottom"/>
          </w:tcPr>
          <w:p>
            <w:pPr>
              <w:spacing w:after="0"/>
              <w:rPr>
                <w:sz w:val="20"/>
                <w:szCs w:val="20"/>
                <w:color w:val="auto"/>
              </w:rPr>
            </w:pPr>
            <w:r>
              <w:rPr>
                <w:rFonts w:ascii="Arial" w:cs="Arial" w:eastAsia="Arial" w:hAnsi="Arial"/>
                <w:sz w:val="18"/>
                <w:szCs w:val="18"/>
                <w:color w:val="auto"/>
              </w:rPr>
              <w:t>Delaware</w:t>
            </w:r>
          </w:p>
        </w:tc>
      </w:tr>
      <w:tr>
        <w:trPr>
          <w:trHeight w:val="729"/>
        </w:trPr>
        <w:tc>
          <w:tcPr>
            <w:tcW w:w="7120" w:type="dxa"/>
            <w:vAlign w:val="bottom"/>
            <w:gridSpan w:val="2"/>
          </w:tcPr>
          <w:p>
            <w:pPr>
              <w:spacing w:after="0"/>
              <w:rPr>
                <w:sz w:val="20"/>
                <w:szCs w:val="20"/>
                <w:color w:val="auto"/>
              </w:rPr>
            </w:pPr>
            <w:r>
              <w:rPr>
                <w:rFonts w:ascii="Arial" w:cs="Arial" w:eastAsia="Arial" w:hAnsi="Arial"/>
                <w:sz w:val="18"/>
                <w:szCs w:val="18"/>
                <w:color w:val="auto"/>
              </w:rPr>
              <w:t>Lake Region Medical GmbH</w:t>
            </w:r>
          </w:p>
        </w:tc>
        <w:tc>
          <w:tcPr>
            <w:tcW w:w="800" w:type="dxa"/>
            <w:vAlign w:val="bottom"/>
          </w:tcPr>
          <w:p>
            <w:pPr>
              <w:spacing w:after="0"/>
              <w:rPr>
                <w:sz w:val="20"/>
                <w:szCs w:val="20"/>
                <w:color w:val="auto"/>
              </w:rPr>
            </w:pPr>
            <w:r>
              <w:rPr>
                <w:rFonts w:ascii="Arial" w:cs="Arial" w:eastAsia="Arial" w:hAnsi="Arial"/>
                <w:sz w:val="18"/>
                <w:szCs w:val="18"/>
                <w:color w:val="auto"/>
              </w:rPr>
              <w:t>Germany</w:t>
            </w:r>
          </w:p>
        </w:tc>
      </w:tr>
      <w:tr>
        <w:trPr>
          <w:trHeight w:val="729"/>
        </w:trPr>
        <w:tc>
          <w:tcPr>
            <w:tcW w:w="7120" w:type="dxa"/>
            <w:vAlign w:val="bottom"/>
            <w:gridSpan w:val="2"/>
          </w:tcPr>
          <w:p>
            <w:pPr>
              <w:spacing w:after="0"/>
              <w:rPr>
                <w:sz w:val="20"/>
                <w:szCs w:val="20"/>
                <w:color w:val="auto"/>
              </w:rPr>
            </w:pPr>
            <w:r>
              <w:rPr>
                <w:rFonts w:ascii="Arial" w:cs="Arial" w:eastAsia="Arial" w:hAnsi="Arial"/>
                <w:sz w:val="18"/>
                <w:szCs w:val="18"/>
                <w:color w:val="auto"/>
              </w:rPr>
              <w:t>Star Guide Limited d/b/a Star Guide Europe</w:t>
            </w:r>
          </w:p>
        </w:tc>
        <w:tc>
          <w:tcPr>
            <w:tcW w:w="800" w:type="dxa"/>
            <w:vAlign w:val="bottom"/>
          </w:tcPr>
          <w:p>
            <w:pPr>
              <w:spacing w:after="0"/>
              <w:rPr>
                <w:sz w:val="20"/>
                <w:szCs w:val="20"/>
                <w:color w:val="auto"/>
              </w:rPr>
            </w:pPr>
            <w:r>
              <w:rPr>
                <w:rFonts w:ascii="Arial" w:cs="Arial" w:eastAsia="Arial" w:hAnsi="Arial"/>
                <w:sz w:val="18"/>
                <w:szCs w:val="18"/>
                <w:color w:val="auto"/>
              </w:rPr>
              <w:t>Ireland</w:t>
            </w:r>
          </w:p>
        </w:tc>
      </w:tr>
      <w:tr>
        <w:trPr>
          <w:trHeight w:val="729"/>
        </w:trPr>
        <w:tc>
          <w:tcPr>
            <w:tcW w:w="7120" w:type="dxa"/>
            <w:vAlign w:val="bottom"/>
            <w:gridSpan w:val="2"/>
          </w:tcPr>
          <w:p>
            <w:pPr>
              <w:spacing w:after="0"/>
              <w:rPr>
                <w:sz w:val="20"/>
                <w:szCs w:val="20"/>
                <w:color w:val="auto"/>
              </w:rPr>
            </w:pPr>
            <w:r>
              <w:rPr>
                <w:rFonts w:ascii="Arial" w:cs="Arial" w:eastAsia="Arial" w:hAnsi="Arial"/>
                <w:sz w:val="18"/>
                <w:szCs w:val="18"/>
                <w:color w:val="auto"/>
              </w:rPr>
              <w:t>Spectrum Manufacturing, Inc.</w:t>
            </w:r>
          </w:p>
        </w:tc>
        <w:tc>
          <w:tcPr>
            <w:tcW w:w="800" w:type="dxa"/>
            <w:vAlign w:val="bottom"/>
          </w:tcPr>
          <w:p>
            <w:pPr>
              <w:spacing w:after="0"/>
              <w:rPr>
                <w:sz w:val="20"/>
                <w:szCs w:val="20"/>
                <w:color w:val="auto"/>
              </w:rPr>
            </w:pPr>
            <w:r>
              <w:rPr>
                <w:rFonts w:ascii="Arial" w:cs="Arial" w:eastAsia="Arial" w:hAnsi="Arial"/>
                <w:sz w:val="18"/>
                <w:szCs w:val="18"/>
                <w:color w:val="auto"/>
              </w:rPr>
              <w:t>Nevada</w:t>
            </w:r>
          </w:p>
        </w:tc>
      </w:tr>
      <w:tr>
        <w:trPr>
          <w:trHeight w:val="729"/>
        </w:trPr>
        <w:tc>
          <w:tcPr>
            <w:tcW w:w="7120" w:type="dxa"/>
            <w:vAlign w:val="bottom"/>
            <w:gridSpan w:val="2"/>
          </w:tcPr>
          <w:p>
            <w:pPr>
              <w:spacing w:after="0"/>
              <w:rPr>
                <w:sz w:val="20"/>
                <w:szCs w:val="20"/>
                <w:color w:val="auto"/>
              </w:rPr>
            </w:pPr>
            <w:r>
              <w:rPr>
                <w:rFonts w:ascii="Arial" w:cs="Arial" w:eastAsia="Arial" w:hAnsi="Arial"/>
                <w:sz w:val="18"/>
                <w:szCs w:val="18"/>
                <w:color w:val="auto"/>
              </w:rPr>
              <w:t>MedSource Technologies Holdings, LLC</w:t>
            </w:r>
          </w:p>
        </w:tc>
        <w:tc>
          <w:tcPr>
            <w:tcW w:w="800" w:type="dxa"/>
            <w:vAlign w:val="bottom"/>
          </w:tcPr>
          <w:p>
            <w:pPr>
              <w:spacing w:after="0"/>
              <w:rPr>
                <w:sz w:val="20"/>
                <w:szCs w:val="20"/>
                <w:color w:val="auto"/>
              </w:rPr>
            </w:pPr>
            <w:r>
              <w:rPr>
                <w:rFonts w:ascii="Arial" w:cs="Arial" w:eastAsia="Arial" w:hAnsi="Arial"/>
                <w:sz w:val="18"/>
                <w:szCs w:val="18"/>
                <w:color w:val="auto"/>
              </w:rPr>
              <w:t>Delaware</w:t>
            </w:r>
          </w:p>
        </w:tc>
      </w:tr>
      <w:tr>
        <w:trPr>
          <w:trHeight w:val="729"/>
        </w:trPr>
        <w:tc>
          <w:tcPr>
            <w:tcW w:w="7120" w:type="dxa"/>
            <w:vAlign w:val="bottom"/>
            <w:gridSpan w:val="2"/>
          </w:tcPr>
          <w:p>
            <w:pPr>
              <w:spacing w:after="0"/>
              <w:rPr>
                <w:sz w:val="20"/>
                <w:szCs w:val="20"/>
                <w:color w:val="auto"/>
              </w:rPr>
            </w:pPr>
            <w:r>
              <w:rPr>
                <w:rFonts w:ascii="Arial" w:cs="Arial" w:eastAsia="Arial" w:hAnsi="Arial"/>
                <w:sz w:val="18"/>
                <w:szCs w:val="18"/>
                <w:color w:val="auto"/>
              </w:rPr>
              <w:t>MedSource Technologies, LLC</w:t>
            </w:r>
          </w:p>
        </w:tc>
        <w:tc>
          <w:tcPr>
            <w:tcW w:w="800" w:type="dxa"/>
            <w:vAlign w:val="bottom"/>
          </w:tcPr>
          <w:p>
            <w:pPr>
              <w:spacing w:after="0"/>
              <w:rPr>
                <w:sz w:val="20"/>
                <w:szCs w:val="20"/>
                <w:color w:val="auto"/>
              </w:rPr>
            </w:pPr>
            <w:r>
              <w:rPr>
                <w:rFonts w:ascii="Arial" w:cs="Arial" w:eastAsia="Arial" w:hAnsi="Arial"/>
                <w:sz w:val="18"/>
                <w:szCs w:val="18"/>
                <w:color w:val="auto"/>
              </w:rPr>
              <w:t>Delaware</w:t>
            </w:r>
          </w:p>
        </w:tc>
      </w:tr>
      <w:tr>
        <w:trPr>
          <w:trHeight w:val="729"/>
        </w:trPr>
        <w:tc>
          <w:tcPr>
            <w:tcW w:w="7120" w:type="dxa"/>
            <w:vAlign w:val="bottom"/>
            <w:gridSpan w:val="2"/>
          </w:tcPr>
          <w:p>
            <w:pPr>
              <w:spacing w:after="0"/>
              <w:rPr>
                <w:sz w:val="20"/>
                <w:szCs w:val="20"/>
                <w:color w:val="auto"/>
              </w:rPr>
            </w:pPr>
            <w:r>
              <w:rPr>
                <w:rFonts w:ascii="Arial" w:cs="Arial" w:eastAsia="Arial" w:hAnsi="Arial"/>
                <w:sz w:val="18"/>
                <w:szCs w:val="18"/>
                <w:color w:val="auto"/>
              </w:rPr>
              <w:t>Brimfield Precision, LLC</w:t>
            </w:r>
          </w:p>
        </w:tc>
        <w:tc>
          <w:tcPr>
            <w:tcW w:w="800" w:type="dxa"/>
            <w:vAlign w:val="bottom"/>
          </w:tcPr>
          <w:p>
            <w:pPr>
              <w:spacing w:after="0"/>
              <w:rPr>
                <w:sz w:val="20"/>
                <w:szCs w:val="20"/>
                <w:color w:val="auto"/>
              </w:rPr>
            </w:pPr>
            <w:r>
              <w:rPr>
                <w:rFonts w:ascii="Arial" w:cs="Arial" w:eastAsia="Arial" w:hAnsi="Arial"/>
                <w:sz w:val="18"/>
                <w:szCs w:val="18"/>
                <w:color w:val="auto"/>
              </w:rPr>
              <w:t>Delaware</w:t>
            </w:r>
          </w:p>
        </w:tc>
      </w:tr>
      <w:tr>
        <w:trPr>
          <w:trHeight w:val="513"/>
        </w:trPr>
        <w:tc>
          <w:tcPr>
            <w:tcW w:w="7120" w:type="dxa"/>
            <w:vAlign w:val="bottom"/>
            <w:gridSpan w:val="2"/>
          </w:tcPr>
          <w:p>
            <w:pPr>
              <w:spacing w:after="0"/>
              <w:rPr>
                <w:sz w:val="20"/>
                <w:szCs w:val="20"/>
                <w:color w:val="auto"/>
              </w:rPr>
            </w:pPr>
            <w:r>
              <w:rPr>
                <w:rFonts w:ascii="Arial" w:cs="Arial" w:eastAsia="Arial" w:hAnsi="Arial"/>
                <w:sz w:val="18"/>
                <w:szCs w:val="18"/>
                <w:color w:val="auto"/>
              </w:rPr>
              <w:t>Kelco Acquisition LLC</w:t>
            </w:r>
          </w:p>
        </w:tc>
        <w:tc>
          <w:tcPr>
            <w:tcW w:w="800" w:type="dxa"/>
            <w:vAlign w:val="bottom"/>
          </w:tcPr>
          <w:p>
            <w:pPr>
              <w:spacing w:after="0"/>
              <w:rPr>
                <w:sz w:val="20"/>
                <w:szCs w:val="20"/>
                <w:color w:val="auto"/>
              </w:rPr>
            </w:pPr>
            <w:r>
              <w:rPr>
                <w:rFonts w:ascii="Arial" w:cs="Arial" w:eastAsia="Arial" w:hAnsi="Arial"/>
                <w:sz w:val="18"/>
                <w:szCs w:val="18"/>
                <w:color w:val="auto"/>
              </w:rPr>
              <w:t>Delaware</w:t>
            </w:r>
          </w:p>
        </w:tc>
      </w:tr>
      <w:tr>
        <w:trPr>
          <w:trHeight w:val="729"/>
        </w:trPr>
        <w:tc>
          <w:tcPr>
            <w:tcW w:w="7120" w:type="dxa"/>
            <w:vAlign w:val="bottom"/>
            <w:gridSpan w:val="2"/>
          </w:tcPr>
          <w:p>
            <w:pPr>
              <w:spacing w:after="0"/>
              <w:rPr>
                <w:sz w:val="20"/>
                <w:szCs w:val="20"/>
                <w:color w:val="auto"/>
              </w:rPr>
            </w:pPr>
            <w:r>
              <w:rPr>
                <w:rFonts w:ascii="Arial" w:cs="Arial" w:eastAsia="Arial" w:hAnsi="Arial"/>
                <w:sz w:val="18"/>
                <w:szCs w:val="18"/>
                <w:color w:val="auto"/>
              </w:rPr>
              <w:t>MedSource Trenton LLC</w:t>
            </w:r>
          </w:p>
        </w:tc>
        <w:tc>
          <w:tcPr>
            <w:tcW w:w="800" w:type="dxa"/>
            <w:vAlign w:val="bottom"/>
          </w:tcPr>
          <w:p>
            <w:pPr>
              <w:spacing w:after="0"/>
              <w:rPr>
                <w:sz w:val="20"/>
                <w:szCs w:val="20"/>
                <w:color w:val="auto"/>
              </w:rPr>
            </w:pPr>
            <w:r>
              <w:rPr>
                <w:rFonts w:ascii="Arial" w:cs="Arial" w:eastAsia="Arial" w:hAnsi="Arial"/>
                <w:sz w:val="18"/>
                <w:szCs w:val="18"/>
                <w:color w:val="auto"/>
              </w:rPr>
              <w:t>Delaware</w:t>
            </w:r>
          </w:p>
        </w:tc>
      </w:tr>
      <w:tr>
        <w:trPr>
          <w:trHeight w:val="729"/>
        </w:trPr>
        <w:tc>
          <w:tcPr>
            <w:tcW w:w="7120" w:type="dxa"/>
            <w:vAlign w:val="bottom"/>
            <w:gridSpan w:val="2"/>
          </w:tcPr>
          <w:p>
            <w:pPr>
              <w:spacing w:after="0"/>
              <w:rPr>
                <w:sz w:val="20"/>
                <w:szCs w:val="20"/>
                <w:color w:val="auto"/>
              </w:rPr>
            </w:pPr>
            <w:r>
              <w:rPr>
                <w:rFonts w:ascii="Arial" w:cs="Arial" w:eastAsia="Arial" w:hAnsi="Arial"/>
                <w:sz w:val="18"/>
                <w:szCs w:val="18"/>
                <w:color w:val="auto"/>
              </w:rPr>
              <w:t>Portlyn, LLC</w:t>
            </w:r>
          </w:p>
        </w:tc>
        <w:tc>
          <w:tcPr>
            <w:tcW w:w="800" w:type="dxa"/>
            <w:vAlign w:val="bottom"/>
          </w:tcPr>
          <w:p>
            <w:pPr>
              <w:spacing w:after="0"/>
              <w:rPr>
                <w:sz w:val="20"/>
                <w:szCs w:val="20"/>
                <w:color w:val="auto"/>
              </w:rPr>
            </w:pPr>
            <w:r>
              <w:rPr>
                <w:rFonts w:ascii="Arial" w:cs="Arial" w:eastAsia="Arial" w:hAnsi="Arial"/>
                <w:sz w:val="18"/>
                <w:szCs w:val="18"/>
                <w:color w:val="auto"/>
              </w:rPr>
              <w:t>Delaware</w:t>
            </w:r>
          </w:p>
        </w:tc>
      </w:tr>
      <w:tr>
        <w:trPr>
          <w:trHeight w:val="729"/>
        </w:trPr>
        <w:tc>
          <w:tcPr>
            <w:tcW w:w="7120" w:type="dxa"/>
            <w:vAlign w:val="bottom"/>
            <w:gridSpan w:val="2"/>
          </w:tcPr>
          <w:p>
            <w:pPr>
              <w:spacing w:after="0"/>
              <w:rPr>
                <w:sz w:val="20"/>
                <w:szCs w:val="20"/>
                <w:color w:val="auto"/>
              </w:rPr>
            </w:pPr>
            <w:r>
              <w:rPr>
                <w:rFonts w:ascii="Arial" w:cs="Arial" w:eastAsia="Arial" w:hAnsi="Arial"/>
                <w:sz w:val="18"/>
                <w:szCs w:val="18"/>
                <w:color w:val="auto"/>
              </w:rPr>
              <w:t>Noble-Met LLC</w:t>
            </w:r>
          </w:p>
        </w:tc>
        <w:tc>
          <w:tcPr>
            <w:tcW w:w="800" w:type="dxa"/>
            <w:vAlign w:val="bottom"/>
          </w:tcPr>
          <w:p>
            <w:pPr>
              <w:spacing w:after="0"/>
              <w:rPr>
                <w:sz w:val="20"/>
                <w:szCs w:val="20"/>
                <w:color w:val="auto"/>
              </w:rPr>
            </w:pPr>
            <w:r>
              <w:rPr>
                <w:rFonts w:ascii="Arial" w:cs="Arial" w:eastAsia="Arial" w:hAnsi="Arial"/>
                <w:sz w:val="18"/>
                <w:szCs w:val="18"/>
                <w:color w:val="auto"/>
              </w:rPr>
              <w:t>Virginia</w:t>
            </w:r>
          </w:p>
        </w:tc>
      </w:tr>
      <w:tr>
        <w:trPr>
          <w:trHeight w:val="513"/>
        </w:trPr>
        <w:tc>
          <w:tcPr>
            <w:tcW w:w="7120" w:type="dxa"/>
            <w:vAlign w:val="bottom"/>
            <w:gridSpan w:val="2"/>
          </w:tcPr>
          <w:p>
            <w:pPr>
              <w:spacing w:after="0"/>
              <w:rPr>
                <w:sz w:val="20"/>
                <w:szCs w:val="20"/>
                <w:color w:val="auto"/>
              </w:rPr>
            </w:pPr>
            <w:r>
              <w:rPr>
                <w:rFonts w:ascii="Arial" w:cs="Arial" w:eastAsia="Arial" w:hAnsi="Arial"/>
                <w:sz w:val="18"/>
                <w:szCs w:val="18"/>
                <w:color w:val="auto"/>
              </w:rPr>
              <w:t>Venusa, Ltd</w:t>
            </w:r>
          </w:p>
        </w:tc>
        <w:tc>
          <w:tcPr>
            <w:tcW w:w="800" w:type="dxa"/>
            <w:vAlign w:val="bottom"/>
          </w:tcPr>
          <w:p>
            <w:pPr>
              <w:spacing w:after="0"/>
              <w:rPr>
                <w:sz w:val="20"/>
                <w:szCs w:val="20"/>
                <w:color w:val="auto"/>
              </w:rPr>
            </w:pPr>
            <w:r>
              <w:rPr>
                <w:rFonts w:ascii="Arial" w:cs="Arial" w:eastAsia="Arial" w:hAnsi="Arial"/>
                <w:sz w:val="18"/>
                <w:szCs w:val="18"/>
                <w:color w:val="auto"/>
                <w:w w:val="99"/>
              </w:rPr>
              <w:t>New York</w:t>
            </w:r>
          </w:p>
        </w:tc>
      </w:tr>
      <w:tr>
        <w:trPr>
          <w:trHeight w:val="729"/>
        </w:trPr>
        <w:tc>
          <w:tcPr>
            <w:tcW w:w="7120" w:type="dxa"/>
            <w:vAlign w:val="bottom"/>
            <w:gridSpan w:val="2"/>
          </w:tcPr>
          <w:p>
            <w:pPr>
              <w:spacing w:after="0"/>
              <w:rPr>
                <w:sz w:val="20"/>
                <w:szCs w:val="20"/>
                <w:color w:val="auto"/>
              </w:rPr>
            </w:pPr>
            <w:r>
              <w:rPr>
                <w:rFonts w:ascii="Arial" w:cs="Arial" w:eastAsia="Arial" w:hAnsi="Arial"/>
                <w:sz w:val="18"/>
                <w:szCs w:val="18"/>
                <w:color w:val="auto"/>
              </w:rPr>
              <w:t>Medis S.A de C.V.</w:t>
            </w:r>
          </w:p>
        </w:tc>
        <w:tc>
          <w:tcPr>
            <w:tcW w:w="800" w:type="dxa"/>
            <w:vAlign w:val="bottom"/>
          </w:tcPr>
          <w:p>
            <w:pPr>
              <w:spacing w:after="0"/>
              <w:rPr>
                <w:sz w:val="20"/>
                <w:szCs w:val="20"/>
                <w:color w:val="auto"/>
              </w:rPr>
            </w:pPr>
            <w:r>
              <w:rPr>
                <w:rFonts w:ascii="Arial" w:cs="Arial" w:eastAsia="Arial" w:hAnsi="Arial"/>
                <w:sz w:val="18"/>
                <w:szCs w:val="18"/>
                <w:color w:val="auto"/>
              </w:rPr>
              <w:t>Mexico</w:t>
            </w:r>
          </w:p>
        </w:tc>
      </w:tr>
    </w:tbl>
    <w:p>
      <w:pPr>
        <w:sectPr>
          <w:pgSz w:w="11900" w:h="16838" w:orient="portrait"/>
          <w:cols w:equalWidth="0" w:num="1">
            <w:col w:w="10179"/>
          </w:cols>
          <w:pgMar w:left="280" w:top="735" w:right="1440" w:bottom="833" w:gutter="0" w:footer="0" w:header="0"/>
        </w:sectPr>
      </w:pPr>
    </w:p>
    <w:bookmarkStart w:id="121" w:name="page122"/>
    <w:bookmarkEnd w:id="12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6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89"/>
              </w:rPr>
              <w:t>Subsidiary</w:t>
            </w:r>
          </w:p>
        </w:tc>
        <w:tc>
          <w:tcPr>
            <w:tcW w:w="6460" w:type="dxa"/>
            <w:vAlign w:val="bottom"/>
          </w:tcPr>
          <w:p>
            <w:pPr>
              <w:spacing w:after="0"/>
              <w:rPr>
                <w:sz w:val="14"/>
                <w:szCs w:val="14"/>
                <w:color w:val="auto"/>
              </w:rPr>
            </w:pPr>
          </w:p>
        </w:tc>
        <w:tc>
          <w:tcPr>
            <w:tcW w:w="80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91"/>
              </w:rPr>
              <w:t>Incorporated</w:t>
            </w:r>
          </w:p>
        </w:tc>
      </w:tr>
      <w:tr>
        <w:trPr>
          <w:trHeight w:val="507"/>
        </w:trPr>
        <w:tc>
          <w:tcPr>
            <w:tcW w:w="7120" w:type="dxa"/>
            <w:vAlign w:val="bottom"/>
            <w:gridSpan w:val="2"/>
          </w:tcPr>
          <w:p>
            <w:pPr>
              <w:spacing w:after="0"/>
              <w:rPr>
                <w:sz w:val="20"/>
                <w:szCs w:val="20"/>
                <w:color w:val="auto"/>
              </w:rPr>
            </w:pPr>
            <w:r>
              <w:rPr>
                <w:rFonts w:ascii="Arial" w:cs="Arial" w:eastAsia="Arial" w:hAnsi="Arial"/>
                <w:sz w:val="18"/>
                <w:szCs w:val="18"/>
                <w:color w:val="auto"/>
              </w:rPr>
              <w:t>Venusa de Mexico, S.A. de C.V.</w:t>
            </w:r>
          </w:p>
        </w:tc>
        <w:tc>
          <w:tcPr>
            <w:tcW w:w="800" w:type="dxa"/>
            <w:vAlign w:val="bottom"/>
          </w:tcPr>
          <w:p>
            <w:pPr>
              <w:spacing w:after="0"/>
              <w:rPr>
                <w:sz w:val="20"/>
                <w:szCs w:val="20"/>
                <w:color w:val="auto"/>
              </w:rPr>
            </w:pPr>
            <w:r>
              <w:rPr>
                <w:rFonts w:ascii="Arial" w:cs="Arial" w:eastAsia="Arial" w:hAnsi="Arial"/>
                <w:sz w:val="18"/>
                <w:szCs w:val="18"/>
                <w:color w:val="auto"/>
              </w:rPr>
              <w:t>Mexico</w:t>
            </w:r>
          </w:p>
        </w:tc>
      </w:tr>
      <w:tr>
        <w:trPr>
          <w:trHeight w:val="729"/>
        </w:trPr>
        <w:tc>
          <w:tcPr>
            <w:tcW w:w="7120" w:type="dxa"/>
            <w:vAlign w:val="bottom"/>
            <w:gridSpan w:val="2"/>
          </w:tcPr>
          <w:p>
            <w:pPr>
              <w:spacing w:after="0"/>
              <w:rPr>
                <w:sz w:val="20"/>
                <w:szCs w:val="20"/>
                <w:color w:val="auto"/>
              </w:rPr>
            </w:pPr>
            <w:r>
              <w:rPr>
                <w:rFonts w:ascii="Arial" w:cs="Arial" w:eastAsia="Arial" w:hAnsi="Arial"/>
                <w:sz w:val="18"/>
                <w:szCs w:val="18"/>
                <w:color w:val="auto"/>
              </w:rPr>
              <w:t>Lake Region Medical Sdn. Bhd.</w:t>
            </w:r>
          </w:p>
        </w:tc>
        <w:tc>
          <w:tcPr>
            <w:tcW w:w="800" w:type="dxa"/>
            <w:vAlign w:val="bottom"/>
          </w:tcPr>
          <w:p>
            <w:pPr>
              <w:spacing w:after="0"/>
              <w:rPr>
                <w:sz w:val="20"/>
                <w:szCs w:val="20"/>
                <w:color w:val="auto"/>
              </w:rPr>
            </w:pPr>
            <w:r>
              <w:rPr>
                <w:rFonts w:ascii="Arial" w:cs="Arial" w:eastAsia="Arial" w:hAnsi="Arial"/>
                <w:sz w:val="18"/>
                <w:szCs w:val="18"/>
                <w:color w:val="auto"/>
              </w:rPr>
              <w:t>Malaysia</w:t>
            </w:r>
          </w:p>
        </w:tc>
      </w:tr>
    </w:tbl>
    <w:p>
      <w:pPr>
        <w:sectPr>
          <w:pgSz w:w="11900" w:h="16838" w:orient="portrait"/>
          <w:cols w:equalWidth="0" w:num="1">
            <w:col w:w="10179"/>
          </w:cols>
          <w:pgMar w:left="280" w:top="802" w:right="1440" w:bottom="1440" w:gutter="0" w:footer="0" w:header="0"/>
        </w:sectPr>
      </w:pPr>
    </w:p>
    <w:bookmarkStart w:id="122" w:name="page123"/>
    <w:bookmarkEnd w:id="122"/>
    <w:p>
      <w:pPr>
        <w:jc w:val="right"/>
        <w:spacing w:after="0"/>
        <w:rPr>
          <w:sz w:val="20"/>
          <w:szCs w:val="20"/>
          <w:color w:val="auto"/>
        </w:rPr>
      </w:pPr>
      <w:r>
        <w:rPr>
          <w:rFonts w:ascii="Arial" w:cs="Arial" w:eastAsia="Arial" w:hAnsi="Arial"/>
          <w:sz w:val="18"/>
          <w:szCs w:val="18"/>
          <w:b w:val="1"/>
          <w:bCs w:val="1"/>
          <w:color w:val="auto"/>
        </w:rPr>
        <w:t>EXHIBIT 23.1</w:t>
      </w:r>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CONSENT OF INDEPENDENT REGISTERED PUBLIC ACCOUNTING FIRM</w:t>
      </w:r>
    </w:p>
    <w:p>
      <w:pPr>
        <w:spacing w:after="0" w:line="384" w:lineRule="exact"/>
        <w:rPr>
          <w:sz w:val="20"/>
          <w:szCs w:val="20"/>
          <w:color w:val="auto"/>
        </w:rPr>
      </w:pPr>
    </w:p>
    <w:p>
      <w:pPr>
        <w:ind w:right="300"/>
        <w:spacing w:after="0" w:line="276" w:lineRule="auto"/>
        <w:rPr>
          <w:sz w:val="20"/>
          <w:szCs w:val="20"/>
          <w:color w:val="auto"/>
        </w:rPr>
      </w:pPr>
      <w:r>
        <w:rPr>
          <w:rFonts w:ascii="Arial" w:cs="Arial" w:eastAsia="Arial" w:hAnsi="Arial"/>
          <w:sz w:val="18"/>
          <w:szCs w:val="18"/>
          <w:color w:val="auto"/>
        </w:rPr>
        <w:t>We consent to the incorporation by reference in Registration Statement Nos. 333-61476, 333-97209, 333-129002, 333-143519, 333-161159, 333-174559, 333-184604 and 333-196320 on Form S-8 of our reports dated March 1, 2016, relating to the consolidated financial statements and consolidated financial statement schedule of Greatbatch, Inc. and subsidiaries (the “Company”) (which report expresses an unqualified opinion and includes explanatory paragraphs relating to the Company’s changes in its method of accounting for debt issuance costs and deferred income taxes), and the effectiveness of the Company’s internal control over financial reporting, appearing in this Annual Report on Form 10-K of Greatbatch, Inc. for the year ended January 1, 2016.</w:t>
      </w:r>
    </w:p>
    <w:p>
      <w:pPr>
        <w:spacing w:after="0" w:line="179" w:lineRule="exact"/>
        <w:rPr>
          <w:sz w:val="20"/>
          <w:szCs w:val="20"/>
          <w:color w:val="auto"/>
        </w:rPr>
      </w:pPr>
    </w:p>
    <w:p>
      <w:pPr>
        <w:spacing w:after="0"/>
        <w:rPr>
          <w:sz w:val="20"/>
          <w:szCs w:val="20"/>
          <w:color w:val="auto"/>
        </w:rPr>
      </w:pPr>
      <w:r>
        <w:rPr>
          <w:rFonts w:ascii="Arial" w:cs="Arial" w:eastAsia="Arial" w:hAnsi="Arial"/>
          <w:sz w:val="20"/>
          <w:szCs w:val="20"/>
          <w:color w:val="auto"/>
        </w:rPr>
        <w:t>/s/ Deloitte &amp; Touche LLP</w:t>
      </w:r>
    </w:p>
    <w:p>
      <w:pPr>
        <w:spacing w:after="0" w:line="229" w:lineRule="exact"/>
        <w:rPr>
          <w:sz w:val="20"/>
          <w:szCs w:val="20"/>
          <w:color w:val="auto"/>
        </w:rPr>
      </w:pPr>
    </w:p>
    <w:p>
      <w:pPr>
        <w:spacing w:after="0"/>
        <w:rPr>
          <w:sz w:val="20"/>
          <w:szCs w:val="20"/>
          <w:color w:val="auto"/>
        </w:rPr>
      </w:pPr>
      <w:r>
        <w:rPr>
          <w:rFonts w:ascii="Arial" w:cs="Arial" w:eastAsia="Arial" w:hAnsi="Arial"/>
          <w:sz w:val="20"/>
          <w:szCs w:val="20"/>
          <w:color w:val="auto"/>
        </w:rPr>
        <w:t>Williamsville, New York</w:t>
      </w:r>
    </w:p>
    <w:p>
      <w:pPr>
        <w:spacing w:after="0" w:line="16" w:lineRule="exact"/>
        <w:rPr>
          <w:sz w:val="20"/>
          <w:szCs w:val="20"/>
          <w:color w:val="auto"/>
        </w:rPr>
      </w:pPr>
    </w:p>
    <w:p>
      <w:pPr>
        <w:spacing w:after="0"/>
        <w:rPr>
          <w:sz w:val="20"/>
          <w:szCs w:val="20"/>
          <w:color w:val="auto"/>
        </w:rPr>
      </w:pPr>
      <w:r>
        <w:rPr>
          <w:rFonts w:ascii="Arial" w:cs="Arial" w:eastAsia="Arial" w:hAnsi="Arial"/>
          <w:sz w:val="20"/>
          <w:szCs w:val="20"/>
          <w:color w:val="auto"/>
        </w:rPr>
        <w:t>March 1, 2016</w:t>
      </w:r>
    </w:p>
    <w:p>
      <w:pPr>
        <w:sectPr>
          <w:pgSz w:w="11900" w:h="16838" w:orient="portrait"/>
          <w:cols w:equalWidth="0" w:num="1">
            <w:col w:w="11420"/>
          </w:cols>
          <w:pgMar w:left="240" w:top="580" w:right="239" w:bottom="1440" w:gutter="0" w:footer="0" w:header="0"/>
        </w:sectPr>
      </w:pPr>
    </w:p>
    <w:bookmarkStart w:id="123" w:name="page124"/>
    <w:bookmarkEnd w:id="123"/>
    <w:p>
      <w:pPr>
        <w:jc w:val="right"/>
        <w:spacing w:after="0"/>
        <w:rPr>
          <w:sz w:val="20"/>
          <w:szCs w:val="20"/>
          <w:color w:val="auto"/>
        </w:rPr>
      </w:pPr>
      <w:r>
        <w:rPr>
          <w:rFonts w:ascii="Arial" w:cs="Arial" w:eastAsia="Arial" w:hAnsi="Arial"/>
          <w:sz w:val="18"/>
          <w:szCs w:val="18"/>
          <w:b w:val="1"/>
          <w:bCs w:val="1"/>
          <w:color w:val="auto"/>
        </w:rPr>
        <w:t>EXHIBIT 31.1</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CERTIFICATION</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color w:val="auto"/>
        </w:rPr>
        <w:t>I, Thomas J. Hook, certify that:</w:t>
      </w:r>
    </w:p>
    <w:p>
      <w:pPr>
        <w:spacing w:after="0" w:line="171" w:lineRule="exact"/>
        <w:rPr>
          <w:sz w:val="20"/>
          <w:szCs w:val="20"/>
          <w:color w:val="auto"/>
        </w:rPr>
      </w:pPr>
    </w:p>
    <w:p>
      <w:pPr>
        <w:ind w:left="340" w:hanging="332"/>
        <w:spacing w:after="0"/>
        <w:tabs>
          <w:tab w:leader="none" w:pos="340" w:val="left"/>
        </w:tabs>
        <w:numPr>
          <w:ilvl w:val="0"/>
          <w:numId w:val="64"/>
        </w:numPr>
        <w:rPr>
          <w:rFonts w:ascii="Arial" w:cs="Arial" w:eastAsia="Arial" w:hAnsi="Arial"/>
          <w:sz w:val="18"/>
          <w:szCs w:val="18"/>
          <w:color w:val="auto"/>
        </w:rPr>
      </w:pPr>
      <w:r>
        <w:rPr>
          <w:rFonts w:ascii="Arial" w:cs="Arial" w:eastAsia="Arial" w:hAnsi="Arial"/>
          <w:sz w:val="18"/>
          <w:szCs w:val="18"/>
          <w:color w:val="auto"/>
        </w:rPr>
        <w:t>I have reviewed this annual report on Form 10-K for the fiscal year ended January 1, 2016 of Greatbatch, Inc.;</w:t>
      </w:r>
    </w:p>
    <w:p>
      <w:pPr>
        <w:spacing w:after="0" w:line="171" w:lineRule="exact"/>
        <w:rPr>
          <w:rFonts w:ascii="Arial" w:cs="Arial" w:eastAsia="Arial" w:hAnsi="Arial"/>
          <w:sz w:val="18"/>
          <w:szCs w:val="18"/>
          <w:color w:val="auto"/>
        </w:rPr>
      </w:pPr>
    </w:p>
    <w:p>
      <w:pPr>
        <w:ind w:left="340" w:right="160" w:hanging="332"/>
        <w:spacing w:after="0" w:line="342" w:lineRule="auto"/>
        <w:tabs>
          <w:tab w:leader="none" w:pos="340" w:val="left"/>
        </w:tabs>
        <w:numPr>
          <w:ilvl w:val="0"/>
          <w:numId w:val="64"/>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the report;</w:t>
      </w:r>
    </w:p>
    <w:p>
      <w:pPr>
        <w:spacing w:after="0" w:line="69" w:lineRule="exact"/>
        <w:rPr>
          <w:rFonts w:ascii="Arial" w:cs="Arial" w:eastAsia="Arial" w:hAnsi="Arial"/>
          <w:sz w:val="16"/>
          <w:szCs w:val="16"/>
          <w:color w:val="auto"/>
        </w:rPr>
      </w:pPr>
    </w:p>
    <w:p>
      <w:pPr>
        <w:ind w:left="340" w:right="580" w:hanging="332"/>
        <w:spacing w:after="0" w:line="308" w:lineRule="auto"/>
        <w:tabs>
          <w:tab w:leader="none" w:pos="340" w:val="left"/>
        </w:tabs>
        <w:numPr>
          <w:ilvl w:val="0"/>
          <w:numId w:val="64"/>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92" w:lineRule="exact"/>
        <w:rPr>
          <w:rFonts w:ascii="Arial" w:cs="Arial" w:eastAsia="Arial" w:hAnsi="Arial"/>
          <w:sz w:val="17"/>
          <w:szCs w:val="17"/>
          <w:color w:val="auto"/>
        </w:rPr>
      </w:pPr>
    </w:p>
    <w:p>
      <w:pPr>
        <w:ind w:left="340" w:right="60" w:hanging="332"/>
        <w:spacing w:after="0" w:line="264" w:lineRule="auto"/>
        <w:tabs>
          <w:tab w:leader="none" w:pos="340" w:val="left"/>
        </w:tabs>
        <w:numPr>
          <w:ilvl w:val="0"/>
          <w:numId w:val="64"/>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27" w:lineRule="exact"/>
        <w:rPr>
          <w:rFonts w:ascii="Arial" w:cs="Arial" w:eastAsia="Arial" w:hAnsi="Arial"/>
          <w:sz w:val="18"/>
          <w:szCs w:val="18"/>
          <w:color w:val="auto"/>
        </w:rPr>
      </w:pPr>
    </w:p>
    <w:p>
      <w:pPr>
        <w:ind w:left="980" w:right="220" w:hanging="324"/>
        <w:spacing w:after="0" w:line="264" w:lineRule="auto"/>
        <w:tabs>
          <w:tab w:leader="none" w:pos="980" w:val="left"/>
        </w:tabs>
        <w:numPr>
          <w:ilvl w:val="1"/>
          <w:numId w:val="64"/>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27" w:lineRule="exact"/>
        <w:rPr>
          <w:rFonts w:ascii="Arial" w:cs="Arial" w:eastAsia="Arial" w:hAnsi="Arial"/>
          <w:sz w:val="18"/>
          <w:szCs w:val="18"/>
          <w:color w:val="auto"/>
        </w:rPr>
      </w:pPr>
    </w:p>
    <w:p>
      <w:pPr>
        <w:ind w:left="980" w:right="540" w:hanging="324"/>
        <w:spacing w:after="0" w:line="264" w:lineRule="auto"/>
        <w:tabs>
          <w:tab w:leader="none" w:pos="980" w:val="left"/>
        </w:tabs>
        <w:numPr>
          <w:ilvl w:val="1"/>
          <w:numId w:val="64"/>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27" w:lineRule="exact"/>
        <w:rPr>
          <w:rFonts w:ascii="Arial" w:cs="Arial" w:eastAsia="Arial" w:hAnsi="Arial"/>
          <w:sz w:val="18"/>
          <w:szCs w:val="18"/>
          <w:color w:val="auto"/>
        </w:rPr>
      </w:pPr>
    </w:p>
    <w:p>
      <w:pPr>
        <w:jc w:val="both"/>
        <w:ind w:left="980" w:right="740" w:hanging="324"/>
        <w:spacing w:after="0" w:line="342" w:lineRule="auto"/>
        <w:tabs>
          <w:tab w:leader="none" w:pos="980" w:val="left"/>
        </w:tabs>
        <w:numPr>
          <w:ilvl w:val="1"/>
          <w:numId w:val="64"/>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69" w:lineRule="exact"/>
        <w:rPr>
          <w:rFonts w:ascii="Arial" w:cs="Arial" w:eastAsia="Arial" w:hAnsi="Arial"/>
          <w:sz w:val="16"/>
          <w:szCs w:val="16"/>
          <w:color w:val="auto"/>
        </w:rPr>
      </w:pPr>
    </w:p>
    <w:p>
      <w:pPr>
        <w:ind w:left="980" w:right="220" w:hanging="324"/>
        <w:spacing w:after="0" w:line="264" w:lineRule="auto"/>
        <w:tabs>
          <w:tab w:leader="none" w:pos="980" w:val="left"/>
        </w:tabs>
        <w:numPr>
          <w:ilvl w:val="1"/>
          <w:numId w:val="64"/>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w:t>
      </w:r>
    </w:p>
    <w:p>
      <w:pPr>
        <w:spacing w:after="0" w:line="127" w:lineRule="exact"/>
        <w:rPr>
          <w:rFonts w:ascii="Arial" w:cs="Arial" w:eastAsia="Arial" w:hAnsi="Arial"/>
          <w:sz w:val="18"/>
          <w:szCs w:val="18"/>
          <w:color w:val="auto"/>
        </w:rPr>
      </w:pPr>
    </w:p>
    <w:p>
      <w:pPr>
        <w:ind w:left="340" w:right="500" w:hanging="332"/>
        <w:spacing w:after="0" w:line="308" w:lineRule="auto"/>
        <w:tabs>
          <w:tab w:leader="none" w:pos="340" w:val="left"/>
        </w:tabs>
        <w:numPr>
          <w:ilvl w:val="0"/>
          <w:numId w:val="64"/>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 and the audit committee of registrant’s board of directors (or persons performing the equivalent functions):</w:t>
      </w:r>
    </w:p>
    <w:p>
      <w:pPr>
        <w:spacing w:after="0" w:line="92" w:lineRule="exact"/>
        <w:rPr>
          <w:rFonts w:ascii="Arial" w:cs="Arial" w:eastAsia="Arial" w:hAnsi="Arial"/>
          <w:sz w:val="17"/>
          <w:szCs w:val="17"/>
          <w:color w:val="auto"/>
        </w:rPr>
      </w:pPr>
    </w:p>
    <w:p>
      <w:pPr>
        <w:ind w:left="980" w:right="120" w:hanging="324"/>
        <w:spacing w:after="0" w:line="277" w:lineRule="auto"/>
        <w:tabs>
          <w:tab w:leader="none" w:pos="980" w:val="left"/>
        </w:tabs>
        <w:numPr>
          <w:ilvl w:val="1"/>
          <w:numId w:val="64"/>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16" w:lineRule="exact"/>
        <w:rPr>
          <w:rFonts w:ascii="Arial" w:cs="Arial" w:eastAsia="Arial" w:hAnsi="Arial"/>
          <w:sz w:val="18"/>
          <w:szCs w:val="18"/>
          <w:color w:val="auto"/>
        </w:rPr>
      </w:pPr>
    </w:p>
    <w:p>
      <w:pPr>
        <w:ind w:left="980" w:right="80" w:hanging="324"/>
        <w:spacing w:after="0" w:line="277" w:lineRule="auto"/>
        <w:tabs>
          <w:tab w:leader="none" w:pos="980" w:val="left"/>
        </w:tabs>
        <w:numPr>
          <w:ilvl w:val="1"/>
          <w:numId w:val="64"/>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376" w:lineRule="exact"/>
        <w:rPr>
          <w:sz w:val="20"/>
          <w:szCs w:val="20"/>
          <w:color w:val="auto"/>
        </w:rPr>
      </w:pPr>
    </w:p>
    <w:p>
      <w:pPr>
        <w:ind w:left="40"/>
        <w:spacing w:after="0"/>
        <w:tabs>
          <w:tab w:leader="none" w:pos="820" w:val="left"/>
          <w:tab w:leader="none" w:pos="5620" w:val="left"/>
        </w:tabs>
        <w:rPr>
          <w:sz w:val="20"/>
          <w:szCs w:val="20"/>
          <w:color w:val="auto"/>
        </w:rPr>
      </w:pPr>
      <w:r>
        <w:rPr>
          <w:rFonts w:ascii="Arial" w:cs="Arial" w:eastAsia="Arial" w:hAnsi="Arial"/>
          <w:sz w:val="18"/>
          <w:szCs w:val="18"/>
          <w:color w:val="auto"/>
        </w:rPr>
        <w:t>Dated:</w:t>
      </w:r>
      <w:r>
        <w:rPr>
          <w:sz w:val="20"/>
          <w:szCs w:val="20"/>
          <w:color w:val="auto"/>
        </w:rPr>
        <w:tab/>
      </w:r>
      <w:r>
        <w:rPr>
          <w:rFonts w:ascii="Arial" w:cs="Arial" w:eastAsia="Arial" w:hAnsi="Arial"/>
          <w:sz w:val="18"/>
          <w:szCs w:val="18"/>
          <w:color w:val="auto"/>
        </w:rPr>
        <w:t>March 1, 2016</w:t>
      </w:r>
      <w:r>
        <w:rPr>
          <w:sz w:val="20"/>
          <w:szCs w:val="20"/>
          <w:color w:val="auto"/>
        </w:rPr>
        <w:tab/>
      </w:r>
      <w:r>
        <w:rPr>
          <w:rFonts w:ascii="Arial" w:cs="Arial" w:eastAsia="Arial" w:hAnsi="Arial"/>
          <w:sz w:val="16"/>
          <w:szCs w:val="16"/>
          <w:color w:val="auto"/>
        </w:rPr>
        <w:t>/s/ Thomas J. Hook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3564255</wp:posOffset>
            </wp:positionH>
            <wp:positionV relativeFrom="paragraph">
              <wp:posOffset>83185</wp:posOffset>
            </wp:positionV>
            <wp:extent cx="3687445"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3687445" cy="8890"/>
                    </a:xfrm>
                    <a:prstGeom prst="rect">
                      <a:avLst/>
                    </a:prstGeom>
                    <a:noFill/>
                  </pic:spPr>
                </pic:pic>
              </a:graphicData>
            </a:graphic>
          </wp:anchor>
        </w:drawing>
      </w:r>
    </w:p>
    <w:p>
      <w:pPr>
        <w:spacing w:after="0" w:line="219"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Thomas J. Hook</w:t>
      </w:r>
    </w:p>
    <w:p>
      <w:pPr>
        <w:spacing w:after="0" w:line="225"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President and Chief Executive Officer</w:t>
      </w:r>
    </w:p>
    <w:p>
      <w:pPr>
        <w:spacing w:after="0" w:line="225"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(Principal Executive Officer)</w:t>
      </w:r>
    </w:p>
    <w:p>
      <w:pPr>
        <w:sectPr>
          <w:pgSz w:w="11900" w:h="16838" w:orient="portrait"/>
          <w:cols w:equalWidth="0" w:num="1">
            <w:col w:w="11420"/>
          </w:cols>
          <w:pgMar w:left="240" w:top="580" w:right="239" w:bottom="1440" w:gutter="0" w:footer="0" w:header="0"/>
        </w:sectPr>
      </w:pPr>
    </w:p>
    <w:bookmarkStart w:id="124" w:name="page125"/>
    <w:bookmarkEnd w:id="124"/>
    <w:p>
      <w:pPr>
        <w:jc w:val="right"/>
        <w:spacing w:after="0"/>
        <w:rPr>
          <w:sz w:val="20"/>
          <w:szCs w:val="20"/>
          <w:color w:val="auto"/>
        </w:rPr>
      </w:pPr>
      <w:r>
        <w:rPr>
          <w:rFonts w:ascii="Arial" w:cs="Arial" w:eastAsia="Arial" w:hAnsi="Arial"/>
          <w:sz w:val="18"/>
          <w:szCs w:val="18"/>
          <w:b w:val="1"/>
          <w:bCs w:val="1"/>
          <w:color w:val="auto"/>
        </w:rPr>
        <w:t>EXHIBIT 31.2</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CERTIFICATION</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color w:val="auto"/>
        </w:rPr>
        <w:t>I, Michael Dinkins, certify that:</w:t>
      </w:r>
    </w:p>
    <w:p>
      <w:pPr>
        <w:spacing w:after="0" w:line="171" w:lineRule="exact"/>
        <w:rPr>
          <w:sz w:val="20"/>
          <w:szCs w:val="20"/>
          <w:color w:val="auto"/>
        </w:rPr>
      </w:pPr>
    </w:p>
    <w:p>
      <w:pPr>
        <w:ind w:left="340" w:hanging="332"/>
        <w:spacing w:after="0"/>
        <w:tabs>
          <w:tab w:leader="none" w:pos="340" w:val="left"/>
        </w:tabs>
        <w:numPr>
          <w:ilvl w:val="0"/>
          <w:numId w:val="65"/>
        </w:numPr>
        <w:rPr>
          <w:rFonts w:ascii="Arial" w:cs="Arial" w:eastAsia="Arial" w:hAnsi="Arial"/>
          <w:sz w:val="18"/>
          <w:szCs w:val="18"/>
          <w:color w:val="auto"/>
        </w:rPr>
      </w:pPr>
      <w:r>
        <w:rPr>
          <w:rFonts w:ascii="Arial" w:cs="Arial" w:eastAsia="Arial" w:hAnsi="Arial"/>
          <w:sz w:val="18"/>
          <w:szCs w:val="18"/>
          <w:color w:val="auto"/>
        </w:rPr>
        <w:t>I have reviewed this annual report on Form 10-K for the fiscal year ended January 1, 2016 of Greatbatch, Inc.;</w:t>
      </w:r>
    </w:p>
    <w:p>
      <w:pPr>
        <w:spacing w:after="0" w:line="171" w:lineRule="exact"/>
        <w:rPr>
          <w:rFonts w:ascii="Arial" w:cs="Arial" w:eastAsia="Arial" w:hAnsi="Arial"/>
          <w:sz w:val="18"/>
          <w:szCs w:val="18"/>
          <w:color w:val="auto"/>
        </w:rPr>
      </w:pPr>
    </w:p>
    <w:p>
      <w:pPr>
        <w:ind w:left="340" w:right="160" w:hanging="332"/>
        <w:spacing w:after="0" w:line="342" w:lineRule="auto"/>
        <w:tabs>
          <w:tab w:leader="none" w:pos="340" w:val="left"/>
        </w:tabs>
        <w:numPr>
          <w:ilvl w:val="0"/>
          <w:numId w:val="65"/>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the report;</w:t>
      </w:r>
    </w:p>
    <w:p>
      <w:pPr>
        <w:spacing w:after="0" w:line="69" w:lineRule="exact"/>
        <w:rPr>
          <w:rFonts w:ascii="Arial" w:cs="Arial" w:eastAsia="Arial" w:hAnsi="Arial"/>
          <w:sz w:val="16"/>
          <w:szCs w:val="16"/>
          <w:color w:val="auto"/>
        </w:rPr>
      </w:pPr>
    </w:p>
    <w:p>
      <w:pPr>
        <w:ind w:left="340" w:right="580" w:hanging="332"/>
        <w:spacing w:after="0" w:line="308" w:lineRule="auto"/>
        <w:tabs>
          <w:tab w:leader="none" w:pos="340" w:val="left"/>
        </w:tabs>
        <w:numPr>
          <w:ilvl w:val="0"/>
          <w:numId w:val="65"/>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92" w:lineRule="exact"/>
        <w:rPr>
          <w:rFonts w:ascii="Arial" w:cs="Arial" w:eastAsia="Arial" w:hAnsi="Arial"/>
          <w:sz w:val="17"/>
          <w:szCs w:val="17"/>
          <w:color w:val="auto"/>
        </w:rPr>
      </w:pPr>
    </w:p>
    <w:p>
      <w:pPr>
        <w:ind w:left="340" w:right="60" w:hanging="332"/>
        <w:spacing w:after="0" w:line="264" w:lineRule="auto"/>
        <w:tabs>
          <w:tab w:leader="none" w:pos="340" w:val="left"/>
        </w:tabs>
        <w:numPr>
          <w:ilvl w:val="0"/>
          <w:numId w:val="65"/>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27" w:lineRule="exact"/>
        <w:rPr>
          <w:rFonts w:ascii="Arial" w:cs="Arial" w:eastAsia="Arial" w:hAnsi="Arial"/>
          <w:sz w:val="18"/>
          <w:szCs w:val="18"/>
          <w:color w:val="auto"/>
        </w:rPr>
      </w:pPr>
    </w:p>
    <w:p>
      <w:pPr>
        <w:ind w:left="980" w:right="220" w:hanging="324"/>
        <w:spacing w:after="0" w:line="264" w:lineRule="auto"/>
        <w:tabs>
          <w:tab w:leader="none" w:pos="980" w:val="left"/>
        </w:tabs>
        <w:numPr>
          <w:ilvl w:val="1"/>
          <w:numId w:val="65"/>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27" w:lineRule="exact"/>
        <w:rPr>
          <w:rFonts w:ascii="Arial" w:cs="Arial" w:eastAsia="Arial" w:hAnsi="Arial"/>
          <w:sz w:val="18"/>
          <w:szCs w:val="18"/>
          <w:color w:val="auto"/>
        </w:rPr>
      </w:pPr>
    </w:p>
    <w:p>
      <w:pPr>
        <w:ind w:left="980" w:right="540" w:hanging="324"/>
        <w:spacing w:after="0" w:line="264" w:lineRule="auto"/>
        <w:tabs>
          <w:tab w:leader="none" w:pos="980" w:val="left"/>
        </w:tabs>
        <w:numPr>
          <w:ilvl w:val="1"/>
          <w:numId w:val="65"/>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27" w:lineRule="exact"/>
        <w:rPr>
          <w:rFonts w:ascii="Arial" w:cs="Arial" w:eastAsia="Arial" w:hAnsi="Arial"/>
          <w:sz w:val="18"/>
          <w:szCs w:val="18"/>
          <w:color w:val="auto"/>
        </w:rPr>
      </w:pPr>
    </w:p>
    <w:p>
      <w:pPr>
        <w:jc w:val="both"/>
        <w:ind w:left="980" w:right="740" w:hanging="324"/>
        <w:spacing w:after="0" w:line="342" w:lineRule="auto"/>
        <w:tabs>
          <w:tab w:leader="none" w:pos="980" w:val="left"/>
        </w:tabs>
        <w:numPr>
          <w:ilvl w:val="1"/>
          <w:numId w:val="65"/>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69" w:lineRule="exact"/>
        <w:rPr>
          <w:rFonts w:ascii="Arial" w:cs="Arial" w:eastAsia="Arial" w:hAnsi="Arial"/>
          <w:sz w:val="16"/>
          <w:szCs w:val="16"/>
          <w:color w:val="auto"/>
        </w:rPr>
      </w:pPr>
    </w:p>
    <w:p>
      <w:pPr>
        <w:ind w:left="980" w:right="220" w:hanging="324"/>
        <w:spacing w:after="0" w:line="264" w:lineRule="auto"/>
        <w:tabs>
          <w:tab w:leader="none" w:pos="980" w:val="left"/>
        </w:tabs>
        <w:numPr>
          <w:ilvl w:val="1"/>
          <w:numId w:val="65"/>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w:t>
      </w:r>
    </w:p>
    <w:p>
      <w:pPr>
        <w:spacing w:after="0" w:line="127" w:lineRule="exact"/>
        <w:rPr>
          <w:rFonts w:ascii="Arial" w:cs="Arial" w:eastAsia="Arial" w:hAnsi="Arial"/>
          <w:sz w:val="18"/>
          <w:szCs w:val="18"/>
          <w:color w:val="auto"/>
        </w:rPr>
      </w:pPr>
    </w:p>
    <w:p>
      <w:pPr>
        <w:ind w:left="340" w:right="500" w:hanging="332"/>
        <w:spacing w:after="0" w:line="308" w:lineRule="auto"/>
        <w:tabs>
          <w:tab w:leader="none" w:pos="340" w:val="left"/>
        </w:tabs>
        <w:numPr>
          <w:ilvl w:val="0"/>
          <w:numId w:val="65"/>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 and the audit committee of registrant’s board of directors (or persons performing the equivalent functions):</w:t>
      </w:r>
    </w:p>
    <w:p>
      <w:pPr>
        <w:spacing w:after="0" w:line="92" w:lineRule="exact"/>
        <w:rPr>
          <w:rFonts w:ascii="Arial" w:cs="Arial" w:eastAsia="Arial" w:hAnsi="Arial"/>
          <w:sz w:val="17"/>
          <w:szCs w:val="17"/>
          <w:color w:val="auto"/>
        </w:rPr>
      </w:pPr>
    </w:p>
    <w:p>
      <w:pPr>
        <w:ind w:left="980" w:right="120" w:hanging="324"/>
        <w:spacing w:after="0" w:line="277" w:lineRule="auto"/>
        <w:tabs>
          <w:tab w:leader="none" w:pos="980" w:val="left"/>
        </w:tabs>
        <w:numPr>
          <w:ilvl w:val="1"/>
          <w:numId w:val="65"/>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16" w:lineRule="exact"/>
        <w:rPr>
          <w:rFonts w:ascii="Arial" w:cs="Arial" w:eastAsia="Arial" w:hAnsi="Arial"/>
          <w:sz w:val="18"/>
          <w:szCs w:val="18"/>
          <w:color w:val="auto"/>
        </w:rPr>
      </w:pPr>
    </w:p>
    <w:p>
      <w:pPr>
        <w:ind w:left="980" w:right="80" w:hanging="324"/>
        <w:spacing w:after="0" w:line="277" w:lineRule="auto"/>
        <w:tabs>
          <w:tab w:leader="none" w:pos="980" w:val="left"/>
        </w:tabs>
        <w:numPr>
          <w:ilvl w:val="1"/>
          <w:numId w:val="65"/>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376" w:lineRule="exact"/>
        <w:rPr>
          <w:sz w:val="20"/>
          <w:szCs w:val="20"/>
          <w:color w:val="auto"/>
        </w:rPr>
      </w:pPr>
    </w:p>
    <w:p>
      <w:pPr>
        <w:ind w:left="40"/>
        <w:spacing w:after="0"/>
        <w:tabs>
          <w:tab w:leader="none" w:pos="820" w:val="left"/>
          <w:tab w:leader="none" w:pos="5620" w:val="left"/>
        </w:tabs>
        <w:rPr>
          <w:sz w:val="20"/>
          <w:szCs w:val="20"/>
          <w:color w:val="auto"/>
        </w:rPr>
      </w:pPr>
      <w:r>
        <w:rPr>
          <w:rFonts w:ascii="Arial" w:cs="Arial" w:eastAsia="Arial" w:hAnsi="Arial"/>
          <w:sz w:val="18"/>
          <w:szCs w:val="18"/>
          <w:color w:val="auto"/>
        </w:rPr>
        <w:t>Dated:</w:t>
      </w:r>
      <w:r>
        <w:rPr>
          <w:sz w:val="20"/>
          <w:szCs w:val="20"/>
          <w:color w:val="auto"/>
        </w:rPr>
        <w:tab/>
      </w:r>
      <w:r>
        <w:rPr>
          <w:rFonts w:ascii="Arial" w:cs="Arial" w:eastAsia="Arial" w:hAnsi="Arial"/>
          <w:sz w:val="18"/>
          <w:szCs w:val="18"/>
          <w:color w:val="auto"/>
        </w:rPr>
        <w:t>March 1, 2016</w:t>
      </w:r>
      <w:r>
        <w:rPr>
          <w:sz w:val="20"/>
          <w:szCs w:val="20"/>
          <w:color w:val="auto"/>
        </w:rPr>
        <w:tab/>
      </w:r>
      <w:r>
        <w:rPr>
          <w:rFonts w:ascii="Arial" w:cs="Arial" w:eastAsia="Arial" w:hAnsi="Arial"/>
          <w:sz w:val="17"/>
          <w:szCs w:val="17"/>
          <w:color w:val="auto"/>
        </w:rPr>
        <w:t>/s/ Michael Dinkins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3564255</wp:posOffset>
            </wp:positionH>
            <wp:positionV relativeFrom="paragraph">
              <wp:posOffset>83185</wp:posOffset>
            </wp:positionV>
            <wp:extent cx="3687445"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3687445" cy="8890"/>
                    </a:xfrm>
                    <a:prstGeom prst="rect">
                      <a:avLst/>
                    </a:prstGeom>
                    <a:noFill/>
                  </pic:spPr>
                </pic:pic>
              </a:graphicData>
            </a:graphic>
          </wp:anchor>
        </w:drawing>
      </w:r>
    </w:p>
    <w:p>
      <w:pPr>
        <w:spacing w:after="0" w:line="219"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Michael Dinkins</w:t>
      </w:r>
    </w:p>
    <w:p>
      <w:pPr>
        <w:spacing w:after="0" w:line="225"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Executive Vice President and Chief Financial Officer</w:t>
      </w:r>
    </w:p>
    <w:p>
      <w:pPr>
        <w:spacing w:after="0" w:line="225"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(Principal Financial Officer)</w:t>
      </w:r>
    </w:p>
    <w:p>
      <w:pPr>
        <w:sectPr>
          <w:pgSz w:w="11900" w:h="16838" w:orient="portrait"/>
          <w:cols w:equalWidth="0" w:num="1">
            <w:col w:w="11420"/>
          </w:cols>
          <w:pgMar w:left="240" w:top="580" w:right="239" w:bottom="1440" w:gutter="0" w:footer="0" w:header="0"/>
        </w:sectPr>
      </w:pPr>
    </w:p>
    <w:bookmarkStart w:id="125" w:name="page126"/>
    <w:bookmarkEnd w:id="125"/>
    <w:p>
      <w:pPr>
        <w:jc w:val="right"/>
        <w:spacing w:after="0"/>
        <w:rPr>
          <w:sz w:val="20"/>
          <w:szCs w:val="20"/>
          <w:color w:val="auto"/>
        </w:rPr>
      </w:pPr>
      <w:r>
        <w:rPr>
          <w:rFonts w:ascii="Arial" w:cs="Arial" w:eastAsia="Arial" w:hAnsi="Arial"/>
          <w:sz w:val="18"/>
          <w:szCs w:val="18"/>
          <w:b w:val="1"/>
          <w:bCs w:val="1"/>
          <w:color w:val="auto"/>
        </w:rPr>
        <w:t>EXHIBIT 32.1</w:t>
      </w: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18 U.S.C. SECTION 1350 AS ADOPTED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92" w:lineRule="exact"/>
        <w:rPr>
          <w:sz w:val="20"/>
          <w:szCs w:val="20"/>
          <w:color w:val="auto"/>
        </w:rPr>
      </w:pPr>
    </w:p>
    <w:p>
      <w:pPr>
        <w:ind w:right="220"/>
        <w:spacing w:after="0" w:line="277" w:lineRule="auto"/>
        <w:rPr>
          <w:sz w:val="20"/>
          <w:szCs w:val="20"/>
          <w:color w:val="auto"/>
        </w:rPr>
      </w:pPr>
      <w:r>
        <w:rPr>
          <w:rFonts w:ascii="Arial" w:cs="Arial" w:eastAsia="Arial" w:hAnsi="Arial"/>
          <w:sz w:val="18"/>
          <w:szCs w:val="18"/>
          <w:color w:val="auto"/>
        </w:rPr>
        <w:t>Pursuant to 18 U.S.C. Section 1350, as adopted pursuant to Section 906 of the Sarbanes-Oxley Act of 2002, each of the undersigned officers of Greatbatch, Inc. (the “Company”), does hereby certify, to such officer’s knowledge, that:</w:t>
      </w:r>
    </w:p>
    <w:p>
      <w:pPr>
        <w:spacing w:after="0" w:line="116" w:lineRule="exact"/>
        <w:rPr>
          <w:sz w:val="20"/>
          <w:szCs w:val="20"/>
          <w:color w:val="auto"/>
        </w:rPr>
      </w:pPr>
    </w:p>
    <w:p>
      <w:pPr>
        <w:ind w:right="380"/>
        <w:spacing w:after="0" w:line="264" w:lineRule="auto"/>
        <w:rPr>
          <w:sz w:val="20"/>
          <w:szCs w:val="20"/>
          <w:color w:val="auto"/>
        </w:rPr>
      </w:pPr>
      <w:r>
        <w:rPr>
          <w:rFonts w:ascii="Arial" w:cs="Arial" w:eastAsia="Arial" w:hAnsi="Arial"/>
          <w:sz w:val="18"/>
          <w:szCs w:val="18"/>
          <w:color w:val="auto"/>
        </w:rPr>
        <w:t>The Annual Report on Form 10-K for the fiscal year ended January 1, 2016 (the “Form 10-K”) of the Company fully complies with the requirements of section 13(a) or 15(d) of the Securities Exchange Act of 1934 and the information contained in the Form 10-K fairly presents, in all material respects, the financial condition and results of operations of the Company.</w:t>
      </w: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ind w:left="40"/>
        <w:spacing w:after="0"/>
        <w:tabs>
          <w:tab w:leader="none" w:pos="820" w:val="left"/>
          <w:tab w:leader="none" w:pos="5620" w:val="left"/>
        </w:tabs>
        <w:rPr>
          <w:sz w:val="20"/>
          <w:szCs w:val="20"/>
          <w:color w:val="auto"/>
        </w:rPr>
      </w:pPr>
      <w:r>
        <w:rPr>
          <w:rFonts w:ascii="Arial" w:cs="Arial" w:eastAsia="Arial" w:hAnsi="Arial"/>
          <w:sz w:val="18"/>
          <w:szCs w:val="18"/>
          <w:color w:val="auto"/>
        </w:rPr>
        <w:t>Dated:</w:t>
      </w:r>
      <w:r>
        <w:rPr>
          <w:sz w:val="20"/>
          <w:szCs w:val="20"/>
          <w:color w:val="auto"/>
        </w:rPr>
        <w:tab/>
      </w:r>
      <w:r>
        <w:rPr>
          <w:rFonts w:ascii="Arial" w:cs="Arial" w:eastAsia="Arial" w:hAnsi="Arial"/>
          <w:sz w:val="18"/>
          <w:szCs w:val="18"/>
          <w:color w:val="auto"/>
        </w:rPr>
        <w:t>March 1, 2016</w:t>
      </w:r>
      <w:r>
        <w:rPr>
          <w:sz w:val="20"/>
          <w:szCs w:val="20"/>
          <w:color w:val="auto"/>
        </w:rPr>
        <w:tab/>
      </w:r>
      <w:r>
        <w:rPr>
          <w:rFonts w:ascii="Arial" w:cs="Arial" w:eastAsia="Arial" w:hAnsi="Arial"/>
          <w:sz w:val="16"/>
          <w:szCs w:val="16"/>
          <w:color w:val="auto"/>
        </w:rPr>
        <w:t>/s/ Thomas J. Hook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3564255</wp:posOffset>
            </wp:positionH>
            <wp:positionV relativeFrom="paragraph">
              <wp:posOffset>83185</wp:posOffset>
            </wp:positionV>
            <wp:extent cx="3687445"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3687445" cy="8890"/>
                    </a:xfrm>
                    <a:prstGeom prst="rect">
                      <a:avLst/>
                    </a:prstGeom>
                    <a:noFill/>
                  </pic:spPr>
                </pic:pic>
              </a:graphicData>
            </a:graphic>
          </wp:anchor>
        </w:drawing>
      </w:r>
    </w:p>
    <w:p>
      <w:pPr>
        <w:spacing w:after="0" w:line="219"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Thomas J. Hook</w:t>
      </w:r>
    </w:p>
    <w:p>
      <w:pPr>
        <w:spacing w:after="0" w:line="225"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President and Chief Executive Officer</w:t>
      </w:r>
    </w:p>
    <w:p>
      <w:pPr>
        <w:spacing w:after="0" w:line="225"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(Principal Executive Officer)</w:t>
      </w:r>
    </w:p>
    <w:p>
      <w:pPr>
        <w:spacing w:after="0" w:line="347" w:lineRule="exact"/>
        <w:rPr>
          <w:sz w:val="20"/>
          <w:szCs w:val="20"/>
          <w:color w:val="auto"/>
        </w:rPr>
      </w:pPr>
    </w:p>
    <w:p>
      <w:pPr>
        <w:ind w:left="40"/>
        <w:spacing w:after="0"/>
        <w:tabs>
          <w:tab w:leader="none" w:pos="820" w:val="left"/>
          <w:tab w:leader="none" w:pos="5620" w:val="left"/>
        </w:tabs>
        <w:rPr>
          <w:sz w:val="20"/>
          <w:szCs w:val="20"/>
          <w:color w:val="auto"/>
        </w:rPr>
      </w:pPr>
      <w:r>
        <w:rPr>
          <w:rFonts w:ascii="Arial" w:cs="Arial" w:eastAsia="Arial" w:hAnsi="Arial"/>
          <w:sz w:val="18"/>
          <w:szCs w:val="18"/>
          <w:color w:val="auto"/>
        </w:rPr>
        <w:t>Dated:</w:t>
      </w:r>
      <w:r>
        <w:rPr>
          <w:sz w:val="20"/>
          <w:szCs w:val="20"/>
          <w:color w:val="auto"/>
        </w:rPr>
        <w:tab/>
      </w:r>
      <w:r>
        <w:rPr>
          <w:rFonts w:ascii="Arial" w:cs="Arial" w:eastAsia="Arial" w:hAnsi="Arial"/>
          <w:sz w:val="18"/>
          <w:szCs w:val="18"/>
          <w:color w:val="auto"/>
        </w:rPr>
        <w:t>March 1, 2016</w:t>
      </w:r>
      <w:r>
        <w:rPr>
          <w:sz w:val="20"/>
          <w:szCs w:val="20"/>
          <w:color w:val="auto"/>
        </w:rPr>
        <w:tab/>
      </w:r>
      <w:r>
        <w:rPr>
          <w:rFonts w:ascii="Arial" w:cs="Arial" w:eastAsia="Arial" w:hAnsi="Arial"/>
          <w:sz w:val="17"/>
          <w:szCs w:val="17"/>
          <w:color w:val="auto"/>
        </w:rPr>
        <w:t>/s/ Michael Dinkins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3564255</wp:posOffset>
            </wp:positionH>
            <wp:positionV relativeFrom="paragraph">
              <wp:posOffset>83185</wp:posOffset>
            </wp:positionV>
            <wp:extent cx="3687445"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3687445" cy="8890"/>
                    </a:xfrm>
                    <a:prstGeom prst="rect">
                      <a:avLst/>
                    </a:prstGeom>
                    <a:noFill/>
                  </pic:spPr>
                </pic:pic>
              </a:graphicData>
            </a:graphic>
          </wp:anchor>
        </w:drawing>
      </w:r>
    </w:p>
    <w:p>
      <w:pPr>
        <w:spacing w:after="0" w:line="219"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Michael Dinkins</w:t>
      </w:r>
    </w:p>
    <w:p>
      <w:pPr>
        <w:spacing w:after="0" w:line="225"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Executive Vice President and Chief Financial Officer</w:t>
      </w:r>
    </w:p>
    <w:p>
      <w:pPr>
        <w:spacing w:after="0" w:line="225"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(Principal Financial Officer)</w:t>
      </w:r>
    </w:p>
    <w:sectPr>
      <w:pgSz w:w="11900" w:h="16838" w:orient="portrait"/>
      <w:cols w:equalWidth="0" w:num="1">
        <w:col w:w="11420"/>
      </w:cols>
      <w:pgMar w:left="240" w:top="58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516DDE9"/>
    <w:multiLevelType w:val="hybridMultilevel"/>
    <w:lvl w:ilvl="0">
      <w:lvlJc w:val="left"/>
      <w:lvlText w:val="•"/>
      <w:numFmt w:val="bullet"/>
      <w:start w:val="1"/>
    </w:lvl>
  </w:abstractNum>
  <w:abstractNum w:abstractNumId="1">
    <w:nsid w:val="3006C83E"/>
    <w:multiLevelType w:val="hybridMultilevel"/>
    <w:lvl w:ilvl="0">
      <w:lvlJc w:val="left"/>
      <w:lvlText w:val="•"/>
      <w:numFmt w:val="bullet"/>
      <w:start w:val="1"/>
    </w:lvl>
  </w:abstractNum>
  <w:abstractNum w:abstractNumId="2">
    <w:nsid w:val="614FD4A1"/>
    <w:multiLevelType w:val="hybridMultilevel"/>
    <w:lvl w:ilvl="0">
      <w:lvlJc w:val="left"/>
      <w:lvlText w:val="•"/>
      <w:numFmt w:val="bullet"/>
      <w:start w:val="1"/>
    </w:lvl>
  </w:abstractNum>
  <w:abstractNum w:abstractNumId="3">
    <w:nsid w:val="419AC241"/>
    <w:multiLevelType w:val="hybridMultilevel"/>
    <w:lvl w:ilvl="0">
      <w:lvlJc w:val="left"/>
      <w:lvlText w:val="•"/>
      <w:numFmt w:val="bullet"/>
      <w:start w:val="1"/>
    </w:lvl>
  </w:abstractNum>
  <w:abstractNum w:abstractNumId="4">
    <w:nsid w:val="5577F8E1"/>
    <w:multiLevelType w:val="hybridMultilevel"/>
    <w:lvl w:ilvl="0">
      <w:lvlJc w:val="left"/>
      <w:lvlText w:val="•"/>
      <w:numFmt w:val="bullet"/>
      <w:start w:val="1"/>
    </w:lvl>
    <w:lvl w:ilvl="1">
      <w:lvlJc w:val="left"/>
      <w:lvlText w:val="-"/>
      <w:numFmt w:val="bullet"/>
      <w:start w:val="1"/>
    </w:lvl>
  </w:abstractNum>
  <w:abstractNum w:abstractNumId="5">
    <w:nsid w:val="440BADFC"/>
    <w:multiLevelType w:val="hybridMultilevel"/>
    <w:lvl w:ilvl="0">
      <w:lvlJc w:val="left"/>
      <w:lvlText w:val="•"/>
      <w:numFmt w:val="bullet"/>
      <w:start w:val="1"/>
    </w:lvl>
  </w:abstractNum>
  <w:abstractNum w:abstractNumId="6">
    <w:nsid w:val="5072367"/>
    <w:multiLevelType w:val="hybridMultilevel"/>
    <w:lvl w:ilvl="0">
      <w:lvlJc w:val="left"/>
      <w:lvlText w:val="•"/>
      <w:numFmt w:val="bullet"/>
      <w:start w:val="1"/>
    </w:lvl>
    <w:lvl w:ilvl="1">
      <w:lvlJc w:val="left"/>
      <w:lvlText w:val="-"/>
      <w:numFmt w:val="bullet"/>
      <w:start w:val="1"/>
    </w:lvl>
  </w:abstractNum>
  <w:abstractNum w:abstractNumId="7">
    <w:nsid w:val="3804823E"/>
    <w:multiLevelType w:val="hybridMultilevel"/>
    <w:lvl w:ilvl="0">
      <w:lvlJc w:val="left"/>
      <w:lvlText w:val="•"/>
      <w:numFmt w:val="bullet"/>
      <w:start w:val="1"/>
    </w:lvl>
  </w:abstractNum>
  <w:abstractNum w:abstractNumId="8">
    <w:nsid w:val="77465F01"/>
    <w:multiLevelType w:val="hybridMultilevel"/>
    <w:lvl w:ilvl="0">
      <w:lvlJc w:val="left"/>
      <w:lvlText w:val="•"/>
      <w:numFmt w:val="bullet"/>
      <w:start w:val="1"/>
    </w:lvl>
  </w:abstractNum>
  <w:abstractNum w:abstractNumId="9">
    <w:nsid w:val="7724C67E"/>
    <w:multiLevelType w:val="hybridMultilevel"/>
    <w:lvl w:ilvl="0">
      <w:lvlJc w:val="left"/>
      <w:lvlText w:val="•"/>
      <w:numFmt w:val="bullet"/>
      <w:start w:val="1"/>
    </w:lvl>
  </w:abstractNum>
  <w:abstractNum w:abstractNumId="10">
    <w:nsid w:val="5C482A97"/>
    <w:multiLevelType w:val="hybridMultilevel"/>
    <w:lvl w:ilvl="0">
      <w:lvlJc w:val="left"/>
      <w:lvlText w:val="•"/>
      <w:numFmt w:val="bullet"/>
      <w:start w:val="1"/>
    </w:lvl>
  </w:abstractNum>
  <w:abstractNum w:abstractNumId="11">
    <w:nsid w:val="2463B9EA"/>
    <w:multiLevelType w:val="hybridMultilevel"/>
    <w:lvl w:ilvl="0">
      <w:lvlJc w:val="left"/>
      <w:lvlText w:val="•"/>
      <w:numFmt w:val="bullet"/>
      <w:start w:val="1"/>
    </w:lvl>
  </w:abstractNum>
  <w:abstractNum w:abstractNumId="12">
    <w:nsid w:val="5E884ADC"/>
    <w:multiLevelType w:val="hybridMultilevel"/>
    <w:lvl w:ilvl="0">
      <w:lvlJc w:val="left"/>
      <w:lvlText w:val="(%1)"/>
      <w:numFmt w:val="decimal"/>
      <w:start w:val="1"/>
    </w:lvl>
    <w:lvl w:ilvl="1">
      <w:lvlJc w:val="left"/>
      <w:lvlText w:val="-"/>
      <w:numFmt w:val="bullet"/>
      <w:start w:val="1"/>
    </w:lvl>
  </w:abstractNum>
  <w:abstractNum w:abstractNumId="13">
    <w:nsid w:val="51EAD36B"/>
    <w:multiLevelType w:val="hybridMultilevel"/>
    <w:lvl w:ilvl="0">
      <w:lvlJc w:val="left"/>
      <w:lvlText w:val="•"/>
      <w:numFmt w:val="bullet"/>
      <w:start w:val="1"/>
    </w:lvl>
  </w:abstractNum>
  <w:abstractNum w:abstractNumId="14">
    <w:nsid w:val="2D517796"/>
    <w:multiLevelType w:val="hybridMultilevel"/>
    <w:lvl w:ilvl="0">
      <w:lvlJc w:val="left"/>
      <w:lvlText w:val="•"/>
      <w:numFmt w:val="bullet"/>
      <w:start w:val="1"/>
    </w:lvl>
  </w:abstractNum>
  <w:abstractNum w:abstractNumId="15">
    <w:nsid w:val="580BD78F"/>
    <w:multiLevelType w:val="hybridMultilevel"/>
    <w:lvl w:ilvl="0">
      <w:lvlJc w:val="left"/>
      <w:lvlText w:val="•"/>
      <w:numFmt w:val="bullet"/>
      <w:start w:val="1"/>
    </w:lvl>
  </w:abstractNum>
  <w:abstractNum w:abstractNumId="16">
    <w:nsid w:val="153EA438"/>
    <w:multiLevelType w:val="hybridMultilevel"/>
    <w:lvl w:ilvl="0">
      <w:lvlJc w:val="left"/>
      <w:lvlText w:val="%1"/>
      <w:numFmt w:val="upperLetter"/>
      <w:start w:val="55"/>
    </w:lvl>
    <w:lvl w:ilvl="1">
      <w:lvlJc w:val="left"/>
      <w:lvlText w:val="-"/>
      <w:numFmt w:val="bullet"/>
      <w:start w:val="1"/>
    </w:lvl>
  </w:abstractNum>
  <w:abstractNum w:abstractNumId="17">
    <w:nsid w:val="3855585C"/>
    <w:multiLevelType w:val="hybridMultilevel"/>
    <w:lvl w:ilvl="0">
      <w:lvlJc w:val="left"/>
      <w:lvlText w:val="(%1)"/>
      <w:numFmt w:val="lowerLetter"/>
      <w:start w:val="1"/>
    </w:lvl>
    <w:lvl w:ilvl="1">
      <w:lvlJc w:val="left"/>
      <w:lvlText w:val="-"/>
      <w:numFmt w:val="bullet"/>
      <w:start w:val="1"/>
    </w:lvl>
  </w:abstractNum>
  <w:abstractNum w:abstractNumId="18">
    <w:nsid w:val="70A64E2A"/>
    <w:multiLevelType w:val="hybridMultilevel"/>
    <w:lvl w:ilvl="0">
      <w:lvlJc w:val="left"/>
      <w:lvlText w:val="(%1)"/>
      <w:numFmt w:val="lowerLetter"/>
      <w:start w:val="7"/>
    </w:lvl>
  </w:abstractNum>
  <w:abstractNum w:abstractNumId="19">
    <w:nsid w:val="6A2342EC"/>
    <w:multiLevelType w:val="hybridMultilevel"/>
    <w:lvl w:ilvl="0">
      <w:lvlJc w:val="left"/>
      <w:lvlText w:val="•"/>
      <w:numFmt w:val="bullet"/>
      <w:start w:val="1"/>
    </w:lvl>
  </w:abstractNum>
  <w:abstractNum w:abstractNumId="20">
    <w:nsid w:val="2A487CB0"/>
    <w:multiLevelType w:val="hybridMultilevel"/>
    <w:lvl w:ilvl="0">
      <w:lvlJc w:val="left"/>
      <w:lvlText w:val="•"/>
      <w:numFmt w:val="bullet"/>
      <w:start w:val="1"/>
    </w:lvl>
  </w:abstractNum>
  <w:abstractNum w:abstractNumId="21">
    <w:nsid w:val="1D4ED43B"/>
    <w:multiLevelType w:val="hybridMultilevel"/>
    <w:lvl w:ilvl="0">
      <w:lvlJc w:val="left"/>
      <w:lvlText w:val="•"/>
      <w:numFmt w:val="bullet"/>
      <w:start w:val="1"/>
    </w:lvl>
  </w:abstractNum>
  <w:abstractNum w:abstractNumId="22">
    <w:nsid w:val="725A06FB"/>
    <w:multiLevelType w:val="hybridMultilevel"/>
    <w:lvl w:ilvl="0">
      <w:lvlJc w:val="left"/>
      <w:lvlText w:val="(%1)"/>
      <w:numFmt w:val="lowerLetter"/>
      <w:start w:val="1"/>
    </w:lvl>
  </w:abstractNum>
  <w:abstractNum w:abstractNumId="23">
    <w:nsid w:val="2CD89A32"/>
    <w:multiLevelType w:val="hybridMultilevel"/>
    <w:lvl w:ilvl="0">
      <w:lvlJc w:val="left"/>
      <w:lvlText w:val="(%1)"/>
      <w:numFmt w:val="lowerLetter"/>
      <w:start w:val="1"/>
    </w:lvl>
  </w:abstractNum>
  <w:abstractNum w:abstractNumId="24">
    <w:nsid w:val="57E4CCAF"/>
    <w:multiLevelType w:val="hybridMultilevel"/>
    <w:lvl w:ilvl="0">
      <w:lvlJc w:val="left"/>
      <w:lvlText w:val="(%1)"/>
      <w:numFmt w:val="lowerLetter"/>
      <w:start w:val="1"/>
    </w:lvl>
  </w:abstractNum>
  <w:abstractNum w:abstractNumId="25">
    <w:nsid w:val="7A6D8D3C"/>
    <w:multiLevelType w:val="hybridMultilevel"/>
    <w:lvl w:ilvl="0">
      <w:lvlJc w:val="left"/>
      <w:lvlText w:val="•"/>
      <w:numFmt w:val="bullet"/>
      <w:start w:val="1"/>
    </w:lvl>
  </w:abstractNum>
  <w:abstractNum w:abstractNumId="26">
    <w:nsid w:val="4B588F54"/>
    <w:multiLevelType w:val="hybridMultilevel"/>
    <w:lvl w:ilvl="0">
      <w:lvlJc w:val="left"/>
      <w:lvlText w:val="(%1)"/>
      <w:numFmt w:val="lowerLetter"/>
      <w:start w:val="1"/>
    </w:lvl>
    <w:lvl w:ilvl="1">
      <w:lvlJc w:val="left"/>
      <w:lvlText w:val="-"/>
      <w:numFmt w:val="bullet"/>
      <w:start w:val="1"/>
    </w:lvl>
  </w:abstractNum>
  <w:abstractNum w:abstractNumId="27">
    <w:nsid w:val="542289EC"/>
    <w:multiLevelType w:val="hybridMultilevel"/>
    <w:lvl w:ilvl="0">
      <w:lvlJc w:val="left"/>
      <w:lvlText w:val="(%1)"/>
      <w:numFmt w:val="lowerLetter"/>
      <w:start w:val="3"/>
    </w:lvl>
  </w:abstractNum>
  <w:abstractNum w:abstractNumId="28">
    <w:nsid w:val="6DE91B18"/>
    <w:multiLevelType w:val="hybridMultilevel"/>
    <w:lvl w:ilvl="0">
      <w:lvlJc w:val="left"/>
      <w:lvlText w:val="(%1)"/>
      <w:numFmt w:val="lowerLetter"/>
      <w:start w:val="1"/>
    </w:lvl>
  </w:abstractNum>
  <w:abstractNum w:abstractNumId="29">
    <w:nsid w:val="38437FDB"/>
    <w:multiLevelType w:val="hybridMultilevel"/>
    <w:lvl w:ilvl="0">
      <w:lvlJc w:val="left"/>
      <w:lvlText w:val="(%1)"/>
      <w:numFmt w:val="lowerLetter"/>
      <w:start w:val="1"/>
    </w:lvl>
  </w:abstractNum>
  <w:abstractNum w:abstractNumId="30">
    <w:nsid w:val="7644A45C"/>
    <w:multiLevelType w:val="hybridMultilevel"/>
    <w:lvl w:ilvl="0">
      <w:lvlJc w:val="left"/>
      <w:lvlText w:val="(%1)"/>
      <w:numFmt w:val="lowerLetter"/>
      <w:start w:val="1"/>
    </w:lvl>
  </w:abstractNum>
  <w:abstractNum w:abstractNumId="31">
    <w:nsid w:val="32FFF902"/>
    <w:multiLevelType w:val="hybridMultilevel"/>
    <w:lvl w:ilvl="0">
      <w:lvlJc w:val="left"/>
      <w:lvlText w:val="(%1)"/>
      <w:numFmt w:val="lowerLetter"/>
      <w:start w:val="1"/>
    </w:lvl>
  </w:abstractNum>
  <w:abstractNum w:abstractNumId="32">
    <w:nsid w:val="684A481A"/>
    <w:multiLevelType w:val="hybridMultilevel"/>
    <w:lvl w:ilvl="0">
      <w:lvlJc w:val="left"/>
      <w:lvlText w:val="•"/>
      <w:numFmt w:val="bullet"/>
      <w:start w:val="1"/>
    </w:lvl>
  </w:abstractNum>
  <w:abstractNum w:abstractNumId="33">
    <w:nsid w:val="579478FE"/>
    <w:multiLevelType w:val="hybridMultilevel"/>
    <w:lvl w:ilvl="0">
      <w:lvlJc w:val="left"/>
      <w:lvlText w:val="%1."/>
      <w:numFmt w:val="decimal"/>
      <w:start w:val="1"/>
    </w:lvl>
    <w:lvl w:ilvl="1">
      <w:lvlJc w:val="left"/>
      <w:lvlText w:val="-"/>
      <w:numFmt w:val="bullet"/>
      <w:start w:val="1"/>
    </w:lvl>
  </w:abstractNum>
  <w:abstractNum w:abstractNumId="34">
    <w:nsid w:val="749ABB43"/>
    <w:multiLevelType w:val="hybridMultilevel"/>
    <w:lvl w:ilvl="0">
      <w:lvlJc w:val="left"/>
      <w:lvlText w:val="%1."/>
      <w:numFmt w:val="decimal"/>
      <w:start w:val="2"/>
    </w:lvl>
  </w:abstractNum>
  <w:abstractNum w:abstractNumId="35">
    <w:nsid w:val="3DC240FB"/>
    <w:multiLevelType w:val="hybridMultilevel"/>
    <w:lvl w:ilvl="0">
      <w:lvlJc w:val="left"/>
      <w:lvlText w:val="%1."/>
      <w:numFmt w:val="decimal"/>
      <w:start w:val="4"/>
    </w:lvl>
  </w:abstractNum>
  <w:abstractNum w:abstractNumId="36">
    <w:nsid w:val="1BA026FA"/>
    <w:multiLevelType w:val="hybridMultilevel"/>
    <w:lvl w:ilvl="0">
      <w:lvlJc w:val="left"/>
      <w:lvlText w:val="%1."/>
      <w:numFmt w:val="decimal"/>
      <w:start w:val="5"/>
    </w:lvl>
  </w:abstractNum>
  <w:abstractNum w:abstractNumId="37">
    <w:nsid w:val="79A1DEAA"/>
    <w:multiLevelType w:val="hybridMultilevel"/>
    <w:lvl w:ilvl="0">
      <w:lvlJc w:val="left"/>
      <w:lvlText w:val="%1."/>
      <w:numFmt w:val="decimal"/>
      <w:start w:val="6"/>
    </w:lvl>
  </w:abstractNum>
  <w:abstractNum w:abstractNumId="38">
    <w:nsid w:val="75C6C33A"/>
    <w:multiLevelType w:val="hybridMultilevel"/>
    <w:lvl w:ilvl="0">
      <w:lvlJc w:val="left"/>
      <w:lvlText w:val="%1."/>
      <w:numFmt w:val="decimal"/>
      <w:start w:val="7"/>
    </w:lvl>
  </w:abstractNum>
  <w:abstractNum w:abstractNumId="39">
    <w:nsid w:val="12E685FB"/>
    <w:multiLevelType w:val="hybridMultilevel"/>
    <w:lvl w:ilvl="0">
      <w:lvlJc w:val="left"/>
      <w:lvlText w:val="(%1)"/>
      <w:numFmt w:val="lowerRoman"/>
      <w:start w:val="3"/>
    </w:lvl>
  </w:abstractNum>
  <w:abstractNum w:abstractNumId="40">
    <w:nsid w:val="70C6A529"/>
    <w:multiLevelType w:val="hybridMultilevel"/>
    <w:lvl w:ilvl="0">
      <w:lvlJc w:val="left"/>
      <w:lvlText w:val="%1."/>
      <w:numFmt w:val="decimal"/>
      <w:start w:val="10"/>
    </w:lvl>
  </w:abstractNum>
  <w:abstractNum w:abstractNumId="41">
    <w:nsid w:val="520EEDD1"/>
    <w:multiLevelType w:val="hybridMultilevel"/>
    <w:lvl w:ilvl="0">
      <w:lvlJc w:val="left"/>
      <w:lvlText w:val="%1."/>
      <w:numFmt w:val="decimal"/>
      <w:start w:val="11"/>
    </w:lvl>
  </w:abstractNum>
  <w:abstractNum w:abstractNumId="42">
    <w:nsid w:val="374A3FE6"/>
    <w:multiLevelType w:val="hybridMultilevel"/>
    <w:lvl w:ilvl="0">
      <w:lvlJc w:val="left"/>
      <w:lvlText w:val="%1."/>
      <w:numFmt w:val="decimal"/>
      <w:start w:val="12"/>
    </w:lvl>
  </w:abstractNum>
  <w:abstractNum w:abstractNumId="43">
    <w:nsid w:val="4F4EF005"/>
    <w:multiLevelType w:val="hybridMultilevel"/>
    <w:lvl w:ilvl="0">
      <w:lvlJc w:val="left"/>
      <w:lvlText w:val="•"/>
      <w:numFmt w:val="bullet"/>
      <w:start w:val="1"/>
    </w:lvl>
  </w:abstractNum>
  <w:abstractNum w:abstractNumId="44">
    <w:nsid w:val="23F9C13C"/>
    <w:multiLevelType w:val="hybridMultilevel"/>
    <w:lvl w:ilvl="0">
      <w:lvlJc w:val="left"/>
      <w:lvlText w:val="•"/>
      <w:numFmt w:val="bullet"/>
      <w:start w:val="1"/>
    </w:lvl>
  </w:abstractNum>
  <w:abstractNum w:abstractNumId="45">
    <w:nsid w:val="649BB77C"/>
    <w:multiLevelType w:val="hybridMultilevel"/>
    <w:lvl w:ilvl="0">
      <w:lvlJc w:val="left"/>
      <w:lvlText w:val="•"/>
      <w:numFmt w:val="bullet"/>
      <w:start w:val="1"/>
    </w:lvl>
  </w:abstractNum>
  <w:abstractNum w:abstractNumId="46">
    <w:nsid w:val="275AC794"/>
    <w:multiLevelType w:val="hybridMultilevel"/>
    <w:lvl w:ilvl="0">
      <w:lvlJc w:val="left"/>
      <w:lvlText w:val="•"/>
      <w:numFmt w:val="bullet"/>
      <w:start w:val="1"/>
    </w:lvl>
  </w:abstractNum>
  <w:abstractNum w:abstractNumId="47">
    <w:nsid w:val="39386575"/>
    <w:multiLevelType w:val="hybridMultilevel"/>
    <w:lvl w:ilvl="0">
      <w:lvlJc w:val="left"/>
      <w:lvlText w:val="•"/>
      <w:numFmt w:val="bullet"/>
      <w:start w:val="1"/>
    </w:lvl>
  </w:abstractNum>
  <w:abstractNum w:abstractNumId="48">
    <w:nsid w:val="1CF10FD8"/>
    <w:multiLevelType w:val="hybridMultilevel"/>
    <w:lvl w:ilvl="0">
      <w:lvlJc w:val="left"/>
      <w:lvlText w:val="%1."/>
      <w:numFmt w:val="decimal"/>
      <w:start w:val="14"/>
    </w:lvl>
  </w:abstractNum>
  <w:abstractNum w:abstractNumId="49">
    <w:nsid w:val="180115BE"/>
    <w:multiLevelType w:val="hybridMultilevel"/>
    <w:lvl w:ilvl="0">
      <w:lvlJc w:val="left"/>
      <w:lvlText w:val="%1."/>
      <w:numFmt w:val="decimal"/>
      <w:start w:val="15"/>
    </w:lvl>
  </w:abstractNum>
  <w:abstractNum w:abstractNumId="50">
    <w:nsid w:val="235BA861"/>
    <w:multiLevelType w:val="hybridMultilevel"/>
    <w:lvl w:ilvl="0">
      <w:lvlJc w:val="left"/>
      <w:lvlText w:val="%1."/>
      <w:numFmt w:val="decimal"/>
      <w:start w:val="16"/>
    </w:lvl>
  </w:abstractNum>
  <w:abstractNum w:abstractNumId="51">
    <w:nsid w:val="47398C89"/>
    <w:multiLevelType w:val="hybridMultilevel"/>
    <w:lvl w:ilvl="0">
      <w:lvlJc w:val="left"/>
      <w:lvlText w:val="%1."/>
      <w:numFmt w:val="decimal"/>
      <w:start w:val="17"/>
    </w:lvl>
  </w:abstractNum>
  <w:abstractNum w:abstractNumId="52">
    <w:nsid w:val="354FE9F9"/>
    <w:multiLevelType w:val="hybridMultilevel"/>
    <w:lvl w:ilvl="0">
      <w:lvlJc w:val="left"/>
      <w:lvlText w:val="%1."/>
      <w:numFmt w:val="decimal"/>
      <w:start w:val="18"/>
    </w:lvl>
  </w:abstractNum>
  <w:abstractNum w:abstractNumId="53">
    <w:nsid w:val="15B5AF5C"/>
    <w:multiLevelType w:val="hybridMultilevel"/>
    <w:lvl w:ilvl="0">
      <w:lvlJc w:val="left"/>
      <w:lvlText w:val="%1."/>
      <w:numFmt w:val="decimal"/>
      <w:start w:val="19"/>
    </w:lvl>
  </w:abstractNum>
  <w:abstractNum w:abstractNumId="54">
    <w:nsid w:val="741226BB"/>
    <w:multiLevelType w:val="hybridMultilevel"/>
    <w:lvl w:ilvl="0">
      <w:lvlJc w:val="left"/>
      <w:lvlText w:val="(%1)"/>
      <w:numFmt w:val="lowerRoman"/>
      <w:start w:val="3"/>
    </w:lvl>
  </w:abstractNum>
  <w:abstractNum w:abstractNumId="55">
    <w:nsid w:val="D34B6A8"/>
    <w:multiLevelType w:val="hybridMultilevel"/>
    <w:lvl w:ilvl="0">
      <w:lvlJc w:val="left"/>
      <w:lvlText w:val="•"/>
      <w:numFmt w:val="bullet"/>
      <w:start w:val="1"/>
    </w:lvl>
  </w:abstractNum>
  <w:abstractNum w:abstractNumId="56">
    <w:nsid w:val="10233C99"/>
    <w:multiLevelType w:val="hybridMultilevel"/>
    <w:lvl w:ilvl="0">
      <w:lvlJc w:val="left"/>
      <w:lvlText w:val="•"/>
      <w:numFmt w:val="bullet"/>
      <w:start w:val="1"/>
    </w:lvl>
  </w:abstractNum>
  <w:abstractNum w:abstractNumId="57">
    <w:nsid w:val="3F6AB60F"/>
    <w:multiLevelType w:val="hybridMultilevel"/>
    <w:lvl w:ilvl="0">
      <w:lvlJc w:val="left"/>
      <w:lvlText w:val="%1."/>
      <w:numFmt w:val="decimal"/>
      <w:start w:val="20"/>
    </w:lvl>
  </w:abstractNum>
  <w:abstractNum w:abstractNumId="58">
    <w:nsid w:val="61574095"/>
    <w:multiLevelType w:val="hybridMultilevel"/>
    <w:lvl w:ilvl="0">
      <w:lvlJc w:val="left"/>
      <w:lvlText w:val="•"/>
      <w:numFmt w:val="bullet"/>
      <w:start w:val="1"/>
    </w:lvl>
  </w:abstractNum>
  <w:abstractNum w:abstractNumId="59">
    <w:nsid w:val="7E0C57B1"/>
    <w:multiLevelType w:val="hybridMultilevel"/>
    <w:lvl w:ilvl="0">
      <w:lvlJc w:val="left"/>
      <w:lvlText w:val="(%1)"/>
      <w:numFmt w:val="lowerLetter"/>
      <w:start w:val="1"/>
    </w:lvl>
    <w:lvl w:ilvl="1">
      <w:lvlJc w:val="left"/>
      <w:lvlText w:val="%2."/>
      <w:numFmt w:val="decimal"/>
      <w:start w:val="1"/>
    </w:lvl>
  </w:abstractNum>
  <w:abstractNum w:abstractNumId="60">
    <w:nsid w:val="77AE35EB"/>
    <w:multiLevelType w:val="hybridMultilevel"/>
    <w:lvl w:ilvl="0">
      <w:lvlJc w:val="left"/>
      <w:lvlText w:val="(%1)"/>
      <w:numFmt w:val="decimal"/>
      <w:start w:val="1"/>
    </w:lvl>
  </w:abstractNum>
  <w:abstractNum w:abstractNumId="61">
    <w:nsid w:val="579BE4F1"/>
    <w:multiLevelType w:val="hybridMultilevel"/>
    <w:lvl w:ilvl="0">
      <w:lvlJc w:val="left"/>
      <w:lvlText w:val="%1."/>
      <w:numFmt w:val="decimal"/>
      <w:start w:val="3"/>
    </w:lvl>
    <w:lvl w:ilvl="1">
      <w:lvlJc w:val="left"/>
      <w:lvlText w:val="-"/>
      <w:numFmt w:val="bullet"/>
      <w:start w:val="1"/>
    </w:lvl>
  </w:abstractNum>
  <w:abstractNum w:abstractNumId="62">
    <w:nsid w:val="310C50B3"/>
    <w:multiLevelType w:val="hybridMultilevel"/>
    <w:lvl w:ilvl="0">
      <w:lvlJc w:val="left"/>
      <w:lvlText w:val="#"/>
      <w:numFmt w:val="bullet"/>
      <w:start w:val="1"/>
    </w:lvl>
    <w:lvl w:ilvl="1">
      <w:lvlJc w:val="left"/>
      <w:lvlText w:val="-"/>
      <w:numFmt w:val="bullet"/>
      <w:start w:val="1"/>
    </w:lvl>
  </w:abstractNum>
  <w:abstractNum w:abstractNumId="63">
    <w:nsid w:val="5FF87E05"/>
    <w:multiLevelType w:val="hybridMultilevel"/>
    <w:lvl w:ilvl="0">
      <w:lvlJc w:val="left"/>
      <w:lvlText w:val="%1."/>
      <w:numFmt w:val="decimal"/>
      <w:start w:val="1"/>
    </w:lvl>
    <w:lvl w:ilvl="1">
      <w:lvlJc w:val="left"/>
      <w:lvlText w:val="%2."/>
      <w:numFmt w:val="lowerLetter"/>
      <w:start w:val="1"/>
    </w:lvl>
  </w:abstractNum>
  <w:abstractNum w:abstractNumId="64">
    <w:nsid w:val="2F305DEF"/>
    <w:multiLevelType w:val="hybridMultilevel"/>
    <w:lvl w:ilvl="0">
      <w:lvlJc w:val="left"/>
      <w:lvlText w:val="%1."/>
      <w:numFmt w:val="decimal"/>
      <w:start w:val="1"/>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jpe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2020-01-19T19:09:36Z</dcterms:created>
  <dcterms:modified xsi:type="dcterms:W3CDTF">2020-01-19T19:09:36Z</dcterms:modified>
</cp:coreProperties>
</file>