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6113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61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2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Hartzell David John</w:t>
              </w:r>
            </w:hyperlink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80" w:type="dxa"/>
            <w:vAlign w:val="bottom"/>
            <w:gridSpan w:val="8"/>
          </w:tcPr>
          <w:p>
            <w:pPr>
              <w:spacing w:after="0" w:line="173" w:lineRule="exact"/>
              <w:rPr>
                <w:rFonts w:ascii="Arial" w:cs="Arial" w:eastAsia="Arial" w:hAnsi="Arial"/>
                <w:sz w:val="20"/>
                <w:szCs w:val="20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0"/>
                  <w:szCs w:val="20"/>
                  <w:color w:val="0000EE"/>
                </w:rPr>
                <w:t xml:space="preserve">HIGHWOODS PROPERTIES, INC. </w:t>
              </w:r>
            </w:hyperlink>
            <w:r>
              <w:rPr>
                <w:rFonts w:ascii="Arial" w:cs="Arial" w:eastAsia="Arial" w:hAnsi="Arial"/>
                <w:sz w:val="20"/>
                <w:szCs w:val="20"/>
                <w:color w:val="000000"/>
              </w:rPr>
              <w:t>[</w:t>
            </w:r>
            <w:r>
              <w:rPr>
                <w:rFonts w:ascii="Arial" w:cs="Arial" w:eastAsia="Arial" w:hAnsi="Arial"/>
                <w:sz w:val="20"/>
                <w:szCs w:val="20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HIW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ind w:left="8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X</w:t>
            </w: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760" w:type="dxa"/>
            <w:vAlign w:val="bottom"/>
            <w:gridSpan w:val="4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gridSpan w:val="4"/>
            <w:vMerge w:val="restart"/>
          </w:tcPr>
          <w:p>
            <w:pPr>
              <w:ind w:left="160"/>
              <w:spacing w:after="0" w:line="1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]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760" w:type="dxa"/>
            <w:vAlign w:val="bottom"/>
            <w:gridSpan w:val="4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2C2C2C"/>
            </w:tcBorders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4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940" w:type="dxa"/>
            <w:vAlign w:val="bottom"/>
          </w:tcPr>
          <w:p>
            <w:pPr>
              <w:ind w:left="50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4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150 FAYETTEVILLE STREET, SUITE 1400</w:t>
            </w:r>
          </w:p>
        </w:tc>
        <w:tc>
          <w:tcPr>
            <w:tcW w:w="1640" w:type="dxa"/>
            <w:vAlign w:val="bottom"/>
            <w:gridSpan w:val="6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03/01/2023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4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2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RALEIGH</w:t>
            </w:r>
          </w:p>
        </w:tc>
        <w:tc>
          <w:tcPr>
            <w:tcW w:w="2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NC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27601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20" w:type="dxa"/>
            <w:vAlign w:val="bottom"/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</w:tcPr>
          <w:p>
            <w:pPr>
              <w:ind w:left="14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5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940" w:type="dxa"/>
            <w:vAlign w:val="bottom"/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40" w:type="dxa"/>
            <w:vAlign w:val="bottom"/>
            <w:gridSpan w:val="7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5"/>
          </w:tcPr>
          <w:p>
            <w:pPr>
              <w:ind w:left="8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60" w:type="dxa"/>
            <w:vAlign w:val="bottom"/>
            <w:gridSpan w:val="4"/>
            <w:vMerge w:val="restart"/>
          </w:tcPr>
          <w:p>
            <w:pPr>
              <w:jc w:val="right"/>
              <w:ind w:right="1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Price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0"/>
              </w:rPr>
              <w:t>Common Stock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0"/>
                <w:vertAlign w:val="superscript"/>
              </w:rPr>
              <w:t>(1)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03/01/2023</w:t>
            </w: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03/01/2023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3,211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9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0.00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31,116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00" w:type="dxa"/>
            <w:vAlign w:val="bottom"/>
            <w:gridSpan w:val="15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6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6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gridSpan w:val="5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5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Shares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Consists of time-based restricted stock that is scheduled to vest on March 1, 2024.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0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/s/Jeffrey D. Miller Attorney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03/03/2023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920" w:type="dxa"/>
            <w:vAlign w:val="bottom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in fact for David J. Hartzell</w:t>
            </w:r>
          </w:p>
        </w:tc>
        <w:tc>
          <w:tcPr>
            <w:tcW w:w="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9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1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455394" TargetMode="External"/><Relationship Id="rId13" Type="http://schemas.openxmlformats.org/officeDocument/2006/relationships/hyperlink" Target="http://www.sec.gov/cgi-bin/browse-edgar?action=getcompany&amp;CIK=000092108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2023-03-03T15:51:04Z</dcterms:created>
  <dcterms:modified xsi:type="dcterms:W3CDTF">2023-03-03T15:51:04Z</dcterms:modified>
</cp:coreProperties>
</file>