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3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SEC Form 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5</w:t>
            </w:r>
          </w:p>
        </w:tc>
        <w:tc>
          <w:tcPr>
            <w:tcW w:w="6820" w:type="dxa"/>
            <w:vAlign w:val="bottom"/>
            <w:gridSpan w:val="22"/>
          </w:tcPr>
          <w:p>
            <w:pPr>
              <w:jc w:val="center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restart"/>
          </w:tcPr>
          <w:p>
            <w:pPr>
              <w:jc w:val="center"/>
              <w:ind w:right="275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gridSpan w:val="5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Check this box if no longer subject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80" w:type="dxa"/>
            <w:vAlign w:val="bottom"/>
            <w:gridSpan w:val="5"/>
            <w:vMerge w:val="restart"/>
          </w:tcPr>
          <w:p>
            <w:pPr>
              <w:ind w:left="2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 Section 16. Form 4 or Form 5</w:t>
            </w:r>
          </w:p>
        </w:tc>
        <w:tc>
          <w:tcPr>
            <w:tcW w:w="6160" w:type="dxa"/>
            <w:vAlign w:val="bottom"/>
            <w:gridSpan w:val="19"/>
            <w:vMerge w:val="restart"/>
          </w:tcPr>
          <w:p>
            <w:pPr>
              <w:jc w:val="center"/>
              <w:ind w:left="105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ANNUAL STATEMENT OF CHANGES IN BENEFICIAL</w:t>
            </w: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160" w:type="dxa"/>
            <w:vAlign w:val="bottom"/>
            <w:gridSpan w:val="19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3235-0362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gridSpan w:val="5"/>
          </w:tcPr>
          <w:p>
            <w:pPr>
              <w:ind w:left="240"/>
              <w:spacing w:after="0" w:line="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 xml:space="preserve">obligations may continue. </w:t>
            </w:r>
            <w:r>
              <w:rPr>
                <w:rFonts w:ascii="Arial" w:cs="Arial" w:eastAsia="Arial" w:hAnsi="Arial"/>
                <w:sz w:val="7"/>
                <w:szCs w:val="7"/>
                <w:i w:val="1"/>
                <w:iCs w:val="1"/>
                <w:color w:val="auto"/>
              </w:rPr>
              <w:t>See</w:t>
            </w:r>
          </w:p>
        </w:tc>
        <w:tc>
          <w:tcPr>
            <w:tcW w:w="6160" w:type="dxa"/>
            <w:vAlign w:val="bottom"/>
            <w:gridSpan w:val="19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Instruction 1(b).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Estimated average burden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gridSpan w:val="5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3 Holdings Reported.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00" w:type="dxa"/>
            <w:vAlign w:val="bottom"/>
            <w:gridSpan w:val="16"/>
            <w:vMerge w:val="restart"/>
          </w:tcPr>
          <w:p>
            <w:pPr>
              <w:jc w:val="center"/>
              <w:ind w:left="7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8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500" w:type="dxa"/>
            <w:vAlign w:val="bottom"/>
            <w:gridSpan w:val="16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gridSpan w:val="5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4 Transactions Reported.</w:t>
            </w:r>
          </w:p>
        </w:tc>
        <w:tc>
          <w:tcPr>
            <w:tcW w:w="5500" w:type="dxa"/>
            <w:vAlign w:val="bottom"/>
            <w:gridSpan w:val="16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or Section 30(h) of the Investment Company Act of 1940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2C2C2C"/>
            </w:tcBorders>
            <w:gridSpan w:val="11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</w:tcPr>
          <w:p>
            <w:pPr>
              <w:ind w:left="6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20" w:type="dxa"/>
            <w:vAlign w:val="bottom"/>
            <w:gridSpan w:val="1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4"/>
              </w:rPr>
            </w:pPr>
            <w:hyperlink r:id="rId8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4"/>
                </w:rPr>
                <w:t>Miller Jeffrey Douglas</w:t>
              </w:r>
            </w:hyperlink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40" w:type="dxa"/>
            <w:vAlign w:val="bottom"/>
            <w:gridSpan w:val="19"/>
          </w:tcPr>
          <w:p>
            <w:pPr>
              <w:spacing w:after="0" w:line="174" w:lineRule="exact"/>
              <w:rPr>
                <w:rFonts w:ascii="Arial" w:cs="Arial" w:eastAsia="Arial" w:hAnsi="Arial"/>
                <w:sz w:val="17"/>
                <w:szCs w:val="17"/>
                <w:color w:val="0000EE"/>
              </w:rPr>
            </w:pPr>
            <w:hyperlink r:id="rId9">
              <w:r>
                <w:rPr>
                  <w:rFonts w:ascii="Arial" w:cs="Arial" w:eastAsia="Arial" w:hAnsi="Arial"/>
                  <w:sz w:val="17"/>
                  <w:szCs w:val="17"/>
                  <w:color w:val="0000EE"/>
                </w:rPr>
                <w:t xml:space="preserve">HIGHWOODS PROPERTIES, INC. </w:t>
              </w:r>
            </w:hyperlink>
            <w:r>
              <w:rPr>
                <w:rFonts w:ascii="Arial" w:cs="Arial" w:eastAsia="Arial" w:hAnsi="Arial"/>
                <w:sz w:val="17"/>
                <w:szCs w:val="17"/>
                <w:color w:val="000000"/>
              </w:rPr>
              <w:t>[</w:t>
            </w:r>
            <w:r>
              <w:rPr>
                <w:rFonts w:ascii="Arial" w:cs="Arial" w:eastAsia="Arial" w:hAnsi="Arial"/>
                <w:sz w:val="17"/>
                <w:szCs w:val="17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HIW</w:t>
            </w:r>
            <w:r>
              <w:rPr>
                <w:rFonts w:ascii="Arial" w:cs="Arial" w:eastAsia="Arial" w:hAnsi="Arial"/>
                <w:sz w:val="17"/>
                <w:szCs w:val="17"/>
                <w:color w:val="0000EE"/>
              </w:rPr>
              <w:t xml:space="preserve">  </w:t>
            </w:r>
            <w:r>
              <w:rPr>
                <w:rFonts w:ascii="Arial" w:cs="Arial" w:eastAsia="Arial" w:hAnsi="Arial"/>
                <w:sz w:val="20"/>
                <w:szCs w:val="20"/>
                <w:color w:val="000000"/>
                <w:vertAlign w:val="superscript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0000EE"/>
            </w:tcBorders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0000EE"/>
              <w:bottom w:val="single" w:sz="8" w:color="0000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]</w:t>
            </w:r>
          </w:p>
        </w:tc>
        <w:tc>
          <w:tcPr>
            <w:tcW w:w="2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restart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gridSpan w:val="7"/>
            <w:vMerge w:val="restart"/>
          </w:tcPr>
          <w:p>
            <w:pPr>
              <w:ind w:left="3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16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gridSpan w:val="7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20" w:type="dxa"/>
            <w:vAlign w:val="bottom"/>
            <w:gridSpan w:val="1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Statement for Issuer's Fiscal Year Ended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2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gridSpan w:val="7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EVP, General Counsel &amp; Sec.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2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2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150 FAYETTEVILLE STREET, SUITE 1400</w:t>
            </w:r>
          </w:p>
        </w:tc>
        <w:tc>
          <w:tcPr>
            <w:tcW w:w="110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12/31/2022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2C2C2C"/>
            </w:tcBorders>
            <w:gridSpan w:val="1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gridSpan w:val="1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1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RALEIGH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NC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27601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6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gridSpan w:val="12"/>
          </w:tcPr>
          <w:p>
            <w:pPr>
              <w:ind w:left="1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2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6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 Securities Acquired (A) or 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540" w:type="dxa"/>
            <w:vAlign w:val="bottom"/>
            <w:gridSpan w:val="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 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020" w:type="dxa"/>
            <w:vAlign w:val="bottom"/>
            <w:gridSpan w:val="6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1020" w:type="dxa"/>
            <w:vAlign w:val="bottom"/>
            <w:gridSpan w:val="6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  <w:vMerge w:val="restart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at end of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</w:t>
            </w:r>
          </w:p>
        </w:tc>
        <w:tc>
          <w:tcPr>
            <w:tcW w:w="1020" w:type="dxa"/>
            <w:vAlign w:val="bottom"/>
            <w:gridSpan w:val="6"/>
            <w:vMerge w:val="restart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Issuer's Fiscal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 (I)</w:t>
            </w:r>
          </w:p>
        </w:tc>
        <w:tc>
          <w:tcPr>
            <w:tcW w:w="1020" w:type="dxa"/>
            <w:vAlign w:val="bottom"/>
            <w:gridSpan w:val="6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Year (Instr. 3 and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03/28/2022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03/28/2022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600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116,212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8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  <w:right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2C2C2C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20" w:type="dxa"/>
            <w:vAlign w:val="bottom"/>
          </w:tcPr>
          <w:p>
            <w:pPr>
              <w:ind w:left="3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6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20" w:type="dxa"/>
            <w:vAlign w:val="bottom"/>
            <w:tcBorders>
              <w:right w:val="single" w:sz="8" w:color="2C2C2C"/>
            </w:tcBorders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6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2C2C2C"/>
            </w:tcBorders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2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3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6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20" w:type="dxa"/>
            <w:vAlign w:val="bottom"/>
            <w:tcBorders>
              <w:right w:val="single" w:sz="8" w:color="2C2C2C"/>
            </w:tcBorders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6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20" w:type="dxa"/>
            <w:vAlign w:val="bottom"/>
            <w:tcBorders>
              <w:right w:val="single" w:sz="8" w:color="2C2C2C"/>
            </w:tcBorders>
            <w:gridSpan w:val="5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6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6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5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(A)</w:t>
            </w:r>
          </w:p>
        </w:tc>
        <w:tc>
          <w:tcPr>
            <w:tcW w:w="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Title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-5534025</wp:posOffset>
            </wp:positionV>
            <wp:extent cx="7044055" cy="55473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554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Includes 330 shares acquired through employee stock purchase plan.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/s/Jeffrey D. Miller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02/09/2023</w:t>
            </w:r>
          </w:p>
        </w:tc>
      </w:tr>
      <w:tr>
        <w:trPr>
          <w:trHeight w:val="20"/>
        </w:trPr>
        <w:tc>
          <w:tcPr>
            <w:tcW w:w="1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40" w:right="3320" w:firstLine="7"/>
        <w:spacing w:after="0" w:line="320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10" Type="http://schemas.openxmlformats.org/officeDocument/2006/relationships/image" Target="media/image1.png"/><Relationship Id="rId8" Type="http://schemas.openxmlformats.org/officeDocument/2006/relationships/hyperlink" Target="http://www.sec.gov/cgi-bin/browse-edgar?action=getcompany&amp;CIK=0001394121" TargetMode="External"/><Relationship Id="rId9" Type="http://schemas.openxmlformats.org/officeDocument/2006/relationships/hyperlink" Target="http://www.sec.gov/cgi-bin/browse-edgar?action=getcompany&amp;CIK=000092108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2023-02-09T15:21:08Z</dcterms:created>
  <dcterms:modified xsi:type="dcterms:W3CDTF">2023-02-09T15:21:08Z</dcterms:modified>
</cp:coreProperties>
</file>