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3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SCHEDULE 14A</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Proxy Statement Pursuant to Section 14(a) of the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Filed by the Registrant [X]</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Filed by a Party other than the Registrant [ ]</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52"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140" w:type="dxa"/>
            <w:vAlign w:val="bottom"/>
          </w:tcPr>
          <w:p>
            <w:pPr>
              <w:jc w:val="right"/>
              <w:spacing w:after="0"/>
              <w:rPr>
                <w:sz w:val="20"/>
                <w:szCs w:val="20"/>
                <w:color w:val="auto"/>
              </w:rPr>
            </w:pPr>
            <w:r>
              <w:rPr>
                <w:rFonts w:ascii="Arial" w:cs="Arial" w:eastAsia="Arial" w:hAnsi="Arial"/>
                <w:sz w:val="18"/>
                <w:szCs w:val="18"/>
                <w:color w:val="auto"/>
                <w:w w:val="78"/>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5940" w:type="dxa"/>
            <w:vAlign w:val="bottom"/>
          </w:tcPr>
          <w:p>
            <w:pPr>
              <w:ind w:left="80"/>
              <w:spacing w:after="0"/>
              <w:rPr>
                <w:sz w:val="20"/>
                <w:szCs w:val="20"/>
                <w:color w:val="auto"/>
              </w:rPr>
            </w:pPr>
            <w:r>
              <w:rPr>
                <w:rFonts w:ascii="Arial" w:cs="Arial" w:eastAsia="Arial" w:hAnsi="Arial"/>
                <w:sz w:val="18"/>
                <w:szCs w:val="18"/>
                <w:color w:val="auto"/>
              </w:rPr>
              <w:t>Preliminary Proxy Statement</w:t>
            </w:r>
          </w:p>
        </w:tc>
      </w:tr>
      <w:tr>
        <w:trPr>
          <w:trHeight w:val="216"/>
        </w:trPr>
        <w:tc>
          <w:tcPr>
            <w:tcW w:w="140" w:type="dxa"/>
            <w:vAlign w:val="bottom"/>
          </w:tcPr>
          <w:p>
            <w:pPr>
              <w:jc w:val="right"/>
              <w:spacing w:after="0"/>
              <w:rPr>
                <w:sz w:val="20"/>
                <w:szCs w:val="20"/>
                <w:color w:val="auto"/>
              </w:rPr>
            </w:pPr>
            <w:r>
              <w:rPr>
                <w:rFonts w:ascii="Arial" w:cs="Arial" w:eastAsia="Arial" w:hAnsi="Arial"/>
                <w:sz w:val="18"/>
                <w:szCs w:val="18"/>
                <w:color w:val="auto"/>
                <w:w w:val="78"/>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5940" w:type="dxa"/>
            <w:vAlign w:val="bottom"/>
          </w:tcPr>
          <w:p>
            <w:pPr>
              <w:ind w:left="80"/>
              <w:spacing w:after="0"/>
              <w:rPr>
                <w:sz w:val="20"/>
                <w:szCs w:val="20"/>
                <w:color w:val="auto"/>
              </w:rPr>
            </w:pPr>
            <w:r>
              <w:rPr>
                <w:rFonts w:ascii="Arial" w:cs="Arial" w:eastAsia="Arial" w:hAnsi="Arial"/>
                <w:sz w:val="18"/>
                <w:szCs w:val="18"/>
                <w:color w:val="auto"/>
                <w:w w:val="91"/>
              </w:rPr>
              <w:t>Confidential, for Use of the Commission Only (as permitted by Rule 14a-6(e)(2))</w:t>
            </w:r>
          </w:p>
        </w:tc>
      </w:tr>
      <w:tr>
        <w:trPr>
          <w:trHeight w:val="230"/>
        </w:trPr>
        <w:tc>
          <w:tcPr>
            <w:tcW w:w="140" w:type="dxa"/>
            <w:vAlign w:val="bottom"/>
          </w:tcPr>
          <w:p>
            <w:pPr>
              <w:jc w:val="right"/>
              <w:spacing w:after="0"/>
              <w:rPr>
                <w:sz w:val="20"/>
                <w:szCs w:val="20"/>
                <w:color w:val="auto"/>
              </w:rPr>
            </w:pPr>
            <w:r>
              <w:rPr>
                <w:rFonts w:ascii="Arial" w:cs="Arial" w:eastAsia="Arial" w:hAnsi="Arial"/>
                <w:sz w:val="18"/>
                <w:szCs w:val="18"/>
                <w:color w:val="auto"/>
                <w:w w:val="78"/>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5940" w:type="dxa"/>
            <w:vAlign w:val="bottom"/>
          </w:tcPr>
          <w:p>
            <w:pPr>
              <w:ind w:left="80"/>
              <w:spacing w:after="0"/>
              <w:rPr>
                <w:sz w:val="20"/>
                <w:szCs w:val="20"/>
                <w:color w:val="auto"/>
              </w:rPr>
            </w:pPr>
            <w:r>
              <w:rPr>
                <w:rFonts w:ascii="Arial" w:cs="Arial" w:eastAsia="Arial" w:hAnsi="Arial"/>
                <w:sz w:val="18"/>
                <w:szCs w:val="18"/>
                <w:color w:val="auto"/>
              </w:rPr>
              <w:t>Definitive Proxy Statement</w:t>
            </w:r>
          </w:p>
        </w:tc>
      </w:tr>
    </w:tbl>
    <w:p>
      <w:pPr>
        <w:ind w:left="440" w:hanging="432"/>
        <w:spacing w:after="0"/>
        <w:tabs>
          <w:tab w:leader="none" w:pos="440" w:val="left"/>
        </w:tabs>
        <w:numPr>
          <w:ilvl w:val="0"/>
          <w:numId w:val="1"/>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9" w:lineRule="exact"/>
        <w:rPr>
          <w:sz w:val="24"/>
          <w:szCs w:val="24"/>
          <w:color w:val="auto"/>
        </w:rPr>
      </w:pPr>
    </w:p>
    <w:p>
      <w:pPr>
        <w:spacing w:after="0"/>
        <w:tabs>
          <w:tab w:leader="none" w:pos="42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6"/>
          <w:szCs w:val="16"/>
          <w:color w:val="auto"/>
        </w:rPr>
        <w:t>Soliciting Material Pursuant to Section 240.14a-12</w:t>
      </w:r>
    </w:p>
    <w:p>
      <w:pPr>
        <w:spacing w:after="0" w:line="23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HIGHWOODS PROPERTIES, INC.</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Registrant as Specified in its Charter)</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52" w:lineRule="exact"/>
        <w:rPr>
          <w:sz w:val="24"/>
          <w:szCs w:val="24"/>
          <w:color w:val="auto"/>
        </w:rPr>
      </w:pPr>
    </w:p>
    <w:p>
      <w:pPr>
        <w:ind w:left="480" w:hanging="472"/>
        <w:spacing w:after="0"/>
        <w:tabs>
          <w:tab w:leader="none" w:pos="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252" w:lineRule="exact"/>
        <w:rPr>
          <w:sz w:val="24"/>
          <w:szCs w:val="24"/>
          <w:color w:val="auto"/>
        </w:rPr>
      </w:pPr>
    </w:p>
    <w:p>
      <w:pPr>
        <w:ind w:left="200" w:hanging="192"/>
        <w:spacing w:after="0"/>
        <w:tabs>
          <w:tab w:leader="none" w:pos="200" w:val="left"/>
        </w:tabs>
        <w:numPr>
          <w:ilvl w:val="0"/>
          <w:numId w:val="3"/>
        </w:numPr>
        <w:rPr>
          <w:rFonts w:ascii="Arial" w:cs="Arial" w:eastAsia="Arial" w:hAnsi="Arial"/>
          <w:sz w:val="18"/>
          <w:szCs w:val="18"/>
          <w:color w:val="auto"/>
        </w:rPr>
      </w:pPr>
      <w:r>
        <w:rPr>
          <w:rFonts w:ascii="Arial" w:cs="Arial" w:eastAsia="Arial" w:hAnsi="Arial"/>
          <w:sz w:val="18"/>
          <w:szCs w:val="18"/>
          <w:color w:val="auto"/>
        </w:rPr>
        <w:t>]   Fee computed on table below per Exchange Act Rules 14a-6(i)(4) and 0-11.</w:t>
      </w:r>
    </w:p>
    <w:p>
      <w:pPr>
        <w:spacing w:after="0" w:line="252"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52"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52" w:lineRule="exact"/>
        <w:rPr>
          <w:rFonts w:ascii="Arial" w:cs="Arial" w:eastAsia="Arial" w:hAnsi="Arial"/>
          <w:sz w:val="18"/>
          <w:szCs w:val="18"/>
          <w:color w:val="auto"/>
        </w:rPr>
      </w:pPr>
    </w:p>
    <w:p>
      <w:pPr>
        <w:ind w:left="1300" w:right="360" w:hanging="644"/>
        <w:spacing w:after="0" w:line="277" w:lineRule="auto"/>
        <w:tabs>
          <w:tab w:leader="none" w:pos="1042" w:val="left"/>
        </w:tabs>
        <w:numPr>
          <w:ilvl w:val="1"/>
          <w:numId w:val="3"/>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197"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52"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52" w:lineRule="exact"/>
        <w:rPr>
          <w:sz w:val="24"/>
          <w:szCs w:val="24"/>
          <w:color w:val="auto"/>
        </w:rPr>
      </w:pPr>
    </w:p>
    <w:p>
      <w:pPr>
        <w:spacing w:after="0"/>
        <w:tabs>
          <w:tab w:leader="none" w:pos="42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6"/>
          <w:szCs w:val="16"/>
          <w:color w:val="auto"/>
        </w:rPr>
        <w:t>Fee paid previously with preliminary materials.</w:t>
      </w:r>
    </w:p>
    <w:p>
      <w:pPr>
        <w:spacing w:after="0" w:line="252" w:lineRule="exact"/>
        <w:rPr>
          <w:sz w:val="24"/>
          <w:szCs w:val="24"/>
          <w:color w:val="auto"/>
        </w:rPr>
      </w:pPr>
    </w:p>
    <w:p>
      <w:pPr>
        <w:ind w:left="660" w:hanging="652"/>
        <w:spacing w:after="0" w:line="277" w:lineRule="auto"/>
        <w:tabs>
          <w:tab w:leader="none" w:pos="231" w:val="left"/>
        </w:tabs>
        <w:numPr>
          <w:ilvl w:val="0"/>
          <w:numId w:val="4"/>
        </w:numPr>
        <w:rPr>
          <w:rFonts w:ascii="Arial" w:cs="Arial" w:eastAsia="Arial" w:hAnsi="Arial"/>
          <w:sz w:val="18"/>
          <w:szCs w:val="18"/>
          <w:color w:val="auto"/>
        </w:rPr>
      </w:pPr>
      <w:r>
        <w:rPr>
          <w:rFonts w:ascii="Arial" w:cs="Arial" w:eastAsia="Arial" w:hAnsi="Arial"/>
          <w:sz w:val="18"/>
          <w:szCs w:val="18"/>
          <w:color w:val="auto"/>
        </w:rPr>
        <w:t>] 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97" w:lineRule="exact"/>
        <w:rPr>
          <w:rFonts w:ascii="Arial" w:cs="Arial" w:eastAsia="Arial" w:hAnsi="Arial"/>
          <w:sz w:val="18"/>
          <w:szCs w:val="18"/>
          <w:color w:val="auto"/>
        </w:rPr>
      </w:pPr>
    </w:p>
    <w:p>
      <w:pPr>
        <w:ind w:left="1040" w:hanging="384"/>
        <w:spacing w:after="0"/>
        <w:tabs>
          <w:tab w:leader="none" w:pos="1040" w:val="left"/>
        </w:tabs>
        <w:numPr>
          <w:ilvl w:val="1"/>
          <w:numId w:val="4"/>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52" w:lineRule="exact"/>
        <w:rPr>
          <w:rFonts w:ascii="Arial" w:cs="Arial" w:eastAsia="Arial" w:hAnsi="Arial"/>
          <w:sz w:val="18"/>
          <w:szCs w:val="18"/>
          <w:color w:val="auto"/>
        </w:rPr>
      </w:pPr>
    </w:p>
    <w:p>
      <w:pPr>
        <w:ind w:left="1040" w:hanging="384"/>
        <w:spacing w:after="0"/>
        <w:tabs>
          <w:tab w:leader="none" w:pos="104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52" w:lineRule="exact"/>
        <w:rPr>
          <w:rFonts w:ascii="Arial" w:cs="Arial" w:eastAsia="Arial" w:hAnsi="Arial"/>
          <w:sz w:val="18"/>
          <w:szCs w:val="18"/>
          <w:color w:val="auto"/>
        </w:rPr>
      </w:pPr>
    </w:p>
    <w:p>
      <w:pPr>
        <w:ind w:left="1040" w:hanging="384"/>
        <w:spacing w:after="0"/>
        <w:tabs>
          <w:tab w:leader="none" w:pos="1040" w:val="left"/>
        </w:tabs>
        <w:numPr>
          <w:ilvl w:val="1"/>
          <w:numId w:val="4"/>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52" w:lineRule="exact"/>
        <w:rPr>
          <w:rFonts w:ascii="Arial" w:cs="Arial" w:eastAsia="Arial" w:hAnsi="Arial"/>
          <w:sz w:val="18"/>
          <w:szCs w:val="18"/>
          <w:color w:val="auto"/>
        </w:rPr>
      </w:pPr>
    </w:p>
    <w:p>
      <w:pPr>
        <w:ind w:left="1040" w:hanging="384"/>
        <w:spacing w:after="0"/>
        <w:tabs>
          <w:tab w:leader="none" w:pos="1040" w:val="left"/>
        </w:tabs>
        <w:numPr>
          <w:ilvl w:val="1"/>
          <w:numId w:val="4"/>
        </w:numPr>
        <w:rPr>
          <w:rFonts w:ascii="Arial" w:cs="Arial" w:eastAsia="Arial" w:hAnsi="Arial"/>
          <w:sz w:val="18"/>
          <w:szCs w:val="18"/>
          <w:color w:val="auto"/>
        </w:rPr>
      </w:pPr>
      <w:r>
        <w:rPr>
          <w:rFonts w:ascii="Arial" w:cs="Arial" w:eastAsia="Arial" w:hAnsi="Arial"/>
          <w:sz w:val="18"/>
          <w:szCs w:val="18"/>
          <w:color w:val="auto"/>
        </w:rPr>
        <w:t>Date Filed:</w:t>
      </w:r>
    </w:p>
    <w:p>
      <w:pPr>
        <w:sectPr>
          <w:pgSz w:w="11900" w:h="16838" w:orient="portrait"/>
          <w:cols w:equalWidth="0" w:num="1">
            <w:col w:w="11220"/>
          </w:cols>
          <w:pgMar w:left="320" w:top="1440" w:right="359" w:bottom="1440" w:gutter="0" w:footer="0" w:header="0"/>
        </w:sectPr>
      </w:pPr>
    </w:p>
    <w:bookmarkStart w:id="1" w:name="page2"/>
    <w:bookmarkEnd w:id="1"/>
    <w:p>
      <w:pPr>
        <w:spacing w:after="0"/>
        <w:tabs>
          <w:tab w:leader="none" w:pos="104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577850</wp:posOffset>
            </wp:positionV>
            <wp:extent cx="5863590" cy="75780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863590" cy="75780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tabs>
          <w:tab w:leader="none" w:pos="104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577215</wp:posOffset>
            </wp:positionV>
            <wp:extent cx="5863590" cy="7586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863590" cy="75863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tabs>
          <w:tab w:leader="none" w:pos="104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886460</wp:posOffset>
            </wp:positionV>
            <wp:extent cx="5863590" cy="75863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863590" cy="75863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tabs>
          <w:tab w:leader="none" w:pos="104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577850</wp:posOffset>
            </wp:positionV>
            <wp:extent cx="5863590" cy="75863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863590" cy="758634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upperLetter"/>
      <w:start w:val="24"/>
    </w:lvl>
  </w:abstractNum>
  <w:abstractNum w:abstractNumId="1">
    <w:nsid w:val="19495CFF"/>
    <w:multiLevelType w:val="hybridMultilevel"/>
    <w:lvl w:ilvl="0">
      <w:lvlJc w:val="left"/>
      <w:lvlText w:val="[%1]"/>
      <w:numFmt w:val="upperLetter"/>
      <w:start w:val="24"/>
    </w:lvl>
  </w:abstractNum>
  <w:abstractNum w:abstractNumId="2">
    <w:nsid w:val="2AE8944A"/>
    <w:multiLevelType w:val="hybridMultilevel"/>
    <w:lvl w:ilvl="0">
      <w:lvlJc w:val="left"/>
      <w:lvlText w:val="["/>
      <w:numFmt w:val="bullet"/>
      <w:start w:val="1"/>
    </w:lvl>
    <w:lvl w:ilvl="1">
      <w:lvlJc w:val="left"/>
      <w:lvlText w:val="(%2)"/>
      <w:numFmt w:val="decimal"/>
      <w:start w:val="1"/>
    </w:lvl>
  </w:abstractNum>
  <w:abstractNum w:abstractNumId="3">
    <w:nsid w:val="625558EC"/>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2022-03-31T16:27:15Z</dcterms:created>
  <dcterms:modified xsi:type="dcterms:W3CDTF">2022-03-31T16:27:15Z</dcterms:modified>
</cp:coreProperties>
</file>