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SEC Form 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5</w:t>
            </w:r>
          </w:p>
        </w:tc>
        <w:tc>
          <w:tcPr>
            <w:tcW w:w="6820" w:type="dxa"/>
            <w:vAlign w:val="bottom"/>
            <w:gridSpan w:val="18"/>
          </w:tcPr>
          <w:p>
            <w:pPr>
              <w:jc w:val="center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Check this box if no longer subject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gridSpan w:val="10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Section 16. Form 4 or Form 5</w:t>
            </w:r>
          </w:p>
        </w:tc>
        <w:tc>
          <w:tcPr>
            <w:tcW w:w="6160" w:type="dxa"/>
            <w:vAlign w:val="bottom"/>
            <w:gridSpan w:val="15"/>
            <w:vMerge w:val="restart"/>
          </w:tcPr>
          <w:p>
            <w:pPr>
              <w:jc w:val="center"/>
              <w:ind w:left="106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ANNUAL STATEMENT OF CHANGES IN BENEFICIAL</w:t>
            </w: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6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3235-0362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260"/>
              <w:spacing w:after="0" w:line="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 xml:space="preserve">obligations may continue. </w:t>
            </w:r>
            <w:r>
              <w:rPr>
                <w:rFonts w:ascii="Arial" w:cs="Arial" w:eastAsia="Arial" w:hAnsi="Arial"/>
                <w:sz w:val="7"/>
                <w:szCs w:val="7"/>
                <w:i w:val="1"/>
                <w:iCs w:val="1"/>
                <w:color w:val="auto"/>
              </w:rPr>
              <w:t>See</w:t>
            </w:r>
          </w:p>
        </w:tc>
        <w:tc>
          <w:tcPr>
            <w:tcW w:w="616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Instruction 1(b).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Estimated average burden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3 Holdings Reported.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00" w:type="dxa"/>
            <w:vAlign w:val="bottom"/>
            <w:gridSpan w:val="11"/>
            <w:vMerge w:val="restart"/>
          </w:tcPr>
          <w:p>
            <w:pPr>
              <w:jc w:val="center"/>
              <w:ind w:left="9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300" w:type="dxa"/>
            <w:vAlign w:val="bottom"/>
            <w:gridSpan w:val="11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Form 4 Transactions Reported.</w:t>
            </w:r>
          </w:p>
        </w:tc>
        <w:tc>
          <w:tcPr>
            <w:tcW w:w="530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restart"/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or Section 30(h) of the Investment Company Act of 1940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</w:tcPr>
          <w:p>
            <w:pPr>
              <w:ind w:left="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8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Miller Jeffrey Douglas</w:t>
              </w:r>
            </w:hyperlink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</w:tcPr>
          <w:p>
            <w:pPr>
              <w:ind w:left="60"/>
              <w:spacing w:after="0" w:line="174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u w:val="single" w:color="auto"/>
                  <w:color w:val="0000EE"/>
                </w:rPr>
                <w:t>HIGHWOODS PROPERTIES, INC</w:t>
              </w:r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.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HIW</w:t>
            </w:r>
          </w:p>
        </w:tc>
        <w:tc>
          <w:tcPr>
            <w:tcW w:w="15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]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Statement for Issuer's Fiscal Year Ended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EVP, General Counsel &amp; Sec.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2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3100 SMOKETREE COURT, SUITE 600</w:t>
            </w: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12/31/2020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2C2C2C"/>
            </w:tcBorders>
            <w:gridSpan w:val="1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restart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60" w:type="dxa"/>
            <w:vAlign w:val="bottom"/>
            <w:gridSpan w:val="1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60" w:type="dxa"/>
            <w:vAlign w:val="bottom"/>
            <w:gridSpan w:val="1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RALEIGH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NC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27604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2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13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 Disposed   5. 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 3, 4 and 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020" w:type="dxa"/>
            <w:vAlign w:val="bottom"/>
            <w:gridSpan w:val="7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020" w:type="dxa"/>
            <w:vAlign w:val="bottom"/>
            <w:gridSpan w:val="7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at end of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1020" w:type="dxa"/>
            <w:vAlign w:val="bottom"/>
            <w:gridSpan w:val="7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Issuer's Fiscal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1020" w:type="dxa"/>
            <w:vAlign w:val="bottom"/>
            <w:gridSpan w:val="7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Year (Instr. 3 and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95,894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4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20" w:type="dxa"/>
            <w:vAlign w:val="bottom"/>
            <w:gridSpan w:val="6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6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20" w:type="dxa"/>
            <w:vAlign w:val="bottom"/>
            <w:gridSpan w:val="6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20" w:type="dxa"/>
            <w:vAlign w:val="bottom"/>
            <w:gridSpan w:val="6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6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5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(A)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  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6925310</wp:posOffset>
            </wp:positionH>
            <wp:positionV relativeFrom="paragraph">
              <wp:posOffset>-5467350</wp:posOffset>
            </wp:positionV>
            <wp:extent cx="8255" cy="627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5619115</wp:posOffset>
            </wp:positionH>
            <wp:positionV relativeFrom="paragraph">
              <wp:posOffset>-5476240</wp:posOffset>
            </wp:positionV>
            <wp:extent cx="8255" cy="636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5644515</wp:posOffset>
            </wp:positionH>
            <wp:positionV relativeFrom="paragraph">
              <wp:posOffset>-5450840</wp:posOffset>
            </wp:positionV>
            <wp:extent cx="1263650" cy="5854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-5264150</wp:posOffset>
            </wp:positionV>
            <wp:extent cx="7031355" cy="53098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-5264150</wp:posOffset>
            </wp:positionV>
            <wp:extent cx="7031355" cy="53098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Includes 164 shares acquired in 2020 through the issuer's employee stock purchase plan.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/s/Jeffrey D. Miller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02/11/2021</w:t>
            </w:r>
          </w:p>
        </w:tc>
      </w:tr>
      <w:tr>
        <w:trPr>
          <w:trHeight w:val="20"/>
        </w:trPr>
        <w:tc>
          <w:tcPr>
            <w:tcW w:w="1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320" w:firstLine="7"/>
        <w:spacing w:after="0" w:line="320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8" Type="http://schemas.openxmlformats.org/officeDocument/2006/relationships/hyperlink" Target="http://www.sec.gov/cgi-bin/browse-edgar?action=getcompany&amp;CIK=0001394121" TargetMode="External"/><Relationship Id="rId9" Type="http://schemas.openxmlformats.org/officeDocument/2006/relationships/hyperlink" Target="http://www.sec.gov/cgi-bin/browse-edgar?action=getcompany&amp;CIK=000092108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2021-02-11T15:16:16Z</dcterms:created>
  <dcterms:modified xsi:type="dcterms:W3CDTF">2021-02-11T15:16:16Z</dcterms:modified>
</cp:coreProperties>
</file>