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2</w:t>
      </w:r>
    </w:p>
    <w:p>
      <w:pPr>
        <w:spacing w:after="0" w:line="238" w:lineRule="auto"/>
        <w:rPr>
          <w:sz w:val="20"/>
          <w:szCs w:val="20"/>
          <w:color w:val="auto"/>
        </w:rPr>
      </w:pPr>
      <w:r>
        <w:rPr>
          <w:rFonts w:ascii="Courier New" w:cs="Courier New" w:eastAsia="Courier New" w:hAnsi="Courier New"/>
          <w:sz w:val="18"/>
          <w:szCs w:val="18"/>
          <w:color w:val="auto"/>
        </w:rPr>
        <w:t>HIGHWOODS PROPERTIES INC</w:t>
      </w:r>
    </w:p>
    <w:p>
      <w:pPr>
        <w:spacing w:after="0" w:line="238" w:lineRule="auto"/>
        <w:rPr>
          <w:sz w:val="20"/>
          <w:szCs w:val="20"/>
          <w:color w:val="auto"/>
        </w:rPr>
      </w:pPr>
      <w:r>
        <w:rPr>
          <w:rFonts w:ascii="Courier New" w:cs="Courier New" w:eastAsia="Courier New" w:hAnsi="Courier New"/>
          <w:sz w:val="18"/>
          <w:szCs w:val="18"/>
          <w:color w:val="auto"/>
        </w:rPr>
        <w:t>COMMON STOCK</w:t>
      </w:r>
    </w:p>
    <w:p>
      <w:pPr>
        <w:spacing w:after="0"/>
        <w:rPr>
          <w:sz w:val="20"/>
          <w:szCs w:val="20"/>
          <w:color w:val="auto"/>
        </w:rPr>
      </w:pPr>
      <w:r>
        <w:rPr>
          <w:rFonts w:ascii="Courier New" w:cs="Courier New" w:eastAsia="Courier New" w:hAnsi="Courier New"/>
          <w:sz w:val="18"/>
          <w:szCs w:val="18"/>
          <w:color w:val="auto"/>
        </w:rPr>
        <w:t>Cusip #431284108</w:t>
      </w:r>
    </w:p>
    <w:p>
      <w:pPr>
        <w:spacing w:after="0" w:line="237"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right="833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17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#431284108</w:t>
      </w:r>
    </w:p>
    <w:p>
      <w:pPr>
        <w:spacing w:after="0" w:line="238" w:lineRule="auto"/>
        <w:rPr>
          <w:sz w:val="20"/>
          <w:szCs w:val="20"/>
          <w:color w:val="auto"/>
        </w:rPr>
      </w:pPr>
      <w:r>
        <w:rPr>
          <w:rFonts w:ascii="Courier New" w:cs="Courier New" w:eastAsia="Courier New" w:hAnsi="Courier New"/>
          <w:sz w:val="18"/>
          <w:szCs w:val="18"/>
          <w:color w:val="auto"/>
        </w:rPr>
        <w:t>Item 1: Reporting Person - FMR LLC</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spacing w:after="0" w:line="5" w:lineRule="exact"/>
        <w:rPr>
          <w:sz w:val="24"/>
          <w:szCs w:val="24"/>
          <w:color w:val="auto"/>
        </w:rPr>
      </w:pPr>
    </w:p>
    <w:p>
      <w:pPr>
        <w:jc w:val="both"/>
        <w:ind w:right="8339" w:firstLine="850"/>
        <w:spacing w:after="0" w:line="268" w:lineRule="auto"/>
        <w:tabs>
          <w:tab w:leader="none" w:pos="1369"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 ] Item 4: Delaware Item 5: 1,869,354 Item 6: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7: 6,855,343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8: 0</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9: 6,855,343</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11: 6.597%</w:t>
      </w:r>
    </w:p>
    <w:p>
      <w:pPr>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Item 12: HC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Cusip #431284108</w:t>
      </w:r>
    </w:p>
    <w:p>
      <w:pPr>
        <w:spacing w:after="0" w:line="238" w:lineRule="auto"/>
        <w:rPr>
          <w:sz w:val="20"/>
          <w:szCs w:val="20"/>
          <w:color w:val="auto"/>
        </w:rPr>
      </w:pPr>
      <w:r>
        <w:rPr>
          <w:rFonts w:ascii="Courier New" w:cs="Courier New" w:eastAsia="Courier New" w:hAnsi="Courier New"/>
          <w:sz w:val="18"/>
          <w:szCs w:val="18"/>
          <w:color w:val="auto"/>
        </w:rPr>
        <w:t>Item 1: Reporting Person - Abigail P. Johnson</w:t>
      </w:r>
    </w:p>
    <w:p>
      <w:pPr>
        <w:spacing w:after="0"/>
        <w:tabs>
          <w:tab w:leader="none" w:pos="1360" w:val="left"/>
        </w:tabs>
        <w:rPr>
          <w:sz w:val="20"/>
          <w:szCs w:val="20"/>
          <w:color w:val="auto"/>
        </w:rPr>
      </w:pPr>
      <w:r>
        <w:rPr>
          <w:rFonts w:ascii="Courier New" w:cs="Courier New" w:eastAsia="Courier New" w:hAnsi="Courier New"/>
          <w:sz w:val="18"/>
          <w:szCs w:val="18"/>
          <w:color w:val="auto"/>
        </w:rPr>
        <w:t>Item 2: (a)</w:t>
      </w:r>
      <w:r>
        <w:rPr>
          <w:sz w:val="20"/>
          <w:szCs w:val="20"/>
          <w:color w:val="auto"/>
        </w:rPr>
        <w:tab/>
      </w:r>
      <w:r>
        <w:rPr>
          <w:rFonts w:ascii="Courier New" w:cs="Courier New" w:eastAsia="Courier New" w:hAnsi="Courier New"/>
          <w:sz w:val="16"/>
          <w:szCs w:val="16"/>
          <w:color w:val="auto"/>
        </w:rPr>
        <w:t>[ ]</w:t>
      </w:r>
    </w:p>
    <w:p>
      <w:pPr>
        <w:ind w:left="1380" w:hanging="530"/>
        <w:spacing w:after="0"/>
        <w:tabs>
          <w:tab w:leader="none" w:pos="138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 ]</w:t>
      </w:r>
    </w:p>
    <w:p>
      <w:pPr>
        <w:spacing w:after="0" w:line="237" w:lineRule="auto"/>
        <w:rPr>
          <w:sz w:val="20"/>
          <w:szCs w:val="20"/>
          <w:color w:val="auto"/>
        </w:rPr>
      </w:pPr>
      <w:r>
        <w:rPr>
          <w:rFonts w:ascii="Courier New" w:cs="Courier New" w:eastAsia="Courier New" w:hAnsi="Courier New"/>
          <w:sz w:val="18"/>
          <w:szCs w:val="18"/>
          <w:color w:val="auto"/>
        </w:rPr>
        <w:t>Item 4: United States of America</w:t>
      </w:r>
    </w:p>
    <w:p>
      <w:pPr>
        <w:spacing w:after="0" w:line="238" w:lineRule="auto"/>
        <w:rPr>
          <w:sz w:val="20"/>
          <w:szCs w:val="20"/>
          <w:color w:val="auto"/>
        </w:rPr>
      </w:pPr>
      <w:r>
        <w:rPr>
          <w:rFonts w:ascii="Courier New" w:cs="Courier New" w:eastAsia="Courier New" w:hAnsi="Courier New"/>
          <w:sz w:val="18"/>
          <w:szCs w:val="18"/>
          <w:color w:val="auto"/>
        </w:rPr>
        <w:t>Item 5: 0</w:t>
      </w:r>
    </w:p>
    <w:p>
      <w:pPr>
        <w:spacing w:after="0"/>
        <w:rPr>
          <w:sz w:val="20"/>
          <w:szCs w:val="20"/>
          <w:color w:val="auto"/>
        </w:rPr>
      </w:pPr>
      <w:r>
        <w:rPr>
          <w:rFonts w:ascii="Courier New" w:cs="Courier New" w:eastAsia="Courier New" w:hAnsi="Courier New"/>
          <w:sz w:val="18"/>
          <w:szCs w:val="18"/>
          <w:color w:val="auto"/>
        </w:rPr>
        <w:t>Item 6: 0</w:t>
      </w:r>
    </w:p>
    <w:p>
      <w:pPr>
        <w:spacing w:after="0" w:line="237" w:lineRule="auto"/>
        <w:rPr>
          <w:sz w:val="20"/>
          <w:szCs w:val="20"/>
          <w:color w:val="auto"/>
        </w:rPr>
      </w:pPr>
      <w:r>
        <w:rPr>
          <w:rFonts w:ascii="Courier New" w:cs="Courier New" w:eastAsia="Courier New" w:hAnsi="Courier New"/>
          <w:sz w:val="18"/>
          <w:szCs w:val="18"/>
          <w:color w:val="auto"/>
        </w:rPr>
        <w:t>Item 7: 6,855,343</w:t>
      </w:r>
    </w:p>
    <w:p>
      <w:pPr>
        <w:spacing w:after="0" w:line="238" w:lineRule="auto"/>
        <w:rPr>
          <w:sz w:val="20"/>
          <w:szCs w:val="20"/>
          <w:color w:val="auto"/>
        </w:rPr>
      </w:pPr>
      <w:r>
        <w:rPr>
          <w:rFonts w:ascii="Courier New" w:cs="Courier New" w:eastAsia="Courier New" w:hAnsi="Courier New"/>
          <w:sz w:val="18"/>
          <w:szCs w:val="18"/>
          <w:color w:val="auto"/>
        </w:rPr>
        <w:t>Item 8: 0</w:t>
      </w:r>
    </w:p>
    <w:p>
      <w:pPr>
        <w:spacing w:after="0"/>
        <w:rPr>
          <w:sz w:val="20"/>
          <w:szCs w:val="20"/>
          <w:color w:val="auto"/>
        </w:rPr>
      </w:pPr>
      <w:r>
        <w:rPr>
          <w:rFonts w:ascii="Courier New" w:cs="Courier New" w:eastAsia="Courier New" w:hAnsi="Courier New"/>
          <w:sz w:val="18"/>
          <w:szCs w:val="18"/>
          <w:color w:val="auto"/>
        </w:rPr>
        <w:t>Item 9: 6,855,343</w:t>
      </w:r>
    </w:p>
    <w:p>
      <w:pPr>
        <w:spacing w:after="0" w:line="237" w:lineRule="auto"/>
        <w:rPr>
          <w:sz w:val="20"/>
          <w:szCs w:val="20"/>
          <w:color w:val="auto"/>
        </w:rPr>
      </w:pPr>
      <w:r>
        <w:rPr>
          <w:rFonts w:ascii="Courier New" w:cs="Courier New" w:eastAsia="Courier New" w:hAnsi="Courier New"/>
          <w:sz w:val="18"/>
          <w:szCs w:val="18"/>
          <w:color w:val="auto"/>
        </w:rPr>
        <w:t>Item 11: 6.597%</w:t>
      </w:r>
    </w:p>
    <w:p>
      <w:pPr>
        <w:spacing w:after="0" w:line="238" w:lineRule="auto"/>
        <w:rPr>
          <w:sz w:val="20"/>
          <w:szCs w:val="20"/>
          <w:color w:val="auto"/>
        </w:rPr>
      </w:pPr>
      <w:r>
        <w:rPr>
          <w:rFonts w:ascii="Courier New" w:cs="Courier New" w:eastAsia="Courier New" w:hAnsi="Courier New"/>
          <w:sz w:val="18"/>
          <w:szCs w:val="18"/>
          <w:color w:val="auto"/>
        </w:rPr>
        <w:t>Item 12: IN</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HIGHWOODS PROPERTIES INC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3100 Smoketree CT, Ste 600</w:t>
      </w:r>
    </w:p>
    <w:p>
      <w:pPr>
        <w:spacing w:after="0" w:line="238" w:lineRule="auto"/>
        <w:rPr>
          <w:sz w:val="20"/>
          <w:szCs w:val="20"/>
          <w:color w:val="auto"/>
        </w:rPr>
      </w:pPr>
      <w:r>
        <w:rPr>
          <w:rFonts w:ascii="Courier New" w:cs="Courier New" w:eastAsia="Courier New" w:hAnsi="Courier New"/>
          <w:sz w:val="18"/>
          <w:szCs w:val="18"/>
          <w:color w:val="auto"/>
        </w:rPr>
        <w:t>Raleigh, NC 27604</w:t>
      </w:r>
    </w:p>
    <w:p>
      <w:pPr>
        <w:spacing w:after="0" w:line="238" w:lineRule="auto"/>
        <w:rPr>
          <w:sz w:val="20"/>
          <w:szCs w:val="20"/>
          <w:color w:val="auto"/>
        </w:rPr>
      </w:pPr>
      <w:r>
        <w:rPr>
          <w:rFonts w:ascii="Courier New" w:cs="Courier New" w:eastAsia="Courier New" w:hAnsi="Courier New"/>
          <w:sz w:val="18"/>
          <w:szCs w:val="18"/>
          <w:color w:val="auto"/>
        </w:rPr>
        <w:t>US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2(a). Name of Person Filing: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2(b). Address or Principal Business Office or, if None, Residence: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245 Summer Street, Boston, Massachusetts 02210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2(c). Citizenship:</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2(e). CUSIP Number:</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431284108</w:t>
      </w:r>
    </w:p>
    <w:p>
      <w:pPr>
        <w:spacing w:after="0" w:line="207" w:lineRule="exact"/>
        <w:rPr>
          <w:sz w:val="24"/>
          <w:szCs w:val="24"/>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Item 3. This statement is filed pursuant to Rule 13d-1(b) or 13d-2(b) or (c) and the person filing, FMR LLC, is a parent holding company in accordance with Section 240.13d-1(b)(1)(ii)(G). (Note: See Exhibit A).</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Amount Beneficially Owned: 6,855,343</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6.597%</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w:t>
      </w:r>
    </w:p>
    <w:p>
      <w:pPr>
        <w:sectPr>
          <w:pgSz w:w="11900" w:h="16848" w:orient="portrait"/>
          <w:cols w:equalWidth="0" w:num="1">
            <w:col w:w="10139"/>
          </w:cols>
          <w:pgMar w:left="320" w:top="244" w:right="1440" w:bottom="0" w:gutter="0" w:footer="0" w:header="0"/>
        </w:sectPr>
      </w:pPr>
    </w:p>
    <w:bookmarkStart w:id="1" w:name="page2"/>
    <w:bookmarkEnd w:id="1"/>
    <w:p>
      <w:pPr>
        <w:ind w:left="420" w:hanging="412"/>
        <w:spacing w:after="0"/>
        <w:tabs>
          <w:tab w:leader="none" w:pos="4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vote or to direct the vote: 1,869,354</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vote or to direct the vote: 0</w:t>
      </w:r>
    </w:p>
    <w:p>
      <w:pPr>
        <w:spacing w:after="0" w:line="201" w:lineRule="exact"/>
        <w:rPr>
          <w:rFonts w:ascii="Courier New" w:cs="Courier New" w:eastAsia="Courier New" w:hAnsi="Courier New"/>
          <w:sz w:val="18"/>
          <w:szCs w:val="18"/>
          <w:color w:val="auto"/>
        </w:rPr>
      </w:pPr>
    </w:p>
    <w:p>
      <w:pPr>
        <w:ind w:left="640" w:hanging="632"/>
        <w:spacing w:after="0"/>
        <w:tabs>
          <w:tab w:leader="none" w:pos="6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power to dispose or to direct the disposition of: 6,855,343</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power to dispose or to direct the disposition of: 0</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 sale of, the COMMON STOCK of HIGHWOODS PROPERTIES INC. No one other person's interest in the COMMON STOCK of HIGHWOODS PROPERTIES INC is more than five percent of the total outstanding COMMON STOCK.</w:t>
      </w:r>
    </w:p>
    <w:p>
      <w:pPr>
        <w:spacing w:after="0" w:line="208"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attached Exhibit A.</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Not applicable.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207"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19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February 5, 2021</w:t>
      </w:r>
    </w:p>
    <w:p>
      <w:pPr>
        <w:spacing w:after="0" w:line="238" w:lineRule="auto"/>
        <w:rPr>
          <w:sz w:val="20"/>
          <w:szCs w:val="20"/>
          <w:color w:val="auto"/>
        </w:rPr>
      </w:pPr>
      <w:r>
        <w:rPr>
          <w:rFonts w:ascii="Courier New" w:cs="Courier New" w:eastAsia="Courier New" w:hAnsi="Courier New"/>
          <w:sz w:val="18"/>
          <w:szCs w:val="18"/>
          <w:color w:val="auto"/>
        </w:rPr>
        <w:t>Date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 Kevin M. Meagher</w:t>
      </w:r>
    </w:p>
    <w:p>
      <w:pPr>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Kevin M. Meagher</w:t>
      </w:r>
    </w:p>
    <w:p>
      <w:pPr>
        <w:spacing w:after="0" w:line="4"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Pursuant to the instructions in Item 7 of Schedule 13G, the following table lists the identity and Item 3 classification, if applicable, of each relevant entity that beneficially owns shares of the security class being reported on this Schedule 13G.</w:t>
      </w:r>
    </w:p>
    <w:p>
      <w:pPr>
        <w:sectPr>
          <w:pgSz w:w="11900" w:h="16838" w:orient="portrait"/>
          <w:cols w:equalWidth="0" w:num="1">
            <w:col w:w="10139"/>
          </w:cols>
          <w:pgMar w:left="320" w:top="339" w:right="1440" w:bottom="138"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Entity</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3 Classification</w:t>
      </w:r>
    </w:p>
    <w:p>
      <w:pPr>
        <w:spacing w:after="0" w:line="200" w:lineRule="exact"/>
        <w:rPr>
          <w:sz w:val="20"/>
          <w:szCs w:val="20"/>
          <w:color w:val="auto"/>
        </w:rPr>
      </w:pPr>
    </w:p>
    <w:p>
      <w:pPr>
        <w:sectPr>
          <w:pgSz w:w="11900" w:h="16838" w:orient="portrait"/>
          <w:cols w:equalWidth="0" w:num="2">
            <w:col w:w="640" w:space="320"/>
            <w:col w:w="9179"/>
          </w:cols>
          <w:pgMar w:left="320" w:top="339" w:right="1440" w:bottom="138" w:gutter="0" w:footer="0" w:header="0"/>
          <w:type w:val="continuous"/>
        </w:sectPr>
      </w:pPr>
    </w:p>
    <w:p>
      <w:pPr>
        <w:spacing w:after="0" w:line="18"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8"/>
          <w:szCs w:val="18"/>
          <w:color w:val="auto"/>
        </w:rPr>
        <w:t>FIAM LLC</w:t>
        <w:tab/>
        <w:t>IA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Fidelity Management &amp; Research Company LLC</w:t>
      </w:r>
    </w:p>
    <w:p>
      <w:pPr>
        <w:spacing w:after="0" w:line="16" w:lineRule="exact"/>
        <w:rPr>
          <w:sz w:val="20"/>
          <w:szCs w:val="20"/>
          <w:color w:val="auto"/>
        </w:rPr>
      </w:pPr>
    </w:p>
    <w:p>
      <w:pPr>
        <w:spacing w:after="0"/>
        <w:tabs>
          <w:tab w:leader="none" w:pos="2520" w:val="left"/>
        </w:tabs>
        <w:rPr>
          <w:sz w:val="20"/>
          <w:szCs w:val="20"/>
          <w:color w:val="auto"/>
        </w:rPr>
      </w:pPr>
      <w:r>
        <w:rPr>
          <w:rFonts w:ascii="Courier New" w:cs="Courier New" w:eastAsia="Courier New" w:hAnsi="Courier New"/>
          <w:sz w:val="18"/>
          <w:szCs w:val="18"/>
          <w:color w:val="auto"/>
        </w:rPr>
        <w:t>Strategic Advisers LLC</w:t>
      </w:r>
      <w:r>
        <w:rPr>
          <w:sz w:val="20"/>
          <w:szCs w:val="20"/>
          <w:color w:val="auto"/>
        </w:rPr>
        <w:tab/>
      </w:r>
      <w:r>
        <w:rPr>
          <w:rFonts w:ascii="Courier New" w:cs="Courier New" w:eastAsia="Courier New" w:hAnsi="Courier New"/>
          <w:sz w:val="16"/>
          <w:szCs w:val="16"/>
          <w:color w:val="auto"/>
        </w:rPr>
        <w:t>IA</w:t>
      </w:r>
    </w:p>
    <w:p>
      <w:pPr>
        <w:spacing w:after="0" w:line="20" w:lineRule="exact"/>
        <w:rPr>
          <w:sz w:val="20"/>
          <w:szCs w:val="20"/>
          <w:color w:val="auto"/>
        </w:rPr>
      </w:pPr>
      <w:r>
        <w:rPr>
          <w:sz w:val="20"/>
          <w:szCs w:val="20"/>
          <w:color w:val="auto"/>
        </w:rPr>
        <w:br w:type="column"/>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IA</w:t>
      </w:r>
    </w:p>
    <w:p>
      <w:pPr>
        <w:sectPr>
          <w:pgSz w:w="11900" w:h="16838" w:orient="portrait"/>
          <w:cols w:equalWidth="0" w:num="2">
            <w:col w:w="4440" w:space="200"/>
            <w:col w:w="5499"/>
          </w:cols>
          <w:pgMar w:left="320" w:top="339" w:right="1440" w:bottom="138" w:gutter="0" w:footer="0" w:header="0"/>
          <w:type w:val="continuous"/>
        </w:sectPr>
      </w:pPr>
    </w:p>
    <w:bookmarkStart w:id="2" w:name="page3"/>
    <w:bookmarkEnd w:id="2"/>
    <w:p>
      <w:pPr>
        <w:ind w:right="1919"/>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8"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w:t>
      </w:r>
    </w:p>
    <w:p>
      <w:pPr>
        <w:spacing w:after="0" w:line="214" w:lineRule="exact"/>
        <w:rPr>
          <w:sz w:val="20"/>
          <w:szCs w:val="20"/>
          <w:color w:val="auto"/>
        </w:rPr>
      </w:pPr>
    </w:p>
    <w:p>
      <w:pPr>
        <w:ind w:right="2019"/>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LLC ("FMR Co. LLC"), a wholly owned subsidiary of FMR LLC, which power resides with the Fidelity Funds' Boards of Trustees. FMR Co. LLC carries out the voting of the shares under written guidelines established by the Fidelity Funds' Boards of Trustees.</w:t>
      </w:r>
    </w:p>
    <w:p>
      <w:pPr>
        <w:spacing w:after="0" w:line="210" w:lineRule="exact"/>
        <w:rPr>
          <w:sz w:val="20"/>
          <w:szCs w:val="20"/>
          <w:color w:val="auto"/>
        </w:rPr>
      </w:pPr>
    </w:p>
    <w:p>
      <w:pPr>
        <w:ind w:right="1919"/>
        <w:spacing w:after="0" w:line="237" w:lineRule="auto"/>
        <w:rPr>
          <w:sz w:val="20"/>
          <w:szCs w:val="20"/>
          <w:color w:val="auto"/>
        </w:rPr>
      </w:pPr>
      <w:r>
        <w:rPr>
          <w:rFonts w:ascii="Courier New" w:cs="Courier New" w:eastAsia="Courier New" w:hAnsi="Courier New"/>
          <w:sz w:val="18"/>
          <w:szCs w:val="18"/>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7" w:lineRule="exact"/>
        <w:rPr>
          <w:sz w:val="20"/>
          <w:szCs w:val="20"/>
          <w:color w:val="auto"/>
        </w:rPr>
      </w:pPr>
    </w:p>
    <w:p>
      <w:pPr>
        <w:ind w:right="2119"/>
        <w:spacing w:after="0" w:line="237" w:lineRule="auto"/>
        <w:rPr>
          <w:sz w:val="20"/>
          <w:szCs w:val="20"/>
          <w:color w:val="auto"/>
        </w:rPr>
      </w:pPr>
      <w:r>
        <w:rPr>
          <w:rFonts w:ascii="Courier New" w:cs="Courier New" w:eastAsia="Courier New" w:hAnsi="Courier New"/>
          <w:sz w:val="18"/>
          <w:szCs w:val="18"/>
          <w:color w:val="auto"/>
        </w:rPr>
        <w:t>The undersigned persons, on February 5, 2021, agree and consent to the joint filing on their behalf of this Schedule 13G in connection with their beneficial ownership of the COMMON STOCK of HIGHWOODS PROPERTIES INC at December 31, 2020.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28, 2018, by and on behalf of FMR LLC and its direct and indirect subsidiaries*</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 Kevin M. Meagher</w:t>
      </w:r>
    </w:p>
    <w:p>
      <w:pPr>
        <w:spacing w:after="0" w:line="238" w:lineRule="auto"/>
        <w:rPr>
          <w:sz w:val="20"/>
          <w:szCs w:val="20"/>
          <w:color w:val="auto"/>
        </w:rPr>
      </w:pPr>
      <w:r>
        <w:rPr>
          <w:rFonts w:ascii="Courier New" w:cs="Courier New" w:eastAsia="Courier New" w:hAnsi="Courier New"/>
          <w:sz w:val="18"/>
          <w:szCs w:val="18"/>
          <w:color w:val="auto"/>
        </w:rPr>
        <w:t>Kevin M. Meagher</w:t>
      </w:r>
    </w:p>
    <w:p>
      <w:pPr>
        <w:spacing w:after="0" w:line="5" w:lineRule="exact"/>
        <w:rPr>
          <w:sz w:val="20"/>
          <w:szCs w:val="20"/>
          <w:color w:val="auto"/>
        </w:rPr>
      </w:pPr>
    </w:p>
    <w:p>
      <w:pPr>
        <w:ind w:right="1919"/>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September 30, 2018, by and on behalf of Abigail P. Johnson*</w:t>
      </w:r>
    </w:p>
    <w:p>
      <w:pPr>
        <w:spacing w:after="0" w:line="200" w:lineRule="exact"/>
        <w:rPr>
          <w:sz w:val="20"/>
          <w:szCs w:val="20"/>
          <w:color w:val="auto"/>
        </w:rPr>
      </w:pPr>
    </w:p>
    <w:p>
      <w:pPr>
        <w:spacing w:after="0" w:line="211" w:lineRule="exact"/>
        <w:rPr>
          <w:sz w:val="20"/>
          <w:szCs w:val="20"/>
          <w:color w:val="auto"/>
        </w:rPr>
      </w:pPr>
    </w:p>
    <w:p>
      <w:pPr>
        <w:ind w:right="2019" w:firstLine="8"/>
        <w:spacing w:after="0" w:line="236" w:lineRule="auto"/>
        <w:tabs>
          <w:tab w:leader="none" w:pos="211"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October 9, 2018, accession number: 0000315066-18-002414.</w:t>
      </w:r>
    </w:p>
    <w:sectPr>
      <w:pgSz w:w="11900" w:h="16838" w:orient="portrait"/>
      <w:cols w:equalWidth="0" w:num="1">
        <w:col w:w="10139"/>
      </w:cols>
      <w:pgMar w:left="32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lowerRoman"/>
      <w:start w:val="10"/>
    </w:lvl>
  </w:abstractNum>
  <w:abstractNum w:abstractNumId="1">
    <w:nsid w:val="238E1F29"/>
    <w:multiLevelType w:val="hybridMultilevel"/>
    <w:lvl w:ilvl="0">
      <w:lvlJc w:val="left"/>
      <w:lvlText w:val="(%1)"/>
      <w:numFmt w:val="lowerLetter"/>
      <w:start w:val="2"/>
    </w:lvl>
  </w:abstractNum>
  <w:abstractNum w:abstractNumId="2">
    <w:nsid w:val="46E87CCD"/>
    <w:multiLevelType w:val="hybridMultilevel"/>
    <w:lvl w:ilvl="0">
      <w:lvlJc w:val="left"/>
      <w:lvlText w:val="(%1)"/>
      <w:numFmt w:val="lowerLetter"/>
      <w:start w:val="2"/>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Roman"/>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2021-02-08T09:25:50Z</dcterms:created>
  <dcterms:modified xsi:type="dcterms:W3CDTF">2021-02-08T09:25:50Z</dcterms:modified>
</cp:coreProperties>
</file>