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5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18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2"/>
          <w:szCs w:val="32"/>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2856230</wp:posOffset>
            </wp:positionH>
            <wp:positionV relativeFrom="paragraph">
              <wp:posOffset>-211455</wp:posOffset>
            </wp:positionV>
            <wp:extent cx="14300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30020" cy="8255"/>
                    </a:xfrm>
                    <a:prstGeom prst="rect">
                      <a:avLst/>
                    </a:prstGeom>
                    <a:noFill/>
                  </pic:spPr>
                </pic:pic>
              </a:graphicData>
            </a:graphic>
          </wp:anchor>
        </w:drawing>
        <w:drawing>
          <wp:anchor simplePos="0" relativeHeight="251657728" behindDoc="1" locked="0" layoutInCell="0" allowOverlap="1">
            <wp:simplePos x="0" y="0"/>
            <wp:positionH relativeFrom="column">
              <wp:posOffset>2856230</wp:posOffset>
            </wp:positionH>
            <wp:positionV relativeFrom="paragraph">
              <wp:posOffset>173355</wp:posOffset>
            </wp:positionV>
            <wp:extent cx="14300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30020" cy="8255"/>
                    </a:xfrm>
                    <a:prstGeom prst="rect">
                      <a:avLst/>
                    </a:prstGeom>
                    <a:noFill/>
                  </pic:spPr>
                </pic:pic>
              </a:graphicData>
            </a:graphic>
          </wp:anchor>
        </w:drawing>
      </w:r>
    </w:p>
    <w:p>
      <w:pPr>
        <w:spacing w:after="0" w:line="200" w:lineRule="exact"/>
        <w:rPr>
          <w:sz w:val="24"/>
          <w:szCs w:val="24"/>
          <w:color w:val="auto"/>
        </w:rPr>
      </w:pPr>
    </w:p>
    <w:p>
      <w:pPr>
        <w:spacing w:after="0" w:line="237" w:lineRule="exact"/>
        <w:rPr>
          <w:sz w:val="24"/>
          <w:szCs w:val="24"/>
          <w:color w:val="auto"/>
        </w:rPr>
      </w:pPr>
    </w:p>
    <w:p>
      <w:pPr>
        <w:ind w:left="580" w:right="180" w:hanging="559"/>
        <w:spacing w:after="0" w:line="244" w:lineRule="auto"/>
        <w:tabs>
          <w:tab w:leader="none" w:pos="58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b w:val="1"/>
          <w:bCs w:val="1"/>
          <w:color w:val="auto"/>
        </w:rPr>
        <w:t>QUARTERLY REPORT PURSUANT TO SECTION 13 OR 15(d) OF THE SECURITIES EXCHANGE ACT OF 1934</w:t>
      </w: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 the quarterly period ended June 30, 2022</w:t>
      </w:r>
    </w:p>
    <w:p>
      <w:pPr>
        <w:jc w:val="center"/>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178" w:lineRule="exact"/>
        <w:rPr>
          <w:sz w:val="24"/>
          <w:szCs w:val="24"/>
          <w:color w:val="auto"/>
        </w:rPr>
      </w:pPr>
    </w:p>
    <w:p>
      <w:pPr>
        <w:ind w:left="580" w:right="160" w:hanging="559"/>
        <w:spacing w:after="0" w:line="244" w:lineRule="auto"/>
        <w:tabs>
          <w:tab w:leader="none" w:pos="580" w:val="left"/>
        </w:tabs>
        <w:numPr>
          <w:ilvl w:val="0"/>
          <w:numId w:val="2"/>
        </w:numPr>
        <w:rPr>
          <w:rFonts w:ascii="MS PGothic" w:cs="MS PGothic" w:eastAsia="MS PGothic" w:hAnsi="MS PGothic"/>
          <w:sz w:val="22"/>
          <w:szCs w:val="22"/>
          <w:color w:val="auto"/>
        </w:rPr>
      </w:pPr>
      <w:r>
        <w:rPr>
          <w:rFonts w:ascii="Times New Roman" w:cs="Times New Roman" w:eastAsia="Times New Roman" w:hAnsi="Times New Roman"/>
          <w:sz w:val="22"/>
          <w:szCs w:val="22"/>
          <w:b w:val="1"/>
          <w:bCs w:val="1"/>
          <w:color w:val="auto"/>
        </w:rPr>
        <w:t>TRANSITION REPORT PURSUANT TO SECTION 13 OR 15(d) OF THE SECURITIES EXCHANGE ACT OF 1934</w:t>
      </w:r>
    </w:p>
    <w:p>
      <w:pPr>
        <w:spacing w:after="0" w:line="1" w:lineRule="exact"/>
        <w:rPr>
          <w:sz w:val="24"/>
          <w:szCs w:val="24"/>
          <w:color w:val="auto"/>
        </w:rPr>
      </w:pPr>
    </w:p>
    <w:p>
      <w:pPr>
        <w:ind w:left="3800"/>
        <w:spacing w:after="0"/>
        <w:rPr>
          <w:sz w:val="20"/>
          <w:szCs w:val="20"/>
          <w:color w:val="auto"/>
        </w:rPr>
      </w:pPr>
      <w:r>
        <w:rPr>
          <w:rFonts w:ascii="Times New Roman" w:cs="Times New Roman" w:eastAsia="Times New Roman" w:hAnsi="Times New Roman"/>
          <w:sz w:val="18"/>
          <w:szCs w:val="18"/>
          <w:b w:val="1"/>
          <w:bCs w:val="1"/>
          <w:color w:val="auto"/>
        </w:rPr>
        <w:t>For the transition period from ____________ to</w:t>
      </w:r>
    </w:p>
    <w:p>
      <w:pPr>
        <w:spacing w:after="0" w:line="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Commission file number: 001-11015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2856230</wp:posOffset>
            </wp:positionH>
            <wp:positionV relativeFrom="paragraph">
              <wp:posOffset>156845</wp:posOffset>
            </wp:positionV>
            <wp:extent cx="14300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30020" cy="8255"/>
                    </a:xfrm>
                    <a:prstGeom prst="rect">
                      <a:avLst/>
                    </a:prstGeom>
                    <a:noFill/>
                  </pic:spPr>
                </pic:pic>
              </a:graphicData>
            </a:graphic>
          </wp:anchor>
        </w:drawing>
        <w:drawing>
          <wp:anchor simplePos="0" relativeHeight="251657728" behindDoc="1" locked="0" layoutInCell="0" allowOverlap="1">
            <wp:simplePos x="0" y="0"/>
            <wp:positionH relativeFrom="column">
              <wp:posOffset>3079115</wp:posOffset>
            </wp:positionH>
            <wp:positionV relativeFrom="paragraph">
              <wp:posOffset>225425</wp:posOffset>
            </wp:positionV>
            <wp:extent cx="958850" cy="5054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958850" cy="5054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Viad Corp</w:t>
      </w:r>
    </w:p>
    <w:p>
      <w:pPr>
        <w:spacing w:after="0" w:line="8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2856230</wp:posOffset>
            </wp:positionH>
            <wp:positionV relativeFrom="paragraph">
              <wp:posOffset>153035</wp:posOffset>
            </wp:positionV>
            <wp:extent cx="14300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30020" cy="8255"/>
                    </a:xfrm>
                    <a:prstGeom prst="rect">
                      <a:avLst/>
                    </a:prstGeom>
                    <a:noFill/>
                  </pic:spPr>
                </pic:pic>
              </a:graphicData>
            </a:graphic>
          </wp:anchor>
        </w:drawing>
      </w:r>
    </w:p>
    <w:p>
      <w:pPr>
        <w:spacing w:after="0" w:line="200" w:lineRule="exact"/>
        <w:rPr>
          <w:sz w:val="24"/>
          <w:szCs w:val="24"/>
          <w:color w:val="auto"/>
        </w:rPr>
      </w:pPr>
    </w:p>
    <w:p>
      <w:pPr>
        <w:spacing w:after="0" w:line="214" w:lineRule="exact"/>
        <w:rPr>
          <w:sz w:val="24"/>
          <w:szCs w:val="24"/>
          <w:color w:val="auto"/>
        </w:rPr>
      </w:pPr>
    </w:p>
    <w:tbl>
      <w:tblPr>
        <w:tblLayout w:type="fixed"/>
        <w:tblInd w:w="1700" w:type="dxa"/>
        <w:tblCellMar>
          <w:top w:w="0" w:type="dxa"/>
          <w:left w:w="0" w:type="dxa"/>
          <w:bottom w:w="0" w:type="dxa"/>
          <w:right w:w="0" w:type="dxa"/>
        </w:tblCellMar>
      </w:tblPr>
      <w:tr>
        <w:trPr>
          <w:trHeight w:val="229"/>
        </w:trPr>
        <w:tc>
          <w:tcPr>
            <w:tcW w:w="4280" w:type="dxa"/>
            <w:vAlign w:val="bottom"/>
          </w:tcPr>
          <w:p>
            <w:pPr>
              <w:jc w:val="center"/>
              <w:ind w:right="1919"/>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3080" w:type="dxa"/>
            <w:vAlign w:val="bottom"/>
          </w:tcPr>
          <w:p>
            <w:pPr>
              <w:jc w:val="center"/>
              <w:ind w:left="1941"/>
              <w:spacing w:after="0"/>
              <w:rPr>
                <w:sz w:val="20"/>
                <w:szCs w:val="20"/>
                <w:color w:val="auto"/>
              </w:rPr>
            </w:pPr>
            <w:r>
              <w:rPr>
                <w:rFonts w:ascii="Times New Roman" w:cs="Times New Roman" w:eastAsia="Times New Roman" w:hAnsi="Times New Roman"/>
                <w:sz w:val="18"/>
                <w:szCs w:val="18"/>
                <w:b w:val="1"/>
                <w:bCs w:val="1"/>
                <w:color w:val="auto"/>
                <w:w w:val="98"/>
              </w:rPr>
              <w:t>36-1169950</w:t>
            </w:r>
          </w:p>
        </w:tc>
        <w:tc>
          <w:tcPr>
            <w:tcW w:w="0" w:type="dxa"/>
            <w:vAlign w:val="bottom"/>
          </w:tcPr>
          <w:p>
            <w:pPr>
              <w:spacing w:after="0"/>
              <w:rPr>
                <w:sz w:val="1"/>
                <w:szCs w:val="1"/>
                <w:color w:val="auto"/>
              </w:rPr>
            </w:pPr>
          </w:p>
        </w:tc>
      </w:tr>
      <w:tr>
        <w:trPr>
          <w:trHeight w:val="148"/>
        </w:trPr>
        <w:tc>
          <w:tcPr>
            <w:tcW w:w="4280" w:type="dxa"/>
            <w:vAlign w:val="bottom"/>
          </w:tcPr>
          <w:p>
            <w:pPr>
              <w:jc w:val="center"/>
              <w:ind w:right="1899"/>
              <w:spacing w:after="0" w:line="149" w:lineRule="exact"/>
              <w:rPr>
                <w:sz w:val="20"/>
                <w:szCs w:val="20"/>
                <w:color w:val="auto"/>
              </w:rPr>
            </w:pPr>
            <w:r>
              <w:rPr>
                <w:rFonts w:ascii="Times New Roman" w:cs="Times New Roman" w:eastAsia="Times New Roman" w:hAnsi="Times New Roman"/>
                <w:sz w:val="14"/>
                <w:szCs w:val="14"/>
                <w:color w:val="auto"/>
              </w:rPr>
              <w:t>(State or other jurisdiction of</w:t>
            </w:r>
          </w:p>
        </w:tc>
        <w:tc>
          <w:tcPr>
            <w:tcW w:w="3080" w:type="dxa"/>
            <w:vAlign w:val="bottom"/>
          </w:tcPr>
          <w:p>
            <w:pPr>
              <w:jc w:val="center"/>
              <w:ind w:left="1941"/>
              <w:spacing w:after="0" w:line="149" w:lineRule="exact"/>
              <w:rPr>
                <w:sz w:val="20"/>
                <w:szCs w:val="20"/>
                <w:color w:val="auto"/>
              </w:rPr>
            </w:pPr>
            <w:r>
              <w:rPr>
                <w:rFonts w:ascii="Times New Roman" w:cs="Times New Roman" w:eastAsia="Times New Roman" w:hAnsi="Times New Roman"/>
                <w:sz w:val="14"/>
                <w:szCs w:val="14"/>
                <w:color w:val="auto"/>
              </w:rPr>
              <w:t>(I.R.S. Employer</w:t>
            </w:r>
          </w:p>
        </w:tc>
        <w:tc>
          <w:tcPr>
            <w:tcW w:w="0" w:type="dxa"/>
            <w:vAlign w:val="bottom"/>
          </w:tcPr>
          <w:p>
            <w:pPr>
              <w:spacing w:after="0"/>
              <w:rPr>
                <w:sz w:val="1"/>
                <w:szCs w:val="1"/>
                <w:color w:val="auto"/>
              </w:rPr>
            </w:pPr>
          </w:p>
        </w:tc>
      </w:tr>
      <w:tr>
        <w:trPr>
          <w:trHeight w:val="186"/>
        </w:trPr>
        <w:tc>
          <w:tcPr>
            <w:tcW w:w="4280" w:type="dxa"/>
            <w:vAlign w:val="bottom"/>
          </w:tcPr>
          <w:p>
            <w:pPr>
              <w:jc w:val="center"/>
              <w:ind w:right="1899"/>
              <w:spacing w:after="0"/>
              <w:rPr>
                <w:sz w:val="20"/>
                <w:szCs w:val="20"/>
                <w:color w:val="auto"/>
              </w:rPr>
            </w:pPr>
            <w:r>
              <w:rPr>
                <w:rFonts w:ascii="Times New Roman" w:cs="Times New Roman" w:eastAsia="Times New Roman" w:hAnsi="Times New Roman"/>
                <w:sz w:val="14"/>
                <w:szCs w:val="14"/>
                <w:color w:val="auto"/>
              </w:rPr>
              <w:t>incorporation or organization)</w:t>
            </w:r>
          </w:p>
        </w:tc>
        <w:tc>
          <w:tcPr>
            <w:tcW w:w="3080" w:type="dxa"/>
            <w:vAlign w:val="bottom"/>
          </w:tcPr>
          <w:p>
            <w:pPr>
              <w:jc w:val="center"/>
              <w:ind w:left="1921"/>
              <w:spacing w:after="0"/>
              <w:rPr>
                <w:sz w:val="20"/>
                <w:szCs w:val="20"/>
                <w:color w:val="auto"/>
              </w:rPr>
            </w:pPr>
            <w:r>
              <w:rPr>
                <w:rFonts w:ascii="Times New Roman" w:cs="Times New Roman" w:eastAsia="Times New Roman" w:hAnsi="Times New Roman"/>
                <w:sz w:val="14"/>
                <w:szCs w:val="14"/>
                <w:color w:val="auto"/>
              </w:rPr>
              <w:t>Identification No.)</w:t>
            </w:r>
          </w:p>
        </w:tc>
        <w:tc>
          <w:tcPr>
            <w:tcW w:w="0" w:type="dxa"/>
            <w:vAlign w:val="bottom"/>
          </w:tcPr>
          <w:p>
            <w:pPr>
              <w:spacing w:after="0"/>
              <w:rPr>
                <w:sz w:val="1"/>
                <w:szCs w:val="1"/>
                <w:color w:val="auto"/>
              </w:rPr>
            </w:pPr>
          </w:p>
        </w:tc>
      </w:tr>
      <w:tr>
        <w:trPr>
          <w:trHeight w:val="286"/>
        </w:trPr>
        <w:tc>
          <w:tcPr>
            <w:tcW w:w="4280" w:type="dxa"/>
            <w:vAlign w:val="bottom"/>
          </w:tcPr>
          <w:p>
            <w:pPr>
              <w:jc w:val="center"/>
              <w:ind w:right="1899"/>
              <w:spacing w:after="0"/>
              <w:rPr>
                <w:sz w:val="20"/>
                <w:szCs w:val="20"/>
                <w:color w:val="auto"/>
              </w:rPr>
            </w:pPr>
            <w:r>
              <w:rPr>
                <w:rFonts w:ascii="Times New Roman" w:cs="Times New Roman" w:eastAsia="Times New Roman" w:hAnsi="Times New Roman"/>
                <w:sz w:val="18"/>
                <w:szCs w:val="18"/>
                <w:b w:val="1"/>
                <w:bCs w:val="1"/>
                <w:color w:val="auto"/>
                <w:w w:val="99"/>
              </w:rPr>
              <w:t>7000 East 1st Avenue</w:t>
            </w:r>
          </w:p>
        </w:tc>
        <w:tc>
          <w:tcPr>
            <w:tcW w:w="3080" w:type="dxa"/>
            <w:vAlign w:val="bottom"/>
            <w:vMerge w:val="restart"/>
          </w:tcPr>
          <w:p>
            <w:pPr>
              <w:jc w:val="center"/>
              <w:ind w:left="1921"/>
              <w:spacing w:after="0"/>
              <w:rPr>
                <w:sz w:val="20"/>
                <w:szCs w:val="20"/>
                <w:color w:val="auto"/>
              </w:rPr>
            </w:pPr>
            <w:r>
              <w:rPr>
                <w:rFonts w:ascii="Times New Roman" w:cs="Times New Roman" w:eastAsia="Times New Roman" w:hAnsi="Times New Roman"/>
                <w:sz w:val="18"/>
                <w:szCs w:val="18"/>
                <w:b w:val="1"/>
                <w:bCs w:val="1"/>
                <w:color w:val="auto"/>
              </w:rPr>
              <w:t>85251-4304</w:t>
            </w:r>
          </w:p>
        </w:tc>
        <w:tc>
          <w:tcPr>
            <w:tcW w:w="0" w:type="dxa"/>
            <w:vAlign w:val="bottom"/>
          </w:tcPr>
          <w:p>
            <w:pPr>
              <w:spacing w:after="0"/>
              <w:rPr>
                <w:sz w:val="1"/>
                <w:szCs w:val="1"/>
                <w:color w:val="auto"/>
              </w:rPr>
            </w:pPr>
          </w:p>
        </w:tc>
      </w:tr>
      <w:tr>
        <w:trPr>
          <w:trHeight w:val="229"/>
        </w:trPr>
        <w:tc>
          <w:tcPr>
            <w:tcW w:w="4280" w:type="dxa"/>
            <w:vAlign w:val="bottom"/>
          </w:tcPr>
          <w:p>
            <w:pPr>
              <w:jc w:val="center"/>
              <w:ind w:right="1919"/>
              <w:spacing w:after="0"/>
              <w:rPr>
                <w:sz w:val="20"/>
                <w:szCs w:val="20"/>
                <w:color w:val="auto"/>
              </w:rPr>
            </w:pPr>
            <w:r>
              <w:rPr>
                <w:rFonts w:ascii="Times New Roman" w:cs="Times New Roman" w:eastAsia="Times New Roman" w:hAnsi="Times New Roman"/>
                <w:sz w:val="18"/>
                <w:szCs w:val="18"/>
                <w:b w:val="1"/>
                <w:bCs w:val="1"/>
                <w:color w:val="auto"/>
                <w:w w:val="99"/>
              </w:rPr>
              <w:t>Scottsdale, Arizona</w:t>
            </w:r>
          </w:p>
        </w:tc>
        <w:tc>
          <w:tcPr>
            <w:tcW w:w="30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6"/>
        </w:trPr>
        <w:tc>
          <w:tcPr>
            <w:tcW w:w="4280" w:type="dxa"/>
            <w:vAlign w:val="bottom"/>
          </w:tcPr>
          <w:p>
            <w:pPr>
              <w:jc w:val="center"/>
              <w:ind w:right="1919"/>
              <w:spacing w:after="0"/>
              <w:rPr>
                <w:sz w:val="20"/>
                <w:szCs w:val="20"/>
                <w:color w:val="auto"/>
              </w:rPr>
            </w:pPr>
            <w:r>
              <w:rPr>
                <w:rFonts w:ascii="Times New Roman" w:cs="Times New Roman" w:eastAsia="Times New Roman" w:hAnsi="Times New Roman"/>
                <w:sz w:val="14"/>
                <w:szCs w:val="14"/>
                <w:color w:val="auto"/>
              </w:rPr>
              <w:t>(Address of principal executive offices)</w:t>
            </w:r>
          </w:p>
        </w:tc>
        <w:tc>
          <w:tcPr>
            <w:tcW w:w="3080" w:type="dxa"/>
            <w:vAlign w:val="bottom"/>
          </w:tcPr>
          <w:p>
            <w:pPr>
              <w:jc w:val="center"/>
              <w:ind w:left="1921"/>
              <w:spacing w:after="0"/>
              <w:rPr>
                <w:sz w:val="20"/>
                <w:szCs w:val="20"/>
                <w:color w:val="auto"/>
              </w:rPr>
            </w:pPr>
            <w:r>
              <w:rPr>
                <w:rFonts w:ascii="Times New Roman" w:cs="Times New Roman" w:eastAsia="Times New Roman" w:hAnsi="Times New Roman"/>
                <w:sz w:val="14"/>
                <w:szCs w:val="14"/>
                <w:color w:val="auto"/>
              </w:rPr>
              <w:t>(Zip Code)</w:t>
            </w:r>
          </w:p>
        </w:tc>
        <w:tc>
          <w:tcPr>
            <w:tcW w:w="0" w:type="dxa"/>
            <w:vAlign w:val="bottom"/>
          </w:tcPr>
          <w:p>
            <w:pPr>
              <w:spacing w:after="0"/>
              <w:rPr>
                <w:sz w:val="1"/>
                <w:szCs w:val="1"/>
                <w:color w:val="auto"/>
              </w:rPr>
            </w:pPr>
          </w:p>
        </w:tc>
      </w:tr>
    </w:tbl>
    <w:p>
      <w:pPr>
        <w:spacing w:after="0" w:line="1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(602) 207-1000</w:t>
      </w:r>
    </w:p>
    <w:p>
      <w:pPr>
        <w:spacing w:after="0" w:line="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color w:val="auto"/>
        </w:rPr>
        <w:t>(Registrant’s telephone number, including area code)</w:t>
      </w:r>
    </w:p>
    <w:p>
      <w:pPr>
        <w:spacing w:after="0" w:line="1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1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(Former name, former address, and former fiscal year, if changed since last report)</w:t>
      </w:r>
    </w:p>
    <w:p>
      <w:pPr>
        <w:spacing w:after="0" w:line="18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4"/>
          <w:szCs w:val="14"/>
          <w:color w:val="auto"/>
        </w:rPr>
        <w:t>Securities registered pursuant to Section 12(b) of the Act:</w:t>
      </w:r>
    </w:p>
    <w:p>
      <w:pPr>
        <w:spacing w:after="0" w:line="230" w:lineRule="exact"/>
        <w:rPr>
          <w:sz w:val="24"/>
          <w:szCs w:val="24"/>
          <w:color w:val="auto"/>
        </w:rPr>
      </w:pPr>
    </w:p>
    <w:tbl>
      <w:tblPr>
        <w:tblLayout w:type="fixed"/>
        <w:tblInd w:w="980" w:type="dxa"/>
        <w:tblCellMar>
          <w:top w:w="0" w:type="dxa"/>
          <w:left w:w="0" w:type="dxa"/>
          <w:bottom w:w="0" w:type="dxa"/>
          <w:right w:w="0" w:type="dxa"/>
        </w:tblCellMar>
      </w:tblPr>
      <w:tr>
        <w:trPr>
          <w:trHeight w:val="162"/>
        </w:trPr>
        <w:tc>
          <w:tcPr>
            <w:tcW w:w="3400" w:type="dxa"/>
            <w:vAlign w:val="bottom"/>
          </w:tcPr>
          <w:p>
            <w:pPr>
              <w:jc w:val="center"/>
              <w:ind w:right="796"/>
              <w:spacing w:after="0"/>
              <w:rPr>
                <w:sz w:val="20"/>
                <w:szCs w:val="20"/>
                <w:color w:val="auto"/>
              </w:rPr>
            </w:pPr>
            <w:r>
              <w:rPr>
                <w:rFonts w:ascii="Times New Roman" w:cs="Times New Roman" w:eastAsia="Times New Roman" w:hAnsi="Times New Roman"/>
                <w:sz w:val="14"/>
                <w:szCs w:val="14"/>
                <w:color w:val="auto"/>
              </w:rPr>
              <w:t>Title of each class</w:t>
            </w:r>
          </w:p>
        </w:tc>
        <w:tc>
          <w:tcPr>
            <w:tcW w:w="2720" w:type="dxa"/>
            <w:vAlign w:val="bottom"/>
          </w:tcPr>
          <w:p>
            <w:pPr>
              <w:jc w:val="center"/>
              <w:ind w:left="36"/>
              <w:spacing w:after="0"/>
              <w:rPr>
                <w:sz w:val="20"/>
                <w:szCs w:val="20"/>
                <w:color w:val="auto"/>
              </w:rPr>
            </w:pPr>
            <w:r>
              <w:rPr>
                <w:rFonts w:ascii="Times New Roman" w:cs="Times New Roman" w:eastAsia="Times New Roman" w:hAnsi="Times New Roman"/>
                <w:sz w:val="14"/>
                <w:szCs w:val="14"/>
                <w:color w:val="auto"/>
              </w:rPr>
              <w:t>Trading Symbol(s)</w:t>
            </w:r>
          </w:p>
        </w:tc>
        <w:tc>
          <w:tcPr>
            <w:tcW w:w="3300" w:type="dxa"/>
            <w:vAlign w:val="bottom"/>
          </w:tcPr>
          <w:p>
            <w:pPr>
              <w:jc w:val="center"/>
              <w:ind w:left="676"/>
              <w:spacing w:after="0"/>
              <w:rPr>
                <w:sz w:val="20"/>
                <w:szCs w:val="20"/>
                <w:color w:val="auto"/>
              </w:rPr>
            </w:pPr>
            <w:r>
              <w:rPr>
                <w:rFonts w:ascii="Times New Roman" w:cs="Times New Roman" w:eastAsia="Times New Roman" w:hAnsi="Times New Roman"/>
                <w:sz w:val="14"/>
                <w:szCs w:val="14"/>
                <w:color w:val="auto"/>
              </w:rPr>
              <w:t>Name of each exchange on which registered</w:t>
            </w:r>
          </w:p>
        </w:tc>
      </w:tr>
      <w:tr>
        <w:trPr>
          <w:trHeight w:val="238"/>
        </w:trPr>
        <w:tc>
          <w:tcPr>
            <w:tcW w:w="3400" w:type="dxa"/>
            <w:vAlign w:val="bottom"/>
          </w:tcPr>
          <w:p>
            <w:pPr>
              <w:jc w:val="center"/>
              <w:ind w:right="796"/>
              <w:spacing w:after="0"/>
              <w:rPr>
                <w:sz w:val="20"/>
                <w:szCs w:val="20"/>
                <w:color w:val="auto"/>
              </w:rPr>
            </w:pPr>
            <w:r>
              <w:rPr>
                <w:rFonts w:ascii="Times New Roman" w:cs="Times New Roman" w:eastAsia="Times New Roman" w:hAnsi="Times New Roman"/>
                <w:sz w:val="18"/>
                <w:szCs w:val="18"/>
                <w:b w:val="1"/>
                <w:bCs w:val="1"/>
                <w:color w:val="auto"/>
                <w:w w:val="99"/>
              </w:rPr>
              <w:t>Common Stock, $1.50 Par Value</w:t>
            </w:r>
          </w:p>
        </w:tc>
        <w:tc>
          <w:tcPr>
            <w:tcW w:w="2720" w:type="dxa"/>
            <w:vAlign w:val="bottom"/>
          </w:tcPr>
          <w:p>
            <w:pPr>
              <w:jc w:val="center"/>
              <w:ind w:left="16"/>
              <w:spacing w:after="0"/>
              <w:rPr>
                <w:sz w:val="20"/>
                <w:szCs w:val="20"/>
                <w:color w:val="auto"/>
              </w:rPr>
            </w:pPr>
            <w:r>
              <w:rPr>
                <w:rFonts w:ascii="Times New Roman" w:cs="Times New Roman" w:eastAsia="Times New Roman" w:hAnsi="Times New Roman"/>
                <w:sz w:val="18"/>
                <w:szCs w:val="18"/>
                <w:b w:val="1"/>
                <w:bCs w:val="1"/>
                <w:color w:val="auto"/>
              </w:rPr>
              <w:t>VVI</w:t>
            </w:r>
          </w:p>
        </w:tc>
        <w:tc>
          <w:tcPr>
            <w:tcW w:w="3300" w:type="dxa"/>
            <w:vAlign w:val="bottom"/>
          </w:tcPr>
          <w:p>
            <w:pPr>
              <w:jc w:val="center"/>
              <w:ind w:left="696"/>
              <w:spacing w:after="0"/>
              <w:rPr>
                <w:sz w:val="20"/>
                <w:szCs w:val="20"/>
                <w:color w:val="auto"/>
              </w:rPr>
            </w:pPr>
            <w:r>
              <w:rPr>
                <w:rFonts w:ascii="Times New Roman" w:cs="Times New Roman" w:eastAsia="Times New Roman" w:hAnsi="Times New Roman"/>
                <w:sz w:val="18"/>
                <w:szCs w:val="18"/>
                <w:b w:val="1"/>
                <w:bCs w:val="1"/>
                <w:color w:val="auto"/>
                <w:w w:val="99"/>
              </w:rPr>
              <w:t>New York Stock Exchange</w:t>
            </w:r>
          </w:p>
        </w:tc>
      </w:tr>
      <w:tr>
        <w:trPr>
          <w:trHeight w:val="405"/>
        </w:trPr>
        <w:tc>
          <w:tcPr>
            <w:tcW w:w="3400" w:type="dxa"/>
            <w:vAlign w:val="bottom"/>
          </w:tcPr>
          <w:p>
            <w:pPr>
              <w:jc w:val="center"/>
              <w:ind w:right="796"/>
              <w:spacing w:after="0"/>
              <w:rPr>
                <w:sz w:val="20"/>
                <w:szCs w:val="20"/>
                <w:color w:val="auto"/>
              </w:rPr>
            </w:pPr>
            <w:r>
              <w:rPr>
                <w:rFonts w:ascii="Times New Roman" w:cs="Times New Roman" w:eastAsia="Times New Roman" w:hAnsi="Times New Roman"/>
                <w:sz w:val="18"/>
                <w:szCs w:val="18"/>
                <w:b w:val="1"/>
                <w:bCs w:val="1"/>
                <w:color w:val="auto"/>
                <w:w w:val="99"/>
              </w:rPr>
              <w:t>Preferred Stock Purchase Rights</w:t>
            </w:r>
          </w:p>
        </w:tc>
        <w:tc>
          <w:tcPr>
            <w:tcW w:w="2720" w:type="dxa"/>
            <w:vAlign w:val="bottom"/>
          </w:tcPr>
          <w:p>
            <w:pPr>
              <w:jc w:val="center"/>
              <w:ind w:left="36"/>
              <w:spacing w:after="0"/>
              <w:rPr>
                <w:sz w:val="20"/>
                <w:szCs w:val="20"/>
                <w:color w:val="auto"/>
              </w:rPr>
            </w:pPr>
            <w:r>
              <w:rPr>
                <w:rFonts w:ascii="Times New Roman" w:cs="Times New Roman" w:eastAsia="Times New Roman" w:hAnsi="Times New Roman"/>
                <w:sz w:val="18"/>
                <w:szCs w:val="18"/>
                <w:b w:val="1"/>
                <w:bCs w:val="1"/>
                <w:color w:val="auto"/>
                <w:w w:val="99"/>
              </w:rPr>
              <w:t>--</w:t>
            </w:r>
          </w:p>
        </w:tc>
        <w:tc>
          <w:tcPr>
            <w:tcW w:w="3300" w:type="dxa"/>
            <w:vAlign w:val="bottom"/>
          </w:tcPr>
          <w:p>
            <w:pPr>
              <w:jc w:val="center"/>
              <w:ind w:left="696"/>
              <w:spacing w:after="0"/>
              <w:rPr>
                <w:sz w:val="20"/>
                <w:szCs w:val="20"/>
                <w:color w:val="auto"/>
              </w:rPr>
            </w:pPr>
            <w:r>
              <w:rPr>
                <w:rFonts w:ascii="Times New Roman" w:cs="Times New Roman" w:eastAsia="Times New Roman" w:hAnsi="Times New Roman"/>
                <w:sz w:val="18"/>
                <w:szCs w:val="18"/>
                <w:b w:val="1"/>
                <w:bCs w:val="1"/>
                <w:color w:val="auto"/>
                <w:w w:val="99"/>
              </w:rPr>
              <w:t>New York Stock Exchange</w:t>
            </w:r>
          </w:p>
        </w:tc>
      </w:tr>
    </w:tbl>
    <w:p>
      <w:pPr>
        <w:spacing w:after="0" w:line="224" w:lineRule="exact"/>
        <w:rPr>
          <w:sz w:val="24"/>
          <w:szCs w:val="24"/>
          <w:color w:val="auto"/>
        </w:rPr>
      </w:pPr>
    </w:p>
    <w:p>
      <w:pPr>
        <w:jc w:val="both"/>
        <w:spacing w:after="0" w:line="215"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2856230</wp:posOffset>
            </wp:positionH>
            <wp:positionV relativeFrom="paragraph">
              <wp:posOffset>-405130</wp:posOffset>
            </wp:positionV>
            <wp:extent cx="14300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30020" cy="8255"/>
                    </a:xfrm>
                    <a:prstGeom prst="rect">
                      <a:avLst/>
                    </a:prstGeom>
                    <a:noFill/>
                  </pic:spPr>
                </pic:pic>
              </a:graphicData>
            </a:graphic>
          </wp:anchor>
        </w:drawing>
      </w:r>
    </w:p>
    <w:p>
      <w:pPr>
        <w:jc w:val="both"/>
        <w:spacing w:after="0" w:line="198"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3" w:lineRule="exact"/>
        <w:rPr>
          <w:sz w:val="24"/>
          <w:szCs w:val="24"/>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Indicate by check mark whether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154" w:lineRule="exact"/>
        <w:rPr>
          <w:sz w:val="24"/>
          <w:szCs w:val="24"/>
          <w:color w:val="auto"/>
        </w:rPr>
      </w:pPr>
    </w:p>
    <w:tbl>
      <w:tblPr>
        <w:tblLayout w:type="fixed"/>
        <w:tblInd w:w="20" w:type="dxa"/>
        <w:tblCellMar>
          <w:top w:w="0" w:type="dxa"/>
          <w:left w:w="0" w:type="dxa"/>
          <w:bottom w:w="0" w:type="dxa"/>
          <w:right w:w="0" w:type="dxa"/>
        </w:tblCellMar>
      </w:tblPr>
      <w:tr>
        <w:trPr>
          <w:trHeight w:val="283"/>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31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40" w:type="dxa"/>
            <w:vAlign w:val="bottom"/>
          </w:tcPr>
          <w:p>
            <w:pPr>
              <w:ind w:left="2560"/>
              <w:spacing w:after="0"/>
              <w:rPr>
                <w:sz w:val="20"/>
                <w:szCs w:val="20"/>
                <w:color w:val="auto"/>
              </w:rPr>
            </w:pPr>
            <w:r>
              <w:rPr>
                <w:rFonts w:ascii="Times New Roman" w:cs="Times New Roman" w:eastAsia="Times New Roman" w:hAnsi="Times New Roman"/>
                <w:sz w:val="18"/>
                <w:szCs w:val="18"/>
                <w:color w:val="auto"/>
              </w:rPr>
              <w:t>Accelerated filer</w:t>
            </w:r>
          </w:p>
        </w:tc>
        <w:tc>
          <w:tcPr>
            <w:tcW w:w="600" w:type="dxa"/>
            <w:vAlign w:val="bottom"/>
          </w:tcPr>
          <w:p>
            <w:pPr>
              <w:ind w:left="4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31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40" w:type="dxa"/>
            <w:vAlign w:val="bottom"/>
          </w:tcPr>
          <w:p>
            <w:pPr>
              <w:ind w:left="256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600" w:type="dxa"/>
            <w:vAlign w:val="bottom"/>
          </w:tcPr>
          <w:p>
            <w:pPr>
              <w:ind w:left="4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400" w:type="dxa"/>
            <w:vAlign w:val="bottom"/>
          </w:tcPr>
          <w:p>
            <w:pPr>
              <w:spacing w:after="0"/>
              <w:rPr>
                <w:sz w:val="20"/>
                <w:szCs w:val="20"/>
                <w:color w:val="auto"/>
              </w:rPr>
            </w:pPr>
            <w:r>
              <w:rPr>
                <w:rFonts w:ascii="Times New Roman" w:cs="Times New Roman" w:eastAsia="Times New Roman" w:hAnsi="Times New Roman"/>
                <w:sz w:val="18"/>
                <w:szCs w:val="18"/>
                <w:color w:val="auto"/>
              </w:rPr>
              <w:t>Emerging growth company</w:t>
            </w:r>
          </w:p>
        </w:tc>
        <w:tc>
          <w:tcPr>
            <w:tcW w:w="3140" w:type="dxa"/>
            <w:vAlign w:val="bottom"/>
          </w:tcPr>
          <w:p>
            <w:pPr>
              <w:ind w:left="420"/>
              <w:spacing w:after="0" w:line="181" w:lineRule="exact"/>
              <w:rPr>
                <w:sz w:val="20"/>
                <w:szCs w:val="20"/>
                <w:color w:val="auto"/>
              </w:rPr>
            </w:pPr>
            <w:r>
              <w:rPr>
                <w:rFonts w:ascii="MS PGothic" w:cs="MS PGothic" w:eastAsia="MS PGothic" w:hAnsi="MS PGothic"/>
                <w:sz w:val="18"/>
                <w:szCs w:val="18"/>
                <w:color w:val="auto"/>
              </w:rPr>
              <w:t>☐</w:t>
            </w:r>
          </w:p>
        </w:tc>
        <w:tc>
          <w:tcPr>
            <w:tcW w:w="4940" w:type="dxa"/>
            <w:vAlign w:val="bottom"/>
          </w:tcPr>
          <w:p>
            <w:pPr>
              <w:spacing w:after="0"/>
              <w:rPr>
                <w:sz w:val="24"/>
                <w:szCs w:val="24"/>
                <w:color w:val="auto"/>
              </w:rPr>
            </w:pPr>
          </w:p>
        </w:tc>
        <w:tc>
          <w:tcPr>
            <w:tcW w:w="600" w:type="dxa"/>
            <w:vAlign w:val="bottom"/>
          </w:tcPr>
          <w:p>
            <w:pPr>
              <w:spacing w:after="0"/>
              <w:rPr>
                <w:sz w:val="24"/>
                <w:szCs w:val="24"/>
                <w:color w:val="auto"/>
              </w:rPr>
            </w:pPr>
          </w:p>
        </w:tc>
      </w:tr>
    </w:tbl>
    <w:p>
      <w:pPr>
        <w:spacing w:after="0" w:line="2" w:lineRule="exact"/>
        <w:rPr>
          <w:sz w:val="24"/>
          <w:szCs w:val="24"/>
          <w:color w:val="auto"/>
        </w:rPr>
      </w:pPr>
    </w:p>
    <w:p>
      <w:pPr>
        <w:spacing w:after="0" w:line="228"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 w:lineRule="exact"/>
        <w:rPr>
          <w:sz w:val="24"/>
          <w:szCs w:val="24"/>
          <w:color w:val="auto"/>
        </w:rPr>
      </w:pPr>
    </w:p>
    <w:p>
      <w:pPr>
        <w:ind w:right="1720"/>
        <w:spacing w:after="0" w:line="232"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As of August 2, 2022, there were 20,621,244 shares of Common Stock ($1.50 par value)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313690</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02" w:right="339" w:bottom="1440" w:gutter="0" w:footer="0" w:header="0"/>
        </w:sectPr>
      </w:pPr>
    </w:p>
    <w:bookmarkStart w:id="1" w:name="page2"/>
    <w:bookmarkEnd w:id="1"/>
    <w:tbl>
      <w:tblPr>
        <w:tblLayout w:type="fixed"/>
        <w:tblInd w:w="20" w:type="dxa"/>
        <w:tblCellMar>
          <w:top w:w="0" w:type="dxa"/>
          <w:left w:w="0" w:type="dxa"/>
          <w:bottom w:w="0" w:type="dxa"/>
          <w:right w:w="0" w:type="dxa"/>
        </w:tblCellMar>
      </w:tblPr>
      <w:tr>
        <w:trPr>
          <w:trHeight w:val="238"/>
        </w:trPr>
        <w:tc>
          <w:tcPr>
            <w:tcW w:w="5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300" w:type="dxa"/>
            <w:vAlign w:val="bottom"/>
            <w:gridSpan w:val="11"/>
          </w:tcPr>
          <w:p>
            <w:pPr>
              <w:jc w:val="center"/>
              <w:ind w:right="3480"/>
              <w:spacing w:after="0"/>
              <w:rPr>
                <w:sz w:val="20"/>
                <w:szCs w:val="20"/>
                <w:color w:val="auto"/>
              </w:rPr>
            </w:pPr>
            <w:r>
              <w:rPr>
                <w:rFonts w:ascii="Times New Roman" w:cs="Times New Roman" w:eastAsia="Times New Roman" w:hAnsi="Times New Roman"/>
                <w:sz w:val="18"/>
                <w:szCs w:val="18"/>
                <w:b w:val="1"/>
                <w:bCs w:val="1"/>
                <w:color w:val="auto"/>
                <w:w w:val="99"/>
              </w:rPr>
              <w:t>INDEX</w:t>
            </w:r>
          </w:p>
        </w:tc>
      </w:tr>
      <w:tr>
        <w:trPr>
          <w:trHeight w:val="701"/>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60" w:type="dxa"/>
            <w:vAlign w:val="bottom"/>
            <w:gridSpan w:val="12"/>
          </w:tcPr>
          <w:p>
            <w:pPr>
              <w:jc w:val="center"/>
              <w:ind w:right="3340"/>
              <w:spacing w:after="0"/>
              <w:rPr>
                <w:sz w:val="20"/>
                <w:szCs w:val="20"/>
                <w:color w:val="auto"/>
              </w:rPr>
            </w:pPr>
            <w:r>
              <w:rPr>
                <w:rFonts w:ascii="Times New Roman" w:cs="Times New Roman" w:eastAsia="Times New Roman" w:hAnsi="Times New Roman"/>
                <w:sz w:val="18"/>
                <w:szCs w:val="18"/>
                <w:b w:val="1"/>
                <w:bCs w:val="1"/>
                <w:color w:val="0000FF"/>
                <w:w w:val="98"/>
              </w:rPr>
              <w:t>PART I - FINANCIAL INFORMATION</w:t>
            </w:r>
          </w:p>
        </w:tc>
      </w:tr>
      <w:tr>
        <w:trPr>
          <w:trHeight w:val="304"/>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0000FF"/>
                <w:w w:val="97"/>
              </w:rPr>
              <w:t>Item 1.</w:t>
            </w:r>
          </w:p>
        </w:tc>
        <w:tc>
          <w:tcPr>
            <w:tcW w:w="1140" w:type="dxa"/>
            <w:vAlign w:val="bottom"/>
            <w:gridSpan w:val="5"/>
          </w:tcPr>
          <w:p>
            <w:pPr>
              <w:spacing w:after="0"/>
              <w:rPr>
                <w:sz w:val="24"/>
                <w:szCs w:val="24"/>
                <w:color w:val="auto"/>
              </w:rPr>
            </w:pPr>
          </w:p>
        </w:tc>
        <w:tc>
          <w:tcPr>
            <w:tcW w:w="2380" w:type="dxa"/>
            <w:vAlign w:val="bottom"/>
            <w:gridSpan w:val="7"/>
          </w:tcPr>
          <w:p>
            <w:pPr>
              <w:spacing w:after="0"/>
              <w:rPr>
                <w:sz w:val="20"/>
                <w:szCs w:val="20"/>
                <w:color w:val="auto"/>
              </w:rPr>
            </w:pPr>
            <w:r>
              <w:rPr>
                <w:rFonts w:ascii="Times New Roman" w:cs="Times New Roman" w:eastAsia="Times New Roman" w:hAnsi="Times New Roman"/>
                <w:sz w:val="18"/>
                <w:szCs w:val="18"/>
                <w:color w:val="0000FF"/>
              </w:rPr>
              <w:t>Financial Statements</w:t>
            </w:r>
          </w:p>
        </w:tc>
        <w:tc>
          <w:tcPr>
            <w:tcW w:w="3120" w:type="dxa"/>
            <w:vAlign w:val="bottom"/>
            <w:tcBorders>
              <w:top w:val="single" w:sz="8" w:color="0000FF"/>
            </w:tcBorders>
            <w:gridSpan w:val="6"/>
          </w:tcPr>
          <w:p>
            <w:pPr>
              <w:spacing w:after="0"/>
              <w:rPr>
                <w:sz w:val="24"/>
                <w:szCs w:val="24"/>
                <w:color w:val="auto"/>
              </w:rPr>
            </w:pPr>
          </w:p>
        </w:tc>
        <w:tc>
          <w:tcPr>
            <w:tcW w:w="3340" w:type="dxa"/>
            <w:vAlign w:val="bottom"/>
            <w:gridSpan w:val="6"/>
          </w:tcPr>
          <w:p>
            <w:pPr>
              <w:spacing w:after="0"/>
              <w:rPr>
                <w:sz w:val="24"/>
                <w:szCs w:val="24"/>
                <w:color w:val="auto"/>
              </w:rPr>
            </w:pPr>
          </w:p>
        </w:tc>
      </w:tr>
      <w:tr>
        <w:trPr>
          <w:trHeight w:val="20"/>
        </w:trPr>
        <w:tc>
          <w:tcPr>
            <w:tcW w:w="52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78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304"/>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840" w:type="dxa"/>
            <w:vAlign w:val="bottom"/>
            <w:gridSpan w:val="19"/>
          </w:tcPr>
          <w:p>
            <w:pPr>
              <w:spacing w:after="0"/>
              <w:rPr>
                <w:sz w:val="20"/>
                <w:szCs w:val="20"/>
                <w:color w:val="auto"/>
              </w:rPr>
            </w:pPr>
            <w:r>
              <w:rPr>
                <w:rFonts w:ascii="Times New Roman" w:cs="Times New Roman" w:eastAsia="Times New Roman" w:hAnsi="Times New Roman"/>
                <w:sz w:val="18"/>
                <w:szCs w:val="18"/>
                <w:color w:val="0000FF"/>
              </w:rPr>
              <w:t>Condensed Consolidated Balance Sheets as of June 30, 2022 and December 31, 2021</w:t>
            </w: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500" w:type="dxa"/>
            <w:vAlign w:val="bottom"/>
            <w:tcBorders>
              <w:right w:val="single" w:sz="8" w:color="0000FF"/>
            </w:tcBorders>
            <w:shd w:val="clear" w:color="auto" w:fill="0000FF"/>
          </w:tcPr>
          <w:p>
            <w:pPr>
              <w:spacing w:after="0" w:line="20" w:lineRule="exact"/>
              <w:rPr>
                <w:sz w:val="1"/>
                <w:szCs w:val="1"/>
                <w:color w:val="auto"/>
              </w:rPr>
            </w:pPr>
          </w:p>
        </w:tc>
        <w:tc>
          <w:tcPr>
            <w:tcW w:w="280" w:type="dxa"/>
            <w:vAlign w:val="bottom"/>
            <w:gridSpan w:val="2"/>
            <w:shd w:val="clear" w:color="auto" w:fill="0000FF"/>
          </w:tcPr>
          <w:p>
            <w:pPr>
              <w:spacing w:after="0" w:line="20" w:lineRule="exact"/>
              <w:rPr>
                <w:sz w:val="1"/>
                <w:szCs w:val="1"/>
                <w:color w:val="auto"/>
              </w:rPr>
            </w:pPr>
          </w:p>
        </w:tc>
        <w:tc>
          <w:tcPr>
            <w:tcW w:w="14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780" w:type="dxa"/>
            <w:vAlign w:val="bottom"/>
            <w:tcBorders>
              <w:right w:val="single" w:sz="8" w:color="0000EE"/>
            </w:tcBorders>
            <w:gridSpan w:val="2"/>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465"/>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840" w:type="dxa"/>
            <w:vAlign w:val="bottom"/>
            <w:gridSpan w:val="19"/>
          </w:tcPr>
          <w:p>
            <w:pPr>
              <w:spacing w:after="0"/>
              <w:rPr>
                <w:sz w:val="20"/>
                <w:szCs w:val="20"/>
                <w:color w:val="auto"/>
              </w:rPr>
            </w:pPr>
            <w:r>
              <w:rPr>
                <w:rFonts w:ascii="Times New Roman" w:cs="Times New Roman" w:eastAsia="Times New Roman" w:hAnsi="Times New Roman"/>
                <w:sz w:val="18"/>
                <w:szCs w:val="18"/>
                <w:color w:val="0000FF"/>
              </w:rPr>
              <w:t>Condensed Consolidated Statements of Operations for the Three and Six Months Ended June 30, 2022 and 2021</w:t>
            </w: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500" w:type="dxa"/>
            <w:vAlign w:val="bottom"/>
            <w:tcBorders>
              <w:right w:val="single" w:sz="8" w:color="0000FF"/>
            </w:tcBorders>
            <w:shd w:val="clear" w:color="auto" w:fill="0000FF"/>
          </w:tcPr>
          <w:p>
            <w:pPr>
              <w:spacing w:after="0" w:line="20" w:lineRule="exact"/>
              <w:rPr>
                <w:sz w:val="1"/>
                <w:szCs w:val="1"/>
                <w:color w:val="auto"/>
              </w:rPr>
            </w:pPr>
          </w:p>
        </w:tc>
        <w:tc>
          <w:tcPr>
            <w:tcW w:w="280" w:type="dxa"/>
            <w:vAlign w:val="bottom"/>
            <w:gridSpan w:val="2"/>
            <w:shd w:val="clear" w:color="auto" w:fill="0000FF"/>
          </w:tcPr>
          <w:p>
            <w:pPr>
              <w:spacing w:after="0" w:line="20" w:lineRule="exact"/>
              <w:rPr>
                <w:sz w:val="1"/>
                <w:szCs w:val="1"/>
                <w:color w:val="auto"/>
              </w:rPr>
            </w:pPr>
          </w:p>
        </w:tc>
        <w:tc>
          <w:tcPr>
            <w:tcW w:w="14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1080" w:type="dxa"/>
            <w:vAlign w:val="bottom"/>
            <w:gridSpan w:val="3"/>
            <w:shd w:val="clear" w:color="auto" w:fill="0000FF"/>
          </w:tcPr>
          <w:p>
            <w:pPr>
              <w:spacing w:after="0" w:line="20" w:lineRule="exact"/>
              <w:rPr>
                <w:sz w:val="1"/>
                <w:szCs w:val="1"/>
                <w:color w:val="auto"/>
              </w:rPr>
            </w:pPr>
          </w:p>
        </w:tc>
        <w:tc>
          <w:tcPr>
            <w:tcW w:w="920" w:type="dxa"/>
            <w:vAlign w:val="bottom"/>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77"/>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840" w:type="dxa"/>
            <w:vAlign w:val="bottom"/>
            <w:tcBorders>
              <w:bottom w:val="single" w:sz="8" w:color="0000FF"/>
            </w:tcBorders>
            <w:gridSpan w:val="19"/>
          </w:tcPr>
          <w:p>
            <w:pPr>
              <w:spacing w:after="0"/>
              <w:rPr>
                <w:sz w:val="20"/>
                <w:szCs w:val="20"/>
                <w:color w:val="auto"/>
              </w:rPr>
            </w:pPr>
            <w:r>
              <w:rPr>
                <w:rFonts w:ascii="Times New Roman" w:cs="Times New Roman" w:eastAsia="Times New Roman" w:hAnsi="Times New Roman"/>
                <w:sz w:val="18"/>
                <w:szCs w:val="18"/>
                <w:color w:val="0000FF"/>
              </w:rPr>
              <w:t>Condensed Consolidated Statements of Comprehensive Income (Loss) for the Three and Six Months Ended June 30, 2022</w:t>
            </w:r>
          </w:p>
        </w:tc>
      </w:tr>
      <w:tr>
        <w:trPr>
          <w:trHeight w:val="169"/>
        </w:trPr>
        <w:tc>
          <w:tcPr>
            <w:tcW w:w="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840" w:type="dxa"/>
            <w:vAlign w:val="bottom"/>
            <w:gridSpan w:val="19"/>
          </w:tcPr>
          <w:p>
            <w:pPr>
              <w:spacing w:after="0" w:line="169" w:lineRule="exact"/>
              <w:rPr>
                <w:sz w:val="20"/>
                <w:szCs w:val="20"/>
                <w:color w:val="auto"/>
              </w:rPr>
            </w:pPr>
            <w:r>
              <w:rPr>
                <w:rFonts w:ascii="Times New Roman" w:cs="Times New Roman" w:eastAsia="Times New Roman" w:hAnsi="Times New Roman"/>
                <w:sz w:val="18"/>
                <w:szCs w:val="18"/>
                <w:color w:val="0000FF"/>
              </w:rPr>
              <w:t>and 2021</w:t>
            </w: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Borders>
              <w:right w:val="single" w:sz="8" w:color="0000EE"/>
            </w:tcBorders>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80" w:type="dxa"/>
            <w:vAlign w:val="bottom"/>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77"/>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840" w:type="dxa"/>
            <w:vAlign w:val="bottom"/>
            <w:gridSpan w:val="19"/>
          </w:tcPr>
          <w:p>
            <w:pPr>
              <w:spacing w:after="0"/>
              <w:rPr>
                <w:sz w:val="20"/>
                <w:szCs w:val="20"/>
                <w:color w:val="auto"/>
              </w:rPr>
            </w:pPr>
            <w:r>
              <w:rPr>
                <w:rFonts w:ascii="Times New Roman" w:cs="Times New Roman" w:eastAsia="Times New Roman" w:hAnsi="Times New Roman"/>
                <w:sz w:val="18"/>
                <w:szCs w:val="18"/>
                <w:color w:val="0000FF"/>
              </w:rPr>
              <w:t>Condensed Consolidated Statements of Stockholders’ Equity and Mezzanine Equity for the Three Months Ended March</w:t>
            </w:r>
          </w:p>
        </w:tc>
      </w:tr>
      <w:tr>
        <w:trPr>
          <w:trHeight w:val="169"/>
        </w:trPr>
        <w:tc>
          <w:tcPr>
            <w:tcW w:w="5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680" w:type="dxa"/>
            <w:vAlign w:val="bottom"/>
            <w:tcBorders>
              <w:top w:val="single" w:sz="8" w:color="0000FF"/>
            </w:tcBorders>
            <w:gridSpan w:val="18"/>
          </w:tcPr>
          <w:p>
            <w:pPr>
              <w:spacing w:after="0" w:line="169" w:lineRule="exact"/>
              <w:rPr>
                <w:sz w:val="20"/>
                <w:szCs w:val="20"/>
                <w:color w:val="auto"/>
              </w:rPr>
            </w:pPr>
            <w:r>
              <w:rPr>
                <w:rFonts w:ascii="Times New Roman" w:cs="Times New Roman" w:eastAsia="Times New Roman" w:hAnsi="Times New Roman"/>
                <w:sz w:val="18"/>
                <w:szCs w:val="18"/>
                <w:color w:val="0000FF"/>
              </w:rPr>
              <w:t>31 and June 30, 2022 and 2021</w:t>
            </w:r>
          </w:p>
        </w:tc>
        <w:tc>
          <w:tcPr>
            <w:tcW w:w="160" w:type="dxa"/>
            <w:vAlign w:val="bottom"/>
          </w:tcPr>
          <w:p>
            <w:pPr>
              <w:spacing w:after="0"/>
              <w:rPr>
                <w:sz w:val="14"/>
                <w:szCs w:val="14"/>
                <w:color w:val="auto"/>
              </w:rPr>
            </w:pPr>
          </w:p>
        </w:tc>
      </w:tr>
      <w:tr>
        <w:trPr>
          <w:trHeight w:val="20"/>
        </w:trPr>
        <w:tc>
          <w:tcPr>
            <w:tcW w:w="5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500" w:type="dxa"/>
            <w:vAlign w:val="bottom"/>
            <w:tcBorders>
              <w:right w:val="single" w:sz="8" w:color="0000EE"/>
            </w:tcBorders>
            <w:shd w:val="clear" w:color="auto" w:fill="0000FF"/>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80" w:type="dxa"/>
            <w:vAlign w:val="bottom"/>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480" w:type="dxa"/>
            <w:vAlign w:val="bottom"/>
            <w:gridSpan w:val="3"/>
          </w:tcPr>
          <w:p>
            <w:pPr>
              <w:spacing w:after="0" w:line="20" w:lineRule="exact"/>
              <w:rPr>
                <w:sz w:val="1"/>
                <w:szCs w:val="1"/>
                <w:color w:val="auto"/>
              </w:rPr>
            </w:pPr>
          </w:p>
        </w:tc>
      </w:tr>
      <w:tr>
        <w:trPr>
          <w:trHeight w:val="398"/>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840" w:type="dxa"/>
            <w:vAlign w:val="bottom"/>
            <w:gridSpan w:val="19"/>
          </w:tcPr>
          <w:p>
            <w:pPr>
              <w:spacing w:after="0"/>
              <w:rPr>
                <w:sz w:val="20"/>
                <w:szCs w:val="20"/>
                <w:color w:val="auto"/>
              </w:rPr>
            </w:pPr>
            <w:r>
              <w:rPr>
                <w:rFonts w:ascii="Times New Roman" w:cs="Times New Roman" w:eastAsia="Times New Roman" w:hAnsi="Times New Roman"/>
                <w:sz w:val="18"/>
                <w:szCs w:val="18"/>
                <w:color w:val="0000FF"/>
              </w:rPr>
              <w:t>Condensed Consolidated Statements of Cash Flows for the Six Months Ended June 30, 2022 and 2021</w:t>
            </w:r>
          </w:p>
        </w:tc>
      </w:tr>
      <w:tr>
        <w:trPr>
          <w:trHeight w:val="304"/>
        </w:trPr>
        <w:tc>
          <w:tcPr>
            <w:tcW w:w="5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360" w:type="dxa"/>
            <w:vAlign w:val="bottom"/>
            <w:tcBorders>
              <w:top w:val="single" w:sz="8" w:color="0000FF"/>
            </w:tcBorders>
            <w:gridSpan w:val="16"/>
          </w:tcPr>
          <w:p>
            <w:pPr>
              <w:spacing w:after="0"/>
              <w:rPr>
                <w:sz w:val="20"/>
                <w:szCs w:val="20"/>
                <w:color w:val="auto"/>
              </w:rPr>
            </w:pPr>
            <w:r>
              <w:rPr>
                <w:rFonts w:ascii="Times New Roman" w:cs="Times New Roman" w:eastAsia="Times New Roman" w:hAnsi="Times New Roman"/>
                <w:sz w:val="18"/>
                <w:szCs w:val="18"/>
                <w:color w:val="0000FF"/>
              </w:rPr>
              <w:t>Notes to Condensed Consolidated Financial Statements</w:t>
            </w:r>
          </w:p>
        </w:tc>
        <w:tc>
          <w:tcPr>
            <w:tcW w:w="1480" w:type="dxa"/>
            <w:vAlign w:val="bottom"/>
            <w:gridSpan w:val="3"/>
          </w:tcPr>
          <w:p>
            <w:pPr>
              <w:spacing w:after="0"/>
              <w:rPr>
                <w:sz w:val="24"/>
                <w:szCs w:val="24"/>
                <w:color w:val="auto"/>
              </w:rPr>
            </w:pPr>
          </w:p>
        </w:tc>
      </w:tr>
      <w:tr>
        <w:trPr>
          <w:trHeight w:val="20"/>
        </w:trPr>
        <w:tc>
          <w:tcPr>
            <w:tcW w:w="5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440" w:type="dxa"/>
            <w:vAlign w:val="bottom"/>
            <w:shd w:val="clear" w:color="auto" w:fill="0000FF"/>
          </w:tcPr>
          <w:p>
            <w:pPr>
              <w:spacing w:after="0" w:line="20" w:lineRule="exact"/>
              <w:rPr>
                <w:sz w:val="1"/>
                <w:szCs w:val="1"/>
                <w:color w:val="auto"/>
              </w:rPr>
            </w:pPr>
          </w:p>
        </w:tc>
        <w:tc>
          <w:tcPr>
            <w:tcW w:w="420" w:type="dxa"/>
            <w:vAlign w:val="bottom"/>
            <w:gridSpan w:val="2"/>
            <w:shd w:val="clear" w:color="auto" w:fill="0000FF"/>
          </w:tcPr>
          <w:p>
            <w:pPr>
              <w:spacing w:after="0" w:line="20" w:lineRule="exact"/>
              <w:rPr>
                <w:sz w:val="1"/>
                <w:szCs w:val="1"/>
                <w:color w:val="auto"/>
              </w:rPr>
            </w:pPr>
          </w:p>
        </w:tc>
        <w:tc>
          <w:tcPr>
            <w:tcW w:w="780" w:type="dxa"/>
            <w:vAlign w:val="bottom"/>
            <w:gridSpan w:val="3"/>
            <w:shd w:val="clear" w:color="auto" w:fill="0000FF"/>
          </w:tcPr>
          <w:p>
            <w:pPr>
              <w:spacing w:after="0" w:line="20" w:lineRule="exact"/>
              <w:rPr>
                <w:sz w:val="1"/>
                <w:szCs w:val="1"/>
                <w:color w:val="auto"/>
              </w:rPr>
            </w:pPr>
          </w:p>
        </w:tc>
        <w:tc>
          <w:tcPr>
            <w:tcW w:w="1440" w:type="dxa"/>
            <w:vAlign w:val="bottom"/>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80" w:type="dxa"/>
            <w:vAlign w:val="bottom"/>
            <w:gridSpan w:val="3"/>
          </w:tcPr>
          <w:p>
            <w:pPr>
              <w:spacing w:after="0" w:line="20" w:lineRule="exact"/>
              <w:rPr>
                <w:sz w:val="1"/>
                <w:szCs w:val="1"/>
                <w:color w:val="auto"/>
              </w:rPr>
            </w:pPr>
          </w:p>
        </w:tc>
        <w:tc>
          <w:tcPr>
            <w:tcW w:w="2400" w:type="dxa"/>
            <w:vAlign w:val="bottom"/>
            <w:gridSpan w:val="4"/>
          </w:tcPr>
          <w:p>
            <w:pPr>
              <w:spacing w:after="0" w:line="20" w:lineRule="exact"/>
              <w:rPr>
                <w:sz w:val="1"/>
                <w:szCs w:val="1"/>
                <w:color w:val="auto"/>
              </w:rPr>
            </w:pPr>
          </w:p>
        </w:tc>
      </w:tr>
      <w:tr>
        <w:trPr>
          <w:trHeight w:val="304"/>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0000FF"/>
                <w:w w:val="97"/>
              </w:rPr>
              <w:t>Item 2.</w:t>
            </w:r>
          </w:p>
        </w:tc>
        <w:tc>
          <w:tcPr>
            <w:tcW w:w="20" w:type="dxa"/>
            <w:vAlign w:val="bottom"/>
          </w:tcPr>
          <w:p>
            <w:pPr>
              <w:spacing w:after="0"/>
              <w:rPr>
                <w:sz w:val="24"/>
                <w:szCs w:val="24"/>
                <w:color w:val="auto"/>
              </w:rPr>
            </w:pPr>
          </w:p>
        </w:tc>
        <w:tc>
          <w:tcPr>
            <w:tcW w:w="1120" w:type="dxa"/>
            <w:vAlign w:val="bottom"/>
            <w:gridSpan w:val="4"/>
          </w:tcPr>
          <w:p>
            <w:pPr>
              <w:spacing w:after="0"/>
              <w:rPr>
                <w:sz w:val="24"/>
                <w:szCs w:val="24"/>
                <w:color w:val="auto"/>
              </w:rPr>
            </w:pPr>
          </w:p>
        </w:tc>
        <w:tc>
          <w:tcPr>
            <w:tcW w:w="8840" w:type="dxa"/>
            <w:vAlign w:val="bottom"/>
            <w:gridSpan w:val="19"/>
          </w:tcPr>
          <w:p>
            <w:pPr>
              <w:spacing w:after="0"/>
              <w:rPr>
                <w:sz w:val="20"/>
                <w:szCs w:val="20"/>
                <w:color w:val="auto"/>
              </w:rPr>
            </w:pPr>
            <w:r>
              <w:rPr>
                <w:rFonts w:ascii="Times New Roman" w:cs="Times New Roman" w:eastAsia="Times New Roman" w:hAnsi="Times New Roman"/>
                <w:sz w:val="18"/>
                <w:szCs w:val="18"/>
                <w:color w:val="0000FF"/>
              </w:rPr>
              <w:t>Management’s Discussion and Analysis of Financial Condition and Results of Operations</w:t>
            </w:r>
          </w:p>
        </w:tc>
      </w:tr>
      <w:tr>
        <w:trPr>
          <w:trHeight w:val="304"/>
        </w:trPr>
        <w:tc>
          <w:tcPr>
            <w:tcW w:w="520" w:type="dxa"/>
            <w:vAlign w:val="bottom"/>
            <w:tcBorders>
              <w:top w:val="single" w:sz="8" w:color="0000FF"/>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w w:val="97"/>
              </w:rPr>
              <w:t>Item 3.</w:t>
            </w:r>
          </w:p>
        </w:tc>
        <w:tc>
          <w:tcPr>
            <w:tcW w:w="20" w:type="dxa"/>
            <w:vAlign w:val="bottom"/>
            <w:tcBorders>
              <w:top w:val="single" w:sz="8" w:color="0000EE"/>
              <w:bottom w:val="single" w:sz="8" w:color="0000EE"/>
            </w:tcBorders>
          </w:tcPr>
          <w:p>
            <w:pPr>
              <w:spacing w:after="0"/>
              <w:rPr>
                <w:sz w:val="24"/>
                <w:szCs w:val="24"/>
                <w:color w:val="auto"/>
              </w:rPr>
            </w:pPr>
          </w:p>
        </w:tc>
        <w:tc>
          <w:tcPr>
            <w:tcW w:w="1120" w:type="dxa"/>
            <w:vAlign w:val="bottom"/>
            <w:gridSpan w:val="4"/>
          </w:tcPr>
          <w:p>
            <w:pPr>
              <w:spacing w:after="0"/>
              <w:rPr>
                <w:sz w:val="24"/>
                <w:szCs w:val="24"/>
                <w:color w:val="auto"/>
              </w:rPr>
            </w:pPr>
          </w:p>
        </w:tc>
        <w:tc>
          <w:tcPr>
            <w:tcW w:w="4360" w:type="dxa"/>
            <w:vAlign w:val="bottom"/>
            <w:tcBorders>
              <w:top w:val="single" w:sz="8" w:color="0000FF"/>
              <w:bottom w:val="single" w:sz="8" w:color="0000FF"/>
            </w:tcBorders>
            <w:gridSpan w:val="11"/>
          </w:tcPr>
          <w:p>
            <w:pPr>
              <w:spacing w:after="0"/>
              <w:rPr>
                <w:sz w:val="20"/>
                <w:szCs w:val="20"/>
                <w:color w:val="auto"/>
              </w:rPr>
            </w:pPr>
            <w:r>
              <w:rPr>
                <w:rFonts w:ascii="Times New Roman" w:cs="Times New Roman" w:eastAsia="Times New Roman" w:hAnsi="Times New Roman"/>
                <w:sz w:val="18"/>
                <w:szCs w:val="18"/>
                <w:color w:val="0000FF"/>
                <w:w w:val="99"/>
              </w:rPr>
              <w:t>Quantitative and Qualitative Disclosures About Market Risk</w:t>
            </w:r>
          </w:p>
        </w:tc>
        <w:tc>
          <w:tcPr>
            <w:tcW w:w="2080" w:type="dxa"/>
            <w:vAlign w:val="bottom"/>
            <w:tcBorders>
              <w:top w:val="single" w:sz="8" w:color="0000FF"/>
            </w:tcBorders>
            <w:gridSpan w:val="4"/>
          </w:tcPr>
          <w:p>
            <w:pPr>
              <w:spacing w:after="0"/>
              <w:rPr>
                <w:sz w:val="24"/>
                <w:szCs w:val="24"/>
                <w:color w:val="auto"/>
              </w:rPr>
            </w:pPr>
          </w:p>
        </w:tc>
        <w:tc>
          <w:tcPr>
            <w:tcW w:w="2400" w:type="dxa"/>
            <w:vAlign w:val="bottom"/>
            <w:gridSpan w:val="4"/>
          </w:tcPr>
          <w:p>
            <w:pPr>
              <w:spacing w:after="0"/>
              <w:rPr>
                <w:sz w:val="24"/>
                <w:szCs w:val="24"/>
                <w:color w:val="auto"/>
              </w:rPr>
            </w:pPr>
          </w:p>
        </w:tc>
      </w:tr>
      <w:tr>
        <w:trPr>
          <w:trHeight w:val="304"/>
        </w:trPr>
        <w:tc>
          <w:tcPr>
            <w:tcW w:w="1660" w:type="dxa"/>
            <w:vAlign w:val="bottom"/>
            <w:gridSpan w:val="6"/>
          </w:tcPr>
          <w:p>
            <w:pPr>
              <w:spacing w:after="0"/>
              <w:rPr>
                <w:sz w:val="20"/>
                <w:szCs w:val="20"/>
                <w:color w:val="auto"/>
              </w:rPr>
            </w:pPr>
            <w:r>
              <w:rPr>
                <w:rFonts w:ascii="Times New Roman" w:cs="Times New Roman" w:eastAsia="Times New Roman" w:hAnsi="Times New Roman"/>
                <w:sz w:val="18"/>
                <w:szCs w:val="18"/>
                <w:color w:val="0000FF"/>
              </w:rPr>
              <w:t>Item 4.</w:t>
            </w:r>
          </w:p>
        </w:tc>
        <w:tc>
          <w:tcPr>
            <w:tcW w:w="8840" w:type="dxa"/>
            <w:vAlign w:val="bottom"/>
            <w:gridSpan w:val="19"/>
          </w:tcPr>
          <w:p>
            <w:pPr>
              <w:spacing w:after="0"/>
              <w:rPr>
                <w:sz w:val="20"/>
                <w:szCs w:val="20"/>
                <w:color w:val="auto"/>
              </w:rPr>
            </w:pPr>
            <w:r>
              <w:rPr>
                <w:rFonts w:ascii="Times New Roman" w:cs="Times New Roman" w:eastAsia="Times New Roman" w:hAnsi="Times New Roman"/>
                <w:sz w:val="18"/>
                <w:szCs w:val="18"/>
                <w:color w:val="0000FF"/>
              </w:rPr>
              <w:t>Controls and Procedures</w:t>
            </w:r>
          </w:p>
        </w:tc>
      </w:tr>
      <w:tr>
        <w:trPr>
          <w:trHeight w:val="263"/>
        </w:trPr>
        <w:tc>
          <w:tcPr>
            <w:tcW w:w="520" w:type="dxa"/>
            <w:vAlign w:val="bottom"/>
            <w:tcBorders>
              <w:top w:val="single" w:sz="8" w:color="0000FF"/>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80" w:type="dxa"/>
            <w:vAlign w:val="bottom"/>
            <w:tcBorders>
              <w:top w:val="single" w:sz="8" w:color="0000FF"/>
            </w:tcBorders>
          </w:tcPr>
          <w:p>
            <w:pPr>
              <w:spacing w:after="0"/>
              <w:rPr>
                <w:sz w:val="22"/>
                <w:szCs w:val="22"/>
                <w:color w:val="auto"/>
              </w:rPr>
            </w:pPr>
          </w:p>
        </w:tc>
        <w:tc>
          <w:tcPr>
            <w:tcW w:w="220" w:type="dxa"/>
            <w:vAlign w:val="bottom"/>
            <w:tcBorders>
              <w:top w:val="single" w:sz="8" w:color="0000FF"/>
            </w:tcBorders>
          </w:tcPr>
          <w:p>
            <w:pPr>
              <w:spacing w:after="0"/>
              <w:rPr>
                <w:sz w:val="22"/>
                <w:szCs w:val="22"/>
                <w:color w:val="auto"/>
              </w:rPr>
            </w:pPr>
          </w:p>
        </w:tc>
        <w:tc>
          <w:tcPr>
            <w:tcW w:w="440" w:type="dxa"/>
            <w:vAlign w:val="bottom"/>
            <w:tcBorders>
              <w:top w:val="single" w:sz="8" w:color="0000FF"/>
            </w:tcBorders>
          </w:tcPr>
          <w:p>
            <w:pPr>
              <w:spacing w:after="0"/>
              <w:rPr>
                <w:sz w:val="22"/>
                <w:szCs w:val="22"/>
                <w:color w:val="auto"/>
              </w:rPr>
            </w:pPr>
          </w:p>
        </w:tc>
        <w:tc>
          <w:tcPr>
            <w:tcW w:w="160" w:type="dxa"/>
            <w:vAlign w:val="bottom"/>
            <w:tcBorders>
              <w:top w:val="single" w:sz="8" w:color="0000FF"/>
            </w:tcBorders>
          </w:tcPr>
          <w:p>
            <w:pPr>
              <w:spacing w:after="0"/>
              <w:rPr>
                <w:sz w:val="22"/>
                <w:szCs w:val="22"/>
                <w:color w:val="auto"/>
              </w:rPr>
            </w:pPr>
          </w:p>
        </w:tc>
        <w:tc>
          <w:tcPr>
            <w:tcW w:w="260" w:type="dxa"/>
            <w:vAlign w:val="bottom"/>
            <w:tcBorders>
              <w:top w:val="single" w:sz="8" w:color="0000FF"/>
            </w:tcBorders>
          </w:tcPr>
          <w:p>
            <w:pPr>
              <w:spacing w:after="0"/>
              <w:rPr>
                <w:sz w:val="22"/>
                <w:szCs w:val="22"/>
                <w:color w:val="auto"/>
              </w:rPr>
            </w:pPr>
          </w:p>
        </w:tc>
        <w:tc>
          <w:tcPr>
            <w:tcW w:w="5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820" w:type="dxa"/>
            <w:vAlign w:val="bottom"/>
            <w:tcBorders>
              <w:bottom w:val="single" w:sz="8" w:color="0000FF"/>
            </w:tcBorders>
            <w:gridSpan w:val="4"/>
          </w:tcPr>
          <w:p>
            <w:pPr>
              <w:jc w:val="center"/>
              <w:spacing w:after="0"/>
              <w:rPr>
                <w:sz w:val="20"/>
                <w:szCs w:val="20"/>
                <w:color w:val="auto"/>
              </w:rPr>
            </w:pPr>
            <w:r>
              <w:rPr>
                <w:rFonts w:ascii="Times New Roman" w:cs="Times New Roman" w:eastAsia="Times New Roman" w:hAnsi="Times New Roman"/>
                <w:sz w:val="18"/>
                <w:szCs w:val="18"/>
                <w:b w:val="1"/>
                <w:bCs w:val="1"/>
                <w:color w:val="0000FF"/>
                <w:w w:val="98"/>
              </w:rPr>
              <w:t>PART II - OTHER INFORMATION</w:t>
            </w:r>
          </w:p>
        </w:tc>
        <w:tc>
          <w:tcPr>
            <w:tcW w:w="3480" w:type="dxa"/>
            <w:vAlign w:val="bottom"/>
            <w:gridSpan w:val="7"/>
          </w:tcPr>
          <w:p>
            <w:pPr>
              <w:spacing w:after="0"/>
              <w:rPr>
                <w:sz w:val="22"/>
                <w:szCs w:val="22"/>
                <w:color w:val="auto"/>
              </w:rPr>
            </w:pPr>
          </w:p>
        </w:tc>
      </w:tr>
      <w:tr>
        <w:trPr>
          <w:trHeight w:val="344"/>
        </w:trPr>
        <w:tc>
          <w:tcPr>
            <w:tcW w:w="520" w:type="dxa"/>
            <w:vAlign w:val="bottom"/>
            <w:tcBorders>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w w:val="97"/>
              </w:rPr>
              <w:t>Item 1.</w:t>
            </w:r>
          </w:p>
        </w:tc>
        <w:tc>
          <w:tcPr>
            <w:tcW w:w="20" w:type="dxa"/>
            <w:vAlign w:val="bottom"/>
            <w:tcBorders>
              <w:bottom w:val="single" w:sz="8" w:color="0000EE"/>
            </w:tcBorders>
          </w:tcPr>
          <w:p>
            <w:pPr>
              <w:spacing w:after="0"/>
              <w:rPr>
                <w:sz w:val="24"/>
                <w:szCs w:val="24"/>
                <w:color w:val="auto"/>
              </w:rPr>
            </w:pPr>
          </w:p>
        </w:tc>
        <w:tc>
          <w:tcPr>
            <w:tcW w:w="1120" w:type="dxa"/>
            <w:vAlign w:val="bottom"/>
            <w:gridSpan w:val="4"/>
          </w:tcPr>
          <w:p>
            <w:pPr>
              <w:spacing w:after="0"/>
              <w:rPr>
                <w:sz w:val="24"/>
                <w:szCs w:val="24"/>
                <w:color w:val="auto"/>
              </w:rPr>
            </w:pPr>
          </w:p>
        </w:tc>
        <w:tc>
          <w:tcPr>
            <w:tcW w:w="1340" w:type="dxa"/>
            <w:vAlign w:val="bottom"/>
            <w:tcBorders>
              <w:bottom w:val="single" w:sz="8" w:color="0000FF"/>
            </w:tcBorders>
            <w:gridSpan w:val="3"/>
          </w:tcPr>
          <w:p>
            <w:pPr>
              <w:spacing w:after="0"/>
              <w:rPr>
                <w:sz w:val="20"/>
                <w:szCs w:val="20"/>
                <w:color w:val="auto"/>
              </w:rPr>
            </w:pPr>
            <w:r>
              <w:rPr>
                <w:rFonts w:ascii="Times New Roman" w:cs="Times New Roman" w:eastAsia="Times New Roman" w:hAnsi="Times New Roman"/>
                <w:sz w:val="18"/>
                <w:szCs w:val="18"/>
                <w:color w:val="0000FF"/>
                <w:w w:val="98"/>
              </w:rPr>
              <w:t>Legal Proceedings</w:t>
            </w:r>
          </w:p>
        </w:tc>
        <w:tc>
          <w:tcPr>
            <w:tcW w:w="7500" w:type="dxa"/>
            <w:vAlign w:val="bottom"/>
            <w:gridSpan w:val="16"/>
          </w:tcPr>
          <w:p>
            <w:pPr>
              <w:spacing w:after="0"/>
              <w:rPr>
                <w:sz w:val="24"/>
                <w:szCs w:val="24"/>
                <w:color w:val="auto"/>
              </w:rPr>
            </w:pPr>
          </w:p>
        </w:tc>
      </w:tr>
      <w:tr>
        <w:trPr>
          <w:trHeight w:val="304"/>
        </w:trPr>
        <w:tc>
          <w:tcPr>
            <w:tcW w:w="1660" w:type="dxa"/>
            <w:vAlign w:val="bottom"/>
            <w:gridSpan w:val="6"/>
          </w:tcPr>
          <w:p>
            <w:pPr>
              <w:spacing w:after="0"/>
              <w:rPr>
                <w:sz w:val="20"/>
                <w:szCs w:val="20"/>
                <w:color w:val="auto"/>
              </w:rPr>
            </w:pPr>
            <w:r>
              <w:rPr>
                <w:rFonts w:ascii="Times New Roman" w:cs="Times New Roman" w:eastAsia="Times New Roman" w:hAnsi="Times New Roman"/>
                <w:sz w:val="18"/>
                <w:szCs w:val="18"/>
                <w:color w:val="0000FF"/>
              </w:rPr>
              <w:t>Item 1A.</w:t>
            </w:r>
          </w:p>
        </w:tc>
        <w:tc>
          <w:tcPr>
            <w:tcW w:w="8840" w:type="dxa"/>
            <w:vAlign w:val="bottom"/>
            <w:gridSpan w:val="19"/>
          </w:tcPr>
          <w:p>
            <w:pPr>
              <w:spacing w:after="0"/>
              <w:rPr>
                <w:sz w:val="20"/>
                <w:szCs w:val="20"/>
                <w:color w:val="auto"/>
              </w:rPr>
            </w:pPr>
            <w:r>
              <w:rPr>
                <w:rFonts w:ascii="Times New Roman" w:cs="Times New Roman" w:eastAsia="Times New Roman" w:hAnsi="Times New Roman"/>
                <w:sz w:val="18"/>
                <w:szCs w:val="18"/>
                <w:color w:val="0000FF"/>
              </w:rPr>
              <w:t>Risk Factors</w:t>
            </w:r>
          </w:p>
        </w:tc>
      </w:tr>
      <w:tr>
        <w:trPr>
          <w:trHeight w:val="20"/>
        </w:trPr>
        <w:tc>
          <w:tcPr>
            <w:tcW w:w="640" w:type="dxa"/>
            <w:vAlign w:val="bottom"/>
            <w:gridSpan w:val="3"/>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8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440" w:type="dxa"/>
            <w:vAlign w:val="bottom"/>
            <w:gridSpan w:val="8"/>
          </w:tcPr>
          <w:p>
            <w:pPr>
              <w:spacing w:after="0" w:line="20" w:lineRule="exact"/>
              <w:rPr>
                <w:sz w:val="1"/>
                <w:szCs w:val="1"/>
                <w:color w:val="auto"/>
              </w:rPr>
            </w:pPr>
          </w:p>
        </w:tc>
        <w:tc>
          <w:tcPr>
            <w:tcW w:w="4500" w:type="dxa"/>
            <w:vAlign w:val="bottom"/>
            <w:gridSpan w:val="9"/>
          </w:tcPr>
          <w:p>
            <w:pPr>
              <w:spacing w:after="0" w:line="20" w:lineRule="exact"/>
              <w:rPr>
                <w:sz w:val="1"/>
                <w:szCs w:val="1"/>
                <w:color w:val="auto"/>
              </w:rPr>
            </w:pPr>
          </w:p>
        </w:tc>
      </w:tr>
      <w:tr>
        <w:trPr>
          <w:trHeight w:val="304"/>
        </w:trPr>
        <w:tc>
          <w:tcPr>
            <w:tcW w:w="520" w:type="dxa"/>
            <w:vAlign w:val="bottom"/>
          </w:tcPr>
          <w:p>
            <w:pPr>
              <w:spacing w:after="0"/>
              <w:rPr>
                <w:sz w:val="20"/>
                <w:szCs w:val="20"/>
                <w:color w:val="auto"/>
              </w:rPr>
            </w:pPr>
            <w:r>
              <w:rPr>
                <w:rFonts w:ascii="Times New Roman" w:cs="Times New Roman" w:eastAsia="Times New Roman" w:hAnsi="Times New Roman"/>
                <w:sz w:val="18"/>
                <w:szCs w:val="18"/>
                <w:color w:val="0000FF"/>
                <w:w w:val="97"/>
              </w:rPr>
              <w:t>Item 2.</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gridSpan w:val="3"/>
          </w:tcPr>
          <w:p>
            <w:pPr>
              <w:spacing w:after="0"/>
              <w:rPr>
                <w:sz w:val="24"/>
                <w:szCs w:val="24"/>
                <w:color w:val="auto"/>
              </w:rPr>
            </w:pPr>
          </w:p>
        </w:tc>
        <w:tc>
          <w:tcPr>
            <w:tcW w:w="8840" w:type="dxa"/>
            <w:vAlign w:val="bottom"/>
            <w:gridSpan w:val="19"/>
          </w:tcPr>
          <w:p>
            <w:pPr>
              <w:spacing w:after="0"/>
              <w:rPr>
                <w:sz w:val="20"/>
                <w:szCs w:val="20"/>
                <w:color w:val="auto"/>
              </w:rPr>
            </w:pPr>
            <w:r>
              <w:rPr>
                <w:rFonts w:ascii="Times New Roman" w:cs="Times New Roman" w:eastAsia="Times New Roman" w:hAnsi="Times New Roman"/>
                <w:sz w:val="18"/>
                <w:szCs w:val="18"/>
                <w:color w:val="0000FF"/>
              </w:rPr>
              <w:t>Unregistered Sales of Equity Securities and Use of Proceeds</w:t>
            </w:r>
          </w:p>
        </w:tc>
      </w:tr>
      <w:tr>
        <w:trPr>
          <w:trHeight w:val="304"/>
        </w:trPr>
        <w:tc>
          <w:tcPr>
            <w:tcW w:w="520" w:type="dxa"/>
            <w:vAlign w:val="bottom"/>
            <w:tcBorders>
              <w:top w:val="single" w:sz="8" w:color="0000FF"/>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w w:val="97"/>
              </w:rPr>
              <w:t>Item 6.</w:t>
            </w:r>
          </w:p>
        </w:tc>
        <w:tc>
          <w:tcPr>
            <w:tcW w:w="20" w:type="dxa"/>
            <w:vAlign w:val="bottom"/>
            <w:tcBorders>
              <w:top w:val="single" w:sz="8" w:color="0000EE"/>
              <w:bottom w:val="single" w:sz="8" w:color="0000EE"/>
            </w:tcBorders>
          </w:tcPr>
          <w:p>
            <w:pPr>
              <w:spacing w:after="0"/>
              <w:rPr>
                <w:sz w:val="24"/>
                <w:szCs w:val="24"/>
                <w:color w:val="auto"/>
              </w:rPr>
            </w:pPr>
          </w:p>
        </w:tc>
        <w:tc>
          <w:tcPr>
            <w:tcW w:w="1120" w:type="dxa"/>
            <w:vAlign w:val="bottom"/>
            <w:gridSpan w:val="4"/>
          </w:tcPr>
          <w:p>
            <w:pPr>
              <w:spacing w:after="0"/>
              <w:rPr>
                <w:sz w:val="24"/>
                <w:szCs w:val="24"/>
                <w:color w:val="auto"/>
              </w:rPr>
            </w:pPr>
          </w:p>
        </w:tc>
        <w:tc>
          <w:tcPr>
            <w:tcW w:w="680" w:type="dxa"/>
            <w:vAlign w:val="bottom"/>
            <w:tcBorders>
              <w:top w:val="single" w:sz="8" w:color="0000FF"/>
              <w:bottom w:val="single" w:sz="8" w:color="0000FF"/>
            </w:tcBorders>
          </w:tcPr>
          <w:p>
            <w:pPr>
              <w:spacing w:after="0"/>
              <w:rPr>
                <w:sz w:val="20"/>
                <w:szCs w:val="20"/>
                <w:color w:val="auto"/>
              </w:rPr>
            </w:pPr>
            <w:r>
              <w:rPr>
                <w:rFonts w:ascii="Times New Roman" w:cs="Times New Roman" w:eastAsia="Times New Roman" w:hAnsi="Times New Roman"/>
                <w:sz w:val="18"/>
                <w:szCs w:val="18"/>
                <w:color w:val="0000FF"/>
              </w:rPr>
              <w:t>Exhibits</w:t>
            </w:r>
          </w:p>
        </w:tc>
        <w:tc>
          <w:tcPr>
            <w:tcW w:w="3660" w:type="dxa"/>
            <w:vAlign w:val="bottom"/>
            <w:tcBorders>
              <w:top w:val="single" w:sz="8" w:color="0000FF"/>
            </w:tcBorders>
            <w:gridSpan w:val="9"/>
          </w:tcPr>
          <w:p>
            <w:pPr>
              <w:spacing w:after="0"/>
              <w:rPr>
                <w:sz w:val="24"/>
                <w:szCs w:val="24"/>
                <w:color w:val="auto"/>
              </w:rPr>
            </w:pPr>
          </w:p>
        </w:tc>
        <w:tc>
          <w:tcPr>
            <w:tcW w:w="4500" w:type="dxa"/>
            <w:vAlign w:val="bottom"/>
            <w:gridSpan w:val="9"/>
          </w:tcPr>
          <w:p>
            <w:pPr>
              <w:spacing w:after="0"/>
              <w:rPr>
                <w:sz w:val="24"/>
                <w:szCs w:val="24"/>
                <w:color w:val="auto"/>
              </w:rPr>
            </w:pPr>
          </w:p>
        </w:tc>
      </w:tr>
      <w:tr>
        <w:trPr>
          <w:trHeight w:val="344"/>
        </w:trPr>
        <w:tc>
          <w:tcPr>
            <w:tcW w:w="166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Items 3-5</w:t>
            </w:r>
          </w:p>
        </w:tc>
        <w:tc>
          <w:tcPr>
            <w:tcW w:w="8840" w:type="dxa"/>
            <w:vAlign w:val="bottom"/>
            <w:gridSpan w:val="19"/>
          </w:tcPr>
          <w:p>
            <w:pPr>
              <w:spacing w:after="0"/>
              <w:rPr>
                <w:sz w:val="20"/>
                <w:szCs w:val="20"/>
                <w:color w:val="auto"/>
              </w:rPr>
            </w:pPr>
            <w:r>
              <w:rPr>
                <w:rFonts w:ascii="Times New Roman" w:cs="Times New Roman" w:eastAsia="Times New Roman" w:hAnsi="Times New Roman"/>
                <w:sz w:val="18"/>
                <w:szCs w:val="18"/>
                <w:color w:val="auto"/>
              </w:rPr>
              <w:t>Not applicable</w:t>
            </w:r>
          </w:p>
        </w:tc>
      </w:tr>
      <w:tr>
        <w:trPr>
          <w:trHeight w:val="526"/>
        </w:trPr>
        <w:tc>
          <w:tcPr>
            <w:tcW w:w="1100" w:type="dxa"/>
            <w:vAlign w:val="bottom"/>
            <w:tcBorders>
              <w:bottom w:val="single" w:sz="8" w:color="0000FF"/>
            </w:tcBorders>
            <w:gridSpan w:val="4"/>
          </w:tcPr>
          <w:p>
            <w:pPr>
              <w:spacing w:after="0"/>
              <w:rPr>
                <w:sz w:val="20"/>
                <w:szCs w:val="20"/>
                <w:color w:val="auto"/>
              </w:rPr>
            </w:pPr>
            <w:r>
              <w:rPr>
                <w:rFonts w:ascii="Times New Roman" w:cs="Times New Roman" w:eastAsia="Times New Roman" w:hAnsi="Times New Roman"/>
                <w:sz w:val="18"/>
                <w:szCs w:val="18"/>
                <w:color w:val="0000FF"/>
                <w:w w:val="96"/>
              </w:rPr>
              <w:t>SIGNATURES</w:t>
            </w:r>
          </w:p>
        </w:tc>
        <w:tc>
          <w:tcPr>
            <w:tcW w:w="20" w:type="dxa"/>
            <w:vAlign w:val="bottom"/>
            <w:tcBorders>
              <w:bottom w:val="single" w:sz="8" w:color="0000EE"/>
            </w:tcBorders>
          </w:tcPr>
          <w:p>
            <w:pPr>
              <w:spacing w:after="0"/>
              <w:rPr>
                <w:sz w:val="24"/>
                <w:szCs w:val="24"/>
                <w:color w:val="auto"/>
              </w:rPr>
            </w:pPr>
          </w:p>
        </w:tc>
        <w:tc>
          <w:tcPr>
            <w:tcW w:w="5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this report, for periods presented, “we,” “us,” “our,” “the Company,” and “Viad Corp” refer to Viad Corp and its subsidiaries.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595630</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-118745</wp:posOffset>
            </wp:positionH>
            <wp:positionV relativeFrom="paragraph">
              <wp:posOffset>41910</wp:posOffset>
            </wp:positionV>
            <wp:extent cx="43688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36880" cy="8255"/>
                    </a:xfrm>
                    <a:prstGeom prst="rect">
                      <a:avLst/>
                    </a:prstGeom>
                    <a:noFill/>
                  </pic:spPr>
                </pic:pic>
              </a:graphicData>
            </a:graphic>
          </wp:anchor>
        </w:drawing>
      </w:r>
    </w:p>
    <w:p>
      <w:pPr>
        <w:spacing w:after="0" w:line="200" w:lineRule="exact"/>
        <w:rPr>
          <w:sz w:val="20"/>
          <w:szCs w:val="20"/>
          <w:color w:val="auto"/>
        </w:rPr>
      </w:pPr>
    </w:p>
    <w:p>
      <w:pPr>
        <w:spacing w:after="0" w:line="23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w:t>
      </w:r>
    </w:p>
    <w:p>
      <w:pPr>
        <w:spacing w:after="0" w:line="1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w:t>
      </w:r>
    </w:p>
    <w:p>
      <w:pPr>
        <w:spacing w:after="0" w:line="27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2</w:t>
      </w:r>
    </w:p>
    <w:p>
      <w:pPr>
        <w:spacing w:after="0" w:line="27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w:t>
      </w:r>
    </w:p>
    <w:p>
      <w:pPr>
        <w:spacing w:after="0" w:line="27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w:t>
      </w:r>
    </w:p>
    <w:p>
      <w:pPr>
        <w:spacing w:after="0" w:line="21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6</w:t>
      </w:r>
    </w:p>
    <w:p>
      <w:pPr>
        <w:spacing w:after="0" w:line="1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7</w:t>
      </w:r>
    </w:p>
    <w:p>
      <w:pPr>
        <w:spacing w:after="0" w:line="1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31</w:t>
      </w:r>
    </w:p>
    <w:p>
      <w:pPr>
        <w:spacing w:after="0" w:line="1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39</w:t>
      </w:r>
    </w:p>
    <w:p>
      <w:pPr>
        <w:spacing w:after="0" w:line="11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40</w:t>
      </w:r>
    </w:p>
    <w:p>
      <w:pPr>
        <w:spacing w:after="0" w:line="200" w:lineRule="exact"/>
        <w:rPr>
          <w:sz w:val="20"/>
          <w:szCs w:val="20"/>
          <w:color w:val="auto"/>
        </w:rPr>
      </w:pPr>
    </w:p>
    <w:p>
      <w:pPr>
        <w:spacing w:after="0" w:line="240"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41</w:t>
      </w:r>
    </w:p>
    <w:p>
      <w:pPr>
        <w:spacing w:after="0" w:line="11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41</w:t>
      </w:r>
    </w:p>
    <w:p>
      <w:pPr>
        <w:spacing w:after="0" w:line="11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41</w:t>
      </w:r>
    </w:p>
    <w:p>
      <w:pPr>
        <w:spacing w:after="0" w:line="11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42</w: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2">
            <w:col w:w="10520" w:space="220"/>
            <w:col w:w="480"/>
          </w:cols>
          <w:pgMar w:left="320" w:top="319" w:right="35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PART I - FINANCIAL INFORMATION</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FINANCIAL STATEMENTS</w:t>
      </w:r>
    </w:p>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BALANCE SHEETS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540" w:type="dxa"/>
            <w:vAlign w:val="bottom"/>
            <w:gridSpan w:val="2"/>
          </w:tcPr>
          <w:p>
            <w:pPr>
              <w:jc w:val="right"/>
              <w:ind w:right="735"/>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240" w:type="dxa"/>
            <w:vAlign w:val="bottom"/>
          </w:tcPr>
          <w:p>
            <w:pPr>
              <w:spacing w:after="0"/>
              <w:rPr>
                <w:sz w:val="15"/>
                <w:szCs w:val="15"/>
                <w:color w:val="auto"/>
              </w:rPr>
            </w:pPr>
          </w:p>
        </w:tc>
        <w:tc>
          <w:tcPr>
            <w:tcW w:w="1440" w:type="dxa"/>
            <w:vAlign w:val="bottom"/>
            <w:gridSpan w:val="2"/>
          </w:tcPr>
          <w:p>
            <w:pPr>
              <w:jc w:val="right"/>
              <w:ind w:right="48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87"/>
        </w:trPr>
        <w:tc>
          <w:tcPr>
            <w:tcW w:w="77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 except share data)</w:t>
            </w:r>
          </w:p>
        </w:tc>
        <w:tc>
          <w:tcPr>
            <w:tcW w:w="3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5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55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196"/>
        </w:trPr>
        <w:tc>
          <w:tcPr>
            <w:tcW w:w="7700" w:type="dxa"/>
            <w:vAlign w:val="bottom"/>
            <w:shd w:val="clear" w:color="auto" w:fill="CFF0FC"/>
          </w:tcPr>
          <w:p>
            <w:pPr>
              <w:ind w:left="3540"/>
              <w:spacing w:after="0"/>
              <w:rPr>
                <w:sz w:val="20"/>
                <w:szCs w:val="20"/>
                <w:color w:val="auto"/>
              </w:rPr>
            </w:pPr>
            <w:r>
              <w:rPr>
                <w:rFonts w:ascii="Times New Roman" w:cs="Times New Roman" w:eastAsia="Times New Roman" w:hAnsi="Times New Roman"/>
                <w:sz w:val="17"/>
                <w:szCs w:val="17"/>
                <w:b w:val="1"/>
                <w:bCs w:val="1"/>
                <w:color w:val="auto"/>
              </w:rPr>
              <w:t>Assets</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Current assets</w:t>
            </w:r>
          </w:p>
        </w:tc>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2"/>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Cash and cash equivalents</w:t>
            </w:r>
          </w:p>
        </w:tc>
        <w:tc>
          <w:tcPr>
            <w:tcW w:w="320" w:type="dxa"/>
            <w:vAlign w:val="bottom"/>
            <w:shd w:val="clear" w:color="auto" w:fill="CFF0FC"/>
          </w:tcPr>
          <w:p>
            <w:pPr>
              <w:jc w:val="right"/>
              <w:ind w:right="135"/>
              <w:spacing w:after="0"/>
              <w:rPr>
                <w:sz w:val="20"/>
                <w:szCs w:val="20"/>
                <w:color w:val="auto"/>
              </w:rPr>
            </w:pPr>
            <w:r>
              <w:rPr>
                <w:rFonts w:ascii="Times New Roman" w:cs="Times New Roman" w:eastAsia="Times New Roman" w:hAnsi="Times New Roman"/>
                <w:sz w:val="17"/>
                <w:szCs w:val="17"/>
                <w:color w:val="auto"/>
                <w:w w:val="93"/>
              </w:rPr>
              <w:t>$</w:t>
            </w: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54,516</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jc w:val="right"/>
              <w:ind w:right="55"/>
              <w:spacing w:after="0"/>
              <w:rPr>
                <w:sz w:val="20"/>
                <w:szCs w:val="20"/>
                <w:color w:val="auto"/>
              </w:rPr>
            </w:pPr>
            <w:r>
              <w:rPr>
                <w:rFonts w:ascii="Times New Roman" w:cs="Times New Roman" w:eastAsia="Times New Roman" w:hAnsi="Times New Roman"/>
                <w:sz w:val="17"/>
                <w:szCs w:val="17"/>
                <w:color w:val="auto"/>
                <w:w w:val="93"/>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61,600</w:t>
            </w:r>
          </w:p>
        </w:tc>
        <w:tc>
          <w:tcPr>
            <w:tcW w:w="100" w:type="dxa"/>
            <w:vAlign w:val="bottom"/>
            <w:shd w:val="clear" w:color="auto" w:fill="CFF0FC"/>
          </w:tcPr>
          <w:p>
            <w:pPr>
              <w:spacing w:after="0"/>
              <w:rPr>
                <w:sz w:val="17"/>
                <w:szCs w:val="17"/>
                <w:color w:val="auto"/>
              </w:rPr>
            </w:pPr>
          </w:p>
        </w:tc>
      </w:tr>
      <w:tr>
        <w:trPr>
          <w:trHeight w:val="154"/>
        </w:trPr>
        <w:tc>
          <w:tcPr>
            <w:tcW w:w="7700" w:type="dxa"/>
            <w:vAlign w:val="bottom"/>
          </w:tcPr>
          <w:p>
            <w:pPr>
              <w:ind w:left="200"/>
              <w:spacing w:after="0" w:line="154" w:lineRule="exact"/>
              <w:rPr>
                <w:sz w:val="20"/>
                <w:szCs w:val="20"/>
                <w:color w:val="auto"/>
              </w:rPr>
            </w:pPr>
            <w:r>
              <w:rPr>
                <w:rFonts w:ascii="Times New Roman" w:cs="Times New Roman" w:eastAsia="Times New Roman" w:hAnsi="Times New Roman"/>
                <w:sz w:val="17"/>
                <w:szCs w:val="17"/>
                <w:color w:val="auto"/>
              </w:rPr>
              <w:t>Accounts receivable, net of allowances for doubtful accounts of $3,178 and $1,808,</w:t>
            </w:r>
          </w:p>
        </w:tc>
        <w:tc>
          <w:tcPr>
            <w:tcW w:w="3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37"/>
        </w:trPr>
        <w:tc>
          <w:tcPr>
            <w:tcW w:w="7700" w:type="dxa"/>
            <w:vAlign w:val="bottom"/>
          </w:tcPr>
          <w:p>
            <w:pPr>
              <w:ind w:left="320"/>
              <w:spacing w:after="0"/>
              <w:rPr>
                <w:sz w:val="20"/>
                <w:szCs w:val="20"/>
                <w:color w:val="auto"/>
              </w:rPr>
            </w:pPr>
            <w:r>
              <w:rPr>
                <w:rFonts w:ascii="Times New Roman" w:cs="Times New Roman" w:eastAsia="Times New Roman" w:hAnsi="Times New Roman"/>
                <w:sz w:val="17"/>
                <w:szCs w:val="17"/>
                <w:color w:val="auto"/>
              </w:rPr>
              <w:t>respectively</w:t>
            </w:r>
          </w:p>
        </w:tc>
        <w:tc>
          <w:tcPr>
            <w:tcW w:w="3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157,868</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91,966</w:t>
            </w:r>
          </w:p>
        </w:tc>
        <w:tc>
          <w:tcPr>
            <w:tcW w:w="100" w:type="dxa"/>
            <w:vAlign w:val="bottom"/>
          </w:tcPr>
          <w:p>
            <w:pPr>
              <w:spacing w:after="0"/>
              <w:rPr>
                <w:sz w:val="20"/>
                <w:szCs w:val="20"/>
                <w:color w:val="auto"/>
              </w:rPr>
            </w:pPr>
          </w:p>
        </w:tc>
      </w:tr>
      <w:tr>
        <w:trPr>
          <w:trHeight w:val="203"/>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Inventories</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14,940</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8,581</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Current contract costs</w:t>
            </w:r>
          </w:p>
        </w:tc>
        <w:tc>
          <w:tcPr>
            <w:tcW w:w="3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22,302</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11,105</w:t>
            </w:r>
          </w:p>
        </w:tc>
        <w:tc>
          <w:tcPr>
            <w:tcW w:w="100" w:type="dxa"/>
            <w:vAlign w:val="bottom"/>
          </w:tcPr>
          <w:p>
            <w:pPr>
              <w:spacing w:after="0"/>
              <w:rPr>
                <w:sz w:val="17"/>
                <w:szCs w:val="17"/>
                <w:color w:val="auto"/>
              </w:rPr>
            </w:pPr>
          </w:p>
        </w:tc>
      </w:tr>
      <w:tr>
        <w:trPr>
          <w:trHeight w:val="202"/>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Prepaid insurance</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5,625</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10,284</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Other current assets</w:t>
            </w:r>
          </w:p>
        </w:tc>
        <w:tc>
          <w:tcPr>
            <w:tcW w:w="3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18,802</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14,080</w:t>
            </w:r>
          </w:p>
        </w:tc>
        <w:tc>
          <w:tcPr>
            <w:tcW w:w="100" w:type="dxa"/>
            <w:vAlign w:val="bottom"/>
          </w:tcPr>
          <w:p>
            <w:pPr>
              <w:spacing w:after="0"/>
              <w:rPr>
                <w:sz w:val="17"/>
                <w:szCs w:val="17"/>
                <w:color w:val="auto"/>
              </w:rPr>
            </w:pPr>
          </w:p>
        </w:tc>
      </w:tr>
      <w:tr>
        <w:trPr>
          <w:trHeight w:val="196"/>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Total current assets</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274,053</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197,616</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Property and equipment, net</w:t>
            </w:r>
          </w:p>
        </w:tc>
        <w:tc>
          <w:tcPr>
            <w:tcW w:w="3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559,179</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549,108</w:t>
            </w:r>
          </w:p>
        </w:tc>
        <w:tc>
          <w:tcPr>
            <w:tcW w:w="100" w:type="dxa"/>
            <w:vAlign w:val="bottom"/>
          </w:tcPr>
          <w:p>
            <w:pPr>
              <w:spacing w:after="0"/>
              <w:rPr>
                <w:sz w:val="17"/>
                <w:szCs w:val="17"/>
                <w:color w:val="auto"/>
              </w:rPr>
            </w:pPr>
          </w:p>
        </w:tc>
      </w:tr>
      <w:tr>
        <w:trPr>
          <w:trHeight w:val="202"/>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Other investments and assets</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15,687</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16,718</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Operating lease right-of-use assets</w:t>
            </w:r>
          </w:p>
        </w:tc>
        <w:tc>
          <w:tcPr>
            <w:tcW w:w="3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99,644</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95,915</w:t>
            </w:r>
          </w:p>
        </w:tc>
        <w:tc>
          <w:tcPr>
            <w:tcW w:w="100" w:type="dxa"/>
            <w:vAlign w:val="bottom"/>
          </w:tcPr>
          <w:p>
            <w:pPr>
              <w:spacing w:after="0"/>
              <w:rPr>
                <w:sz w:val="17"/>
                <w:szCs w:val="17"/>
                <w:color w:val="auto"/>
              </w:rPr>
            </w:pPr>
          </w:p>
        </w:tc>
      </w:tr>
      <w:tr>
        <w:trPr>
          <w:trHeight w:val="202"/>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Deferred income taxes</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847</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1,006</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Goodwill</w:t>
            </w:r>
          </w:p>
        </w:tc>
        <w:tc>
          <w:tcPr>
            <w:tcW w:w="3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126,877</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112,078</w:t>
            </w:r>
          </w:p>
        </w:tc>
        <w:tc>
          <w:tcPr>
            <w:tcW w:w="100" w:type="dxa"/>
            <w:vAlign w:val="bottom"/>
          </w:tcPr>
          <w:p>
            <w:pPr>
              <w:spacing w:after="0"/>
              <w:rPr>
                <w:sz w:val="17"/>
                <w:szCs w:val="17"/>
                <w:color w:val="auto"/>
              </w:rPr>
            </w:pPr>
          </w:p>
        </w:tc>
      </w:tr>
      <w:tr>
        <w:trPr>
          <w:trHeight w:val="202"/>
        </w:trPr>
        <w:tc>
          <w:tcPr>
            <w:tcW w:w="7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Other intangible assets, net</w:t>
            </w:r>
          </w:p>
        </w:tc>
        <w:tc>
          <w:tcPr>
            <w:tcW w:w="320" w:type="dxa"/>
            <w:vAlign w:val="bottom"/>
            <w:tcBorders>
              <w:bottom w:val="single" w:sz="8" w:color="auto"/>
            </w:tcBorders>
            <w:shd w:val="clear" w:color="auto" w:fill="CFF0FC"/>
          </w:tcPr>
          <w:p>
            <w:pPr>
              <w:spacing w:after="0"/>
              <w:rPr>
                <w:sz w:val="17"/>
                <w:szCs w:val="17"/>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64,878</w:t>
            </w:r>
          </w:p>
        </w:tc>
        <w:tc>
          <w:tcPr>
            <w:tcW w:w="280" w:type="dxa"/>
            <w:vAlign w:val="bottom"/>
            <w:tcBorders>
              <w:bottom w:val="single" w:sz="8" w:color="CFF0FC"/>
            </w:tcBorders>
            <w:shd w:val="clear" w:color="auto" w:fill="CFF0FC"/>
          </w:tcPr>
          <w:p>
            <w:pPr>
              <w:spacing w:after="0"/>
              <w:rPr>
                <w:sz w:val="17"/>
                <w:szCs w:val="17"/>
                <w:color w:val="auto"/>
              </w:rPr>
            </w:pPr>
          </w:p>
        </w:tc>
        <w:tc>
          <w:tcPr>
            <w:tcW w:w="240" w:type="dxa"/>
            <w:vAlign w:val="bottom"/>
            <w:tcBorders>
              <w:bottom w:val="single" w:sz="8" w:color="auto"/>
            </w:tcBorders>
            <w:shd w:val="clear" w:color="auto" w:fill="CFF0FC"/>
          </w:tcPr>
          <w:p>
            <w:pPr>
              <w:spacing w:after="0"/>
              <w:rPr>
                <w:sz w:val="17"/>
                <w:szCs w:val="17"/>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65,189</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196"/>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Total Assets</w:t>
            </w:r>
          </w:p>
        </w:tc>
        <w:tc>
          <w:tcPr>
            <w:tcW w:w="32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color w:val="auto"/>
                <w:w w:val="93"/>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1,141,165</w:t>
            </w:r>
          </w:p>
        </w:tc>
        <w:tc>
          <w:tcPr>
            <w:tcW w:w="280" w:type="dxa"/>
            <w:vAlign w:val="bottom"/>
          </w:tcPr>
          <w:p>
            <w:pPr>
              <w:spacing w:after="0"/>
              <w:rPr>
                <w:sz w:val="17"/>
                <w:szCs w:val="17"/>
                <w:color w:val="auto"/>
              </w:rPr>
            </w:pPr>
          </w:p>
        </w:tc>
        <w:tc>
          <w:tcPr>
            <w:tcW w:w="24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93"/>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1,037,630</w:t>
            </w:r>
          </w:p>
        </w:tc>
        <w:tc>
          <w:tcPr>
            <w:tcW w:w="100" w:type="dxa"/>
            <w:vAlign w:val="bottom"/>
          </w:tcPr>
          <w:p>
            <w:pPr>
              <w:spacing w:after="0"/>
              <w:rPr>
                <w:sz w:val="17"/>
                <w:szCs w:val="17"/>
                <w:color w:val="auto"/>
              </w:rPr>
            </w:pPr>
          </w:p>
        </w:tc>
      </w:tr>
      <w:tr>
        <w:trPr>
          <w:trHeight w:val="20"/>
        </w:trPr>
        <w:tc>
          <w:tcPr>
            <w:tcW w:w="77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83"/>
        </w:trPr>
        <w:tc>
          <w:tcPr>
            <w:tcW w:w="7700" w:type="dxa"/>
            <w:vAlign w:val="bottom"/>
            <w:shd w:val="clear" w:color="auto" w:fill="CFF0FC"/>
          </w:tcPr>
          <w:p>
            <w:pPr>
              <w:ind w:left="1720"/>
              <w:spacing w:after="0" w:line="183" w:lineRule="exact"/>
              <w:rPr>
                <w:sz w:val="20"/>
                <w:szCs w:val="20"/>
                <w:color w:val="auto"/>
              </w:rPr>
            </w:pPr>
            <w:r>
              <w:rPr>
                <w:rFonts w:ascii="Times New Roman" w:cs="Times New Roman" w:eastAsia="Times New Roman" w:hAnsi="Times New Roman"/>
                <w:sz w:val="17"/>
                <w:szCs w:val="17"/>
                <w:b w:val="1"/>
                <w:bCs w:val="1"/>
                <w:color w:val="auto"/>
              </w:rPr>
              <w:t>Liabilities, Mezzanine Equity, and Stockholders’ Equity</w:t>
            </w:r>
          </w:p>
        </w:tc>
        <w:tc>
          <w:tcPr>
            <w:tcW w:w="320" w:type="dxa"/>
            <w:vAlign w:val="bottom"/>
            <w:shd w:val="clear" w:color="auto" w:fill="CFF0FC"/>
          </w:tcPr>
          <w:p>
            <w:pPr>
              <w:spacing w:after="0"/>
              <w:rPr>
                <w:sz w:val="15"/>
                <w:szCs w:val="15"/>
                <w:color w:val="auto"/>
              </w:rPr>
            </w:pPr>
          </w:p>
        </w:tc>
        <w:tc>
          <w:tcPr>
            <w:tcW w:w="1260" w:type="dxa"/>
            <w:vAlign w:val="bottom"/>
            <w:shd w:val="clear" w:color="auto" w:fill="CFF0FC"/>
          </w:tcPr>
          <w:p>
            <w:pPr>
              <w:spacing w:after="0"/>
              <w:rPr>
                <w:sz w:val="15"/>
                <w:szCs w:val="15"/>
                <w:color w:val="auto"/>
              </w:rPr>
            </w:pPr>
          </w:p>
        </w:tc>
        <w:tc>
          <w:tcPr>
            <w:tcW w:w="280" w:type="dxa"/>
            <w:vAlign w:val="bottom"/>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13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r>
      <w:tr>
        <w:trPr>
          <w:trHeight w:val="202"/>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Current liabilities</w:t>
            </w:r>
          </w:p>
        </w:tc>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2"/>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Accounts payable</w:t>
            </w:r>
          </w:p>
        </w:tc>
        <w:tc>
          <w:tcPr>
            <w:tcW w:w="320" w:type="dxa"/>
            <w:vAlign w:val="bottom"/>
            <w:shd w:val="clear" w:color="auto" w:fill="CFF0FC"/>
          </w:tcPr>
          <w:p>
            <w:pPr>
              <w:jc w:val="right"/>
              <w:ind w:right="135"/>
              <w:spacing w:after="0"/>
              <w:rPr>
                <w:sz w:val="20"/>
                <w:szCs w:val="20"/>
                <w:color w:val="auto"/>
              </w:rPr>
            </w:pPr>
            <w:r>
              <w:rPr>
                <w:rFonts w:ascii="Times New Roman" w:cs="Times New Roman" w:eastAsia="Times New Roman" w:hAnsi="Times New Roman"/>
                <w:sz w:val="17"/>
                <w:szCs w:val="17"/>
                <w:color w:val="auto"/>
                <w:w w:val="93"/>
              </w:rPr>
              <w:t>$</w:t>
            </w: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100,978</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jc w:val="right"/>
              <w:ind w:right="55"/>
              <w:spacing w:after="0"/>
              <w:rPr>
                <w:sz w:val="20"/>
                <w:szCs w:val="20"/>
                <w:color w:val="auto"/>
              </w:rPr>
            </w:pPr>
            <w:r>
              <w:rPr>
                <w:rFonts w:ascii="Times New Roman" w:cs="Times New Roman" w:eastAsia="Times New Roman" w:hAnsi="Times New Roman"/>
                <w:sz w:val="17"/>
                <w:szCs w:val="17"/>
                <w:color w:val="auto"/>
                <w:w w:val="93"/>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69,657</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Contract liabilities</w:t>
            </w:r>
          </w:p>
        </w:tc>
        <w:tc>
          <w:tcPr>
            <w:tcW w:w="3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66,522</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39,141</w:t>
            </w:r>
          </w:p>
        </w:tc>
        <w:tc>
          <w:tcPr>
            <w:tcW w:w="100" w:type="dxa"/>
            <w:vAlign w:val="bottom"/>
          </w:tcPr>
          <w:p>
            <w:pPr>
              <w:spacing w:after="0"/>
              <w:rPr>
                <w:sz w:val="17"/>
                <w:szCs w:val="17"/>
                <w:color w:val="auto"/>
              </w:rPr>
            </w:pPr>
          </w:p>
        </w:tc>
      </w:tr>
      <w:tr>
        <w:trPr>
          <w:trHeight w:val="202"/>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Accrued compensation</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27,605</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12,788</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Operating lease obligations</w:t>
            </w:r>
          </w:p>
        </w:tc>
        <w:tc>
          <w:tcPr>
            <w:tcW w:w="3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13,285</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12,451</w:t>
            </w:r>
          </w:p>
        </w:tc>
        <w:tc>
          <w:tcPr>
            <w:tcW w:w="100" w:type="dxa"/>
            <w:vAlign w:val="bottom"/>
          </w:tcPr>
          <w:p>
            <w:pPr>
              <w:spacing w:after="0"/>
              <w:rPr>
                <w:sz w:val="17"/>
                <w:szCs w:val="17"/>
                <w:color w:val="auto"/>
              </w:rPr>
            </w:pPr>
          </w:p>
        </w:tc>
      </w:tr>
      <w:tr>
        <w:trPr>
          <w:trHeight w:val="202"/>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Other current liabilities</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50,488</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28,289</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Current portion of debt and finance obligations</w:t>
            </w:r>
          </w:p>
        </w:tc>
        <w:tc>
          <w:tcPr>
            <w:tcW w:w="3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9,144</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12,800</w:t>
            </w:r>
          </w:p>
        </w:tc>
        <w:tc>
          <w:tcPr>
            <w:tcW w:w="100" w:type="dxa"/>
            <w:vAlign w:val="bottom"/>
          </w:tcPr>
          <w:p>
            <w:pPr>
              <w:spacing w:after="0"/>
              <w:rPr>
                <w:sz w:val="17"/>
                <w:szCs w:val="17"/>
                <w:color w:val="auto"/>
              </w:rPr>
            </w:pPr>
          </w:p>
        </w:tc>
      </w:tr>
      <w:tr>
        <w:trPr>
          <w:trHeight w:val="196"/>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Total current liabilities</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268,022</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175,126</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Long-term debt and finance obligations</w:t>
            </w:r>
          </w:p>
        </w:tc>
        <w:tc>
          <w:tcPr>
            <w:tcW w:w="3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469,289</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446,580</w:t>
            </w:r>
          </w:p>
        </w:tc>
        <w:tc>
          <w:tcPr>
            <w:tcW w:w="100" w:type="dxa"/>
            <w:vAlign w:val="bottom"/>
          </w:tcPr>
          <w:p>
            <w:pPr>
              <w:spacing w:after="0"/>
              <w:rPr>
                <w:sz w:val="17"/>
                <w:szCs w:val="17"/>
                <w:color w:val="auto"/>
              </w:rPr>
            </w:pPr>
          </w:p>
        </w:tc>
      </w:tr>
      <w:tr>
        <w:trPr>
          <w:trHeight w:val="202"/>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Pension and postretirement benefits</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23,995</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23,692</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Long-term operating lease obligations</w:t>
            </w:r>
          </w:p>
        </w:tc>
        <w:tc>
          <w:tcPr>
            <w:tcW w:w="32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97,277</w:t>
            </w: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93,406</w:t>
            </w:r>
          </w:p>
        </w:tc>
        <w:tc>
          <w:tcPr>
            <w:tcW w:w="100" w:type="dxa"/>
            <w:vAlign w:val="bottom"/>
          </w:tcPr>
          <w:p>
            <w:pPr>
              <w:spacing w:after="0"/>
              <w:rPr>
                <w:sz w:val="17"/>
                <w:szCs w:val="17"/>
                <w:color w:val="auto"/>
              </w:rPr>
            </w:pPr>
          </w:p>
        </w:tc>
      </w:tr>
      <w:tr>
        <w:trPr>
          <w:trHeight w:val="202"/>
        </w:trPr>
        <w:tc>
          <w:tcPr>
            <w:tcW w:w="7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Other deferred items and liabilities</w:t>
            </w:r>
          </w:p>
        </w:tc>
        <w:tc>
          <w:tcPr>
            <w:tcW w:w="320" w:type="dxa"/>
            <w:vAlign w:val="bottom"/>
            <w:tcBorders>
              <w:bottom w:val="single" w:sz="8" w:color="auto"/>
            </w:tcBorders>
            <w:shd w:val="clear" w:color="auto" w:fill="CFF0FC"/>
          </w:tcPr>
          <w:p>
            <w:pPr>
              <w:spacing w:after="0"/>
              <w:rPr>
                <w:sz w:val="17"/>
                <w:szCs w:val="17"/>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68,803</w:t>
            </w:r>
          </w:p>
        </w:tc>
        <w:tc>
          <w:tcPr>
            <w:tcW w:w="280" w:type="dxa"/>
            <w:vAlign w:val="bottom"/>
            <w:tcBorders>
              <w:bottom w:val="single" w:sz="8" w:color="CFF0FC"/>
            </w:tcBorders>
            <w:shd w:val="clear" w:color="auto" w:fill="CFF0FC"/>
          </w:tcPr>
          <w:p>
            <w:pPr>
              <w:spacing w:after="0"/>
              <w:rPr>
                <w:sz w:val="17"/>
                <w:szCs w:val="17"/>
                <w:color w:val="auto"/>
              </w:rPr>
            </w:pPr>
          </w:p>
        </w:tc>
        <w:tc>
          <w:tcPr>
            <w:tcW w:w="240" w:type="dxa"/>
            <w:vAlign w:val="bottom"/>
            <w:tcBorders>
              <w:bottom w:val="single" w:sz="8" w:color="auto"/>
            </w:tcBorders>
            <w:shd w:val="clear" w:color="auto" w:fill="CFF0FC"/>
          </w:tcPr>
          <w:p>
            <w:pPr>
              <w:spacing w:after="0"/>
              <w:rPr>
                <w:sz w:val="17"/>
                <w:szCs w:val="17"/>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68,953</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196"/>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Total liabilities</w:t>
            </w:r>
          </w:p>
        </w:tc>
        <w:tc>
          <w:tcPr>
            <w:tcW w:w="3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927,386</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807,757</w:t>
            </w:r>
          </w:p>
        </w:tc>
        <w:tc>
          <w:tcPr>
            <w:tcW w:w="100" w:type="dxa"/>
            <w:vAlign w:val="bottom"/>
          </w:tcPr>
          <w:p>
            <w:pPr>
              <w:spacing w:after="0"/>
              <w:rPr>
                <w:sz w:val="17"/>
                <w:szCs w:val="17"/>
                <w:color w:val="auto"/>
              </w:rPr>
            </w:pPr>
          </w:p>
        </w:tc>
      </w:tr>
      <w:tr>
        <w:trPr>
          <w:trHeight w:val="196"/>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Commitments and contingencies</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150"/>
        </w:trPr>
        <w:tc>
          <w:tcPr>
            <w:tcW w:w="7700" w:type="dxa"/>
            <w:vAlign w:val="bottom"/>
          </w:tcPr>
          <w:p>
            <w:pPr>
              <w:ind w:left="20"/>
              <w:spacing w:after="0" w:line="150" w:lineRule="exact"/>
              <w:rPr>
                <w:sz w:val="20"/>
                <w:szCs w:val="20"/>
                <w:color w:val="auto"/>
              </w:rPr>
            </w:pPr>
            <w:r>
              <w:rPr>
                <w:rFonts w:ascii="Times New Roman" w:cs="Times New Roman" w:eastAsia="Times New Roman" w:hAnsi="Times New Roman"/>
                <w:sz w:val="17"/>
                <w:szCs w:val="17"/>
                <w:b w:val="1"/>
                <w:bCs w:val="1"/>
                <w:color w:val="auto"/>
              </w:rPr>
              <w:t>Convertible Series A Preferred Stock, $0.01 par value, 180,000 shares authorized,</w:t>
            </w:r>
          </w:p>
        </w:tc>
        <w:tc>
          <w:tcPr>
            <w:tcW w:w="3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41"/>
        </w:trPr>
        <w:tc>
          <w:tcPr>
            <w:tcW w:w="7700" w:type="dxa"/>
            <w:vAlign w:val="bottom"/>
          </w:tcPr>
          <w:p>
            <w:pPr>
              <w:ind w:left="100"/>
              <w:spacing w:after="0"/>
              <w:rPr>
                <w:sz w:val="20"/>
                <w:szCs w:val="20"/>
                <w:color w:val="auto"/>
              </w:rPr>
            </w:pPr>
            <w:r>
              <w:rPr>
                <w:rFonts w:ascii="Times New Roman" w:cs="Times New Roman" w:eastAsia="Times New Roman" w:hAnsi="Times New Roman"/>
                <w:sz w:val="17"/>
                <w:szCs w:val="17"/>
                <w:b w:val="1"/>
                <w:bCs w:val="1"/>
                <w:color w:val="auto"/>
              </w:rPr>
              <w:t>135,000 shares issued and outstanding</w:t>
            </w:r>
          </w:p>
        </w:tc>
        <w:tc>
          <w:tcPr>
            <w:tcW w:w="3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132,591</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132,591</w:t>
            </w:r>
          </w:p>
        </w:tc>
        <w:tc>
          <w:tcPr>
            <w:tcW w:w="100" w:type="dxa"/>
            <w:vAlign w:val="bottom"/>
          </w:tcPr>
          <w:p>
            <w:pPr>
              <w:spacing w:after="0"/>
              <w:rPr>
                <w:sz w:val="20"/>
                <w:szCs w:val="20"/>
                <w:color w:val="auto"/>
              </w:rPr>
            </w:pPr>
          </w:p>
        </w:tc>
      </w:tr>
      <w:tr>
        <w:trPr>
          <w:trHeight w:val="203"/>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Redeemable noncontrolling interest</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5,823</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5,444</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Stockholders’ equity</w:t>
            </w:r>
          </w:p>
        </w:tc>
        <w:tc>
          <w:tcPr>
            <w:tcW w:w="3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2"/>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color w:val="auto"/>
              </w:rPr>
              <w:t>Viad Corp stockholders’ equity:</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154"/>
        </w:trPr>
        <w:tc>
          <w:tcPr>
            <w:tcW w:w="7700" w:type="dxa"/>
            <w:vAlign w:val="bottom"/>
          </w:tcPr>
          <w:p>
            <w:pPr>
              <w:ind w:left="200"/>
              <w:spacing w:after="0" w:line="154" w:lineRule="exact"/>
              <w:rPr>
                <w:sz w:val="20"/>
                <w:szCs w:val="20"/>
                <w:color w:val="auto"/>
              </w:rPr>
            </w:pPr>
            <w:r>
              <w:rPr>
                <w:rFonts w:ascii="Times New Roman" w:cs="Times New Roman" w:eastAsia="Times New Roman" w:hAnsi="Times New Roman"/>
                <w:sz w:val="17"/>
                <w:szCs w:val="17"/>
                <w:color w:val="auto"/>
              </w:rPr>
              <w:t>Common stock, $1.50 par value, 200,000,000 shares authorized, 24,934,981 shares</w:t>
            </w:r>
          </w:p>
        </w:tc>
        <w:tc>
          <w:tcPr>
            <w:tcW w:w="32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00" w:type="dxa"/>
            <w:vAlign w:val="bottom"/>
          </w:tcPr>
          <w:p>
            <w:pPr>
              <w:spacing w:after="0"/>
              <w:rPr>
                <w:sz w:val="13"/>
                <w:szCs w:val="13"/>
                <w:color w:val="auto"/>
              </w:rPr>
            </w:pPr>
          </w:p>
        </w:tc>
      </w:tr>
      <w:tr>
        <w:trPr>
          <w:trHeight w:val="237"/>
        </w:trPr>
        <w:tc>
          <w:tcPr>
            <w:tcW w:w="7700" w:type="dxa"/>
            <w:vAlign w:val="bottom"/>
          </w:tcPr>
          <w:p>
            <w:pPr>
              <w:ind w:left="320"/>
              <w:spacing w:after="0"/>
              <w:rPr>
                <w:sz w:val="20"/>
                <w:szCs w:val="20"/>
                <w:color w:val="auto"/>
              </w:rPr>
            </w:pPr>
            <w:r>
              <w:rPr>
                <w:rFonts w:ascii="Times New Roman" w:cs="Times New Roman" w:eastAsia="Times New Roman" w:hAnsi="Times New Roman"/>
                <w:sz w:val="17"/>
                <w:szCs w:val="17"/>
                <w:color w:val="auto"/>
              </w:rPr>
              <w:t>issued and outstanding</w:t>
            </w:r>
          </w:p>
        </w:tc>
        <w:tc>
          <w:tcPr>
            <w:tcW w:w="3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37,402</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37,402</w:t>
            </w:r>
          </w:p>
        </w:tc>
        <w:tc>
          <w:tcPr>
            <w:tcW w:w="100" w:type="dxa"/>
            <w:vAlign w:val="bottom"/>
          </w:tcPr>
          <w:p>
            <w:pPr>
              <w:spacing w:after="0"/>
              <w:rPr>
                <w:sz w:val="20"/>
                <w:szCs w:val="20"/>
                <w:color w:val="auto"/>
              </w:rPr>
            </w:pPr>
          </w:p>
        </w:tc>
      </w:tr>
      <w:tr>
        <w:trPr>
          <w:trHeight w:val="203"/>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Additional capital</w:t>
            </w:r>
          </w:p>
        </w:tc>
        <w:tc>
          <w:tcPr>
            <w:tcW w:w="320" w:type="dxa"/>
            <w:vAlign w:val="bottom"/>
            <w:shd w:val="clear" w:color="auto" w:fill="CFF0FC"/>
          </w:tcPr>
          <w:p>
            <w:pPr>
              <w:spacing w:after="0"/>
              <w:rPr>
                <w:sz w:val="17"/>
                <w:szCs w:val="17"/>
                <w:color w:val="auto"/>
              </w:rPr>
            </w:pP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570,496</w:t>
            </w: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566,741</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Accumulated deficit</w:t>
            </w:r>
          </w:p>
        </w:tc>
        <w:tc>
          <w:tcPr>
            <w:tcW w:w="320" w:type="dxa"/>
            <w:vAlign w:val="bottom"/>
          </w:tcPr>
          <w:p>
            <w:pPr>
              <w:spacing w:after="0"/>
              <w:rPr>
                <w:sz w:val="17"/>
                <w:szCs w:val="17"/>
                <w:color w:val="auto"/>
              </w:rPr>
            </w:pPr>
          </w:p>
        </w:tc>
        <w:tc>
          <w:tcPr>
            <w:tcW w:w="1540" w:type="dxa"/>
            <w:vAlign w:val="bottom"/>
            <w:gridSpan w:val="2"/>
          </w:tcPr>
          <w:p>
            <w:pPr>
              <w:jc w:val="right"/>
              <w:ind w:right="115"/>
              <w:spacing w:after="0"/>
              <w:rPr>
                <w:sz w:val="20"/>
                <w:szCs w:val="20"/>
                <w:color w:val="auto"/>
              </w:rPr>
            </w:pPr>
            <w:r>
              <w:rPr>
                <w:rFonts w:ascii="Times New Roman" w:cs="Times New Roman" w:eastAsia="Times New Roman" w:hAnsi="Times New Roman"/>
                <w:sz w:val="17"/>
                <w:szCs w:val="17"/>
                <w:color w:val="auto"/>
              </w:rPr>
              <w:t>(362,782 )</w:t>
            </w:r>
          </w:p>
        </w:tc>
        <w:tc>
          <w:tcPr>
            <w:tcW w:w="240" w:type="dxa"/>
            <w:vAlign w:val="bottom"/>
          </w:tcPr>
          <w:p>
            <w:pPr>
              <w:spacing w:after="0"/>
              <w:rPr>
                <w:sz w:val="17"/>
                <w:szCs w:val="17"/>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7"/>
                <w:szCs w:val="17"/>
                <w:color w:val="auto"/>
              </w:rPr>
              <w:t>(349,720 )</w:t>
            </w:r>
          </w:p>
        </w:tc>
      </w:tr>
      <w:tr>
        <w:trPr>
          <w:trHeight w:val="202"/>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7"/>
                <w:szCs w:val="17"/>
                <w:color w:val="auto"/>
              </w:rPr>
              <w:t>Accumulated other comprehensive loss</w:t>
            </w:r>
          </w:p>
        </w:tc>
        <w:tc>
          <w:tcPr>
            <w:tcW w:w="320" w:type="dxa"/>
            <w:vAlign w:val="bottom"/>
            <w:shd w:val="clear" w:color="auto" w:fill="CFF0FC"/>
          </w:tcPr>
          <w:p>
            <w:pPr>
              <w:spacing w:after="0"/>
              <w:rPr>
                <w:sz w:val="17"/>
                <w:szCs w:val="17"/>
                <w:color w:val="auto"/>
              </w:rPr>
            </w:pPr>
          </w:p>
        </w:tc>
        <w:tc>
          <w:tcPr>
            <w:tcW w:w="1540" w:type="dxa"/>
            <w:vAlign w:val="bottom"/>
            <w:gridSpan w:val="2"/>
            <w:shd w:val="clear" w:color="auto" w:fill="CFF0FC"/>
          </w:tcPr>
          <w:p>
            <w:pPr>
              <w:jc w:val="right"/>
              <w:ind w:right="115"/>
              <w:spacing w:after="0"/>
              <w:rPr>
                <w:sz w:val="20"/>
                <w:szCs w:val="20"/>
                <w:color w:val="auto"/>
              </w:rPr>
            </w:pPr>
            <w:r>
              <w:rPr>
                <w:rFonts w:ascii="Times New Roman" w:cs="Times New Roman" w:eastAsia="Times New Roman" w:hAnsi="Times New Roman"/>
                <w:sz w:val="17"/>
                <w:szCs w:val="17"/>
                <w:color w:val="auto"/>
              </w:rPr>
              <w:t>(35,094 )</w:t>
            </w:r>
          </w:p>
        </w:tc>
        <w:tc>
          <w:tcPr>
            <w:tcW w:w="240" w:type="dxa"/>
            <w:vAlign w:val="bottom"/>
            <w:shd w:val="clear" w:color="auto" w:fill="CFF0FC"/>
          </w:tcPr>
          <w:p>
            <w:pPr>
              <w:spacing w:after="0"/>
              <w:rPr>
                <w:sz w:val="17"/>
                <w:szCs w:val="17"/>
                <w:color w:val="auto"/>
              </w:rPr>
            </w:pPr>
          </w:p>
        </w:tc>
        <w:tc>
          <w:tcPr>
            <w:tcW w:w="14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7"/>
                <w:szCs w:val="17"/>
                <w:color w:val="auto"/>
              </w:rPr>
              <w:t>(27,429 )</w:t>
            </w:r>
          </w:p>
        </w:tc>
      </w:tr>
      <w:tr>
        <w:trPr>
          <w:trHeight w:val="202"/>
        </w:trPr>
        <w:tc>
          <w:tcPr>
            <w:tcW w:w="7700" w:type="dxa"/>
            <w:vAlign w:val="bottom"/>
          </w:tcPr>
          <w:p>
            <w:pPr>
              <w:ind w:left="200"/>
              <w:spacing w:after="0"/>
              <w:rPr>
                <w:sz w:val="20"/>
                <w:szCs w:val="20"/>
                <w:color w:val="auto"/>
              </w:rPr>
            </w:pPr>
            <w:r>
              <w:rPr>
                <w:rFonts w:ascii="Times New Roman" w:cs="Times New Roman" w:eastAsia="Times New Roman" w:hAnsi="Times New Roman"/>
                <w:sz w:val="17"/>
                <w:szCs w:val="17"/>
                <w:color w:val="auto"/>
              </w:rPr>
              <w:t>Common stock in treasury, at cost, 4,323,757 and 4,381,606 shares, respectively</w:t>
            </w:r>
          </w:p>
        </w:tc>
        <w:tc>
          <w:tcPr>
            <w:tcW w:w="320" w:type="dxa"/>
            <w:vAlign w:val="bottom"/>
          </w:tcPr>
          <w:p>
            <w:pPr>
              <w:spacing w:after="0"/>
              <w:rPr>
                <w:sz w:val="17"/>
                <w:szCs w:val="17"/>
                <w:color w:val="auto"/>
              </w:rPr>
            </w:pPr>
          </w:p>
        </w:tc>
        <w:tc>
          <w:tcPr>
            <w:tcW w:w="1540" w:type="dxa"/>
            <w:vAlign w:val="bottom"/>
            <w:gridSpan w:val="2"/>
          </w:tcPr>
          <w:p>
            <w:pPr>
              <w:jc w:val="right"/>
              <w:ind w:right="115"/>
              <w:spacing w:after="0"/>
              <w:rPr>
                <w:sz w:val="20"/>
                <w:szCs w:val="20"/>
                <w:color w:val="auto"/>
              </w:rPr>
            </w:pPr>
            <w:r>
              <w:rPr>
                <w:rFonts w:ascii="Times New Roman" w:cs="Times New Roman" w:eastAsia="Times New Roman" w:hAnsi="Times New Roman"/>
                <w:sz w:val="17"/>
                <w:szCs w:val="17"/>
                <w:color w:val="auto"/>
              </w:rPr>
              <w:t>(217,613 )</w:t>
            </w:r>
          </w:p>
        </w:tc>
        <w:tc>
          <w:tcPr>
            <w:tcW w:w="240" w:type="dxa"/>
            <w:vAlign w:val="bottom"/>
          </w:tcPr>
          <w:p>
            <w:pPr>
              <w:spacing w:after="0"/>
              <w:rPr>
                <w:sz w:val="17"/>
                <w:szCs w:val="17"/>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7"/>
                <w:szCs w:val="17"/>
                <w:color w:val="auto"/>
              </w:rPr>
              <w:t>(220,712 )</w:t>
            </w:r>
          </w:p>
        </w:tc>
      </w:tr>
      <w:tr>
        <w:trPr>
          <w:trHeight w:val="196"/>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Total Viad stockholders’ equity</w:t>
            </w:r>
          </w:p>
        </w:tc>
        <w:tc>
          <w:tcPr>
            <w:tcW w:w="320" w:type="dxa"/>
            <w:vAlign w:val="bottom"/>
            <w:tcBorders>
              <w:top w:val="single" w:sz="8" w:color="auto"/>
            </w:tcBorders>
            <w:shd w:val="clear" w:color="auto" w:fill="CFF0FC"/>
          </w:tcPr>
          <w:p>
            <w:pPr>
              <w:spacing w:after="0"/>
              <w:rPr>
                <w:sz w:val="17"/>
                <w:szCs w:val="17"/>
                <w:color w:val="auto"/>
              </w:rPr>
            </w:pPr>
          </w:p>
        </w:tc>
        <w:tc>
          <w:tcPr>
            <w:tcW w:w="12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(7,591</w:t>
            </w:r>
          </w:p>
        </w:tc>
        <w:tc>
          <w:tcPr>
            <w:tcW w:w="280" w:type="dxa"/>
            <w:vAlign w:val="bottom"/>
            <w:shd w:val="clear" w:color="auto" w:fill="CFF0FC"/>
          </w:tcPr>
          <w:p>
            <w:pPr>
              <w:jc w:val="right"/>
              <w:ind w:right="115"/>
              <w:spacing w:after="0"/>
              <w:rPr>
                <w:sz w:val="20"/>
                <w:szCs w:val="20"/>
                <w:color w:val="auto"/>
              </w:rPr>
            </w:pPr>
            <w:r>
              <w:rPr>
                <w:rFonts w:ascii="Times New Roman" w:cs="Times New Roman" w:eastAsia="Times New Roman" w:hAnsi="Times New Roman"/>
                <w:sz w:val="17"/>
                <w:szCs w:val="17"/>
                <w:color w:val="auto"/>
              </w:rPr>
              <w:t>)</w:t>
            </w:r>
          </w:p>
        </w:tc>
        <w:tc>
          <w:tcPr>
            <w:tcW w:w="240" w:type="dxa"/>
            <w:vAlign w:val="bottom"/>
            <w:tcBorders>
              <w:top w:val="single" w:sz="8" w:color="auto"/>
            </w:tcBorders>
            <w:shd w:val="clear" w:color="auto" w:fill="CFF0FC"/>
          </w:tcPr>
          <w:p>
            <w:pPr>
              <w:spacing w:after="0"/>
              <w:rPr>
                <w:sz w:val="17"/>
                <w:szCs w:val="17"/>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6,282</w:t>
            </w:r>
          </w:p>
        </w:tc>
        <w:tc>
          <w:tcPr>
            <w:tcW w:w="100" w:type="dxa"/>
            <w:vAlign w:val="bottom"/>
            <w:shd w:val="clear" w:color="auto" w:fill="CFF0FC"/>
          </w:tcPr>
          <w:p>
            <w:pPr>
              <w:spacing w:after="0"/>
              <w:rPr>
                <w:sz w:val="17"/>
                <w:szCs w:val="17"/>
                <w:color w:val="auto"/>
              </w:rPr>
            </w:pPr>
          </w:p>
        </w:tc>
      </w:tr>
      <w:tr>
        <w:trPr>
          <w:trHeight w:val="202"/>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Non-redeemable noncontrolling interest</w:t>
            </w:r>
          </w:p>
        </w:tc>
        <w:tc>
          <w:tcPr>
            <w:tcW w:w="3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82,956</w:t>
            </w:r>
          </w:p>
        </w:tc>
        <w:tc>
          <w:tcPr>
            <w:tcW w:w="28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85,556</w:t>
            </w:r>
          </w:p>
        </w:tc>
        <w:tc>
          <w:tcPr>
            <w:tcW w:w="100" w:type="dxa"/>
            <w:vAlign w:val="bottom"/>
          </w:tcPr>
          <w:p>
            <w:pPr>
              <w:spacing w:after="0"/>
              <w:rPr>
                <w:sz w:val="17"/>
                <w:szCs w:val="17"/>
                <w:color w:val="auto"/>
              </w:rPr>
            </w:pPr>
          </w:p>
        </w:tc>
      </w:tr>
      <w:tr>
        <w:trPr>
          <w:trHeight w:val="196"/>
        </w:trPr>
        <w:tc>
          <w:tcPr>
            <w:tcW w:w="7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7"/>
                <w:szCs w:val="17"/>
                <w:b w:val="1"/>
                <w:bCs w:val="1"/>
                <w:color w:val="auto"/>
              </w:rPr>
              <w:t>Total stockholders’ equity</w:t>
            </w:r>
          </w:p>
        </w:tc>
        <w:tc>
          <w:tcPr>
            <w:tcW w:w="320" w:type="dxa"/>
            <w:vAlign w:val="bottom"/>
            <w:tcBorders>
              <w:bottom w:val="single" w:sz="8" w:color="auto"/>
            </w:tcBorders>
            <w:shd w:val="clear" w:color="auto" w:fill="CFF0FC"/>
          </w:tcPr>
          <w:p>
            <w:pPr>
              <w:spacing w:after="0"/>
              <w:rPr>
                <w:sz w:val="17"/>
                <w:szCs w:val="17"/>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75,365</w:t>
            </w:r>
          </w:p>
        </w:tc>
        <w:tc>
          <w:tcPr>
            <w:tcW w:w="280" w:type="dxa"/>
            <w:vAlign w:val="bottom"/>
            <w:tcBorders>
              <w:bottom w:val="single" w:sz="8" w:color="CFF0FC"/>
            </w:tcBorders>
            <w:shd w:val="clear" w:color="auto" w:fill="CFF0FC"/>
          </w:tcPr>
          <w:p>
            <w:pPr>
              <w:spacing w:after="0"/>
              <w:rPr>
                <w:sz w:val="17"/>
                <w:szCs w:val="17"/>
                <w:color w:val="auto"/>
              </w:rPr>
            </w:pPr>
          </w:p>
        </w:tc>
        <w:tc>
          <w:tcPr>
            <w:tcW w:w="240" w:type="dxa"/>
            <w:vAlign w:val="bottom"/>
            <w:tcBorders>
              <w:bottom w:val="single" w:sz="8" w:color="auto"/>
            </w:tcBorders>
            <w:shd w:val="clear" w:color="auto" w:fill="CFF0FC"/>
          </w:tcPr>
          <w:p>
            <w:pPr>
              <w:spacing w:after="0"/>
              <w:rPr>
                <w:sz w:val="17"/>
                <w:szCs w:val="17"/>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rPr>
              <w:t>91,838</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196"/>
        </w:trPr>
        <w:tc>
          <w:tcPr>
            <w:tcW w:w="770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Total Liabilities, Mezzanine Equity, and Stockholders’ Equity</w:t>
            </w:r>
          </w:p>
        </w:tc>
        <w:tc>
          <w:tcPr>
            <w:tcW w:w="32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color w:val="auto"/>
                <w:w w:val="93"/>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1,141,165</w:t>
            </w:r>
          </w:p>
        </w:tc>
        <w:tc>
          <w:tcPr>
            <w:tcW w:w="280" w:type="dxa"/>
            <w:vAlign w:val="bottom"/>
          </w:tcPr>
          <w:p>
            <w:pPr>
              <w:spacing w:after="0"/>
              <w:rPr>
                <w:sz w:val="17"/>
                <w:szCs w:val="17"/>
                <w:color w:val="auto"/>
              </w:rPr>
            </w:pPr>
          </w:p>
        </w:tc>
        <w:tc>
          <w:tcPr>
            <w:tcW w:w="24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7"/>
                <w:szCs w:val="17"/>
                <w:color w:val="auto"/>
                <w:w w:val="93"/>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1,037,630</w:t>
            </w:r>
          </w:p>
        </w:tc>
        <w:tc>
          <w:tcPr>
            <w:tcW w:w="100" w:type="dxa"/>
            <w:vAlign w:val="bottom"/>
          </w:tcPr>
          <w:p>
            <w:pPr>
              <w:spacing w:after="0"/>
              <w:rPr>
                <w:sz w:val="17"/>
                <w:szCs w:val="17"/>
                <w:color w:val="auto"/>
              </w:rPr>
            </w:pPr>
          </w:p>
        </w:tc>
      </w:tr>
      <w:tr>
        <w:trPr>
          <w:trHeight w:val="20"/>
        </w:trPr>
        <w:tc>
          <w:tcPr>
            <w:tcW w:w="77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5895975</wp:posOffset>
            </wp:positionH>
            <wp:positionV relativeFrom="paragraph">
              <wp:posOffset>-4074795</wp:posOffset>
            </wp:positionV>
            <wp:extent cx="7683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-4074795</wp:posOffset>
            </wp:positionV>
            <wp:extent cx="6858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5895975</wp:posOffset>
            </wp:positionH>
            <wp:positionV relativeFrom="paragraph">
              <wp:posOffset>-2233930</wp:posOffset>
            </wp:positionV>
            <wp:extent cx="7683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-2233930</wp:posOffset>
            </wp:positionV>
            <wp:extent cx="6858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5895975</wp:posOffset>
            </wp:positionH>
            <wp:positionV relativeFrom="paragraph">
              <wp:posOffset>-161925</wp:posOffset>
            </wp:positionV>
            <wp:extent cx="7683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-161925</wp:posOffset>
            </wp:positionV>
            <wp:extent cx="6858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OPERATIONS</w:t>
      </w:r>
    </w:p>
    <w:p>
      <w:pPr>
        <w:spacing w:after="0" w:line="1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7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600" w:type="dxa"/>
            <w:vAlign w:val="bottom"/>
            <w:gridSpan w:val="5"/>
          </w:tcPr>
          <w:p>
            <w:pPr>
              <w:jc w:val="right"/>
              <w:ind w:right="81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5"/>
                <w:szCs w:val="15"/>
                <w:color w:val="auto"/>
              </w:rPr>
            </w:pPr>
          </w:p>
        </w:tc>
        <w:tc>
          <w:tcPr>
            <w:tcW w:w="2440" w:type="dxa"/>
            <w:vAlign w:val="bottom"/>
            <w:gridSpan w:val="5"/>
          </w:tcPr>
          <w:p>
            <w:pPr>
              <w:jc w:val="right"/>
              <w:ind w:right="741"/>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0" w:type="dxa"/>
            <w:vAlign w:val="bottom"/>
          </w:tcPr>
          <w:p>
            <w:pPr>
              <w:spacing w:after="0"/>
              <w:rPr>
                <w:sz w:val="1"/>
                <w:szCs w:val="1"/>
                <w:color w:val="auto"/>
              </w:rPr>
            </w:pPr>
          </w:p>
        </w:tc>
      </w:tr>
      <w:tr>
        <w:trPr>
          <w:trHeight w:val="187"/>
        </w:trPr>
        <w:tc>
          <w:tcPr>
            <w:tcW w:w="57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57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 except per share data)</w:t>
            </w: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Services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254,132</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46,306</w:t>
            </w:r>
          </w:p>
        </w:tc>
        <w:tc>
          <w:tcPr>
            <w:tcW w:w="2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405,269</w:t>
            </w:r>
          </w:p>
        </w:tc>
        <w:tc>
          <w:tcPr>
            <w:tcW w:w="240" w:type="dxa"/>
            <w:vAlign w:val="bottom"/>
          </w:tcPr>
          <w:p>
            <w:pPr>
              <w:spacing w:after="0"/>
              <w:rPr>
                <w:sz w:val="18"/>
                <w:szCs w:val="18"/>
                <w:color w:val="auto"/>
              </w:rPr>
            </w:pP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71,206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Products</w:t>
            </w: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65,071</w:t>
            </w:r>
          </w:p>
        </w:tc>
        <w:tc>
          <w:tcPr>
            <w:tcW w:w="26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14,927</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91,294</w:t>
            </w:r>
          </w:p>
        </w:tc>
        <w:tc>
          <w:tcPr>
            <w:tcW w:w="24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18,962</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319,203</w:t>
            </w:r>
          </w:p>
        </w:tc>
        <w:tc>
          <w:tcPr>
            <w:tcW w:w="26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61,233</w:t>
            </w:r>
          </w:p>
        </w:tc>
        <w:tc>
          <w:tcPr>
            <w:tcW w:w="2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496,563</w:t>
            </w:r>
          </w:p>
        </w:tc>
        <w:tc>
          <w:tcPr>
            <w:tcW w:w="24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90,168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Costs and expenses: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Costs of services</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223,177</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76,052</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395,131</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132,420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Costs of products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59,318</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20,157</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87,499</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30,932</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Corporate activities</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3,440</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3,006</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6,113</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5,011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Interest expense, net</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7,761</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5,565</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13,638</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10,650</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Multi-employer pension plan withdrawal</w:t>
            </w:r>
          </w:p>
        </w:tc>
        <w:tc>
          <w:tcPr>
            <w:tcW w:w="26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Other expense, net</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612</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680</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1,250</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1,040</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Restructuring charges</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1,426</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2,080</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3,613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Impairment charges</w:t>
            </w:r>
          </w:p>
        </w:tc>
        <w:tc>
          <w:tcPr>
            <w:tcW w:w="26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583</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9"/>
        </w:trPr>
        <w:tc>
          <w:tcPr>
            <w:tcW w:w="570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Total costs and expenses</w:t>
            </w:r>
          </w:p>
        </w:tc>
        <w:tc>
          <w:tcPr>
            <w:tcW w:w="26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295,734</w:t>
            </w:r>
          </w:p>
        </w:tc>
        <w:tc>
          <w:tcPr>
            <w:tcW w:w="260" w:type="dxa"/>
            <w:vAlign w:val="bottom"/>
            <w:tcBorders>
              <w:top w:val="single" w:sz="8" w:color="CFF0FC"/>
            </w:tcBorders>
          </w:tcPr>
          <w:p>
            <w:pPr>
              <w:spacing w:after="0"/>
              <w:rPr>
                <w:sz w:val="18"/>
                <w:szCs w:val="18"/>
                <w:color w:val="auto"/>
              </w:rPr>
            </w:pPr>
          </w:p>
        </w:tc>
        <w:tc>
          <w:tcPr>
            <w:tcW w:w="3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106,304</w:t>
            </w:r>
          </w:p>
        </w:tc>
        <w:tc>
          <w:tcPr>
            <w:tcW w:w="240" w:type="dxa"/>
            <w:vAlign w:val="bottom"/>
            <w:tcBorders>
              <w:top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506,294</w:t>
            </w:r>
          </w:p>
        </w:tc>
        <w:tc>
          <w:tcPr>
            <w:tcW w:w="240" w:type="dxa"/>
            <w:vAlign w:val="bottom"/>
            <w:tcBorders>
              <w:top w:val="single" w:sz="8" w:color="CFF0FC"/>
            </w:tcBorders>
          </w:tcPr>
          <w:p>
            <w:pPr>
              <w:spacing w:after="0"/>
              <w:rPr>
                <w:sz w:val="18"/>
                <w:szCs w:val="18"/>
                <w:color w:val="auto"/>
              </w:rPr>
            </w:pPr>
          </w:p>
        </w:tc>
        <w:tc>
          <w:tcPr>
            <w:tcW w:w="36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183,723</w:t>
            </w:r>
          </w:p>
        </w:tc>
        <w:tc>
          <w:tcPr>
            <w:tcW w:w="100" w:type="dxa"/>
            <w:vAlign w:val="bottom"/>
            <w:tcBorders>
              <w:top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Income (loss) from continuing operations before income taxes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23,469</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(45,071</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(9,731</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(93,555</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tax expense (benefit)</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3,359</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(2,166 )</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777</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(5,211 )</w:t>
            </w:r>
          </w:p>
        </w:tc>
        <w:tc>
          <w:tcPr>
            <w:tcW w:w="0" w:type="dxa"/>
            <w:vAlign w:val="bottom"/>
          </w:tcPr>
          <w:p>
            <w:pPr>
              <w:spacing w:after="0"/>
              <w:rPr>
                <w:sz w:val="1"/>
                <w:szCs w:val="1"/>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Income (loss) from continuing operations</w:t>
            </w:r>
          </w:p>
        </w:tc>
        <w:tc>
          <w:tcPr>
            <w:tcW w:w="260" w:type="dxa"/>
            <w:vAlign w:val="bottom"/>
            <w:tcBorders>
              <w:top w:val="single" w:sz="8" w:color="auto"/>
            </w:tcBorders>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20,110</w:t>
            </w:r>
          </w:p>
        </w:tc>
        <w:tc>
          <w:tcPr>
            <w:tcW w:w="260" w:type="dxa"/>
            <w:vAlign w:val="bottom"/>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(42,905</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tcBorders>
              <w:top w:val="single" w:sz="8" w:color="auto"/>
            </w:tcBorders>
            <w:shd w:val="clear" w:color="auto" w:fill="CFF0FC"/>
          </w:tcPr>
          <w:p>
            <w:pPr>
              <w:spacing w:after="0"/>
              <w:rPr>
                <w:sz w:val="18"/>
                <w:szCs w:val="18"/>
                <w:color w:val="auto"/>
              </w:rPr>
            </w:pPr>
          </w:p>
        </w:tc>
        <w:tc>
          <w:tcPr>
            <w:tcW w:w="8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(10,508</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(88,344</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(loss) from discontinued operations</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(62 )</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327</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260" w:type="dxa"/>
            <w:vAlign w:val="bottom"/>
            <w:tcBorders>
              <w:top w:val="single" w:sz="8" w:color="auto"/>
            </w:tcBorders>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20,162</w:t>
            </w:r>
          </w:p>
        </w:tc>
        <w:tc>
          <w:tcPr>
            <w:tcW w:w="260" w:type="dxa"/>
            <w:vAlign w:val="bottom"/>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(42,967</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tcBorders>
              <w:top w:val="single" w:sz="8" w:color="auto"/>
            </w:tcBorders>
            <w:shd w:val="clear" w:color="auto" w:fill="CFF0FC"/>
          </w:tcPr>
          <w:p>
            <w:pPr>
              <w:spacing w:after="0"/>
              <w:rPr>
                <w:sz w:val="18"/>
                <w:szCs w:val="18"/>
                <w:color w:val="auto"/>
              </w:rPr>
            </w:pPr>
          </w:p>
        </w:tc>
        <w:tc>
          <w:tcPr>
            <w:tcW w:w="8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(10,181</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(88,058</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170"/>
        </w:trPr>
        <w:tc>
          <w:tcPr>
            <w:tcW w:w="5700" w:type="dxa"/>
            <w:vAlign w:val="bottom"/>
          </w:tcPr>
          <w:p>
            <w:pPr>
              <w:ind w:left="20"/>
              <w:spacing w:after="0" w:line="170" w:lineRule="exact"/>
              <w:rPr>
                <w:sz w:val="20"/>
                <w:szCs w:val="20"/>
                <w:color w:val="auto"/>
              </w:rPr>
            </w:pPr>
            <w:r>
              <w:rPr>
                <w:rFonts w:ascii="Times New Roman" w:cs="Times New Roman" w:eastAsia="Times New Roman" w:hAnsi="Times New Roman"/>
                <w:sz w:val="18"/>
                <w:szCs w:val="18"/>
                <w:color w:val="auto"/>
              </w:rPr>
              <w:t>Net (income) loss attributable to non-redeemable noncontrolling</w:t>
            </w: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5700" w:type="dxa"/>
            <w:vAlign w:val="bottom"/>
          </w:tcPr>
          <w:p>
            <w:pPr>
              <w:ind w:left="160"/>
              <w:spacing w:after="0"/>
              <w:rPr>
                <w:sz w:val="20"/>
                <w:szCs w:val="20"/>
                <w:color w:val="auto"/>
              </w:rPr>
            </w:pPr>
            <w:r>
              <w:rPr>
                <w:rFonts w:ascii="Times New Roman" w:cs="Times New Roman" w:eastAsia="Times New Roman" w:hAnsi="Times New Roman"/>
                <w:sz w:val="18"/>
                <w:szCs w:val="18"/>
                <w:color w:val="auto"/>
              </w:rPr>
              <w:t>interest</w:t>
            </w:r>
          </w:p>
        </w:tc>
        <w:tc>
          <w:tcPr>
            <w:tcW w:w="260" w:type="dxa"/>
            <w:vAlign w:val="bottom"/>
          </w:tcPr>
          <w:p>
            <w:pPr>
              <w:spacing w:after="0"/>
              <w:rPr>
                <w:sz w:val="20"/>
                <w:szCs w:val="20"/>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(451 )</w:t>
            </w:r>
          </w:p>
        </w:tc>
        <w:tc>
          <w:tcPr>
            <w:tcW w:w="3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510</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753</w:t>
            </w: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1,955</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loss attributable to redeemable noncontrolling interest</w:t>
            </w: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128</w:t>
            </w:r>
          </w:p>
        </w:tc>
        <w:tc>
          <w:tcPr>
            <w:tcW w:w="26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431</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266</w:t>
            </w:r>
          </w:p>
        </w:tc>
        <w:tc>
          <w:tcPr>
            <w:tcW w:w="24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925</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attributable to Viad</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19,839</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(42,026 )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(9,162 )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(85,178 )</w:t>
            </w: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70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Diluted income (loss) per common share:</w:t>
            </w:r>
          </w:p>
        </w:tc>
        <w:tc>
          <w:tcPr>
            <w:tcW w:w="26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8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Continuing operations attributable to Viad common stockholders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0.64</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(2.18 )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(0.69 )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(4.41 )</w:t>
            </w:r>
          </w:p>
        </w:tc>
        <w:tc>
          <w:tcPr>
            <w:tcW w:w="0" w:type="dxa"/>
            <w:vAlign w:val="bottom"/>
          </w:tcPr>
          <w:p>
            <w:pPr>
              <w:spacing w:after="0"/>
              <w:rPr>
                <w:sz w:val="1"/>
                <w:szCs w:val="1"/>
                <w:color w:val="auto"/>
              </w:rPr>
            </w:pPr>
          </w:p>
        </w:tc>
      </w:tr>
      <w:tr>
        <w:trPr>
          <w:trHeight w:val="216"/>
        </w:trPr>
        <w:tc>
          <w:tcPr>
            <w:tcW w:w="5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Discontinued operations attributable to Viad common stockholders</w:t>
            </w: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0.02</w:t>
            </w:r>
          </w:p>
        </w:tc>
        <w:tc>
          <w:tcPr>
            <w:tcW w:w="24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attributable to Viad common stockholders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0.64</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(2.18 )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(0.67 )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(4.40 )</w:t>
            </w: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1"/>
        </w:trPr>
        <w:tc>
          <w:tcPr>
            <w:tcW w:w="5700" w:type="dxa"/>
            <w:vAlign w:val="bottom"/>
            <w:shd w:val="clear" w:color="auto" w:fill="CFF0FC"/>
          </w:tcPr>
          <w:p>
            <w:pPr>
              <w:ind w:left="20"/>
              <w:spacing w:after="0" w:line="151" w:lineRule="exact"/>
              <w:rPr>
                <w:sz w:val="20"/>
                <w:szCs w:val="20"/>
                <w:color w:val="auto"/>
              </w:rPr>
            </w:pPr>
            <w:r>
              <w:rPr>
                <w:rFonts w:ascii="Times New Roman" w:cs="Times New Roman" w:eastAsia="Times New Roman" w:hAnsi="Times New Roman"/>
                <w:sz w:val="17"/>
                <w:szCs w:val="17"/>
                <w:color w:val="auto"/>
              </w:rPr>
              <w:t>Weighted-average outstanding and potentially dilutive common</w:t>
            </w:r>
          </w:p>
        </w:tc>
        <w:tc>
          <w:tcPr>
            <w:tcW w:w="260" w:type="dxa"/>
            <w:vAlign w:val="bottom"/>
            <w:shd w:val="clear" w:color="auto" w:fill="CFF0FC"/>
          </w:tcPr>
          <w:p>
            <w:pPr>
              <w:spacing w:after="0"/>
              <w:rPr>
                <w:sz w:val="13"/>
                <w:szCs w:val="13"/>
                <w:color w:val="auto"/>
              </w:rPr>
            </w:pPr>
          </w:p>
        </w:tc>
        <w:tc>
          <w:tcPr>
            <w:tcW w:w="8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20,731</w:t>
            </w:r>
          </w:p>
        </w:tc>
        <w:tc>
          <w:tcPr>
            <w:tcW w:w="260" w:type="dxa"/>
            <w:vAlign w:val="bottom"/>
            <w:shd w:val="clear" w:color="auto" w:fill="CFF0FC"/>
          </w:tcPr>
          <w:p>
            <w:pPr>
              <w:spacing w:after="0"/>
              <w:rPr>
                <w:sz w:val="13"/>
                <w:szCs w:val="13"/>
                <w:color w:val="auto"/>
              </w:rPr>
            </w:pPr>
          </w:p>
        </w:tc>
        <w:tc>
          <w:tcPr>
            <w:tcW w:w="340" w:type="dxa"/>
            <w:vAlign w:val="bottom"/>
            <w:shd w:val="clear" w:color="auto" w:fill="CFF0FC"/>
          </w:tcPr>
          <w:p>
            <w:pPr>
              <w:spacing w:after="0"/>
              <w:rPr>
                <w:sz w:val="13"/>
                <w:szCs w:val="13"/>
                <w:color w:val="auto"/>
              </w:rPr>
            </w:pPr>
          </w:p>
        </w:tc>
        <w:tc>
          <w:tcPr>
            <w:tcW w:w="9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20,397</w:t>
            </w:r>
          </w:p>
        </w:tc>
        <w:tc>
          <w:tcPr>
            <w:tcW w:w="24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8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20,544</w:t>
            </w:r>
          </w:p>
        </w:tc>
        <w:tc>
          <w:tcPr>
            <w:tcW w:w="240" w:type="dxa"/>
            <w:vAlign w:val="bottom"/>
            <w:shd w:val="clear" w:color="auto" w:fill="CFF0FC"/>
          </w:tcPr>
          <w:p>
            <w:pPr>
              <w:spacing w:after="0"/>
              <w:rPr>
                <w:sz w:val="13"/>
                <w:szCs w:val="13"/>
                <w:color w:val="auto"/>
              </w:rPr>
            </w:pPr>
          </w:p>
        </w:tc>
        <w:tc>
          <w:tcPr>
            <w:tcW w:w="360" w:type="dxa"/>
            <w:vAlign w:val="bottom"/>
            <w:shd w:val="clear" w:color="auto" w:fill="CFF0FC"/>
          </w:tcPr>
          <w:p>
            <w:pPr>
              <w:spacing w:after="0"/>
              <w:rPr>
                <w:sz w:val="13"/>
                <w:szCs w:val="13"/>
                <w:color w:val="auto"/>
              </w:rPr>
            </w:pPr>
          </w:p>
        </w:tc>
        <w:tc>
          <w:tcPr>
            <w:tcW w:w="9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20,384</w:t>
            </w: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5700" w:type="dxa"/>
            <w:vAlign w:val="bottom"/>
            <w:tcBorders>
              <w:bottom w:val="single" w:sz="8" w:color="CFF0FC"/>
            </w:tcBorders>
            <w:shd w:val="clear" w:color="auto" w:fill="CFF0FC"/>
          </w:tcPr>
          <w:p>
            <w:pPr>
              <w:ind w:left="160"/>
              <w:spacing w:after="0" w:line="194" w:lineRule="exact"/>
              <w:rPr>
                <w:sz w:val="20"/>
                <w:szCs w:val="20"/>
                <w:color w:val="auto"/>
              </w:rPr>
            </w:pPr>
            <w:r>
              <w:rPr>
                <w:rFonts w:ascii="Times New Roman" w:cs="Times New Roman" w:eastAsia="Times New Roman" w:hAnsi="Times New Roman"/>
                <w:sz w:val="18"/>
                <w:szCs w:val="18"/>
                <w:color w:val="auto"/>
              </w:rPr>
              <w:t>shares</w:t>
            </w:r>
          </w:p>
        </w:tc>
        <w:tc>
          <w:tcPr>
            <w:tcW w:w="260" w:type="dxa"/>
            <w:vAlign w:val="bottom"/>
            <w:tcBorders>
              <w:bottom w:val="single" w:sz="8" w:color="auto"/>
            </w:tcBorders>
            <w:shd w:val="clear" w:color="auto" w:fill="CFF0FC"/>
          </w:tcPr>
          <w:p>
            <w:pPr>
              <w:spacing w:after="0"/>
              <w:rPr>
                <w:sz w:val="20"/>
                <w:szCs w:val="20"/>
                <w:color w:val="auto"/>
              </w:rPr>
            </w:pPr>
          </w:p>
        </w:tc>
        <w:tc>
          <w:tcPr>
            <w:tcW w:w="860" w:type="dxa"/>
            <w:vAlign w:val="bottom"/>
            <w:tcBorders>
              <w:bottom w:val="single" w:sz="8" w:color="auto"/>
            </w:tcBorders>
            <w:vMerge w:val="continue"/>
            <w:shd w:val="clear" w:color="auto" w:fill="CFF0FC"/>
          </w:tcPr>
          <w:p>
            <w:pPr>
              <w:spacing w:after="0"/>
              <w:rPr>
                <w:sz w:val="20"/>
                <w:szCs w:val="20"/>
                <w:color w:val="auto"/>
              </w:rPr>
            </w:pPr>
          </w:p>
        </w:tc>
        <w:tc>
          <w:tcPr>
            <w:tcW w:w="260" w:type="dxa"/>
            <w:vAlign w:val="bottom"/>
            <w:tcBorders>
              <w:bottom w:val="single" w:sz="8" w:color="CFF0FC"/>
            </w:tcBorders>
            <w:shd w:val="clear" w:color="auto" w:fill="CFF0FC"/>
          </w:tcPr>
          <w:p>
            <w:pPr>
              <w:spacing w:after="0"/>
              <w:rPr>
                <w:sz w:val="20"/>
                <w:szCs w:val="20"/>
                <w:color w:val="auto"/>
              </w:rPr>
            </w:pPr>
          </w:p>
        </w:tc>
        <w:tc>
          <w:tcPr>
            <w:tcW w:w="340" w:type="dxa"/>
            <w:vAlign w:val="bottom"/>
            <w:tcBorders>
              <w:bottom w:val="single" w:sz="8" w:color="auto"/>
            </w:tcBorders>
            <w:shd w:val="clear" w:color="auto" w:fill="CFF0FC"/>
          </w:tcPr>
          <w:p>
            <w:pPr>
              <w:spacing w:after="0"/>
              <w:rPr>
                <w:sz w:val="20"/>
                <w:szCs w:val="20"/>
                <w:color w:val="auto"/>
              </w:rPr>
            </w:pPr>
          </w:p>
        </w:tc>
        <w:tc>
          <w:tcPr>
            <w:tcW w:w="900" w:type="dxa"/>
            <w:vAlign w:val="bottom"/>
            <w:tcBorders>
              <w:bottom w:val="single" w:sz="8" w:color="auto"/>
            </w:tcBorders>
            <w:vMerge w:val="continue"/>
            <w:shd w:val="clear" w:color="auto" w:fill="CFF0FC"/>
          </w:tcPr>
          <w:p>
            <w:pPr>
              <w:spacing w:after="0"/>
              <w:rPr>
                <w:sz w:val="20"/>
                <w:szCs w:val="20"/>
                <w:color w:val="auto"/>
              </w:rPr>
            </w:pPr>
          </w:p>
        </w:tc>
        <w:tc>
          <w:tcPr>
            <w:tcW w:w="24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spacing w:after="0"/>
              <w:rPr>
                <w:sz w:val="20"/>
                <w:szCs w:val="20"/>
                <w:color w:val="auto"/>
              </w:rPr>
            </w:pPr>
          </w:p>
        </w:tc>
        <w:tc>
          <w:tcPr>
            <w:tcW w:w="840" w:type="dxa"/>
            <w:vAlign w:val="bottom"/>
            <w:tcBorders>
              <w:bottom w:val="single" w:sz="8" w:color="auto"/>
            </w:tcBorders>
            <w:vMerge w:val="continue"/>
            <w:shd w:val="clear" w:color="auto" w:fill="CFF0FC"/>
          </w:tcPr>
          <w:p>
            <w:pPr>
              <w:spacing w:after="0"/>
              <w:rPr>
                <w:sz w:val="20"/>
                <w:szCs w:val="20"/>
                <w:color w:val="auto"/>
              </w:rPr>
            </w:pPr>
          </w:p>
        </w:tc>
        <w:tc>
          <w:tcPr>
            <w:tcW w:w="240" w:type="dxa"/>
            <w:vAlign w:val="bottom"/>
            <w:tcBorders>
              <w:bottom w:val="single" w:sz="8" w:color="CFF0FC"/>
            </w:tcBorders>
            <w:shd w:val="clear" w:color="auto" w:fill="CFF0FC"/>
          </w:tcPr>
          <w:p>
            <w:pPr>
              <w:spacing w:after="0"/>
              <w:rPr>
                <w:sz w:val="20"/>
                <w:szCs w:val="20"/>
                <w:color w:val="auto"/>
              </w:rPr>
            </w:pPr>
          </w:p>
        </w:tc>
        <w:tc>
          <w:tcPr>
            <w:tcW w:w="360" w:type="dxa"/>
            <w:vAlign w:val="bottom"/>
            <w:tcBorders>
              <w:bottom w:val="single" w:sz="8" w:color="auto"/>
            </w:tcBorders>
            <w:shd w:val="clear" w:color="auto" w:fill="CFF0FC"/>
          </w:tcPr>
          <w:p>
            <w:pPr>
              <w:spacing w:after="0"/>
              <w:rPr>
                <w:sz w:val="20"/>
                <w:szCs w:val="20"/>
                <w:color w:val="auto"/>
              </w:rPr>
            </w:pPr>
          </w:p>
        </w:tc>
        <w:tc>
          <w:tcPr>
            <w:tcW w:w="900" w:type="dxa"/>
            <w:vAlign w:val="bottom"/>
            <w:tcBorders>
              <w:bottom w:val="single" w:sz="8" w:color="auto"/>
            </w:tcBorders>
            <w:vMerge w:val="continue"/>
            <w:shd w:val="clear" w:color="auto" w:fill="CFF0FC"/>
          </w:tcPr>
          <w:p>
            <w:pPr>
              <w:spacing w:after="0"/>
              <w:rPr>
                <w:sz w:val="20"/>
                <w:szCs w:val="20"/>
                <w:color w:val="auto"/>
              </w:rPr>
            </w:pPr>
          </w:p>
        </w:tc>
        <w:tc>
          <w:tcPr>
            <w:tcW w:w="10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570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Basic income (loss) per common share:</w:t>
            </w: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Continuing operations attributable to Viad common stockholders</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0.64</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(2.18 )</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(0.69 )</w:t>
            </w: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(4.41 )</w:t>
            </w:r>
          </w:p>
        </w:tc>
        <w:tc>
          <w:tcPr>
            <w:tcW w:w="0" w:type="dxa"/>
            <w:vAlign w:val="bottom"/>
          </w:tcPr>
          <w:p>
            <w:pPr>
              <w:spacing w:after="0"/>
              <w:rPr>
                <w:sz w:val="1"/>
                <w:szCs w:val="1"/>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Discontinued operations attributable to Viad common stockholders</w:t>
            </w:r>
          </w:p>
        </w:tc>
        <w:tc>
          <w:tcPr>
            <w:tcW w:w="26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8"/>
                <w:szCs w:val="18"/>
                <w:color w:val="auto"/>
              </w:rPr>
            </w:pPr>
          </w:p>
        </w:tc>
        <w:tc>
          <w:tcPr>
            <w:tcW w:w="114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0.02</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5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attributable to Viad common stockholders</w:t>
            </w: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0.64</w:t>
            </w:r>
          </w:p>
        </w:tc>
        <w:tc>
          <w:tcPr>
            <w:tcW w:w="26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(2.18</w:t>
            </w:r>
          </w:p>
        </w:tc>
        <w:tc>
          <w:tcPr>
            <w:tcW w:w="240" w:type="dxa"/>
            <w:vAlign w:val="bottom"/>
            <w:tcBorders>
              <w:bottom w:val="single" w:sz="8" w:color="CFF0FC"/>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(0.67</w:t>
            </w:r>
          </w:p>
        </w:tc>
        <w:tc>
          <w:tcPr>
            <w:tcW w:w="240" w:type="dxa"/>
            <w:vAlign w:val="bottom"/>
            <w:tcBorders>
              <w:bottom w:val="single" w:sz="8" w:color="CFF0FC"/>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(4.40</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196"/>
        </w:trPr>
        <w:tc>
          <w:tcPr>
            <w:tcW w:w="570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color w:val="auto"/>
              </w:rPr>
              <w:t>Weighted-average outstanding common shares</w:t>
            </w:r>
          </w:p>
        </w:tc>
        <w:tc>
          <w:tcPr>
            <w:tcW w:w="2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20,571</w:t>
            </w:r>
          </w:p>
        </w:tc>
        <w:tc>
          <w:tcPr>
            <w:tcW w:w="26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20,397</w:t>
            </w:r>
          </w:p>
        </w:tc>
        <w:tc>
          <w:tcPr>
            <w:tcW w:w="24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20,544</w:t>
            </w:r>
          </w:p>
        </w:tc>
        <w:tc>
          <w:tcPr>
            <w:tcW w:w="24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20,384</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70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Amounts attributable to Viad</w:t>
            </w:r>
          </w:p>
        </w:tc>
        <w:tc>
          <w:tcPr>
            <w:tcW w:w="26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8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(loss) from continuing operations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19,787</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(41,964 )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(9,489 )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(85,464 )</w:t>
            </w:r>
          </w:p>
        </w:tc>
        <w:tc>
          <w:tcPr>
            <w:tcW w:w="0" w:type="dxa"/>
            <w:vAlign w:val="bottom"/>
          </w:tcPr>
          <w:p>
            <w:pPr>
              <w:spacing w:after="0"/>
              <w:rPr>
                <w:sz w:val="1"/>
                <w:szCs w:val="1"/>
                <w:color w:val="auto"/>
              </w:rPr>
            </w:pPr>
          </w:p>
        </w:tc>
      </w:tr>
      <w:tr>
        <w:trPr>
          <w:trHeight w:val="216"/>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Income (loss) from discontinued operations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(62 )</w:t>
            </w: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327</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286</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70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19,839</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(42,026 )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(9,162 )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(85,178 )</w:t>
            </w: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4328795</wp:posOffset>
            </wp:positionH>
            <wp:positionV relativeFrom="paragraph">
              <wp:posOffset>-4973955</wp:posOffset>
            </wp:positionV>
            <wp:extent cx="7683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-4973955</wp:posOffset>
            </wp:positionV>
            <wp:extent cx="6858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-4973955</wp:posOffset>
            </wp:positionV>
            <wp:extent cx="6858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-4973955</wp:posOffset>
            </wp:positionV>
            <wp:extent cx="6858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-3587115</wp:posOffset>
            </wp:positionV>
            <wp:extent cx="7683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-3587115</wp:posOffset>
            </wp:positionV>
            <wp:extent cx="6858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-3587115</wp:posOffset>
            </wp:positionV>
            <wp:extent cx="6858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-3587115</wp:posOffset>
            </wp:positionV>
            <wp:extent cx="6858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-2336800</wp:posOffset>
            </wp:positionV>
            <wp:extent cx="76835"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-2336800</wp:posOffset>
            </wp:positionV>
            <wp:extent cx="6858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-2336800</wp:posOffset>
            </wp:positionV>
            <wp:extent cx="6858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-2336800</wp:posOffset>
            </wp:positionV>
            <wp:extent cx="6858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-1754505</wp:posOffset>
            </wp:positionV>
            <wp:extent cx="7683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-1754505</wp:posOffset>
            </wp:positionV>
            <wp:extent cx="6858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-1754505</wp:posOffset>
            </wp:positionV>
            <wp:extent cx="6858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-1754505</wp:posOffset>
            </wp:positionV>
            <wp:extent cx="6858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-1351915</wp:posOffset>
            </wp:positionV>
            <wp:extent cx="7683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-1335405</wp:posOffset>
            </wp:positionV>
            <wp:extent cx="7683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-1351915</wp:posOffset>
            </wp:positionV>
            <wp:extent cx="6858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-1335405</wp:posOffset>
            </wp:positionV>
            <wp:extent cx="6858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-1351915</wp:posOffset>
            </wp:positionV>
            <wp:extent cx="6858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-1335405</wp:posOffset>
            </wp:positionV>
            <wp:extent cx="68580" cy="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-1351915</wp:posOffset>
            </wp:positionV>
            <wp:extent cx="6858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-1335405</wp:posOffset>
            </wp:positionV>
            <wp:extent cx="6858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-770255</wp:posOffset>
            </wp:positionV>
            <wp:extent cx="76835"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-753110</wp:posOffset>
            </wp:positionV>
            <wp:extent cx="7683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-770255</wp:posOffset>
            </wp:positionV>
            <wp:extent cx="6858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-753110</wp:posOffset>
            </wp:positionV>
            <wp:extent cx="6858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-770255</wp:posOffset>
            </wp:positionV>
            <wp:extent cx="6858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-753110</wp:posOffset>
            </wp:positionV>
            <wp:extent cx="68580"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-770255</wp:posOffset>
            </wp:positionV>
            <wp:extent cx="6858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-753110</wp:posOffset>
            </wp:positionV>
            <wp:extent cx="6858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-170815</wp:posOffset>
            </wp:positionV>
            <wp:extent cx="7683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-170815</wp:posOffset>
            </wp:positionV>
            <wp:extent cx="6858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-170815</wp:posOffset>
            </wp:positionV>
            <wp:extent cx="6858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COMPREHENSIVE INCOME (LOSS)</w:t>
      </w:r>
    </w:p>
    <w:p>
      <w:pPr>
        <w:spacing w:after="0" w:line="1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7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580" w:type="dxa"/>
            <w:vAlign w:val="bottom"/>
            <w:gridSpan w:val="5"/>
          </w:tcPr>
          <w:p>
            <w:pPr>
              <w:jc w:val="right"/>
              <w:ind w:right="79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5"/>
                <w:szCs w:val="15"/>
                <w:color w:val="auto"/>
              </w:rPr>
            </w:pPr>
          </w:p>
        </w:tc>
        <w:tc>
          <w:tcPr>
            <w:tcW w:w="2440" w:type="dxa"/>
            <w:vAlign w:val="bottom"/>
            <w:gridSpan w:val="5"/>
          </w:tcPr>
          <w:p>
            <w:pPr>
              <w:jc w:val="right"/>
              <w:ind w:right="741"/>
              <w:spacing w:after="0"/>
              <w:rPr>
                <w:sz w:val="20"/>
                <w:szCs w:val="20"/>
                <w:color w:val="auto"/>
              </w:rPr>
            </w:pPr>
            <w:r>
              <w:rPr>
                <w:rFonts w:ascii="Times New Roman" w:cs="Times New Roman" w:eastAsia="Times New Roman" w:hAnsi="Times New Roman"/>
                <w:sz w:val="14"/>
                <w:szCs w:val="14"/>
                <w:b w:val="1"/>
                <w:bCs w:val="1"/>
                <w:color w:val="auto"/>
              </w:rPr>
              <w:t>Six Months Ended</w:t>
            </w:r>
          </w:p>
        </w:tc>
      </w:tr>
      <w:tr>
        <w:trPr>
          <w:trHeight w:val="187"/>
        </w:trPr>
        <w:tc>
          <w:tcPr>
            <w:tcW w:w="572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57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315"/>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23"/>
        </w:trPr>
        <w:tc>
          <w:tcPr>
            <w:tcW w:w="5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20,162</w:t>
            </w:r>
          </w:p>
        </w:tc>
        <w:tc>
          <w:tcPr>
            <w:tcW w:w="24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(42,967</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(10,181</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(88,058</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29"/>
        </w:trPr>
        <w:tc>
          <w:tcPr>
            <w:tcW w:w="57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Other comprehensive income (loss):</w:t>
            </w: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29"/>
        </w:trPr>
        <w:tc>
          <w:tcPr>
            <w:tcW w:w="572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Unrealized foreign currency translation adjustments</w:t>
            </w:r>
          </w:p>
        </w:tc>
        <w:tc>
          <w:tcPr>
            <w:tcW w:w="2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(11,543 )</w:t>
            </w: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3,677</w:t>
            </w: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(8,131 )</w:t>
            </w:r>
          </w:p>
        </w:tc>
        <w:tc>
          <w:tcPr>
            <w:tcW w:w="36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7,654</w:t>
            </w:r>
          </w:p>
        </w:tc>
        <w:tc>
          <w:tcPr>
            <w:tcW w:w="100" w:type="dxa"/>
            <w:vAlign w:val="bottom"/>
            <w:shd w:val="clear" w:color="auto" w:fill="CFF0FC"/>
          </w:tcPr>
          <w:p>
            <w:pPr>
              <w:spacing w:after="0"/>
              <w:rPr>
                <w:sz w:val="19"/>
                <w:szCs w:val="19"/>
                <w:color w:val="auto"/>
              </w:rPr>
            </w:pPr>
          </w:p>
        </w:tc>
      </w:tr>
      <w:tr>
        <w:trPr>
          <w:trHeight w:val="229"/>
        </w:trPr>
        <w:tc>
          <w:tcPr>
            <w:tcW w:w="5720" w:type="dxa"/>
            <w:vAlign w:val="bottom"/>
          </w:tcPr>
          <w:p>
            <w:pPr>
              <w:ind w:left="200"/>
              <w:spacing w:after="0" w:line="229" w:lineRule="exact"/>
              <w:rPr>
                <w:sz w:val="20"/>
                <w:szCs w:val="20"/>
                <w:color w:val="auto"/>
              </w:rPr>
            </w:pPr>
            <w:r>
              <w:rPr>
                <w:rFonts w:ascii="Times New Roman" w:cs="Times New Roman" w:eastAsia="Times New Roman" w:hAnsi="Times New Roman"/>
                <w:sz w:val="18"/>
                <w:szCs w:val="18"/>
                <w:color w:val="auto"/>
              </w:rPr>
              <w:t xml:space="preserve">Change in net actuarial loss, net of tax </w:t>
            </w:r>
            <w:r>
              <w:rPr>
                <w:rFonts w:ascii="Times New Roman" w:cs="Times New Roman" w:eastAsia="Times New Roman" w:hAnsi="Times New Roman"/>
                <w:sz w:val="21"/>
                <w:szCs w:val="21"/>
                <w:color w:val="auto"/>
                <w:vertAlign w:val="superscript"/>
              </w:rPr>
              <w:t>(1)</w:t>
            </w:r>
          </w:p>
        </w:tc>
        <w:tc>
          <w:tcPr>
            <w:tcW w:w="2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178</w:t>
            </w:r>
          </w:p>
        </w:tc>
        <w:tc>
          <w:tcPr>
            <w:tcW w:w="100" w:type="dxa"/>
            <w:vAlign w:val="bottom"/>
          </w:tcPr>
          <w:p>
            <w:pPr>
              <w:spacing w:after="0"/>
              <w:rPr>
                <w:sz w:val="19"/>
                <w:szCs w:val="19"/>
                <w:color w:val="auto"/>
              </w:rPr>
            </w:pPr>
          </w:p>
        </w:tc>
      </w:tr>
      <w:tr>
        <w:trPr>
          <w:trHeight w:val="216"/>
        </w:trPr>
        <w:tc>
          <w:tcPr>
            <w:tcW w:w="5720" w:type="dxa"/>
            <w:vAlign w:val="bottom"/>
            <w:shd w:val="clear" w:color="auto" w:fill="CFF0FC"/>
          </w:tcPr>
          <w:p>
            <w:pPr>
              <w:ind w:left="200"/>
              <w:spacing w:after="0" w:line="216" w:lineRule="exact"/>
              <w:rPr>
                <w:sz w:val="20"/>
                <w:szCs w:val="20"/>
                <w:color w:val="auto"/>
              </w:rPr>
            </w:pPr>
            <w:r>
              <w:rPr>
                <w:rFonts w:ascii="Times New Roman" w:cs="Times New Roman" w:eastAsia="Times New Roman" w:hAnsi="Times New Roman"/>
                <w:sz w:val="18"/>
                <w:szCs w:val="18"/>
                <w:color w:val="auto"/>
              </w:rPr>
              <w:t xml:space="preserve">Change in prior service cost, net of tax </w:t>
            </w:r>
            <w:r>
              <w:rPr>
                <w:rFonts w:ascii="Times New Roman" w:cs="Times New Roman" w:eastAsia="Times New Roman" w:hAnsi="Times New Roman"/>
                <w:sz w:val="21"/>
                <w:szCs w:val="21"/>
                <w:color w:val="auto"/>
                <w:vertAlign w:val="superscript"/>
              </w:rPr>
              <w:t>(1)</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(56 )</w:t>
            </w:r>
          </w:p>
        </w:tc>
      </w:tr>
      <w:tr>
        <w:trPr>
          <w:trHeight w:val="20"/>
        </w:trPr>
        <w:tc>
          <w:tcPr>
            <w:tcW w:w="572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23"/>
        </w:trPr>
        <w:tc>
          <w:tcPr>
            <w:tcW w:w="57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Comprehensive income (loss)</w:t>
            </w:r>
          </w:p>
        </w:tc>
        <w:tc>
          <w:tcPr>
            <w:tcW w:w="2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8,678</w:t>
            </w: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(39,289 )</w:t>
            </w:r>
          </w:p>
        </w:tc>
        <w:tc>
          <w:tcPr>
            <w:tcW w:w="240" w:type="dxa"/>
            <w:vAlign w:val="bottom"/>
          </w:tcPr>
          <w:p>
            <w:pPr>
              <w:spacing w:after="0"/>
              <w:rPr>
                <w:sz w:val="19"/>
                <w:szCs w:val="19"/>
                <w:color w:val="auto"/>
              </w:rPr>
            </w:pP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(17,846 )</w:t>
            </w:r>
          </w:p>
        </w:tc>
        <w:tc>
          <w:tcPr>
            <w:tcW w:w="360" w:type="dxa"/>
            <w:vAlign w:val="bottom"/>
          </w:tcPr>
          <w:p>
            <w:pPr>
              <w:spacing w:after="0"/>
              <w:rPr>
                <w:sz w:val="19"/>
                <w:szCs w:val="19"/>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(80,282 )</w:t>
            </w:r>
          </w:p>
        </w:tc>
      </w:tr>
      <w:tr>
        <w:trPr>
          <w:trHeight w:val="229"/>
        </w:trPr>
        <w:tc>
          <w:tcPr>
            <w:tcW w:w="5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Non-redeemable noncontrolling interest:</w:t>
            </w:r>
          </w:p>
        </w:tc>
        <w:tc>
          <w:tcPr>
            <w:tcW w:w="260" w:type="dxa"/>
            <w:vAlign w:val="bottom"/>
            <w:shd w:val="clear" w:color="auto" w:fill="CFF0FC"/>
          </w:tcPr>
          <w:p>
            <w:pPr>
              <w:spacing w:after="0"/>
              <w:rPr>
                <w:sz w:val="19"/>
                <w:szCs w:val="19"/>
                <w:color w:val="auto"/>
              </w:rPr>
            </w:pPr>
          </w:p>
        </w:tc>
        <w:tc>
          <w:tcPr>
            <w:tcW w:w="8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90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170"/>
        </w:trPr>
        <w:tc>
          <w:tcPr>
            <w:tcW w:w="5720" w:type="dxa"/>
            <w:vAlign w:val="bottom"/>
          </w:tcPr>
          <w:p>
            <w:pPr>
              <w:ind w:left="200"/>
              <w:spacing w:after="0" w:line="170" w:lineRule="exact"/>
              <w:rPr>
                <w:sz w:val="20"/>
                <w:szCs w:val="20"/>
                <w:color w:val="auto"/>
              </w:rPr>
            </w:pPr>
            <w:r>
              <w:rPr>
                <w:rFonts w:ascii="Times New Roman" w:cs="Times New Roman" w:eastAsia="Times New Roman" w:hAnsi="Times New Roman"/>
                <w:sz w:val="18"/>
                <w:szCs w:val="18"/>
                <w:color w:val="auto"/>
              </w:rPr>
              <w:t>Comprehensive income (loss) attributable to non-redeemable</w:t>
            </w: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34"/>
        </w:trPr>
        <w:tc>
          <w:tcPr>
            <w:tcW w:w="572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noncontrolling interest</w:t>
            </w:r>
          </w:p>
        </w:tc>
        <w:tc>
          <w:tcPr>
            <w:tcW w:w="260" w:type="dxa"/>
            <w:vAlign w:val="bottom"/>
          </w:tcPr>
          <w:p>
            <w:pPr>
              <w:spacing w:after="0"/>
              <w:rPr>
                <w:sz w:val="20"/>
                <w:szCs w:val="20"/>
                <w:color w:val="auto"/>
              </w:rPr>
            </w:pP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(451 )</w:t>
            </w:r>
          </w:p>
        </w:tc>
        <w:tc>
          <w:tcPr>
            <w:tcW w:w="34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510</w:t>
            </w: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753</w:t>
            </w: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1,955</w:t>
            </w:r>
          </w:p>
        </w:tc>
        <w:tc>
          <w:tcPr>
            <w:tcW w:w="100" w:type="dxa"/>
            <w:vAlign w:val="bottom"/>
          </w:tcPr>
          <w:p>
            <w:pPr>
              <w:spacing w:after="0"/>
              <w:rPr>
                <w:sz w:val="20"/>
                <w:szCs w:val="20"/>
                <w:color w:val="auto"/>
              </w:rPr>
            </w:pPr>
          </w:p>
        </w:tc>
      </w:tr>
      <w:tr>
        <w:trPr>
          <w:trHeight w:val="229"/>
        </w:trPr>
        <w:tc>
          <w:tcPr>
            <w:tcW w:w="572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Unrealized foreign currency translation adjustments</w:t>
            </w:r>
          </w:p>
        </w:tc>
        <w:tc>
          <w:tcPr>
            <w:tcW w:w="26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(2,014 )</w:t>
            </w:r>
          </w:p>
        </w:tc>
        <w:tc>
          <w:tcPr>
            <w:tcW w:w="34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1,069</w:t>
            </w: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8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(1,277 )</w:t>
            </w:r>
          </w:p>
        </w:tc>
        <w:tc>
          <w:tcPr>
            <w:tcW w:w="36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1,819</w:t>
            </w:r>
          </w:p>
        </w:tc>
        <w:tc>
          <w:tcPr>
            <w:tcW w:w="100" w:type="dxa"/>
            <w:vAlign w:val="bottom"/>
            <w:shd w:val="clear" w:color="auto" w:fill="CFF0FC"/>
          </w:tcPr>
          <w:p>
            <w:pPr>
              <w:spacing w:after="0"/>
              <w:rPr>
                <w:sz w:val="19"/>
                <w:szCs w:val="19"/>
                <w:color w:val="auto"/>
              </w:rPr>
            </w:pPr>
          </w:p>
        </w:tc>
      </w:tr>
      <w:tr>
        <w:trPr>
          <w:trHeight w:val="229"/>
        </w:trPr>
        <w:tc>
          <w:tcPr>
            <w:tcW w:w="57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Redeemable noncontrolling interest:</w:t>
            </w: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16"/>
        </w:trPr>
        <w:tc>
          <w:tcPr>
            <w:tcW w:w="572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Comprehensive loss attributable to redeemable noncontrolling interest</w:t>
            </w:r>
          </w:p>
        </w:tc>
        <w:tc>
          <w:tcPr>
            <w:tcW w:w="2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128</w:t>
            </w:r>
          </w:p>
        </w:tc>
        <w:tc>
          <w:tcPr>
            <w:tcW w:w="24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431</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266</w:t>
            </w:r>
          </w:p>
        </w:tc>
        <w:tc>
          <w:tcPr>
            <w:tcW w:w="24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925</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72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Comprehensive income (loss) attributable to Viad</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6,341</w:t>
            </w:r>
          </w:p>
        </w:tc>
        <w:tc>
          <w:tcPr>
            <w:tcW w:w="24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(37,279 )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(18,104 )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(75,583 )</w:t>
            </w:r>
          </w:p>
        </w:tc>
      </w:tr>
      <w:tr>
        <w:trPr>
          <w:trHeight w:val="20"/>
        </w:trPr>
        <w:tc>
          <w:tcPr>
            <w:tcW w:w="57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4337685</wp:posOffset>
            </wp:positionH>
            <wp:positionV relativeFrom="paragraph">
              <wp:posOffset>-1155065</wp:posOffset>
            </wp:positionV>
            <wp:extent cx="76835"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-1155065</wp:posOffset>
            </wp:positionV>
            <wp:extent cx="6858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-1155065</wp:posOffset>
            </wp:positionV>
            <wp:extent cx="6858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-1155065</wp:posOffset>
            </wp:positionV>
            <wp:extent cx="6858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4337685</wp:posOffset>
            </wp:positionH>
            <wp:positionV relativeFrom="paragraph">
              <wp:posOffset>-170815</wp:posOffset>
            </wp:positionV>
            <wp:extent cx="76835"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-170815</wp:posOffset>
            </wp:positionV>
            <wp:extent cx="6858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-170815</wp:posOffset>
            </wp:positionV>
            <wp:extent cx="6858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36" w:lineRule="exact"/>
        <w:rPr>
          <w:sz w:val="20"/>
          <w:szCs w:val="20"/>
          <w:color w:val="auto"/>
        </w:rPr>
      </w:pPr>
    </w:p>
    <w:p>
      <w:pPr>
        <w:ind w:left="360" w:hanging="352"/>
        <w:spacing w:after="0"/>
        <w:tabs>
          <w:tab w:leader="none" w:pos="360" w:val="left"/>
        </w:tabs>
        <w:numPr>
          <w:ilvl w:val="0"/>
          <w:numId w:val="3"/>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The tax effect on other comprehensive income (loss) is not significant.</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STOCKHOLDERS’ EQUITY AND MEZZANINE EQUITY</w:t>
      </w:r>
    </w:p>
    <w:p>
      <w:pPr>
        <w:spacing w:after="0" w:line="1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gridSpan w:val="4"/>
          </w:tcPr>
          <w:p>
            <w:pPr>
              <w:jc w:val="right"/>
              <w:ind w:right="213"/>
              <w:spacing w:after="0"/>
              <w:rPr>
                <w:sz w:val="20"/>
                <w:szCs w:val="20"/>
                <w:color w:val="auto"/>
              </w:rPr>
            </w:pPr>
            <w:r>
              <w:rPr>
                <w:rFonts w:ascii="Times New Roman" w:cs="Times New Roman" w:eastAsia="Times New Roman" w:hAnsi="Times New Roman"/>
                <w:sz w:val="13"/>
                <w:szCs w:val="13"/>
                <w:b w:val="1"/>
                <w:bCs w:val="1"/>
                <w:color w:val="auto"/>
              </w:rPr>
              <w:t>Mezzanine Equity</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23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20" w:type="dxa"/>
            <w:vAlign w:val="bottom"/>
            <w:gridSpan w:val="3"/>
          </w:tcPr>
          <w:p>
            <w:pPr>
              <w:spacing w:after="0" w:line="115"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gridSpan w:val="2"/>
          </w:tcPr>
          <w:p>
            <w:pPr>
              <w:jc w:val="center"/>
              <w:ind w:right="300"/>
              <w:spacing w:after="0" w:line="115" w:lineRule="exact"/>
              <w:rPr>
                <w:sz w:val="20"/>
                <w:szCs w:val="20"/>
                <w:color w:val="auto"/>
              </w:rPr>
            </w:pPr>
            <w:r>
              <w:rPr>
                <w:rFonts w:ascii="Times New Roman" w:cs="Times New Roman" w:eastAsia="Times New Roman" w:hAnsi="Times New Roman"/>
                <w:sz w:val="13"/>
                <w:szCs w:val="13"/>
                <w:b w:val="1"/>
                <w:bCs w:val="1"/>
                <w:color w:val="auto"/>
              </w:rPr>
              <w:t>Non-</w:t>
            </w:r>
          </w:p>
        </w:tc>
        <w:tc>
          <w:tcPr>
            <w:tcW w:w="120" w:type="dxa"/>
            <w:vAlign w:val="bottom"/>
          </w:tcPr>
          <w:p>
            <w:pPr>
              <w:spacing w:after="0"/>
              <w:rPr>
                <w:sz w:val="9"/>
                <w:szCs w:val="9"/>
                <w:color w:val="auto"/>
              </w:rPr>
            </w:pPr>
          </w:p>
        </w:tc>
        <w:tc>
          <w:tcPr>
            <w:tcW w:w="580" w:type="dxa"/>
            <w:vAlign w:val="bottom"/>
          </w:tcPr>
          <w:p>
            <w:pPr>
              <w:spacing w:after="0"/>
              <w:rPr>
                <w:sz w:val="9"/>
                <w:szCs w:val="9"/>
                <w:color w:val="auto"/>
              </w:rPr>
            </w:pPr>
          </w:p>
        </w:tc>
        <w:tc>
          <w:tcPr>
            <w:tcW w:w="2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860" w:type="dxa"/>
            <w:vAlign w:val="bottom"/>
            <w:gridSpan w:val="3"/>
          </w:tcPr>
          <w:p>
            <w:pPr>
              <w:ind w:left="20"/>
              <w:spacing w:after="0" w:line="115" w:lineRule="exact"/>
              <w:rPr>
                <w:sz w:val="20"/>
                <w:szCs w:val="20"/>
                <w:color w:val="auto"/>
              </w:rPr>
            </w:pPr>
            <w:r>
              <w:rPr>
                <w:rFonts w:ascii="Times New Roman" w:cs="Times New Roman" w:eastAsia="Times New Roman" w:hAnsi="Times New Roman"/>
                <w:sz w:val="13"/>
                <w:szCs w:val="13"/>
                <w:b w:val="1"/>
                <w:bCs w:val="1"/>
                <w:color w:val="auto"/>
              </w:rPr>
              <w:t>Redeemab</w:t>
            </w:r>
          </w:p>
        </w:tc>
        <w:tc>
          <w:tcPr>
            <w:tcW w:w="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5"/>
        </w:trPr>
        <w:tc>
          <w:tcPr>
            <w:tcW w:w="2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tcPr>
          <w:p>
            <w:pPr>
              <w:jc w:val="center"/>
              <w:ind w:right="380"/>
              <w:spacing w:after="0" w:line="145" w:lineRule="exact"/>
              <w:rPr>
                <w:sz w:val="20"/>
                <w:szCs w:val="20"/>
                <w:color w:val="auto"/>
              </w:rPr>
            </w:pPr>
            <w:r>
              <w:rPr>
                <w:rFonts w:ascii="Times New Roman" w:cs="Times New Roman" w:eastAsia="Times New Roman" w:hAnsi="Times New Roman"/>
                <w:sz w:val="13"/>
                <w:szCs w:val="13"/>
                <w:b w:val="1"/>
                <w:bCs w:val="1"/>
                <w:color w:val="auto"/>
              </w:rPr>
              <w:t>Other</w:t>
            </w:r>
          </w:p>
        </w:tc>
        <w:tc>
          <w:tcPr>
            <w:tcW w:w="1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gridSpan w:val="3"/>
          </w:tcPr>
          <w:p>
            <w:pPr>
              <w:ind w:left="20"/>
              <w:spacing w:after="0" w:line="145" w:lineRule="exact"/>
              <w:rPr>
                <w:sz w:val="20"/>
                <w:szCs w:val="20"/>
                <w:color w:val="auto"/>
              </w:rPr>
            </w:pPr>
            <w:r>
              <w:rPr>
                <w:rFonts w:ascii="Times New Roman" w:cs="Times New Roman" w:eastAsia="Times New Roman" w:hAnsi="Times New Roman"/>
                <w:sz w:val="13"/>
                <w:szCs w:val="13"/>
                <w:b w:val="1"/>
                <w:bCs w:val="1"/>
                <w:color w:val="auto"/>
              </w:rPr>
              <w:t>Redeemabl</w:t>
            </w: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273"/>
              <w:spacing w:after="0" w:line="145" w:lineRule="exact"/>
              <w:rPr>
                <w:sz w:val="20"/>
                <w:szCs w:val="20"/>
                <w:color w:val="auto"/>
              </w:rPr>
            </w:pPr>
            <w:r>
              <w:rPr>
                <w:rFonts w:ascii="Times New Roman" w:cs="Times New Roman" w:eastAsia="Times New Roman" w:hAnsi="Times New Roman"/>
                <w:sz w:val="13"/>
                <w:szCs w:val="13"/>
                <w:b w:val="1"/>
                <w:bCs w:val="1"/>
                <w:color w:val="auto"/>
              </w:rPr>
              <w:t>le</w:t>
            </w: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0" w:type="dxa"/>
            <w:vAlign w:val="bottom"/>
            <w:gridSpan w:val="3"/>
            <w:vMerge w:val="restart"/>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w:t>
            </w:r>
          </w:p>
        </w:tc>
        <w:tc>
          <w:tcPr>
            <w:tcW w:w="1020" w:type="dxa"/>
            <w:vAlign w:val="bottom"/>
            <w:gridSpan w:val="3"/>
          </w:tcPr>
          <w:p>
            <w:pPr>
              <w:ind w:left="20"/>
              <w:spacing w:after="0" w:line="138" w:lineRule="exact"/>
              <w:rPr>
                <w:sz w:val="20"/>
                <w:szCs w:val="20"/>
                <w:color w:val="auto"/>
              </w:rPr>
            </w:pPr>
            <w:r>
              <w:rPr>
                <w:rFonts w:ascii="Times New Roman" w:cs="Times New Roman" w:eastAsia="Times New Roman" w:hAnsi="Times New Roman"/>
                <w:sz w:val="13"/>
                <w:szCs w:val="13"/>
                <w:b w:val="1"/>
                <w:bCs w:val="1"/>
                <w:color w:val="auto"/>
              </w:rPr>
              <w:t>Comprehensi</w:t>
            </w:r>
          </w:p>
        </w:tc>
        <w:tc>
          <w:tcPr>
            <w:tcW w:w="800" w:type="dxa"/>
            <w:vAlign w:val="bottom"/>
            <w:gridSpan w:val="3"/>
            <w:vMerge w:val="restart"/>
          </w:tcPr>
          <w:p>
            <w:pPr>
              <w:ind w:left="40"/>
              <w:spacing w:after="0"/>
              <w:rPr>
                <w:sz w:val="20"/>
                <w:szCs w:val="20"/>
                <w:color w:val="auto"/>
              </w:rPr>
            </w:pPr>
            <w:r>
              <w:rPr>
                <w:rFonts w:ascii="Times New Roman" w:cs="Times New Roman" w:eastAsia="Times New Roman" w:hAnsi="Times New Roman"/>
                <w:sz w:val="13"/>
                <w:szCs w:val="13"/>
                <w:b w:val="1"/>
                <w:bCs w:val="1"/>
                <w:color w:val="auto"/>
              </w:rPr>
              <w:t>Common</w:t>
            </w:r>
          </w:p>
        </w:tc>
        <w:tc>
          <w:tcPr>
            <w:tcW w:w="80" w:type="dxa"/>
            <w:vAlign w:val="bottom"/>
          </w:tcPr>
          <w:p>
            <w:pPr>
              <w:spacing w:after="0"/>
              <w:rPr>
                <w:sz w:val="12"/>
                <w:szCs w:val="12"/>
                <w:color w:val="auto"/>
              </w:rPr>
            </w:pPr>
          </w:p>
        </w:tc>
        <w:tc>
          <w:tcPr>
            <w:tcW w:w="640" w:type="dxa"/>
            <w:vAlign w:val="bottom"/>
            <w:gridSpan w:val="2"/>
            <w:vMerge w:val="restart"/>
          </w:tcPr>
          <w:p>
            <w:pPr>
              <w:jc w:val="center"/>
              <w:ind w:right="300"/>
              <w:spacing w:after="0"/>
              <w:rPr>
                <w:sz w:val="20"/>
                <w:szCs w:val="20"/>
                <w:color w:val="auto"/>
              </w:rPr>
            </w:pPr>
            <w:r>
              <w:rPr>
                <w:rFonts w:ascii="Times New Roman" w:cs="Times New Roman" w:eastAsia="Times New Roman" w:hAnsi="Times New Roman"/>
                <w:sz w:val="13"/>
                <w:szCs w:val="13"/>
                <w:b w:val="1"/>
                <w:bCs w:val="1"/>
                <w:color w:val="auto"/>
              </w:rPr>
              <w:t>Total</w:t>
            </w:r>
          </w:p>
        </w:tc>
        <w:tc>
          <w:tcPr>
            <w:tcW w:w="100" w:type="dxa"/>
            <w:vAlign w:val="bottom"/>
          </w:tcPr>
          <w:p>
            <w:pPr>
              <w:spacing w:after="0"/>
              <w:rPr>
                <w:sz w:val="12"/>
                <w:szCs w:val="12"/>
                <w:color w:val="auto"/>
              </w:rPr>
            </w:pPr>
          </w:p>
        </w:tc>
        <w:tc>
          <w:tcPr>
            <w:tcW w:w="800" w:type="dxa"/>
            <w:vAlign w:val="bottom"/>
            <w:gridSpan w:val="2"/>
          </w:tcPr>
          <w:p>
            <w:pPr>
              <w:jc w:val="center"/>
              <w:ind w:right="300"/>
              <w:spacing w:after="0" w:line="138" w:lineRule="exact"/>
              <w:rPr>
                <w:sz w:val="20"/>
                <w:szCs w:val="20"/>
                <w:color w:val="auto"/>
              </w:rPr>
            </w:pPr>
            <w:r>
              <w:rPr>
                <w:rFonts w:ascii="Times New Roman" w:cs="Times New Roman" w:eastAsia="Times New Roman" w:hAnsi="Times New Roman"/>
                <w:sz w:val="13"/>
                <w:szCs w:val="13"/>
                <w:b w:val="1"/>
                <w:bCs w:val="1"/>
                <w:color w:val="auto"/>
              </w:rPr>
              <w:t>e</w:t>
            </w:r>
          </w:p>
        </w:tc>
        <w:tc>
          <w:tcPr>
            <w:tcW w:w="120" w:type="dxa"/>
            <w:vAlign w:val="bottom"/>
          </w:tcPr>
          <w:p>
            <w:pPr>
              <w:spacing w:after="0"/>
              <w:rPr>
                <w:sz w:val="12"/>
                <w:szCs w:val="12"/>
                <w:color w:val="auto"/>
              </w:rPr>
            </w:pPr>
          </w:p>
        </w:tc>
        <w:tc>
          <w:tcPr>
            <w:tcW w:w="800" w:type="dxa"/>
            <w:vAlign w:val="bottom"/>
            <w:tcBorders>
              <w:right w:val="single" w:sz="8" w:color="auto"/>
            </w:tcBorders>
            <w:gridSpan w:val="2"/>
          </w:tcPr>
          <w:p>
            <w:pPr>
              <w:jc w:val="center"/>
              <w:ind w:right="340"/>
              <w:spacing w:after="0" w:line="138" w:lineRule="exact"/>
              <w:rPr>
                <w:sz w:val="20"/>
                <w:szCs w:val="20"/>
                <w:color w:val="auto"/>
              </w:rPr>
            </w:pPr>
            <w:r>
              <w:rPr>
                <w:rFonts w:ascii="Times New Roman" w:cs="Times New Roman" w:eastAsia="Times New Roman" w:hAnsi="Times New Roman"/>
                <w:sz w:val="13"/>
                <w:szCs w:val="13"/>
                <w:b w:val="1"/>
                <w:bCs w:val="1"/>
                <w:color w:val="auto"/>
              </w:rPr>
              <w:t>Total</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253"/>
              <w:spacing w:after="0" w:line="138" w:lineRule="exact"/>
              <w:rPr>
                <w:sz w:val="20"/>
                <w:szCs w:val="20"/>
                <w:color w:val="auto"/>
              </w:rPr>
            </w:pPr>
            <w:r>
              <w:rPr>
                <w:rFonts w:ascii="Times New Roman" w:cs="Times New Roman" w:eastAsia="Times New Roman" w:hAnsi="Times New Roman"/>
                <w:sz w:val="13"/>
                <w:szCs w:val="13"/>
                <w:b w:val="1"/>
                <w:bCs w:val="1"/>
                <w:color w:val="auto"/>
              </w:rPr>
              <w:t>Non-</w:t>
            </w:r>
          </w:p>
        </w:tc>
        <w:tc>
          <w:tcPr>
            <w:tcW w:w="740" w:type="dxa"/>
            <w:vAlign w:val="bottom"/>
            <w:gridSpan w:val="2"/>
          </w:tcPr>
          <w:p>
            <w:pPr>
              <w:ind w:left="20"/>
              <w:spacing w:after="0" w:line="138" w:lineRule="exact"/>
              <w:rPr>
                <w:sz w:val="20"/>
                <w:szCs w:val="20"/>
                <w:color w:val="auto"/>
              </w:rPr>
            </w:pPr>
            <w:r>
              <w:rPr>
                <w:rFonts w:ascii="Times New Roman" w:cs="Times New Roman" w:eastAsia="Times New Roman" w:hAnsi="Times New Roman"/>
                <w:sz w:val="13"/>
                <w:szCs w:val="13"/>
                <w:b w:val="1"/>
                <w:bCs w:val="1"/>
                <w:color w:val="auto"/>
              </w:rPr>
              <w:t>Convertible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0" w:type="dxa"/>
            <w:vAlign w:val="bottom"/>
            <w:gridSpan w:val="3"/>
            <w:vMerge w:val="continue"/>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tcPr>
          <w:p>
            <w:pPr>
              <w:jc w:val="center"/>
              <w:ind w:right="380"/>
              <w:spacing w:after="0" w:line="135" w:lineRule="exact"/>
              <w:rPr>
                <w:sz w:val="20"/>
                <w:szCs w:val="20"/>
                <w:color w:val="auto"/>
              </w:rPr>
            </w:pPr>
            <w:r>
              <w:rPr>
                <w:rFonts w:ascii="Times New Roman" w:cs="Times New Roman" w:eastAsia="Times New Roman" w:hAnsi="Times New Roman"/>
                <w:sz w:val="13"/>
                <w:szCs w:val="13"/>
                <w:b w:val="1"/>
                <w:bCs w:val="1"/>
                <w:color w:val="auto"/>
                <w:w w:val="97"/>
              </w:rPr>
              <w:t>ve</w:t>
            </w:r>
          </w:p>
        </w:tc>
        <w:tc>
          <w:tcPr>
            <w:tcW w:w="80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2"/>
          </w:tcPr>
          <w:p>
            <w:pPr>
              <w:jc w:val="center"/>
              <w:ind w:right="280"/>
              <w:spacing w:after="0" w:line="135" w:lineRule="exact"/>
              <w:rPr>
                <w:sz w:val="20"/>
                <w:szCs w:val="20"/>
                <w:color w:val="auto"/>
              </w:rPr>
            </w:pPr>
            <w:r>
              <w:rPr>
                <w:rFonts w:ascii="Times New Roman" w:cs="Times New Roman" w:eastAsia="Times New Roman" w:hAnsi="Times New Roman"/>
                <w:sz w:val="13"/>
                <w:szCs w:val="13"/>
                <w:b w:val="1"/>
                <w:bCs w:val="1"/>
                <w:color w:val="auto"/>
              </w:rPr>
              <w:t>Non-</w:t>
            </w:r>
          </w:p>
        </w:tc>
        <w:tc>
          <w:tcPr>
            <w:tcW w:w="920" w:type="dxa"/>
            <w:vAlign w:val="bottom"/>
            <w:tcBorders>
              <w:right w:val="single" w:sz="8" w:color="auto"/>
            </w:tcBorders>
            <w:gridSpan w:val="3"/>
          </w:tcPr>
          <w:p>
            <w:pPr>
              <w:jc w:val="center"/>
              <w:ind w:right="200"/>
              <w:spacing w:after="0" w:line="135" w:lineRule="exact"/>
              <w:rPr>
                <w:sz w:val="20"/>
                <w:szCs w:val="20"/>
                <w:color w:val="auto"/>
              </w:rPr>
            </w:pPr>
            <w:r>
              <w:rPr>
                <w:rFonts w:ascii="Times New Roman" w:cs="Times New Roman" w:eastAsia="Times New Roman" w:hAnsi="Times New Roman"/>
                <w:sz w:val="13"/>
                <w:szCs w:val="13"/>
                <w:b w:val="1"/>
                <w:bCs w:val="1"/>
                <w:color w:val="auto"/>
              </w:rPr>
              <w:t>Stockholde</w:t>
            </w:r>
          </w:p>
        </w:tc>
        <w:tc>
          <w:tcPr>
            <w:tcW w:w="80" w:type="dxa"/>
            <w:vAlign w:val="bottom"/>
          </w:tcPr>
          <w:p>
            <w:pPr>
              <w:spacing w:after="0"/>
              <w:rPr>
                <w:sz w:val="11"/>
                <w:szCs w:val="11"/>
                <w:color w:val="auto"/>
              </w:rPr>
            </w:pPr>
          </w:p>
        </w:tc>
        <w:tc>
          <w:tcPr>
            <w:tcW w:w="86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3"/>
                <w:szCs w:val="13"/>
                <w:b w:val="1"/>
                <w:bCs w:val="1"/>
                <w:color w:val="auto"/>
              </w:rPr>
              <w:t>Controllin</w:t>
            </w:r>
          </w:p>
        </w:tc>
        <w:tc>
          <w:tcPr>
            <w:tcW w:w="80" w:type="dxa"/>
            <w:vAlign w:val="bottom"/>
          </w:tcPr>
          <w:p>
            <w:pPr>
              <w:spacing w:after="0"/>
              <w:rPr>
                <w:sz w:val="11"/>
                <w:szCs w:val="11"/>
                <w:color w:val="auto"/>
              </w:rPr>
            </w:pPr>
          </w:p>
        </w:tc>
        <w:tc>
          <w:tcPr>
            <w:tcW w:w="660" w:type="dxa"/>
            <w:vAlign w:val="bottom"/>
          </w:tcPr>
          <w:p>
            <w:pPr>
              <w:jc w:val="center"/>
              <w:ind w:right="33"/>
              <w:spacing w:after="0" w:line="135" w:lineRule="exact"/>
              <w:rPr>
                <w:sz w:val="20"/>
                <w:szCs w:val="20"/>
                <w:color w:val="auto"/>
              </w:rPr>
            </w:pPr>
            <w:r>
              <w:rPr>
                <w:rFonts w:ascii="Times New Roman" w:cs="Times New Roman" w:eastAsia="Times New Roman" w:hAnsi="Times New Roman"/>
                <w:sz w:val="13"/>
                <w:szCs w:val="13"/>
                <w:b w:val="1"/>
                <w:bCs w:val="1"/>
                <w:color w:val="auto"/>
              </w:rPr>
              <w:t>Series A</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340" w:type="dxa"/>
            <w:vAlign w:val="bottom"/>
          </w:tcPr>
          <w:p>
            <w:pPr>
              <w:spacing w:after="0"/>
              <w:rPr>
                <w:sz w:val="12"/>
                <w:szCs w:val="12"/>
                <w:color w:val="auto"/>
              </w:rPr>
            </w:pPr>
          </w:p>
        </w:tc>
        <w:tc>
          <w:tcPr>
            <w:tcW w:w="600" w:type="dxa"/>
            <w:vAlign w:val="bottom"/>
            <w:gridSpan w:val="2"/>
          </w:tcPr>
          <w:p>
            <w:pPr>
              <w:ind w:left="40"/>
              <w:spacing w:after="0" w:line="149" w:lineRule="exact"/>
              <w:rPr>
                <w:sz w:val="20"/>
                <w:szCs w:val="20"/>
                <w:color w:val="auto"/>
              </w:rPr>
            </w:pPr>
            <w:r>
              <w:rPr>
                <w:rFonts w:ascii="Times New Roman" w:cs="Times New Roman" w:eastAsia="Times New Roman" w:hAnsi="Times New Roman"/>
                <w:sz w:val="13"/>
                <w:szCs w:val="13"/>
                <w:b w:val="1"/>
                <w:bCs w:val="1"/>
                <w:color w:val="auto"/>
              </w:rPr>
              <w:t>Common</w:t>
            </w:r>
          </w:p>
        </w:tc>
        <w:tc>
          <w:tcPr>
            <w:tcW w:w="220" w:type="dxa"/>
            <w:vAlign w:val="bottom"/>
          </w:tcPr>
          <w:p>
            <w:pPr>
              <w:spacing w:after="0"/>
              <w:rPr>
                <w:sz w:val="12"/>
                <w:szCs w:val="12"/>
                <w:color w:val="auto"/>
              </w:rPr>
            </w:pPr>
          </w:p>
        </w:tc>
        <w:tc>
          <w:tcPr>
            <w:tcW w:w="940" w:type="dxa"/>
            <w:vAlign w:val="bottom"/>
            <w:gridSpan w:val="3"/>
          </w:tcPr>
          <w:p>
            <w:pPr>
              <w:jc w:val="right"/>
              <w:ind w:right="280"/>
              <w:spacing w:after="0" w:line="149" w:lineRule="exact"/>
              <w:rPr>
                <w:sz w:val="20"/>
                <w:szCs w:val="20"/>
                <w:color w:val="auto"/>
              </w:rPr>
            </w:pPr>
            <w:r>
              <w:rPr>
                <w:rFonts w:ascii="Times New Roman" w:cs="Times New Roman" w:eastAsia="Times New Roman" w:hAnsi="Times New Roman"/>
                <w:sz w:val="13"/>
                <w:szCs w:val="13"/>
                <w:b w:val="1"/>
                <w:bCs w:val="1"/>
                <w:color w:val="auto"/>
              </w:rPr>
              <w:t>Additional</w:t>
            </w:r>
          </w:p>
        </w:tc>
        <w:tc>
          <w:tcPr>
            <w:tcW w:w="140" w:type="dxa"/>
            <w:vAlign w:val="bottom"/>
          </w:tcPr>
          <w:p>
            <w:pPr>
              <w:spacing w:after="0"/>
              <w:rPr>
                <w:sz w:val="12"/>
                <w:szCs w:val="12"/>
                <w:color w:val="auto"/>
              </w:rPr>
            </w:pPr>
          </w:p>
        </w:tc>
        <w:tc>
          <w:tcPr>
            <w:tcW w:w="86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3"/>
                <w:szCs w:val="13"/>
                <w:b w:val="1"/>
                <w:bCs w:val="1"/>
                <w:color w:val="auto"/>
              </w:rPr>
              <w:t>d</w:t>
            </w:r>
          </w:p>
        </w:tc>
        <w:tc>
          <w:tcPr>
            <w:tcW w:w="120" w:type="dxa"/>
            <w:vAlign w:val="bottom"/>
          </w:tcPr>
          <w:p>
            <w:pPr>
              <w:spacing w:after="0"/>
              <w:rPr>
                <w:sz w:val="12"/>
                <w:szCs w:val="12"/>
                <w:color w:val="auto"/>
              </w:rPr>
            </w:pPr>
          </w:p>
        </w:tc>
        <w:tc>
          <w:tcPr>
            <w:tcW w:w="90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3"/>
                <w:szCs w:val="13"/>
                <w:b w:val="1"/>
                <w:bCs w:val="1"/>
                <w:color w:val="auto"/>
              </w:rPr>
              <w:t>Income</w:t>
            </w:r>
          </w:p>
        </w:tc>
        <w:tc>
          <w:tcPr>
            <w:tcW w:w="800" w:type="dxa"/>
            <w:vAlign w:val="bottom"/>
            <w:gridSpan w:val="3"/>
          </w:tcPr>
          <w:p>
            <w:pPr>
              <w:ind w:left="60"/>
              <w:spacing w:after="0" w:line="149" w:lineRule="exact"/>
              <w:rPr>
                <w:sz w:val="20"/>
                <w:szCs w:val="20"/>
                <w:color w:val="auto"/>
              </w:rPr>
            </w:pPr>
            <w:r>
              <w:rPr>
                <w:rFonts w:ascii="Times New Roman" w:cs="Times New Roman" w:eastAsia="Times New Roman" w:hAnsi="Times New Roman"/>
                <w:sz w:val="13"/>
                <w:szCs w:val="13"/>
                <w:b w:val="1"/>
                <w:bCs w:val="1"/>
                <w:color w:val="auto"/>
              </w:rPr>
              <w:t>Stock in</w:t>
            </w:r>
          </w:p>
        </w:tc>
        <w:tc>
          <w:tcPr>
            <w:tcW w:w="80" w:type="dxa"/>
            <w:vAlign w:val="bottom"/>
          </w:tcPr>
          <w:p>
            <w:pPr>
              <w:spacing w:after="0"/>
              <w:rPr>
                <w:sz w:val="12"/>
                <w:szCs w:val="12"/>
                <w:color w:val="auto"/>
              </w:rPr>
            </w:pPr>
          </w:p>
        </w:tc>
        <w:tc>
          <w:tcPr>
            <w:tcW w:w="640" w:type="dxa"/>
            <w:vAlign w:val="bottom"/>
            <w:gridSpan w:val="2"/>
          </w:tcPr>
          <w:p>
            <w:pPr>
              <w:jc w:val="center"/>
              <w:ind w:right="280"/>
              <w:spacing w:after="0" w:line="149" w:lineRule="exact"/>
              <w:rPr>
                <w:sz w:val="20"/>
                <w:szCs w:val="20"/>
                <w:color w:val="auto"/>
              </w:rPr>
            </w:pPr>
            <w:r>
              <w:rPr>
                <w:rFonts w:ascii="Times New Roman" w:cs="Times New Roman" w:eastAsia="Times New Roman" w:hAnsi="Times New Roman"/>
                <w:sz w:val="13"/>
                <w:szCs w:val="13"/>
                <w:b w:val="1"/>
                <w:bCs w:val="1"/>
                <w:color w:val="auto"/>
              </w:rPr>
              <w:t>Viad</w:t>
            </w:r>
          </w:p>
        </w:tc>
        <w:tc>
          <w:tcPr>
            <w:tcW w:w="90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Controlling</w:t>
            </w:r>
          </w:p>
        </w:tc>
        <w:tc>
          <w:tcPr>
            <w:tcW w:w="120" w:type="dxa"/>
            <w:vAlign w:val="bottom"/>
          </w:tcPr>
          <w:p>
            <w:pPr>
              <w:spacing w:after="0"/>
              <w:rPr>
                <w:sz w:val="12"/>
                <w:szCs w:val="12"/>
                <w:color w:val="auto"/>
              </w:rPr>
            </w:pPr>
          </w:p>
        </w:tc>
        <w:tc>
          <w:tcPr>
            <w:tcW w:w="800" w:type="dxa"/>
            <w:vAlign w:val="bottom"/>
            <w:tcBorders>
              <w:right w:val="single" w:sz="8" w:color="auto"/>
            </w:tcBorders>
            <w:gridSpan w:val="2"/>
          </w:tcPr>
          <w:p>
            <w:pPr>
              <w:jc w:val="center"/>
              <w:ind w:right="320"/>
              <w:spacing w:after="0" w:line="149" w:lineRule="exact"/>
              <w:rPr>
                <w:sz w:val="20"/>
                <w:szCs w:val="20"/>
                <w:color w:val="auto"/>
              </w:rPr>
            </w:pPr>
            <w:r>
              <w:rPr>
                <w:rFonts w:ascii="Times New Roman" w:cs="Times New Roman" w:eastAsia="Times New Roman" w:hAnsi="Times New Roman"/>
                <w:sz w:val="13"/>
                <w:szCs w:val="13"/>
                <w:b w:val="1"/>
                <w:bCs w:val="1"/>
                <w:color w:val="auto"/>
              </w:rPr>
              <w:t>rs’</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gridSpan w:val="2"/>
          </w:tcPr>
          <w:p>
            <w:pPr>
              <w:jc w:val="center"/>
              <w:ind w:right="233"/>
              <w:spacing w:after="0" w:line="149" w:lineRule="exact"/>
              <w:rPr>
                <w:sz w:val="20"/>
                <w:szCs w:val="20"/>
                <w:color w:val="auto"/>
              </w:rPr>
            </w:pPr>
            <w:r>
              <w:rPr>
                <w:rFonts w:ascii="Times New Roman" w:cs="Times New Roman" w:eastAsia="Times New Roman" w:hAnsi="Times New Roman"/>
                <w:sz w:val="13"/>
                <w:szCs w:val="13"/>
                <w:b w:val="1"/>
                <w:bCs w:val="1"/>
                <w:color w:val="auto"/>
                <w:w w:val="91"/>
              </w:rPr>
              <w:t>g</w:t>
            </w:r>
          </w:p>
        </w:tc>
        <w:tc>
          <w:tcPr>
            <w:tcW w:w="80" w:type="dxa"/>
            <w:vAlign w:val="bottom"/>
          </w:tcPr>
          <w:p>
            <w:pPr>
              <w:spacing w:after="0"/>
              <w:rPr>
                <w:sz w:val="12"/>
                <w:szCs w:val="12"/>
                <w:color w:val="auto"/>
              </w:rPr>
            </w:pPr>
          </w:p>
        </w:tc>
        <w:tc>
          <w:tcPr>
            <w:tcW w:w="660" w:type="dxa"/>
            <w:vAlign w:val="bottom"/>
          </w:tcPr>
          <w:p>
            <w:pPr>
              <w:jc w:val="center"/>
              <w:ind w:right="33"/>
              <w:spacing w:after="0" w:line="149" w:lineRule="exact"/>
              <w:rPr>
                <w:sz w:val="20"/>
                <w:szCs w:val="20"/>
                <w:color w:val="auto"/>
              </w:rPr>
            </w:pPr>
            <w:r>
              <w:rPr>
                <w:rFonts w:ascii="Times New Roman" w:cs="Times New Roman" w:eastAsia="Times New Roman" w:hAnsi="Times New Roman"/>
                <w:sz w:val="13"/>
                <w:szCs w:val="13"/>
                <w:b w:val="1"/>
                <w:bCs w:val="1"/>
                <w:color w:val="auto"/>
              </w:rPr>
              <w:t>Preferred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i w:val="1"/>
                <w:iCs w:val="1"/>
                <w:color w:val="auto"/>
              </w:rPr>
              <w:t>(in thousands)</w:t>
            </w:r>
          </w:p>
        </w:tc>
        <w:tc>
          <w:tcPr>
            <w:tcW w:w="100" w:type="dxa"/>
            <w:vAlign w:val="bottom"/>
            <w:tcBorders>
              <w:bottom w:val="single" w:sz="8" w:color="auto"/>
            </w:tcBorders>
          </w:tcPr>
          <w:p>
            <w:pPr>
              <w:spacing w:after="0"/>
              <w:rPr>
                <w:sz w:val="16"/>
                <w:szCs w:val="16"/>
                <w:color w:val="auto"/>
              </w:rPr>
            </w:pPr>
          </w:p>
        </w:tc>
        <w:tc>
          <w:tcPr>
            <w:tcW w:w="500" w:type="dxa"/>
            <w:vAlign w:val="bottom"/>
            <w:tcBorders>
              <w:bottom w:val="single" w:sz="8" w:color="auto"/>
            </w:tcBorders>
          </w:tcPr>
          <w:p>
            <w:pPr>
              <w:jc w:val="right"/>
              <w:ind w:right="73"/>
              <w:spacing w:after="0"/>
              <w:rPr>
                <w:sz w:val="20"/>
                <w:szCs w:val="20"/>
                <w:color w:val="auto"/>
              </w:rPr>
            </w:pPr>
            <w:r>
              <w:rPr>
                <w:rFonts w:ascii="Times New Roman" w:cs="Times New Roman" w:eastAsia="Times New Roman" w:hAnsi="Times New Roman"/>
                <w:sz w:val="13"/>
                <w:szCs w:val="13"/>
                <w:b w:val="1"/>
                <w:bCs w:val="1"/>
                <w:color w:val="auto"/>
              </w:rPr>
              <w:t>Stock</w:t>
            </w:r>
          </w:p>
        </w:tc>
        <w:tc>
          <w:tcPr>
            <w:tcW w:w="2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ind w:right="73"/>
              <w:spacing w:after="0"/>
              <w:rPr>
                <w:sz w:val="20"/>
                <w:szCs w:val="20"/>
                <w:color w:val="auto"/>
              </w:rPr>
            </w:pPr>
            <w:r>
              <w:rPr>
                <w:rFonts w:ascii="Times New Roman" w:cs="Times New Roman" w:eastAsia="Times New Roman" w:hAnsi="Times New Roman"/>
                <w:sz w:val="13"/>
                <w:szCs w:val="13"/>
                <w:b w:val="1"/>
                <w:bCs w:val="1"/>
                <w:color w:val="auto"/>
              </w:rPr>
              <w:t>Capital</w:t>
            </w:r>
          </w:p>
        </w:tc>
        <w:tc>
          <w:tcPr>
            <w:tcW w:w="24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center"/>
              <w:ind w:right="93"/>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2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(Loss)</w:t>
            </w:r>
          </w:p>
        </w:tc>
        <w:tc>
          <w:tcPr>
            <w:tcW w:w="220" w:type="dxa"/>
            <w:vAlign w:val="bottom"/>
          </w:tcPr>
          <w:p>
            <w:pPr>
              <w:spacing w:after="0"/>
              <w:rPr>
                <w:sz w:val="16"/>
                <w:szCs w:val="16"/>
                <w:color w:val="auto"/>
              </w:rPr>
            </w:pPr>
          </w:p>
        </w:tc>
        <w:tc>
          <w:tcPr>
            <w:tcW w:w="580" w:type="dxa"/>
            <w:vAlign w:val="bottom"/>
            <w:tcBorders>
              <w:bottom w:val="single" w:sz="8" w:color="auto"/>
            </w:tcBorders>
            <w:gridSpan w:val="2"/>
          </w:tcPr>
          <w:p>
            <w:pPr>
              <w:ind w:left="40"/>
              <w:spacing w:after="0"/>
              <w:rPr>
                <w:sz w:val="20"/>
                <w:szCs w:val="20"/>
                <w:color w:val="auto"/>
              </w:rPr>
            </w:pPr>
            <w:r>
              <w:rPr>
                <w:rFonts w:ascii="Times New Roman" w:cs="Times New Roman" w:eastAsia="Times New Roman" w:hAnsi="Times New Roman"/>
                <w:sz w:val="13"/>
                <w:szCs w:val="13"/>
                <w:b w:val="1"/>
                <w:bCs w:val="1"/>
                <w:color w:val="auto"/>
              </w:rPr>
              <w:t>Treasury</w:t>
            </w:r>
          </w:p>
        </w:tc>
        <w:tc>
          <w:tcPr>
            <w:tcW w:w="220" w:type="dxa"/>
            <w:vAlign w:val="bottom"/>
          </w:tcPr>
          <w:p>
            <w:pPr>
              <w:spacing w:after="0"/>
              <w:rPr>
                <w:sz w:val="16"/>
                <w:szCs w:val="16"/>
                <w:color w:val="auto"/>
              </w:rPr>
            </w:pPr>
          </w:p>
        </w:tc>
        <w:tc>
          <w:tcPr>
            <w:tcW w:w="52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2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center"/>
              <w:ind w:right="33"/>
              <w:spacing w:after="0"/>
              <w:rPr>
                <w:sz w:val="20"/>
                <w:szCs w:val="20"/>
                <w:color w:val="auto"/>
              </w:rPr>
            </w:pPr>
            <w:r>
              <w:rPr>
                <w:rFonts w:ascii="Times New Roman" w:cs="Times New Roman" w:eastAsia="Times New Roman" w:hAnsi="Times New Roman"/>
                <w:sz w:val="13"/>
                <w:szCs w:val="13"/>
                <w:b w:val="1"/>
                <w:bCs w:val="1"/>
                <w:color w:val="auto"/>
              </w:rPr>
              <w:t>Interest</w:t>
            </w:r>
          </w:p>
        </w:tc>
        <w:tc>
          <w:tcPr>
            <w:tcW w:w="20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2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40" w:type="dxa"/>
            <w:vAlign w:val="bottom"/>
            <w:tcBorders>
              <w:bottom w:val="single" w:sz="8" w:color="auto"/>
            </w:tcBorders>
          </w:tcPr>
          <w:p>
            <w:pPr>
              <w:jc w:val="center"/>
              <w:ind w:right="33"/>
              <w:spacing w:after="0"/>
              <w:rPr>
                <w:sz w:val="20"/>
                <w:szCs w:val="20"/>
                <w:color w:val="auto"/>
              </w:rPr>
            </w:pPr>
            <w:r>
              <w:rPr>
                <w:rFonts w:ascii="Times New Roman" w:cs="Times New Roman" w:eastAsia="Times New Roman" w:hAnsi="Times New Roman"/>
                <w:sz w:val="13"/>
                <w:szCs w:val="13"/>
                <w:b w:val="1"/>
                <w:bCs w:val="1"/>
                <w:color w:val="auto"/>
              </w:rPr>
              <w:t>Interest</w:t>
            </w:r>
          </w:p>
        </w:tc>
        <w:tc>
          <w:tcPr>
            <w:tcW w:w="2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3"/>
                <w:szCs w:val="13"/>
                <w:b w:val="1"/>
                <w:bCs w:val="1"/>
                <w:color w:val="auto"/>
              </w:rPr>
              <w:t>Stock</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234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December 31, 2021</w:t>
            </w: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340" w:type="dxa"/>
            <w:vAlign w:val="bottom"/>
            <w:gridSpan w:val="2"/>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566,741</w:t>
            </w:r>
          </w:p>
        </w:tc>
        <w:tc>
          <w:tcPr>
            <w:tcW w:w="240" w:type="dxa"/>
            <w:vAlign w:val="bottom"/>
            <w:shd w:val="clear" w:color="auto" w:fill="CFF0FC"/>
          </w:tcPr>
          <w:p>
            <w:pPr>
              <w:spacing w:after="0"/>
              <w:rPr>
                <w:sz w:val="10"/>
                <w:szCs w:val="10"/>
                <w:color w:val="auto"/>
              </w:rPr>
            </w:pPr>
          </w:p>
        </w:tc>
        <w:tc>
          <w:tcPr>
            <w:tcW w:w="1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60" w:type="dxa"/>
            <w:vAlign w:val="bottom"/>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(349,720 )</w:t>
            </w:r>
          </w:p>
        </w:tc>
        <w:tc>
          <w:tcPr>
            <w:tcW w:w="120" w:type="dxa"/>
            <w:vAlign w:val="bottom"/>
            <w:vMerge w:val="restart"/>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(27,429 )</w:t>
            </w:r>
          </w:p>
        </w:tc>
        <w:tc>
          <w:tcPr>
            <w:tcW w:w="12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460" w:type="dxa"/>
            <w:vAlign w:val="bottom"/>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(220,71</w:t>
            </w:r>
          </w:p>
        </w:tc>
        <w:tc>
          <w:tcPr>
            <w:tcW w:w="220" w:type="dxa"/>
            <w:vAlign w:val="bottom"/>
            <w:shd w:val="clear" w:color="auto" w:fill="CFF0FC"/>
          </w:tcPr>
          <w:p>
            <w:pPr>
              <w:spacing w:after="0"/>
              <w:rPr>
                <w:sz w:val="10"/>
                <w:szCs w:val="10"/>
                <w:color w:val="auto"/>
              </w:rPr>
            </w:pPr>
          </w:p>
        </w:tc>
        <w:tc>
          <w:tcPr>
            <w:tcW w:w="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6,282</w:t>
            </w:r>
          </w:p>
        </w:tc>
        <w:tc>
          <w:tcPr>
            <w:tcW w:w="20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85,556</w:t>
            </w:r>
          </w:p>
        </w:tc>
        <w:tc>
          <w:tcPr>
            <w:tcW w:w="200" w:type="dxa"/>
            <w:vAlign w:val="bottom"/>
            <w:shd w:val="clear" w:color="auto" w:fill="CFF0FC"/>
          </w:tcPr>
          <w:p>
            <w:pPr>
              <w:spacing w:after="0"/>
              <w:rPr>
                <w:sz w:val="10"/>
                <w:szCs w:val="10"/>
                <w:color w:val="auto"/>
              </w:rPr>
            </w:pPr>
          </w:p>
        </w:tc>
        <w:tc>
          <w:tcPr>
            <w:tcW w:w="1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91,838</w:t>
            </w:r>
          </w:p>
        </w:tc>
        <w:tc>
          <w:tcPr>
            <w:tcW w:w="220" w:type="dxa"/>
            <w:vAlign w:val="bottom"/>
            <w:tcBorders>
              <w:right w:val="single" w:sz="8" w:color="auto"/>
            </w:tcBorders>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5,444</w:t>
            </w:r>
          </w:p>
        </w:tc>
        <w:tc>
          <w:tcPr>
            <w:tcW w:w="220" w:type="dxa"/>
            <w:vAlign w:val="bottom"/>
            <w:shd w:val="clear" w:color="auto" w:fill="CFF0FC"/>
          </w:tcPr>
          <w:p>
            <w:pPr>
              <w:spacing w:after="0"/>
              <w:rPr>
                <w:sz w:val="10"/>
                <w:szCs w:val="10"/>
                <w:color w:val="auto"/>
              </w:rPr>
            </w:pPr>
          </w:p>
        </w:tc>
        <w:tc>
          <w:tcPr>
            <w:tcW w:w="80" w:type="dxa"/>
            <w:vAlign w:val="bottom"/>
            <w:vMerge w:val="restart"/>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340" w:type="dxa"/>
            <w:vAlign w:val="bottom"/>
            <w:vMerge w:val="continue"/>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500" w:type="dxa"/>
            <w:vAlign w:val="bottom"/>
            <w:vMerge w:val="continue"/>
            <w:shd w:val="clear" w:color="auto" w:fill="CFF0FC"/>
          </w:tcPr>
          <w:p>
            <w:pPr>
              <w:spacing w:after="0"/>
              <w:rPr>
                <w:sz w:val="16"/>
                <w:szCs w:val="16"/>
                <w:color w:val="auto"/>
              </w:rPr>
            </w:pPr>
          </w:p>
        </w:tc>
        <w:tc>
          <w:tcPr>
            <w:tcW w:w="340" w:type="dxa"/>
            <w:vAlign w:val="bottom"/>
            <w:gridSpan w:val="2"/>
            <w:vMerge w:val="continue"/>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40" w:type="dxa"/>
            <w:vAlign w:val="bottom"/>
            <w:vMerge w:val="continue"/>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vMerge w:val="continue"/>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20" w:type="dxa"/>
            <w:vAlign w:val="bottom"/>
            <w:vMerge w:val="continue"/>
            <w:shd w:val="clear" w:color="auto" w:fill="CFF0FC"/>
          </w:tcPr>
          <w:p>
            <w:pPr>
              <w:spacing w:after="0"/>
              <w:rPr>
                <w:sz w:val="16"/>
                <w:szCs w:val="16"/>
                <w:color w:val="auto"/>
              </w:rPr>
            </w:pPr>
          </w:p>
        </w:tc>
        <w:tc>
          <w:tcPr>
            <w:tcW w:w="6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2 )</w:t>
            </w:r>
          </w:p>
        </w:tc>
        <w:tc>
          <w:tcPr>
            <w:tcW w:w="80" w:type="dxa"/>
            <w:vAlign w:val="bottom"/>
            <w:vMerge w:val="continue"/>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60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20" w:type="dxa"/>
            <w:vAlign w:val="bottom"/>
            <w:vMerge w:val="continue"/>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54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80" w:type="dxa"/>
            <w:vAlign w:val="bottom"/>
            <w:vMerge w:val="continue"/>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4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auto"/>
              </w:rPr>
              <w:t>Net loss</w:t>
            </w:r>
          </w:p>
        </w:tc>
        <w:tc>
          <w:tcPr>
            <w:tcW w:w="100" w:type="dxa"/>
            <w:vAlign w:val="bottom"/>
          </w:tcPr>
          <w:p>
            <w:pPr>
              <w:spacing w:after="0"/>
              <w:rPr>
                <w:sz w:val="10"/>
                <w:szCs w:val="10"/>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(29,001 )</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440" w:type="dxa"/>
            <w:vAlign w:val="bottom"/>
          </w:tcPr>
          <w:p>
            <w:pPr>
              <w:jc w:val="right"/>
              <w:spacing w:after="0" w:line="122" w:lineRule="exact"/>
              <w:rPr>
                <w:sz w:val="20"/>
                <w:szCs w:val="20"/>
                <w:color w:val="auto"/>
              </w:rPr>
            </w:pPr>
            <w:r>
              <w:rPr>
                <w:rFonts w:ascii="Times New Roman" w:cs="Times New Roman" w:eastAsia="Times New Roman" w:hAnsi="Times New Roman"/>
                <w:sz w:val="13"/>
                <w:szCs w:val="13"/>
                <w:color w:val="auto"/>
              </w:rPr>
              <w:t>(29,00</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(1,204 )</w:t>
            </w:r>
          </w:p>
        </w:tc>
        <w:tc>
          <w:tcPr>
            <w:tcW w:w="12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(30,205 )</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vMerge w:val="restart"/>
          </w:tcPr>
          <w:p>
            <w:pPr>
              <w:jc w:val="right"/>
              <w:ind w:right="93"/>
              <w:spacing w:after="0"/>
              <w:rPr>
                <w:sz w:val="20"/>
                <w:szCs w:val="20"/>
                <w:color w:val="auto"/>
              </w:rPr>
            </w:pPr>
            <w:r>
              <w:rPr>
                <w:rFonts w:ascii="Times New Roman" w:cs="Times New Roman" w:eastAsia="Times New Roman" w:hAnsi="Times New Roman"/>
                <w:sz w:val="13"/>
                <w:szCs w:val="13"/>
                <w:color w:val="auto"/>
              </w:rPr>
              <w:t>(138 )</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jc w:val="right"/>
              <w:ind w:right="140"/>
              <w:spacing w:after="0"/>
              <w:rPr>
                <w:sz w:val="20"/>
                <w:szCs w:val="20"/>
                <w:color w:val="auto"/>
              </w:rPr>
            </w:pPr>
            <w:r>
              <w:rPr>
                <w:rFonts w:ascii="Times New Roman" w:cs="Times New Roman" w:eastAsia="Times New Roman" w:hAnsi="Times New Roman"/>
                <w:sz w:val="13"/>
                <w:szCs w:val="13"/>
                <w:color w:val="auto"/>
              </w:rPr>
              <w:t>1 )</w:t>
            </w: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34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Dividends on convertible preferred</w:t>
            </w:r>
          </w:p>
        </w:tc>
        <w:tc>
          <w:tcPr>
            <w:tcW w:w="100" w:type="dxa"/>
            <w:vAlign w:val="bottom"/>
            <w:shd w:val="clear" w:color="auto" w:fill="CFF0FC"/>
          </w:tcPr>
          <w:p>
            <w:pPr>
              <w:spacing w:after="0"/>
              <w:rPr>
                <w:sz w:val="11"/>
                <w:szCs w:val="11"/>
                <w:color w:val="auto"/>
              </w:rPr>
            </w:pPr>
          </w:p>
        </w:tc>
        <w:tc>
          <w:tcPr>
            <w:tcW w:w="5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2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60" w:type="dxa"/>
            <w:vAlign w:val="bottom"/>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20" w:type="dxa"/>
            <w:vAlign w:val="bottom"/>
            <w:shd w:val="clear" w:color="auto" w:fill="CFF0FC"/>
          </w:tcPr>
          <w:p>
            <w:pPr>
              <w:spacing w:after="0"/>
              <w:rPr>
                <w:sz w:val="11"/>
                <w:szCs w:val="11"/>
                <w:color w:val="auto"/>
              </w:rPr>
            </w:pPr>
          </w:p>
        </w:tc>
        <w:tc>
          <w:tcPr>
            <w:tcW w:w="9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68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40" w:type="dxa"/>
            <w:vAlign w:val="bottom"/>
            <w:gridSpan w:val="2"/>
            <w:vMerge w:val="restart"/>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800" w:type="dxa"/>
            <w:vAlign w:val="bottom"/>
            <w:tcBorders>
              <w:right w:val="single" w:sz="8" w:color="auto"/>
            </w:tcBorders>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(1,950 )</w:t>
            </w: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stock</w:t>
            </w:r>
          </w:p>
        </w:tc>
        <w:tc>
          <w:tcPr>
            <w:tcW w:w="100" w:type="dxa"/>
            <w:vAlign w:val="bottom"/>
            <w:shd w:val="clear" w:color="auto" w:fill="CFF0FC"/>
          </w:tcPr>
          <w:p>
            <w:pPr>
              <w:spacing w:after="0"/>
              <w:rPr>
                <w:sz w:val="16"/>
                <w:szCs w:val="16"/>
                <w:color w:val="auto"/>
              </w:rPr>
            </w:pPr>
          </w:p>
        </w:tc>
        <w:tc>
          <w:tcPr>
            <w:tcW w:w="5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2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8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4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00" w:type="dxa"/>
            <w:vAlign w:val="bottom"/>
            <w:tcBorders>
              <w:right w:val="single" w:sz="8" w:color="auto"/>
            </w:tcBorders>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4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Payment of payroll taxes on stock-based</w:t>
            </w:r>
          </w:p>
        </w:tc>
        <w:tc>
          <w:tcPr>
            <w:tcW w:w="100" w:type="dxa"/>
            <w:vAlign w:val="bottom"/>
          </w:tcPr>
          <w:p>
            <w:pPr>
              <w:spacing w:after="0"/>
              <w:rPr>
                <w:sz w:val="10"/>
                <w:szCs w:val="10"/>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(349 )</w:t>
            </w:r>
          </w:p>
        </w:tc>
        <w:tc>
          <w:tcPr>
            <w:tcW w:w="80" w:type="dxa"/>
            <w:vAlign w:val="bottom"/>
          </w:tcPr>
          <w:p>
            <w:pPr>
              <w:spacing w:after="0"/>
              <w:rPr>
                <w:sz w:val="10"/>
                <w:szCs w:val="10"/>
                <w:color w:val="auto"/>
              </w:rPr>
            </w:pPr>
          </w:p>
        </w:tc>
        <w:tc>
          <w:tcPr>
            <w:tcW w:w="6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(349 )</w:t>
            </w:r>
          </w:p>
        </w:tc>
        <w:tc>
          <w:tcPr>
            <w:tcW w:w="100" w:type="dxa"/>
            <w:vAlign w:val="bottom"/>
          </w:tcPr>
          <w:p>
            <w:pPr>
              <w:spacing w:after="0"/>
              <w:rPr>
                <w:sz w:val="10"/>
                <w:szCs w:val="10"/>
                <w:color w:val="auto"/>
              </w:rPr>
            </w:pPr>
          </w:p>
        </w:tc>
        <w:tc>
          <w:tcPr>
            <w:tcW w:w="8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(349 )</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vMerge w:val="restart"/>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compensation through shares withheld</w:t>
            </w:r>
          </w:p>
        </w:tc>
        <w:tc>
          <w:tcPr>
            <w:tcW w:w="100" w:type="dxa"/>
            <w:vAlign w:val="bottom"/>
          </w:tcPr>
          <w:p>
            <w:pPr>
              <w:spacing w:after="0"/>
              <w:rPr>
                <w:sz w:val="15"/>
                <w:szCs w:val="15"/>
                <w:color w:val="auto"/>
              </w:rPr>
            </w:pPr>
          </w:p>
        </w:tc>
        <w:tc>
          <w:tcPr>
            <w:tcW w:w="5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(1,286 )</w:t>
            </w:r>
          </w:p>
        </w:tc>
        <w:tc>
          <w:tcPr>
            <w:tcW w:w="14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1,972</w:t>
            </w:r>
          </w:p>
        </w:tc>
        <w:tc>
          <w:tcPr>
            <w:tcW w:w="22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686</w:t>
            </w:r>
          </w:p>
        </w:tc>
        <w:tc>
          <w:tcPr>
            <w:tcW w:w="20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686</w:t>
            </w:r>
          </w:p>
        </w:tc>
        <w:tc>
          <w:tcPr>
            <w:tcW w:w="220" w:type="dxa"/>
            <w:vAlign w:val="bottom"/>
            <w:tcBorders>
              <w:right w:val="single" w:sz="8" w:color="auto"/>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34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Share-based compensation - equity</w:t>
            </w:r>
          </w:p>
        </w:tc>
        <w:tc>
          <w:tcPr>
            <w:tcW w:w="100" w:type="dxa"/>
            <w:vAlign w:val="bottom"/>
          </w:tcPr>
          <w:p>
            <w:pPr>
              <w:spacing w:after="0"/>
              <w:rPr>
                <w:sz w:val="10"/>
                <w:szCs w:val="10"/>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2,385</w:t>
            </w:r>
          </w:p>
        </w:tc>
        <w:tc>
          <w:tcPr>
            <w:tcW w:w="2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2,385</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2,385</w:t>
            </w:r>
          </w:p>
        </w:tc>
        <w:tc>
          <w:tcPr>
            <w:tcW w:w="2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vMerge w:val="restart"/>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awards</w:t>
            </w:r>
          </w:p>
        </w:tc>
        <w:tc>
          <w:tcPr>
            <w:tcW w:w="100" w:type="dxa"/>
            <w:vAlign w:val="bottom"/>
          </w:tcPr>
          <w:p>
            <w:pPr>
              <w:spacing w:after="0"/>
              <w:rPr>
                <w:sz w:val="15"/>
                <w:szCs w:val="15"/>
                <w:color w:val="auto"/>
              </w:rPr>
            </w:pPr>
          </w:p>
        </w:tc>
        <w:tc>
          <w:tcPr>
            <w:tcW w:w="5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34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shd w:val="clear" w:color="auto" w:fill="CFF0FC"/>
          </w:tcPr>
          <w:p>
            <w:pPr>
              <w:spacing w:after="0"/>
              <w:rPr>
                <w:sz w:val="11"/>
                <w:szCs w:val="11"/>
                <w:color w:val="auto"/>
              </w:rPr>
            </w:pPr>
          </w:p>
        </w:tc>
        <w:tc>
          <w:tcPr>
            <w:tcW w:w="5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2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6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3,412</w:t>
            </w:r>
          </w:p>
        </w:tc>
        <w:tc>
          <w:tcPr>
            <w:tcW w:w="2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8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4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3,412</w:t>
            </w:r>
          </w:p>
        </w:tc>
        <w:tc>
          <w:tcPr>
            <w:tcW w:w="2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737</w:t>
            </w:r>
          </w:p>
        </w:tc>
        <w:tc>
          <w:tcPr>
            <w:tcW w:w="20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4,149</w:t>
            </w:r>
          </w:p>
        </w:tc>
        <w:tc>
          <w:tcPr>
            <w:tcW w:w="220" w:type="dxa"/>
            <w:vAlign w:val="bottom"/>
            <w:tcBorders>
              <w:right w:val="single" w:sz="8" w:color="auto"/>
            </w:tcBorders>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49</w:t>
            </w:r>
          </w:p>
        </w:tc>
        <w:tc>
          <w:tcPr>
            <w:tcW w:w="2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shd w:val="clear" w:color="auto" w:fill="CFF0FC"/>
          </w:tcPr>
          <w:p>
            <w:pPr>
              <w:spacing w:after="0"/>
              <w:rPr>
                <w:sz w:val="16"/>
                <w:szCs w:val="16"/>
                <w:color w:val="auto"/>
              </w:rPr>
            </w:pPr>
          </w:p>
        </w:tc>
        <w:tc>
          <w:tcPr>
            <w:tcW w:w="5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2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8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8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44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60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tcBorders>
              <w:right w:val="single" w:sz="8" w:color="auto"/>
            </w:tcBorders>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4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4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tcPr>
          <w:p>
            <w:pPr>
              <w:spacing w:after="0"/>
              <w:rPr>
                <w:sz w:val="10"/>
                <w:szCs w:val="10"/>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407</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407</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407</w:t>
            </w:r>
          </w:p>
        </w:tc>
        <w:tc>
          <w:tcPr>
            <w:tcW w:w="2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vMerge w:val="restart"/>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tcPr>
          <w:p>
            <w:pPr>
              <w:spacing w:after="0"/>
              <w:rPr>
                <w:sz w:val="15"/>
                <w:szCs w:val="15"/>
                <w:color w:val="auto"/>
              </w:rPr>
            </w:pPr>
          </w:p>
        </w:tc>
        <w:tc>
          <w:tcPr>
            <w:tcW w:w="5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(41 )</w:t>
            </w:r>
          </w:p>
        </w:tc>
        <w:tc>
          <w:tcPr>
            <w:tcW w:w="140" w:type="dxa"/>
            <w:vAlign w:val="bottom"/>
            <w:shd w:val="clear" w:color="auto" w:fill="CFF0FC"/>
          </w:tcPr>
          <w:p>
            <w:pPr>
              <w:spacing w:after="0"/>
              <w:rPr>
                <w:sz w:val="15"/>
                <w:szCs w:val="15"/>
                <w:color w:val="auto"/>
              </w:rPr>
            </w:pPr>
          </w:p>
        </w:tc>
        <w:tc>
          <w:tcPr>
            <w:tcW w:w="620" w:type="dxa"/>
            <w:vAlign w:val="bottom"/>
            <w:shd w:val="clear" w:color="auto" w:fill="CFF0FC"/>
          </w:tcPr>
          <w:p>
            <w:pPr>
              <w:spacing w:after="0"/>
              <w:rPr>
                <w:sz w:val="15"/>
                <w:szCs w:val="15"/>
                <w:color w:val="auto"/>
              </w:rPr>
            </w:pPr>
          </w:p>
        </w:tc>
        <w:tc>
          <w:tcPr>
            <w:tcW w:w="24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68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4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(41 )</w:t>
            </w: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00" w:type="dxa"/>
            <w:vAlign w:val="bottom"/>
            <w:tcBorders>
              <w:right w:val="single" w:sz="8" w:color="auto"/>
            </w:tcBorders>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(41 )</w:t>
            </w:r>
          </w:p>
        </w:tc>
        <w:tc>
          <w:tcPr>
            <w:tcW w:w="8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351</w:t>
            </w:r>
          </w:p>
        </w:tc>
        <w:tc>
          <w:tcPr>
            <w:tcW w:w="22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34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0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240" w:type="dxa"/>
            <w:vAlign w:val="bottom"/>
            <w:tcBorders>
              <w:top w:val="single" w:sz="8" w:color="CFF0FC"/>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24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60" w:type="dxa"/>
            <w:vAlign w:val="bottom"/>
            <w:tcBorders>
              <w:top w:val="single" w:sz="8" w:color="auto"/>
            </w:tcBorders>
          </w:tcPr>
          <w:p>
            <w:pPr>
              <w:jc w:val="right"/>
              <w:spacing w:after="0" w:line="116" w:lineRule="exact"/>
              <w:rPr>
                <w:sz w:val="20"/>
                <w:szCs w:val="20"/>
                <w:color w:val="auto"/>
              </w:rPr>
            </w:pPr>
            <w:r>
              <w:rPr>
                <w:rFonts w:ascii="Times New Roman" w:cs="Times New Roman" w:eastAsia="Times New Roman" w:hAnsi="Times New Roman"/>
                <w:sz w:val="13"/>
                <w:szCs w:val="13"/>
                <w:color w:val="auto"/>
              </w:rPr>
              <w:t>(219,08</w:t>
            </w:r>
          </w:p>
        </w:tc>
        <w:tc>
          <w:tcPr>
            <w:tcW w:w="220" w:type="dxa"/>
            <w:vAlign w:val="bottom"/>
            <w:tcBorders>
              <w:top w:val="single" w:sz="8" w:color="CFF0FC"/>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jc w:val="right"/>
              <w:spacing w:after="0" w:line="116" w:lineRule="exact"/>
              <w:rPr>
                <w:sz w:val="20"/>
                <w:szCs w:val="20"/>
                <w:color w:val="auto"/>
              </w:rPr>
            </w:pPr>
            <w:r>
              <w:rPr>
                <w:rFonts w:ascii="Times New Roman" w:cs="Times New Roman" w:eastAsia="Times New Roman" w:hAnsi="Times New Roman"/>
                <w:sz w:val="13"/>
                <w:szCs w:val="13"/>
                <w:color w:val="auto"/>
              </w:rPr>
              <w:t>(18,16</w:t>
            </w:r>
          </w:p>
        </w:tc>
        <w:tc>
          <w:tcPr>
            <w:tcW w:w="20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20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220" w:type="dxa"/>
            <w:vAlign w:val="bottom"/>
            <w:tcBorders>
              <w:top w:val="single" w:sz="8" w:color="CFF0FC"/>
              <w:right w:val="single" w:sz="8" w:color="auto"/>
            </w:tcBorders>
          </w:tcPr>
          <w:p>
            <w:pPr>
              <w:spacing w:after="0"/>
              <w:rPr>
                <w:sz w:val="10"/>
                <w:szCs w:val="10"/>
                <w:color w:val="auto"/>
              </w:rPr>
            </w:pPr>
          </w:p>
        </w:tc>
        <w:tc>
          <w:tcPr>
            <w:tcW w:w="8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4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100" w:type="dxa"/>
            <w:vAlign w:val="bottom"/>
            <w:tcBorders>
              <w:top w:val="single" w:sz="8" w:color="CFF0FC"/>
            </w:tcBorders>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b w:val="1"/>
                <w:bCs w:val="1"/>
                <w:color w:val="auto"/>
              </w:rPr>
              <w:t>Balance, March 31, 2022</w:t>
            </w: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22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567,799</w:t>
            </w:r>
          </w:p>
        </w:tc>
        <w:tc>
          <w:tcPr>
            <w:tcW w:w="24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(380,671 )</w:t>
            </w:r>
          </w:p>
        </w:tc>
        <w:tc>
          <w:tcPr>
            <w:tcW w:w="12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(23,610 )</w:t>
            </w:r>
          </w:p>
        </w:tc>
        <w:tc>
          <w:tcPr>
            <w:tcW w:w="1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9 )</w:t>
            </w: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gridSpan w:val="2"/>
          </w:tcPr>
          <w:p>
            <w:pPr>
              <w:jc w:val="right"/>
              <w:ind w:right="140"/>
              <w:spacing w:after="0"/>
              <w:rPr>
                <w:sz w:val="20"/>
                <w:szCs w:val="20"/>
                <w:color w:val="auto"/>
              </w:rPr>
            </w:pPr>
            <w:r>
              <w:rPr>
                <w:rFonts w:ascii="Times New Roman" w:cs="Times New Roman" w:eastAsia="Times New Roman" w:hAnsi="Times New Roman"/>
                <w:sz w:val="13"/>
                <w:szCs w:val="13"/>
                <w:color w:val="auto"/>
              </w:rPr>
              <w:t>9 )</w:t>
            </w: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85,089</w:t>
            </w:r>
          </w:p>
        </w:tc>
        <w:tc>
          <w:tcPr>
            <w:tcW w:w="2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66,920</w:t>
            </w:r>
          </w:p>
        </w:tc>
        <w:tc>
          <w:tcPr>
            <w:tcW w:w="2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5,706</w:t>
            </w:r>
          </w:p>
        </w:tc>
        <w:tc>
          <w:tcPr>
            <w:tcW w:w="220" w:type="dxa"/>
            <w:vAlign w:val="bottom"/>
          </w:tcPr>
          <w:p>
            <w:pPr>
              <w:spacing w:after="0"/>
              <w:rPr>
                <w:sz w:val="16"/>
                <w:szCs w:val="16"/>
                <w:color w:val="auto"/>
              </w:rPr>
            </w:pPr>
          </w:p>
        </w:tc>
        <w:tc>
          <w:tcPr>
            <w:tcW w:w="80" w:type="dxa"/>
            <w:vAlign w:val="bottom"/>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Net income</w:t>
            </w:r>
          </w:p>
        </w:tc>
        <w:tc>
          <w:tcPr>
            <w:tcW w:w="100" w:type="dxa"/>
            <w:vAlign w:val="bottom"/>
            <w:shd w:val="clear" w:color="auto" w:fill="CFF0FC"/>
          </w:tcPr>
          <w:p>
            <w:pPr>
              <w:spacing w:after="0"/>
              <w:rPr>
                <w:sz w:val="13"/>
                <w:szCs w:val="13"/>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3"/>
                <w:szCs w:val="13"/>
                <w:color w:val="auto"/>
              </w:rPr>
            </w:pPr>
          </w:p>
        </w:tc>
        <w:tc>
          <w:tcPr>
            <w:tcW w:w="140" w:type="dxa"/>
            <w:vAlign w:val="bottom"/>
            <w:shd w:val="clear" w:color="auto" w:fill="CFF0FC"/>
          </w:tcPr>
          <w:p>
            <w:pPr>
              <w:spacing w:after="0"/>
              <w:rPr>
                <w:sz w:val="13"/>
                <w:szCs w:val="13"/>
                <w:color w:val="auto"/>
              </w:rPr>
            </w:pP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19,839</w:t>
            </w:r>
          </w:p>
        </w:tc>
        <w:tc>
          <w:tcPr>
            <w:tcW w:w="24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19,839</w:t>
            </w:r>
          </w:p>
        </w:tc>
        <w:tc>
          <w:tcPr>
            <w:tcW w:w="20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6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451</w:t>
            </w:r>
          </w:p>
        </w:tc>
        <w:tc>
          <w:tcPr>
            <w:tcW w:w="200" w:type="dxa"/>
            <w:vAlign w:val="bottom"/>
            <w:shd w:val="clear" w:color="auto" w:fill="CFF0FC"/>
          </w:tcPr>
          <w:p>
            <w:pPr>
              <w:spacing w:after="0"/>
              <w:rPr>
                <w:sz w:val="13"/>
                <w:szCs w:val="13"/>
                <w:color w:val="auto"/>
              </w:rPr>
            </w:pPr>
          </w:p>
        </w:tc>
        <w:tc>
          <w:tcPr>
            <w:tcW w:w="120" w:type="dxa"/>
            <w:vAlign w:val="bottom"/>
            <w:shd w:val="clear" w:color="auto" w:fill="CFF0FC"/>
          </w:tcPr>
          <w:p>
            <w:pPr>
              <w:spacing w:after="0"/>
              <w:rPr>
                <w:sz w:val="13"/>
                <w:szCs w:val="13"/>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20,290</w:t>
            </w:r>
          </w:p>
        </w:tc>
        <w:tc>
          <w:tcPr>
            <w:tcW w:w="220" w:type="dxa"/>
            <w:vAlign w:val="bottom"/>
            <w:tcBorders>
              <w:right w:val="single" w:sz="8" w:color="auto"/>
            </w:tcBorders>
            <w:shd w:val="clear" w:color="auto" w:fill="CFF0FC"/>
          </w:tcPr>
          <w:p>
            <w:pPr>
              <w:spacing w:after="0"/>
              <w:rPr>
                <w:sz w:val="13"/>
                <w:szCs w:val="13"/>
                <w:color w:val="auto"/>
              </w:rPr>
            </w:pPr>
          </w:p>
        </w:tc>
        <w:tc>
          <w:tcPr>
            <w:tcW w:w="8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(128</w:t>
            </w:r>
          </w:p>
        </w:tc>
        <w:tc>
          <w:tcPr>
            <w:tcW w:w="220" w:type="dxa"/>
            <w:vAlign w:val="bottom"/>
            <w:shd w:val="clear" w:color="auto" w:fill="CFF0FC"/>
          </w:tcPr>
          <w:p>
            <w:pPr>
              <w:jc w:val="right"/>
              <w:ind w:right="93"/>
              <w:spacing w:after="0"/>
              <w:rPr>
                <w:sz w:val="20"/>
                <w:szCs w:val="20"/>
                <w:color w:val="auto"/>
              </w:rPr>
            </w:pPr>
            <w:r>
              <w:rPr>
                <w:rFonts w:ascii="Times New Roman" w:cs="Times New Roman" w:eastAsia="Times New Roman" w:hAnsi="Times New Roman"/>
                <w:sz w:val="13"/>
                <w:szCs w:val="13"/>
                <w:color w:val="auto"/>
                <w:w w:val="91"/>
              </w:rPr>
              <w:t>)</w:t>
            </w:r>
          </w:p>
        </w:tc>
        <w:tc>
          <w:tcPr>
            <w:tcW w:w="80" w:type="dxa"/>
            <w:vAlign w:val="bottom"/>
            <w:shd w:val="clear" w:color="auto" w:fill="CFF0FC"/>
          </w:tcPr>
          <w:p>
            <w:pPr>
              <w:spacing w:after="0"/>
              <w:rPr>
                <w:sz w:val="13"/>
                <w:szCs w:val="13"/>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34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Dividends on convertible preferred</w:t>
            </w:r>
          </w:p>
        </w:tc>
        <w:tc>
          <w:tcPr>
            <w:tcW w:w="100" w:type="dxa"/>
            <w:vAlign w:val="bottom"/>
          </w:tcPr>
          <w:p>
            <w:pPr>
              <w:spacing w:after="0"/>
              <w:rPr>
                <w:sz w:val="10"/>
                <w:szCs w:val="10"/>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(1,950 )</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(1,950 )</w:t>
            </w:r>
          </w:p>
        </w:tc>
        <w:tc>
          <w:tcPr>
            <w:tcW w:w="100" w:type="dxa"/>
            <w:vAlign w:val="bottom"/>
          </w:tcPr>
          <w:p>
            <w:pPr>
              <w:spacing w:after="0"/>
              <w:rPr>
                <w:sz w:val="10"/>
                <w:szCs w:val="10"/>
                <w:color w:val="auto"/>
              </w:rPr>
            </w:pPr>
          </w:p>
        </w:tc>
        <w:tc>
          <w:tcPr>
            <w:tcW w:w="8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(1,950 )</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vMerge w:val="restart"/>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stock</w:t>
            </w:r>
          </w:p>
        </w:tc>
        <w:tc>
          <w:tcPr>
            <w:tcW w:w="100" w:type="dxa"/>
            <w:vAlign w:val="bottom"/>
          </w:tcPr>
          <w:p>
            <w:pPr>
              <w:spacing w:after="0"/>
              <w:rPr>
                <w:sz w:val="15"/>
                <w:szCs w:val="15"/>
                <w:color w:val="auto"/>
              </w:rPr>
            </w:pPr>
          </w:p>
        </w:tc>
        <w:tc>
          <w:tcPr>
            <w:tcW w:w="5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34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Distributions from noncontrolling</w:t>
            </w:r>
          </w:p>
        </w:tc>
        <w:tc>
          <w:tcPr>
            <w:tcW w:w="100" w:type="dxa"/>
            <w:vAlign w:val="bottom"/>
            <w:shd w:val="clear" w:color="auto" w:fill="CFF0FC"/>
          </w:tcPr>
          <w:p>
            <w:pPr>
              <w:spacing w:after="0"/>
              <w:rPr>
                <w:sz w:val="11"/>
                <w:szCs w:val="11"/>
                <w:color w:val="auto"/>
              </w:rPr>
            </w:pPr>
          </w:p>
        </w:tc>
        <w:tc>
          <w:tcPr>
            <w:tcW w:w="5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2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9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68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4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(570 )</w:t>
            </w:r>
          </w:p>
        </w:tc>
        <w:tc>
          <w:tcPr>
            <w:tcW w:w="120" w:type="dxa"/>
            <w:vAlign w:val="bottom"/>
            <w:shd w:val="clear" w:color="auto" w:fill="CFF0FC"/>
          </w:tcPr>
          <w:p>
            <w:pPr>
              <w:spacing w:after="0"/>
              <w:rPr>
                <w:sz w:val="11"/>
                <w:szCs w:val="11"/>
                <w:color w:val="auto"/>
              </w:rPr>
            </w:pPr>
          </w:p>
        </w:tc>
        <w:tc>
          <w:tcPr>
            <w:tcW w:w="800" w:type="dxa"/>
            <w:vAlign w:val="bottom"/>
            <w:tcBorders>
              <w:right w:val="single" w:sz="8" w:color="auto"/>
            </w:tcBorders>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(570 )</w:t>
            </w: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interest</w:t>
            </w:r>
          </w:p>
        </w:tc>
        <w:tc>
          <w:tcPr>
            <w:tcW w:w="100" w:type="dxa"/>
            <w:vAlign w:val="bottom"/>
            <w:shd w:val="clear" w:color="auto" w:fill="CFF0FC"/>
          </w:tcPr>
          <w:p>
            <w:pPr>
              <w:spacing w:after="0"/>
              <w:rPr>
                <w:sz w:val="16"/>
                <w:szCs w:val="16"/>
                <w:color w:val="auto"/>
              </w:rPr>
            </w:pPr>
          </w:p>
        </w:tc>
        <w:tc>
          <w:tcPr>
            <w:tcW w:w="5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2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8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4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00" w:type="dxa"/>
            <w:vAlign w:val="bottom"/>
            <w:tcBorders>
              <w:right w:val="single" w:sz="8" w:color="auto"/>
            </w:tcBorders>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4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Payment of payroll taxes on stock-based</w:t>
            </w:r>
          </w:p>
        </w:tc>
        <w:tc>
          <w:tcPr>
            <w:tcW w:w="100" w:type="dxa"/>
            <w:vAlign w:val="bottom"/>
          </w:tcPr>
          <w:p>
            <w:pPr>
              <w:spacing w:after="0"/>
              <w:rPr>
                <w:sz w:val="10"/>
                <w:szCs w:val="10"/>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(5 )</w:t>
            </w:r>
          </w:p>
        </w:tc>
        <w:tc>
          <w:tcPr>
            <w:tcW w:w="80" w:type="dxa"/>
            <w:vAlign w:val="bottom"/>
          </w:tcPr>
          <w:p>
            <w:pPr>
              <w:spacing w:after="0"/>
              <w:rPr>
                <w:sz w:val="10"/>
                <w:szCs w:val="10"/>
                <w:color w:val="auto"/>
              </w:rPr>
            </w:pPr>
          </w:p>
        </w:tc>
        <w:tc>
          <w:tcPr>
            <w:tcW w:w="64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(5 )</w:t>
            </w:r>
          </w:p>
        </w:tc>
        <w:tc>
          <w:tcPr>
            <w:tcW w:w="100" w:type="dxa"/>
            <w:vAlign w:val="bottom"/>
          </w:tcPr>
          <w:p>
            <w:pPr>
              <w:spacing w:after="0"/>
              <w:rPr>
                <w:sz w:val="10"/>
                <w:szCs w:val="10"/>
                <w:color w:val="auto"/>
              </w:rPr>
            </w:pPr>
          </w:p>
        </w:tc>
        <w:tc>
          <w:tcPr>
            <w:tcW w:w="8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800" w:type="dxa"/>
            <w:vAlign w:val="bottom"/>
            <w:tcBorders>
              <w:right w:val="single" w:sz="8" w:color="auto"/>
            </w:tcBorders>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(5 )</w:t>
            </w: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vMerge w:val="restart"/>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compensation through shares withheld</w:t>
            </w:r>
          </w:p>
        </w:tc>
        <w:tc>
          <w:tcPr>
            <w:tcW w:w="100" w:type="dxa"/>
            <w:vAlign w:val="bottom"/>
          </w:tcPr>
          <w:p>
            <w:pPr>
              <w:spacing w:after="0"/>
              <w:rPr>
                <w:sz w:val="15"/>
                <w:szCs w:val="15"/>
                <w:color w:val="auto"/>
              </w:rPr>
            </w:pPr>
          </w:p>
        </w:tc>
        <w:tc>
          <w:tcPr>
            <w:tcW w:w="5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Borders>
              <w:right w:val="single" w:sz="8" w:color="auto"/>
            </w:tcBorders>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(648 )</w:t>
            </w:r>
          </w:p>
        </w:tc>
        <w:tc>
          <w:tcPr>
            <w:tcW w:w="14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1,481</w:t>
            </w:r>
          </w:p>
        </w:tc>
        <w:tc>
          <w:tcPr>
            <w:tcW w:w="22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4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833</w:t>
            </w:r>
          </w:p>
        </w:tc>
        <w:tc>
          <w:tcPr>
            <w:tcW w:w="20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833</w:t>
            </w:r>
          </w:p>
        </w:tc>
        <w:tc>
          <w:tcPr>
            <w:tcW w:w="220" w:type="dxa"/>
            <w:vAlign w:val="bottom"/>
            <w:tcBorders>
              <w:right w:val="single" w:sz="8" w:color="auto"/>
            </w:tcBorders>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34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Share-based compensation - equity</w:t>
            </w:r>
          </w:p>
        </w:tc>
        <w:tc>
          <w:tcPr>
            <w:tcW w:w="100" w:type="dxa"/>
            <w:vAlign w:val="bottom"/>
          </w:tcPr>
          <w:p>
            <w:pPr>
              <w:spacing w:after="0"/>
              <w:rPr>
                <w:sz w:val="10"/>
                <w:szCs w:val="10"/>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3,370</w:t>
            </w:r>
          </w:p>
        </w:tc>
        <w:tc>
          <w:tcPr>
            <w:tcW w:w="2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3,370</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3,370</w:t>
            </w:r>
          </w:p>
        </w:tc>
        <w:tc>
          <w:tcPr>
            <w:tcW w:w="2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vMerge w:val="restart"/>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awards</w:t>
            </w:r>
          </w:p>
        </w:tc>
        <w:tc>
          <w:tcPr>
            <w:tcW w:w="100" w:type="dxa"/>
            <w:vAlign w:val="bottom"/>
          </w:tcPr>
          <w:p>
            <w:pPr>
              <w:spacing w:after="0"/>
              <w:rPr>
                <w:sz w:val="15"/>
                <w:szCs w:val="15"/>
                <w:color w:val="auto"/>
              </w:rPr>
            </w:pPr>
          </w:p>
        </w:tc>
        <w:tc>
          <w:tcPr>
            <w:tcW w:w="5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34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shd w:val="clear" w:color="auto" w:fill="CFF0FC"/>
          </w:tcPr>
          <w:p>
            <w:pPr>
              <w:spacing w:after="0"/>
              <w:rPr>
                <w:sz w:val="11"/>
                <w:szCs w:val="11"/>
                <w:color w:val="auto"/>
              </w:rPr>
            </w:pPr>
          </w:p>
        </w:tc>
        <w:tc>
          <w:tcPr>
            <w:tcW w:w="50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2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900" w:type="dxa"/>
            <w:vAlign w:val="bottom"/>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(11,543 )</w:t>
            </w:r>
          </w:p>
        </w:tc>
        <w:tc>
          <w:tcPr>
            <w:tcW w:w="120" w:type="dxa"/>
            <w:vAlign w:val="bottom"/>
            <w:shd w:val="clear" w:color="auto" w:fill="CFF0FC"/>
          </w:tcPr>
          <w:p>
            <w:pPr>
              <w:spacing w:after="0"/>
              <w:rPr>
                <w:sz w:val="11"/>
                <w:szCs w:val="11"/>
                <w:color w:val="auto"/>
              </w:rPr>
            </w:pPr>
          </w:p>
        </w:tc>
        <w:tc>
          <w:tcPr>
            <w:tcW w:w="68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440" w:type="dxa"/>
            <w:vAlign w:val="bottom"/>
            <w:shd w:val="clear" w:color="auto" w:fill="CFF0FC"/>
          </w:tcPr>
          <w:p>
            <w:pPr>
              <w:jc w:val="right"/>
              <w:spacing w:after="0" w:line="129" w:lineRule="exact"/>
              <w:rPr>
                <w:sz w:val="20"/>
                <w:szCs w:val="20"/>
                <w:color w:val="auto"/>
              </w:rPr>
            </w:pPr>
            <w:r>
              <w:rPr>
                <w:rFonts w:ascii="Times New Roman" w:cs="Times New Roman" w:eastAsia="Times New Roman" w:hAnsi="Times New Roman"/>
                <w:sz w:val="13"/>
                <w:szCs w:val="13"/>
                <w:color w:val="auto"/>
              </w:rPr>
              <w:t>(11,54</w:t>
            </w:r>
          </w:p>
        </w:tc>
        <w:tc>
          <w:tcPr>
            <w:tcW w:w="2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(2,014 )</w:t>
            </w:r>
          </w:p>
        </w:tc>
        <w:tc>
          <w:tcPr>
            <w:tcW w:w="120" w:type="dxa"/>
            <w:vAlign w:val="bottom"/>
            <w:shd w:val="clear" w:color="auto" w:fill="CFF0FC"/>
          </w:tcPr>
          <w:p>
            <w:pPr>
              <w:spacing w:after="0"/>
              <w:rPr>
                <w:sz w:val="11"/>
                <w:szCs w:val="11"/>
                <w:color w:val="auto"/>
              </w:rPr>
            </w:pPr>
          </w:p>
        </w:tc>
        <w:tc>
          <w:tcPr>
            <w:tcW w:w="800" w:type="dxa"/>
            <w:vAlign w:val="bottom"/>
            <w:tcBorders>
              <w:right w:val="single" w:sz="8" w:color="auto"/>
            </w:tcBorders>
            <w:gridSpan w:val="2"/>
            <w:vMerge w:val="restart"/>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(13,557 )</w:t>
            </w: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93"/>
              <w:spacing w:after="0"/>
              <w:rPr>
                <w:sz w:val="20"/>
                <w:szCs w:val="20"/>
                <w:color w:val="auto"/>
              </w:rPr>
            </w:pPr>
            <w:r>
              <w:rPr>
                <w:rFonts w:ascii="Times New Roman" w:cs="Times New Roman" w:eastAsia="Times New Roman" w:hAnsi="Times New Roman"/>
                <w:sz w:val="13"/>
                <w:szCs w:val="13"/>
                <w:color w:val="auto"/>
              </w:rPr>
              <w:t>(167 )</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shd w:val="clear" w:color="auto" w:fill="CFF0FC"/>
          </w:tcPr>
          <w:p>
            <w:pPr>
              <w:spacing w:after="0"/>
              <w:rPr>
                <w:sz w:val="16"/>
                <w:szCs w:val="16"/>
                <w:color w:val="auto"/>
              </w:rPr>
            </w:pPr>
          </w:p>
        </w:tc>
        <w:tc>
          <w:tcPr>
            <w:tcW w:w="50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2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8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4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3 )</w:t>
            </w: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800" w:type="dxa"/>
            <w:vAlign w:val="bottom"/>
            <w:tcBorders>
              <w:right w:val="single" w:sz="8" w:color="auto"/>
            </w:tcBorders>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4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tcPr>
          <w:p>
            <w:pPr>
              <w:spacing w:after="0"/>
              <w:rPr>
                <w:sz w:val="10"/>
                <w:szCs w:val="10"/>
                <w:color w:val="auto"/>
              </w:rPr>
            </w:pPr>
          </w:p>
        </w:tc>
        <w:tc>
          <w:tcPr>
            <w:tcW w:w="5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59</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4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59</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59</w:t>
            </w:r>
          </w:p>
        </w:tc>
        <w:tc>
          <w:tcPr>
            <w:tcW w:w="2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vMerge w:val="restart"/>
          </w:tcPr>
          <w:p>
            <w:pPr>
              <w:jc w:val="right"/>
              <w:ind w:right="153"/>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tcPr>
          <w:p>
            <w:pPr>
              <w:spacing w:after="0"/>
              <w:rPr>
                <w:sz w:val="15"/>
                <w:szCs w:val="15"/>
                <w:color w:val="auto"/>
              </w:rPr>
            </w:pPr>
          </w:p>
        </w:tc>
        <w:tc>
          <w:tcPr>
            <w:tcW w:w="50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shd w:val="clear" w:color="auto" w:fill="CFF0FC"/>
          </w:tcPr>
          <w:p>
            <w:pPr>
              <w:spacing w:after="0"/>
              <w:rPr>
                <w:sz w:val="15"/>
                <w:szCs w:val="15"/>
                <w:color w:val="auto"/>
              </w:rPr>
            </w:pPr>
          </w:p>
        </w:tc>
        <w:tc>
          <w:tcPr>
            <w:tcW w:w="5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8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(25 )</w:t>
            </w:r>
          </w:p>
        </w:tc>
        <w:tc>
          <w:tcPr>
            <w:tcW w:w="14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68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4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(25 )</w:t>
            </w: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800" w:type="dxa"/>
            <w:vAlign w:val="bottom"/>
            <w:tcBorders>
              <w:right w:val="single" w:sz="8" w:color="auto"/>
            </w:tcBorders>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(25 )</w:t>
            </w:r>
          </w:p>
        </w:tc>
        <w:tc>
          <w:tcPr>
            <w:tcW w:w="8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412</w:t>
            </w:r>
          </w:p>
        </w:tc>
        <w:tc>
          <w:tcPr>
            <w:tcW w:w="22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34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0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240" w:type="dxa"/>
            <w:vAlign w:val="bottom"/>
            <w:tcBorders>
              <w:top w:val="single" w:sz="8" w:color="CFF0FC"/>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24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68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460" w:type="dxa"/>
            <w:vAlign w:val="bottom"/>
            <w:tcBorders>
              <w:top w:val="single" w:sz="8" w:color="auto"/>
            </w:tcBorders>
          </w:tcPr>
          <w:p>
            <w:pPr>
              <w:jc w:val="right"/>
              <w:spacing w:after="0" w:line="116" w:lineRule="exact"/>
              <w:rPr>
                <w:sz w:val="20"/>
                <w:szCs w:val="20"/>
                <w:color w:val="auto"/>
              </w:rPr>
            </w:pPr>
            <w:r>
              <w:rPr>
                <w:rFonts w:ascii="Times New Roman" w:cs="Times New Roman" w:eastAsia="Times New Roman" w:hAnsi="Times New Roman"/>
                <w:sz w:val="13"/>
                <w:szCs w:val="13"/>
                <w:color w:val="auto"/>
              </w:rPr>
              <w:t>(217,61</w:t>
            </w:r>
          </w:p>
        </w:tc>
        <w:tc>
          <w:tcPr>
            <w:tcW w:w="220" w:type="dxa"/>
            <w:vAlign w:val="bottom"/>
            <w:tcBorders>
              <w:top w:val="single" w:sz="8" w:color="CFF0FC"/>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440" w:type="dxa"/>
            <w:vAlign w:val="bottom"/>
            <w:tcBorders>
              <w:top w:val="single" w:sz="8" w:color="auto"/>
            </w:tcBorders>
          </w:tcPr>
          <w:p>
            <w:pPr>
              <w:spacing w:after="0"/>
              <w:rPr>
                <w:sz w:val="10"/>
                <w:szCs w:val="10"/>
                <w:color w:val="auto"/>
              </w:rPr>
            </w:pPr>
          </w:p>
        </w:tc>
        <w:tc>
          <w:tcPr>
            <w:tcW w:w="20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200" w:type="dxa"/>
            <w:vAlign w:val="bottom"/>
            <w:tcBorders>
              <w:top w:val="single" w:sz="8" w:color="CFF0FC"/>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220" w:type="dxa"/>
            <w:vAlign w:val="bottom"/>
            <w:tcBorders>
              <w:top w:val="single" w:sz="8" w:color="CFF0FC"/>
              <w:right w:val="single" w:sz="8" w:color="auto"/>
            </w:tcBorders>
          </w:tcPr>
          <w:p>
            <w:pPr>
              <w:spacing w:after="0"/>
              <w:rPr>
                <w:sz w:val="10"/>
                <w:szCs w:val="10"/>
                <w:color w:val="auto"/>
              </w:rPr>
            </w:pPr>
          </w:p>
        </w:tc>
        <w:tc>
          <w:tcPr>
            <w:tcW w:w="80" w:type="dxa"/>
            <w:vAlign w:val="bottom"/>
            <w:tcBorders>
              <w:top w:val="single" w:sz="8" w:color="CFF0FC"/>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540" w:type="dxa"/>
            <w:vAlign w:val="bottom"/>
            <w:tcBorders>
              <w:top w:val="single" w:sz="8" w:color="auto"/>
            </w:tcBorders>
          </w:tcPr>
          <w:p>
            <w:pPr>
              <w:spacing w:after="0"/>
              <w:rPr>
                <w:sz w:val="10"/>
                <w:szCs w:val="10"/>
                <w:color w:val="auto"/>
              </w:rPr>
            </w:pPr>
          </w:p>
        </w:tc>
        <w:tc>
          <w:tcPr>
            <w:tcW w:w="220" w:type="dxa"/>
            <w:vAlign w:val="bottom"/>
            <w:tcBorders>
              <w:top w:val="single" w:sz="8" w:color="CFF0FC"/>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100" w:type="dxa"/>
            <w:vAlign w:val="bottom"/>
            <w:tcBorders>
              <w:top w:val="single" w:sz="8" w:color="CFF0FC"/>
            </w:tcBorders>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340" w:type="dxa"/>
            <w:vAlign w:val="bottom"/>
          </w:tcPr>
          <w:p>
            <w:pPr>
              <w:ind w:left="20"/>
              <w:spacing w:after="0"/>
              <w:rPr>
                <w:sz w:val="20"/>
                <w:szCs w:val="20"/>
                <w:color w:val="auto"/>
              </w:rPr>
            </w:pPr>
            <w:r>
              <w:rPr>
                <w:rFonts w:ascii="Times New Roman" w:cs="Times New Roman" w:eastAsia="Times New Roman" w:hAnsi="Times New Roman"/>
                <w:sz w:val="13"/>
                <w:szCs w:val="13"/>
                <w:b w:val="1"/>
                <w:bCs w:val="1"/>
                <w:color w:val="auto"/>
              </w:rPr>
              <w:t>Balance, June 30, 2022</w:t>
            </w: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570,496</w:t>
            </w:r>
          </w:p>
        </w:tc>
        <w:tc>
          <w:tcPr>
            <w:tcW w:w="24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(362,782 )</w:t>
            </w:r>
          </w:p>
        </w:tc>
        <w:tc>
          <w:tcPr>
            <w:tcW w:w="12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(35,094 )</w:t>
            </w:r>
          </w:p>
        </w:tc>
        <w:tc>
          <w:tcPr>
            <w:tcW w:w="12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3 )</w:t>
            </w: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gridSpan w:val="2"/>
          </w:tcPr>
          <w:p>
            <w:pPr>
              <w:jc w:val="right"/>
              <w:ind w:right="140"/>
              <w:spacing w:after="0"/>
              <w:rPr>
                <w:sz w:val="20"/>
                <w:szCs w:val="20"/>
                <w:color w:val="auto"/>
              </w:rPr>
            </w:pPr>
            <w:r>
              <w:rPr>
                <w:rFonts w:ascii="Times New Roman" w:cs="Times New Roman" w:eastAsia="Times New Roman" w:hAnsi="Times New Roman"/>
                <w:sz w:val="13"/>
                <w:szCs w:val="13"/>
                <w:color w:val="auto"/>
              </w:rPr>
              <w:t>(7,591 )</w:t>
            </w: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6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82,956</w:t>
            </w:r>
          </w:p>
        </w:tc>
        <w:tc>
          <w:tcPr>
            <w:tcW w:w="2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75,365</w:t>
            </w:r>
          </w:p>
        </w:tc>
        <w:tc>
          <w:tcPr>
            <w:tcW w:w="2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5,823</w:t>
            </w:r>
          </w:p>
        </w:tc>
        <w:tc>
          <w:tcPr>
            <w:tcW w:w="220" w:type="dxa"/>
            <w:vAlign w:val="bottom"/>
          </w:tcPr>
          <w:p>
            <w:pPr>
              <w:spacing w:after="0"/>
              <w:rPr>
                <w:sz w:val="16"/>
                <w:szCs w:val="16"/>
                <w:color w:val="auto"/>
              </w:rPr>
            </w:pPr>
          </w:p>
        </w:tc>
        <w:tc>
          <w:tcPr>
            <w:tcW w:w="80" w:type="dxa"/>
            <w:vAlign w:val="bottom"/>
          </w:tcPr>
          <w:p>
            <w:pPr>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1863090</wp:posOffset>
            </wp:positionH>
            <wp:positionV relativeFrom="paragraph">
              <wp:posOffset>-1977390</wp:posOffset>
            </wp:positionV>
            <wp:extent cx="76835"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2453640</wp:posOffset>
            </wp:positionH>
            <wp:positionV relativeFrom="paragraph">
              <wp:posOffset>-1977390</wp:posOffset>
            </wp:positionV>
            <wp:extent cx="76835"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3087370</wp:posOffset>
            </wp:positionH>
            <wp:positionV relativeFrom="paragraph">
              <wp:posOffset>-1977390</wp:posOffset>
            </wp:positionV>
            <wp:extent cx="76835"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3746500</wp:posOffset>
            </wp:positionH>
            <wp:positionV relativeFrom="paragraph">
              <wp:posOffset>-1977390</wp:posOffset>
            </wp:positionV>
            <wp:extent cx="76835"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4260215</wp:posOffset>
            </wp:positionH>
            <wp:positionV relativeFrom="paragraph">
              <wp:posOffset>-1977390</wp:posOffset>
            </wp:positionV>
            <wp:extent cx="6858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4723130</wp:posOffset>
            </wp:positionH>
            <wp:positionV relativeFrom="paragraph">
              <wp:posOffset>-1977390</wp:posOffset>
            </wp:positionV>
            <wp:extent cx="6858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-1977390</wp:posOffset>
            </wp:positionV>
            <wp:extent cx="6858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5869940</wp:posOffset>
            </wp:positionH>
            <wp:positionV relativeFrom="paragraph">
              <wp:posOffset>-1977390</wp:posOffset>
            </wp:positionV>
            <wp:extent cx="6858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6469380</wp:posOffset>
            </wp:positionH>
            <wp:positionV relativeFrom="paragraph">
              <wp:posOffset>-1977390</wp:posOffset>
            </wp:positionV>
            <wp:extent cx="6858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-1977390</wp:posOffset>
            </wp:positionV>
            <wp:extent cx="6858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1863090</wp:posOffset>
            </wp:positionH>
            <wp:positionV relativeFrom="paragraph">
              <wp:posOffset>-230505</wp:posOffset>
            </wp:positionV>
            <wp:extent cx="76835"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2453640</wp:posOffset>
            </wp:positionH>
            <wp:positionV relativeFrom="paragraph">
              <wp:posOffset>-230505</wp:posOffset>
            </wp:positionV>
            <wp:extent cx="76835"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3087370</wp:posOffset>
            </wp:positionH>
            <wp:positionV relativeFrom="paragraph">
              <wp:posOffset>-230505</wp:posOffset>
            </wp:positionV>
            <wp:extent cx="76835" cy="82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3746500</wp:posOffset>
            </wp:positionH>
            <wp:positionV relativeFrom="paragraph">
              <wp:posOffset>-230505</wp:posOffset>
            </wp:positionV>
            <wp:extent cx="76835"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4260215</wp:posOffset>
            </wp:positionH>
            <wp:positionV relativeFrom="paragraph">
              <wp:posOffset>-230505</wp:posOffset>
            </wp:positionV>
            <wp:extent cx="68580"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4723130</wp:posOffset>
            </wp:positionH>
            <wp:positionV relativeFrom="paragraph">
              <wp:posOffset>-230505</wp:posOffset>
            </wp:positionV>
            <wp:extent cx="6858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-230505</wp:posOffset>
            </wp:positionV>
            <wp:extent cx="6858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5869940</wp:posOffset>
            </wp:positionH>
            <wp:positionV relativeFrom="paragraph">
              <wp:posOffset>-230505</wp:posOffset>
            </wp:positionV>
            <wp:extent cx="6858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6469380</wp:posOffset>
            </wp:positionH>
            <wp:positionV relativeFrom="paragraph">
              <wp:posOffset>-230505</wp:posOffset>
            </wp:positionV>
            <wp:extent cx="68580"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-230505</wp:posOffset>
            </wp:positionV>
            <wp:extent cx="68580" cy="82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STOCKHOLDERS’ EQUITY AND MEZZANINE EQUITY (Continued)</w:t>
      </w:r>
    </w:p>
    <w:p>
      <w:pPr>
        <w:spacing w:after="0" w:line="1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3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gridSpan w:val="4"/>
          </w:tcPr>
          <w:p>
            <w:pPr>
              <w:jc w:val="right"/>
              <w:ind w:right="213"/>
              <w:spacing w:after="0"/>
              <w:rPr>
                <w:sz w:val="20"/>
                <w:szCs w:val="20"/>
                <w:color w:val="auto"/>
              </w:rPr>
            </w:pPr>
            <w:r>
              <w:rPr>
                <w:rFonts w:ascii="Times New Roman" w:cs="Times New Roman" w:eastAsia="Times New Roman" w:hAnsi="Times New Roman"/>
                <w:sz w:val="13"/>
                <w:szCs w:val="13"/>
                <w:b w:val="1"/>
                <w:bCs w:val="1"/>
                <w:color w:val="auto"/>
              </w:rPr>
              <w:t>Mezzanine Equity</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2380" w:type="dxa"/>
            <w:vAlign w:val="bottom"/>
          </w:tcPr>
          <w:p>
            <w:pPr>
              <w:spacing w:after="0"/>
              <w:rPr>
                <w:sz w:val="9"/>
                <w:szCs w:val="9"/>
                <w:color w:val="auto"/>
              </w:rPr>
            </w:pPr>
          </w:p>
        </w:tc>
        <w:tc>
          <w:tcPr>
            <w:tcW w:w="100" w:type="dxa"/>
            <w:vAlign w:val="bottom"/>
          </w:tcPr>
          <w:p>
            <w:pPr>
              <w:spacing w:after="0"/>
              <w:rPr>
                <w:sz w:val="9"/>
                <w:szCs w:val="9"/>
                <w:color w:val="auto"/>
              </w:rPr>
            </w:pPr>
          </w:p>
        </w:tc>
        <w:tc>
          <w:tcPr>
            <w:tcW w:w="4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 w:type="dxa"/>
            <w:vAlign w:val="bottom"/>
          </w:tcPr>
          <w:p>
            <w:pPr>
              <w:spacing w:after="0"/>
              <w:rPr>
                <w:sz w:val="9"/>
                <w:szCs w:val="9"/>
                <w:color w:val="auto"/>
              </w:rPr>
            </w:pPr>
          </w:p>
        </w:tc>
        <w:tc>
          <w:tcPr>
            <w:tcW w:w="480" w:type="dxa"/>
            <w:vAlign w:val="bottom"/>
          </w:tcPr>
          <w:p>
            <w:pPr>
              <w:spacing w:after="0"/>
              <w:rPr>
                <w:sz w:val="9"/>
                <w:szCs w:val="9"/>
                <w:color w:val="auto"/>
              </w:rPr>
            </w:pPr>
          </w:p>
        </w:tc>
        <w:tc>
          <w:tcPr>
            <w:tcW w:w="240" w:type="dxa"/>
            <w:vAlign w:val="bottom"/>
          </w:tcPr>
          <w:p>
            <w:pPr>
              <w:spacing w:after="0"/>
              <w:rPr>
                <w:sz w:val="9"/>
                <w:szCs w:val="9"/>
                <w:color w:val="auto"/>
              </w:rPr>
            </w:pPr>
          </w:p>
        </w:tc>
        <w:tc>
          <w:tcPr>
            <w:tcW w:w="5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0" w:type="dxa"/>
            <w:vAlign w:val="bottom"/>
            <w:gridSpan w:val="2"/>
          </w:tcPr>
          <w:p>
            <w:pPr>
              <w:jc w:val="center"/>
              <w:ind w:right="320"/>
              <w:spacing w:after="0" w:line="115" w:lineRule="exact"/>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20" w:type="dxa"/>
            <w:vAlign w:val="bottom"/>
            <w:gridSpan w:val="3"/>
          </w:tcPr>
          <w:p>
            <w:pPr>
              <w:spacing w:after="0" w:line="149" w:lineRule="exact"/>
              <w:rPr>
                <w:sz w:val="20"/>
                <w:szCs w:val="20"/>
                <w:color w:val="auto"/>
              </w:rPr>
            </w:pPr>
            <w:r>
              <w:rPr>
                <w:rFonts w:ascii="Times New Roman" w:cs="Times New Roman" w:eastAsia="Times New Roman" w:hAnsi="Times New Roman"/>
                <w:sz w:val="13"/>
                <w:szCs w:val="13"/>
                <w:b w:val="1"/>
                <w:bCs w:val="1"/>
                <w:color w:val="auto"/>
              </w:rPr>
              <w:t>Accumulated</w:t>
            </w:r>
          </w:p>
        </w:tc>
        <w:tc>
          <w:tcPr>
            <w:tcW w:w="1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Redeemabl</w:t>
            </w: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Redeemab</w:t>
            </w:r>
          </w:p>
        </w:tc>
        <w:tc>
          <w:tcPr>
            <w:tcW w:w="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tcPr>
          <w:p>
            <w:pPr>
              <w:jc w:val="center"/>
              <w:ind w:right="400"/>
              <w:spacing w:after="0" w:line="135" w:lineRule="exact"/>
              <w:rPr>
                <w:sz w:val="20"/>
                <w:szCs w:val="20"/>
                <w:color w:val="auto"/>
              </w:rPr>
            </w:pPr>
            <w:r>
              <w:rPr>
                <w:rFonts w:ascii="Times New Roman" w:cs="Times New Roman" w:eastAsia="Times New Roman" w:hAnsi="Times New Roman"/>
                <w:sz w:val="13"/>
                <w:szCs w:val="13"/>
                <w:b w:val="1"/>
                <w:bCs w:val="1"/>
                <w:color w:val="auto"/>
              </w:rPr>
              <w:t>Other</w:t>
            </w:r>
          </w:p>
        </w:tc>
        <w:tc>
          <w:tcPr>
            <w:tcW w:w="12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2"/>
          </w:tcPr>
          <w:p>
            <w:pPr>
              <w:jc w:val="center"/>
              <w:ind w:right="300"/>
              <w:spacing w:after="0" w:line="135" w:lineRule="exact"/>
              <w:rPr>
                <w:sz w:val="20"/>
                <w:szCs w:val="20"/>
                <w:color w:val="auto"/>
              </w:rPr>
            </w:pPr>
            <w:r>
              <w:rPr>
                <w:rFonts w:ascii="Times New Roman" w:cs="Times New Roman" w:eastAsia="Times New Roman" w:hAnsi="Times New Roman"/>
                <w:sz w:val="13"/>
                <w:szCs w:val="13"/>
                <w:b w:val="1"/>
                <w:bCs w:val="1"/>
                <w:color w:val="auto"/>
              </w:rPr>
              <w:t>e</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gridSpan w:val="2"/>
          </w:tcPr>
          <w:p>
            <w:pPr>
              <w:jc w:val="center"/>
              <w:ind w:right="300"/>
              <w:spacing w:after="0" w:line="135" w:lineRule="exact"/>
              <w:rPr>
                <w:sz w:val="20"/>
                <w:szCs w:val="20"/>
                <w:color w:val="auto"/>
              </w:rPr>
            </w:pPr>
            <w:r>
              <w:rPr>
                <w:rFonts w:ascii="Times New Roman" w:cs="Times New Roman" w:eastAsia="Times New Roman" w:hAnsi="Times New Roman"/>
                <w:sz w:val="13"/>
                <w:szCs w:val="13"/>
                <w:b w:val="1"/>
                <w:bCs w:val="1"/>
                <w:color w:val="auto"/>
              </w:rPr>
              <w:t>le</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gridSpan w:val="3"/>
            <w:vMerge w:val="restart"/>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w:t>
            </w:r>
          </w:p>
        </w:tc>
        <w:tc>
          <w:tcPr>
            <w:tcW w:w="1020" w:type="dxa"/>
            <w:vAlign w:val="bottom"/>
            <w:gridSpan w:val="3"/>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Comprehens</w:t>
            </w:r>
          </w:p>
        </w:tc>
        <w:tc>
          <w:tcPr>
            <w:tcW w:w="840" w:type="dxa"/>
            <w:vAlign w:val="bottom"/>
            <w:gridSpan w:val="3"/>
            <w:vMerge w:val="restart"/>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Common</w:t>
            </w:r>
          </w:p>
        </w:tc>
        <w:tc>
          <w:tcPr>
            <w:tcW w:w="7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rPr>
              <w:t>Total</w:t>
            </w:r>
          </w:p>
        </w:tc>
        <w:tc>
          <w:tcPr>
            <w:tcW w:w="100" w:type="dxa"/>
            <w:vAlign w:val="bottom"/>
          </w:tcPr>
          <w:p>
            <w:pPr>
              <w:spacing w:after="0"/>
              <w:rPr>
                <w:sz w:val="12"/>
                <w:szCs w:val="12"/>
                <w:color w:val="auto"/>
              </w:rPr>
            </w:pPr>
          </w:p>
        </w:tc>
        <w:tc>
          <w:tcPr>
            <w:tcW w:w="800" w:type="dxa"/>
            <w:vAlign w:val="bottom"/>
            <w:gridSpan w:val="2"/>
          </w:tcPr>
          <w:p>
            <w:pPr>
              <w:jc w:val="center"/>
              <w:ind w:right="280"/>
              <w:spacing w:after="0" w:line="149" w:lineRule="exact"/>
              <w:rPr>
                <w:sz w:val="20"/>
                <w:szCs w:val="20"/>
                <w:color w:val="auto"/>
              </w:rPr>
            </w:pPr>
            <w:r>
              <w:rPr>
                <w:rFonts w:ascii="Times New Roman" w:cs="Times New Roman" w:eastAsia="Times New Roman" w:hAnsi="Times New Roman"/>
                <w:sz w:val="13"/>
                <w:szCs w:val="13"/>
                <w:b w:val="1"/>
                <w:bCs w:val="1"/>
                <w:color w:val="auto"/>
              </w:rPr>
              <w:t>Non-</w:t>
            </w:r>
          </w:p>
        </w:tc>
        <w:tc>
          <w:tcPr>
            <w:tcW w:w="100" w:type="dxa"/>
            <w:vAlign w:val="bottom"/>
          </w:tcPr>
          <w:p>
            <w:pPr>
              <w:spacing w:after="0"/>
              <w:rPr>
                <w:sz w:val="12"/>
                <w:szCs w:val="12"/>
                <w:color w:val="auto"/>
              </w:rPr>
            </w:pPr>
          </w:p>
        </w:tc>
        <w:tc>
          <w:tcPr>
            <w:tcW w:w="780" w:type="dxa"/>
            <w:vAlign w:val="bottom"/>
            <w:tcBorders>
              <w:right w:val="single" w:sz="8" w:color="auto"/>
            </w:tcBorders>
            <w:gridSpan w:val="2"/>
          </w:tcPr>
          <w:p>
            <w:pPr>
              <w:jc w:val="center"/>
              <w:ind w:right="320"/>
              <w:spacing w:after="0" w:line="149" w:lineRule="exact"/>
              <w:rPr>
                <w:sz w:val="20"/>
                <w:szCs w:val="20"/>
                <w:color w:val="auto"/>
              </w:rPr>
            </w:pPr>
            <w:r>
              <w:rPr>
                <w:rFonts w:ascii="Times New Roman" w:cs="Times New Roman" w:eastAsia="Times New Roman" w:hAnsi="Times New Roman"/>
                <w:sz w:val="13"/>
                <w:szCs w:val="13"/>
                <w:b w:val="1"/>
                <w:bCs w:val="1"/>
                <w:color w:val="auto"/>
              </w:rPr>
              <w:t>Total</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center"/>
              <w:ind w:right="280"/>
              <w:spacing w:after="0" w:line="149" w:lineRule="exact"/>
              <w:rPr>
                <w:sz w:val="20"/>
                <w:szCs w:val="20"/>
                <w:color w:val="auto"/>
              </w:rPr>
            </w:pPr>
            <w:r>
              <w:rPr>
                <w:rFonts w:ascii="Times New Roman" w:cs="Times New Roman" w:eastAsia="Times New Roman" w:hAnsi="Times New Roman"/>
                <w:sz w:val="13"/>
                <w:szCs w:val="13"/>
                <w:b w:val="1"/>
                <w:bCs w:val="1"/>
                <w:color w:val="auto"/>
              </w:rPr>
              <w:t>Non-</w:t>
            </w:r>
          </w:p>
        </w:tc>
        <w:tc>
          <w:tcPr>
            <w:tcW w:w="740" w:type="dxa"/>
            <w:vAlign w:val="bottom"/>
            <w:gridSpan w:val="2"/>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Convertible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gridSpan w:val="3"/>
            <w:vMerge w:val="continue"/>
          </w:tcPr>
          <w:p>
            <w:pPr>
              <w:spacing w:after="0"/>
              <w:rPr>
                <w:sz w:val="11"/>
                <w:szCs w:val="11"/>
                <w:color w:val="auto"/>
              </w:rPr>
            </w:pPr>
          </w:p>
        </w:tc>
        <w:tc>
          <w:tcPr>
            <w:tcW w:w="120" w:type="dxa"/>
            <w:vAlign w:val="bottom"/>
          </w:tcPr>
          <w:p>
            <w:pPr>
              <w:spacing w:after="0"/>
              <w:rPr>
                <w:sz w:val="11"/>
                <w:szCs w:val="11"/>
                <w:color w:val="auto"/>
              </w:rPr>
            </w:pPr>
          </w:p>
        </w:tc>
        <w:tc>
          <w:tcPr>
            <w:tcW w:w="900" w:type="dxa"/>
            <w:vAlign w:val="bottom"/>
            <w:gridSpan w:val="2"/>
          </w:tcPr>
          <w:p>
            <w:pPr>
              <w:jc w:val="center"/>
              <w:ind w:right="380"/>
              <w:spacing w:after="0" w:line="135" w:lineRule="exact"/>
              <w:rPr>
                <w:sz w:val="20"/>
                <w:szCs w:val="20"/>
                <w:color w:val="auto"/>
              </w:rPr>
            </w:pPr>
            <w:r>
              <w:rPr>
                <w:rFonts w:ascii="Times New Roman" w:cs="Times New Roman" w:eastAsia="Times New Roman" w:hAnsi="Times New Roman"/>
                <w:sz w:val="13"/>
                <w:szCs w:val="13"/>
                <w:b w:val="1"/>
                <w:bCs w:val="1"/>
                <w:color w:val="auto"/>
              </w:rPr>
              <w:t>ive</w:t>
            </w:r>
          </w:p>
        </w:tc>
        <w:tc>
          <w:tcPr>
            <w:tcW w:w="840" w:type="dxa"/>
            <w:vAlign w:val="bottom"/>
            <w:gridSpan w:val="3"/>
            <w:vMerge w:val="continue"/>
          </w:tcPr>
          <w:p>
            <w:pPr>
              <w:spacing w:after="0"/>
              <w:rPr>
                <w:sz w:val="11"/>
                <w:szCs w:val="11"/>
                <w:color w:val="auto"/>
              </w:rPr>
            </w:pPr>
          </w:p>
        </w:tc>
        <w:tc>
          <w:tcPr>
            <w:tcW w:w="720" w:type="dxa"/>
            <w:vAlign w:val="bottom"/>
            <w:gridSpan w:val="2"/>
            <w:vMerge w:val="continue"/>
          </w:tcPr>
          <w:p>
            <w:pPr>
              <w:spacing w:after="0"/>
              <w:rPr>
                <w:sz w:val="11"/>
                <w:szCs w:val="11"/>
                <w:color w:val="auto"/>
              </w:rPr>
            </w:pPr>
          </w:p>
        </w:tc>
        <w:tc>
          <w:tcPr>
            <w:tcW w:w="900" w:type="dxa"/>
            <w:vAlign w:val="bottom"/>
            <w:gridSpan w:val="3"/>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Controllin</w:t>
            </w:r>
          </w:p>
        </w:tc>
        <w:tc>
          <w:tcPr>
            <w:tcW w:w="880" w:type="dxa"/>
            <w:vAlign w:val="bottom"/>
            <w:tcBorders>
              <w:right w:val="single" w:sz="8" w:color="auto"/>
            </w:tcBorders>
            <w:gridSpan w:val="3"/>
          </w:tcPr>
          <w:p>
            <w:pPr>
              <w:ind w:left="20"/>
              <w:spacing w:after="0" w:line="135" w:lineRule="exact"/>
              <w:rPr>
                <w:sz w:val="20"/>
                <w:szCs w:val="20"/>
                <w:color w:val="auto"/>
              </w:rPr>
            </w:pPr>
            <w:r>
              <w:rPr>
                <w:rFonts w:ascii="Times New Roman" w:cs="Times New Roman" w:eastAsia="Times New Roman" w:hAnsi="Times New Roman"/>
                <w:sz w:val="13"/>
                <w:szCs w:val="13"/>
                <w:b w:val="1"/>
                <w:bCs w:val="1"/>
                <w:color w:val="auto"/>
              </w:rPr>
              <w:t>Stockholde</w:t>
            </w:r>
          </w:p>
        </w:tc>
        <w:tc>
          <w:tcPr>
            <w:tcW w:w="100" w:type="dxa"/>
            <w:vAlign w:val="bottom"/>
          </w:tcPr>
          <w:p>
            <w:pPr>
              <w:spacing w:after="0"/>
              <w:rPr>
                <w:sz w:val="11"/>
                <w:szCs w:val="11"/>
                <w:color w:val="auto"/>
              </w:rPr>
            </w:pPr>
          </w:p>
        </w:tc>
        <w:tc>
          <w:tcPr>
            <w:tcW w:w="840" w:type="dxa"/>
            <w:vAlign w:val="bottom"/>
            <w:gridSpan w:val="3"/>
          </w:tcPr>
          <w:p>
            <w:pPr>
              <w:ind w:left="20"/>
              <w:spacing w:after="0" w:line="135" w:lineRule="exact"/>
              <w:rPr>
                <w:sz w:val="20"/>
                <w:szCs w:val="20"/>
                <w:color w:val="auto"/>
              </w:rPr>
            </w:pPr>
            <w:r>
              <w:rPr>
                <w:rFonts w:ascii="Times New Roman" w:cs="Times New Roman" w:eastAsia="Times New Roman" w:hAnsi="Times New Roman"/>
                <w:sz w:val="13"/>
                <w:szCs w:val="13"/>
                <w:b w:val="1"/>
                <w:bCs w:val="1"/>
                <w:color w:val="auto"/>
              </w:rPr>
              <w:t>Controllin</w:t>
            </w:r>
          </w:p>
        </w:tc>
        <w:tc>
          <w:tcPr>
            <w:tcW w:w="80" w:type="dxa"/>
            <w:vAlign w:val="bottom"/>
          </w:tcPr>
          <w:p>
            <w:pPr>
              <w:spacing w:after="0"/>
              <w:rPr>
                <w:sz w:val="11"/>
                <w:szCs w:val="11"/>
                <w:color w:val="auto"/>
              </w:rPr>
            </w:pPr>
          </w:p>
        </w:tc>
        <w:tc>
          <w:tcPr>
            <w:tcW w:w="660" w:type="dxa"/>
            <w:vAlign w:val="bottom"/>
          </w:tcPr>
          <w:p>
            <w:pPr>
              <w:jc w:val="center"/>
              <w:ind w:right="13"/>
              <w:spacing w:after="0" w:line="135" w:lineRule="exact"/>
              <w:rPr>
                <w:sz w:val="20"/>
                <w:szCs w:val="20"/>
                <w:color w:val="auto"/>
              </w:rPr>
            </w:pPr>
            <w:r>
              <w:rPr>
                <w:rFonts w:ascii="Times New Roman" w:cs="Times New Roman" w:eastAsia="Times New Roman" w:hAnsi="Times New Roman"/>
                <w:sz w:val="13"/>
                <w:szCs w:val="13"/>
                <w:b w:val="1"/>
                <w:bCs w:val="1"/>
                <w:color w:val="auto"/>
              </w:rPr>
              <w:t>Series A</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380" w:type="dxa"/>
            <w:vAlign w:val="bottom"/>
          </w:tcPr>
          <w:p>
            <w:pPr>
              <w:spacing w:after="0"/>
              <w:rPr>
                <w:sz w:val="12"/>
                <w:szCs w:val="12"/>
                <w:color w:val="auto"/>
              </w:rPr>
            </w:pPr>
          </w:p>
        </w:tc>
        <w:tc>
          <w:tcPr>
            <w:tcW w:w="580" w:type="dxa"/>
            <w:vAlign w:val="bottom"/>
            <w:gridSpan w:val="2"/>
          </w:tcPr>
          <w:p>
            <w:pPr>
              <w:ind w:left="20"/>
              <w:spacing w:after="0" w:line="149" w:lineRule="exact"/>
              <w:rPr>
                <w:sz w:val="20"/>
                <w:szCs w:val="20"/>
                <w:color w:val="auto"/>
              </w:rPr>
            </w:pPr>
            <w:r>
              <w:rPr>
                <w:rFonts w:ascii="Times New Roman" w:cs="Times New Roman" w:eastAsia="Times New Roman" w:hAnsi="Times New Roman"/>
                <w:sz w:val="13"/>
                <w:szCs w:val="13"/>
                <w:b w:val="1"/>
                <w:bCs w:val="1"/>
                <w:color w:val="auto"/>
              </w:rPr>
              <w:t>Common</w:t>
            </w:r>
          </w:p>
        </w:tc>
        <w:tc>
          <w:tcPr>
            <w:tcW w:w="240" w:type="dxa"/>
            <w:vAlign w:val="bottom"/>
          </w:tcPr>
          <w:p>
            <w:pPr>
              <w:spacing w:after="0"/>
              <w:rPr>
                <w:sz w:val="12"/>
                <w:szCs w:val="12"/>
                <w:color w:val="auto"/>
              </w:rPr>
            </w:pPr>
          </w:p>
        </w:tc>
        <w:tc>
          <w:tcPr>
            <w:tcW w:w="900" w:type="dxa"/>
            <w:vAlign w:val="bottom"/>
            <w:gridSpan w:val="3"/>
          </w:tcPr>
          <w:p>
            <w:pPr>
              <w:jc w:val="right"/>
              <w:ind w:right="260"/>
              <w:spacing w:after="0" w:line="149" w:lineRule="exact"/>
              <w:rPr>
                <w:sz w:val="20"/>
                <w:szCs w:val="20"/>
                <w:color w:val="auto"/>
              </w:rPr>
            </w:pPr>
            <w:r>
              <w:rPr>
                <w:rFonts w:ascii="Times New Roman" w:cs="Times New Roman" w:eastAsia="Times New Roman" w:hAnsi="Times New Roman"/>
                <w:sz w:val="13"/>
                <w:szCs w:val="13"/>
                <w:b w:val="1"/>
                <w:bCs w:val="1"/>
                <w:color w:val="auto"/>
              </w:rPr>
              <w:t>Additional</w:t>
            </w:r>
          </w:p>
        </w:tc>
        <w:tc>
          <w:tcPr>
            <w:tcW w:w="140" w:type="dxa"/>
            <w:vAlign w:val="bottom"/>
          </w:tcPr>
          <w:p>
            <w:pPr>
              <w:spacing w:after="0"/>
              <w:rPr>
                <w:sz w:val="12"/>
                <w:szCs w:val="12"/>
                <w:color w:val="auto"/>
              </w:rPr>
            </w:pPr>
          </w:p>
        </w:tc>
        <w:tc>
          <w:tcPr>
            <w:tcW w:w="860" w:type="dxa"/>
            <w:vAlign w:val="bottom"/>
            <w:gridSpan w:val="2"/>
          </w:tcPr>
          <w:p>
            <w:pPr>
              <w:jc w:val="center"/>
              <w:ind w:right="380"/>
              <w:spacing w:after="0" w:line="149" w:lineRule="exact"/>
              <w:rPr>
                <w:sz w:val="20"/>
                <w:szCs w:val="20"/>
                <w:color w:val="auto"/>
              </w:rPr>
            </w:pPr>
            <w:r>
              <w:rPr>
                <w:rFonts w:ascii="Times New Roman" w:cs="Times New Roman" w:eastAsia="Times New Roman" w:hAnsi="Times New Roman"/>
                <w:sz w:val="13"/>
                <w:szCs w:val="13"/>
                <w:b w:val="1"/>
                <w:bCs w:val="1"/>
                <w:color w:val="auto"/>
              </w:rPr>
              <w:t>d</w:t>
            </w:r>
          </w:p>
        </w:tc>
        <w:tc>
          <w:tcPr>
            <w:tcW w:w="120" w:type="dxa"/>
            <w:vAlign w:val="bottom"/>
          </w:tcPr>
          <w:p>
            <w:pPr>
              <w:spacing w:after="0"/>
              <w:rPr>
                <w:sz w:val="12"/>
                <w:szCs w:val="12"/>
                <w:color w:val="auto"/>
              </w:rPr>
            </w:pPr>
          </w:p>
        </w:tc>
        <w:tc>
          <w:tcPr>
            <w:tcW w:w="900" w:type="dxa"/>
            <w:vAlign w:val="bottom"/>
            <w:gridSpan w:val="2"/>
          </w:tcPr>
          <w:p>
            <w:pPr>
              <w:jc w:val="center"/>
              <w:ind w:right="400"/>
              <w:spacing w:after="0" w:line="149" w:lineRule="exact"/>
              <w:rPr>
                <w:sz w:val="20"/>
                <w:szCs w:val="20"/>
                <w:color w:val="auto"/>
              </w:rPr>
            </w:pPr>
            <w:r>
              <w:rPr>
                <w:rFonts w:ascii="Times New Roman" w:cs="Times New Roman" w:eastAsia="Times New Roman" w:hAnsi="Times New Roman"/>
                <w:sz w:val="13"/>
                <w:szCs w:val="13"/>
                <w:b w:val="1"/>
                <w:bCs w:val="1"/>
                <w:color w:val="auto"/>
              </w:rPr>
              <w:t>Income</w:t>
            </w:r>
          </w:p>
        </w:tc>
        <w:tc>
          <w:tcPr>
            <w:tcW w:w="840" w:type="dxa"/>
            <w:vAlign w:val="bottom"/>
            <w:gridSpan w:val="3"/>
          </w:tcPr>
          <w:p>
            <w:pPr>
              <w:jc w:val="center"/>
              <w:ind w:right="240"/>
              <w:spacing w:after="0" w:line="149" w:lineRule="exact"/>
              <w:rPr>
                <w:sz w:val="20"/>
                <w:szCs w:val="20"/>
                <w:color w:val="auto"/>
              </w:rPr>
            </w:pPr>
            <w:r>
              <w:rPr>
                <w:rFonts w:ascii="Times New Roman" w:cs="Times New Roman" w:eastAsia="Times New Roman" w:hAnsi="Times New Roman"/>
                <w:sz w:val="13"/>
                <w:szCs w:val="13"/>
                <w:b w:val="1"/>
                <w:bCs w:val="1"/>
                <w:color w:val="auto"/>
              </w:rPr>
              <w:t>Stock in</w:t>
            </w:r>
          </w:p>
        </w:tc>
        <w:tc>
          <w:tcPr>
            <w:tcW w:w="72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3"/>
                <w:szCs w:val="13"/>
                <w:b w:val="1"/>
                <w:bCs w:val="1"/>
                <w:color w:val="auto"/>
              </w:rPr>
              <w:t>Viad</w:t>
            </w:r>
          </w:p>
        </w:tc>
        <w:tc>
          <w:tcPr>
            <w:tcW w:w="100" w:type="dxa"/>
            <w:vAlign w:val="bottom"/>
          </w:tcPr>
          <w:p>
            <w:pPr>
              <w:spacing w:after="0"/>
              <w:rPr>
                <w:sz w:val="12"/>
                <w:szCs w:val="12"/>
                <w:color w:val="auto"/>
              </w:rPr>
            </w:pPr>
          </w:p>
        </w:tc>
        <w:tc>
          <w:tcPr>
            <w:tcW w:w="800" w:type="dxa"/>
            <w:vAlign w:val="bottom"/>
            <w:gridSpan w:val="2"/>
          </w:tcPr>
          <w:p>
            <w:pPr>
              <w:jc w:val="center"/>
              <w:ind w:right="300"/>
              <w:spacing w:after="0" w:line="149" w:lineRule="exact"/>
              <w:rPr>
                <w:sz w:val="20"/>
                <w:szCs w:val="20"/>
                <w:color w:val="auto"/>
              </w:rPr>
            </w:pPr>
            <w:r>
              <w:rPr>
                <w:rFonts w:ascii="Times New Roman" w:cs="Times New Roman" w:eastAsia="Times New Roman" w:hAnsi="Times New Roman"/>
                <w:sz w:val="13"/>
                <w:szCs w:val="13"/>
                <w:b w:val="1"/>
                <w:bCs w:val="1"/>
                <w:color w:val="auto"/>
                <w:w w:val="91"/>
              </w:rPr>
              <w:t>g</w:t>
            </w:r>
          </w:p>
        </w:tc>
        <w:tc>
          <w:tcPr>
            <w:tcW w:w="100" w:type="dxa"/>
            <w:vAlign w:val="bottom"/>
          </w:tcPr>
          <w:p>
            <w:pPr>
              <w:spacing w:after="0"/>
              <w:rPr>
                <w:sz w:val="12"/>
                <w:szCs w:val="12"/>
                <w:color w:val="auto"/>
              </w:rPr>
            </w:pPr>
          </w:p>
        </w:tc>
        <w:tc>
          <w:tcPr>
            <w:tcW w:w="780" w:type="dxa"/>
            <w:vAlign w:val="bottom"/>
            <w:tcBorders>
              <w:right w:val="single" w:sz="8" w:color="auto"/>
            </w:tcBorders>
            <w:gridSpan w:val="2"/>
          </w:tcPr>
          <w:p>
            <w:pPr>
              <w:jc w:val="center"/>
              <w:ind w:right="300"/>
              <w:spacing w:after="0" w:line="149" w:lineRule="exact"/>
              <w:rPr>
                <w:sz w:val="20"/>
                <w:szCs w:val="20"/>
                <w:color w:val="auto"/>
              </w:rPr>
            </w:pPr>
            <w:r>
              <w:rPr>
                <w:rFonts w:ascii="Times New Roman" w:cs="Times New Roman" w:eastAsia="Times New Roman" w:hAnsi="Times New Roman"/>
                <w:sz w:val="13"/>
                <w:szCs w:val="13"/>
                <w:b w:val="1"/>
                <w:bCs w:val="1"/>
                <w:color w:val="auto"/>
              </w:rPr>
              <w:t>rs’</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gridSpan w:val="2"/>
          </w:tcPr>
          <w:p>
            <w:pPr>
              <w:jc w:val="center"/>
              <w:ind w:right="280"/>
              <w:spacing w:after="0" w:line="149" w:lineRule="exact"/>
              <w:rPr>
                <w:sz w:val="20"/>
                <w:szCs w:val="20"/>
                <w:color w:val="auto"/>
              </w:rPr>
            </w:pPr>
            <w:r>
              <w:rPr>
                <w:rFonts w:ascii="Times New Roman" w:cs="Times New Roman" w:eastAsia="Times New Roman" w:hAnsi="Times New Roman"/>
                <w:sz w:val="13"/>
                <w:szCs w:val="13"/>
                <w:b w:val="1"/>
                <w:bCs w:val="1"/>
                <w:color w:val="auto"/>
              </w:rPr>
              <w:t>g</w:t>
            </w:r>
          </w:p>
        </w:tc>
        <w:tc>
          <w:tcPr>
            <w:tcW w:w="80" w:type="dxa"/>
            <w:vAlign w:val="bottom"/>
          </w:tcPr>
          <w:p>
            <w:pPr>
              <w:spacing w:after="0"/>
              <w:rPr>
                <w:sz w:val="12"/>
                <w:szCs w:val="12"/>
                <w:color w:val="auto"/>
              </w:rPr>
            </w:pPr>
          </w:p>
        </w:tc>
        <w:tc>
          <w:tcPr>
            <w:tcW w:w="660" w:type="dxa"/>
            <w:vAlign w:val="bottom"/>
          </w:tcPr>
          <w:p>
            <w:pPr>
              <w:jc w:val="center"/>
              <w:ind w:right="33"/>
              <w:spacing w:after="0" w:line="149" w:lineRule="exact"/>
              <w:rPr>
                <w:sz w:val="20"/>
                <w:szCs w:val="20"/>
                <w:color w:val="auto"/>
              </w:rPr>
            </w:pPr>
            <w:r>
              <w:rPr>
                <w:rFonts w:ascii="Times New Roman" w:cs="Times New Roman" w:eastAsia="Times New Roman" w:hAnsi="Times New Roman"/>
                <w:sz w:val="13"/>
                <w:szCs w:val="13"/>
                <w:b w:val="1"/>
                <w:bCs w:val="1"/>
                <w:color w:val="auto"/>
              </w:rPr>
              <w:t>Preferred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i w:val="1"/>
                <w:iCs w:val="1"/>
                <w:color w:val="auto"/>
              </w:rPr>
              <w:t>(in thousands)</w:t>
            </w:r>
          </w:p>
        </w:tc>
        <w:tc>
          <w:tcPr>
            <w:tcW w:w="10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ind w:right="53"/>
              <w:spacing w:after="0"/>
              <w:rPr>
                <w:sz w:val="20"/>
                <w:szCs w:val="20"/>
                <w:color w:val="auto"/>
              </w:rPr>
            </w:pPr>
            <w:r>
              <w:rPr>
                <w:rFonts w:ascii="Times New Roman" w:cs="Times New Roman" w:eastAsia="Times New Roman" w:hAnsi="Times New Roman"/>
                <w:sz w:val="13"/>
                <w:szCs w:val="13"/>
                <w:b w:val="1"/>
                <w:bCs w:val="1"/>
                <w:color w:val="auto"/>
              </w:rPr>
              <w:t>Stock</w:t>
            </w:r>
          </w:p>
        </w:tc>
        <w:tc>
          <w:tcPr>
            <w:tcW w:w="24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right"/>
              <w:ind w:right="73"/>
              <w:spacing w:after="0"/>
              <w:rPr>
                <w:sz w:val="20"/>
                <w:szCs w:val="20"/>
                <w:color w:val="auto"/>
              </w:rPr>
            </w:pPr>
            <w:r>
              <w:rPr>
                <w:rFonts w:ascii="Times New Roman" w:cs="Times New Roman" w:eastAsia="Times New Roman" w:hAnsi="Times New Roman"/>
                <w:sz w:val="13"/>
                <w:szCs w:val="13"/>
                <w:b w:val="1"/>
                <w:bCs w:val="1"/>
                <w:color w:val="auto"/>
              </w:rPr>
              <w:t>Capital</w:t>
            </w:r>
          </w:p>
        </w:tc>
        <w:tc>
          <w:tcPr>
            <w:tcW w:w="2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Deficit</w:t>
            </w:r>
          </w:p>
        </w:tc>
        <w:tc>
          <w:tcPr>
            <w:tcW w:w="2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(Loss)</w:t>
            </w:r>
          </w:p>
        </w:tc>
        <w:tc>
          <w:tcPr>
            <w:tcW w:w="240" w:type="dxa"/>
            <w:vAlign w:val="bottom"/>
          </w:tcPr>
          <w:p>
            <w:pPr>
              <w:spacing w:after="0"/>
              <w:rPr>
                <w:sz w:val="16"/>
                <w:szCs w:val="16"/>
                <w:color w:val="auto"/>
              </w:rPr>
            </w:pPr>
          </w:p>
        </w:tc>
        <w:tc>
          <w:tcPr>
            <w:tcW w:w="60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3"/>
                <w:szCs w:val="13"/>
                <w:b w:val="1"/>
                <w:bCs w:val="1"/>
                <w:color w:val="auto"/>
              </w:rPr>
              <w:t>Treasury</w:t>
            </w:r>
          </w:p>
        </w:tc>
        <w:tc>
          <w:tcPr>
            <w:tcW w:w="240" w:type="dxa"/>
            <w:vAlign w:val="bottom"/>
          </w:tcPr>
          <w:p>
            <w:pPr>
              <w:spacing w:after="0"/>
              <w:rPr>
                <w:sz w:val="16"/>
                <w:szCs w:val="16"/>
                <w:color w:val="auto"/>
              </w:rPr>
            </w:pPr>
          </w:p>
        </w:tc>
        <w:tc>
          <w:tcPr>
            <w:tcW w:w="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2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center"/>
              <w:ind w:right="33"/>
              <w:spacing w:after="0"/>
              <w:rPr>
                <w:sz w:val="20"/>
                <w:szCs w:val="20"/>
                <w:color w:val="auto"/>
              </w:rPr>
            </w:pPr>
            <w:r>
              <w:rPr>
                <w:rFonts w:ascii="Times New Roman" w:cs="Times New Roman" w:eastAsia="Times New Roman" w:hAnsi="Times New Roman"/>
                <w:sz w:val="13"/>
                <w:szCs w:val="13"/>
                <w:b w:val="1"/>
                <w:bCs w:val="1"/>
                <w:color w:val="auto"/>
              </w:rPr>
              <w:t>Interest</w:t>
            </w:r>
          </w:p>
        </w:tc>
        <w:tc>
          <w:tcPr>
            <w:tcW w:w="2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20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center"/>
              <w:ind w:right="13"/>
              <w:spacing w:after="0"/>
              <w:rPr>
                <w:sz w:val="20"/>
                <w:szCs w:val="20"/>
                <w:color w:val="auto"/>
              </w:rPr>
            </w:pPr>
            <w:r>
              <w:rPr>
                <w:rFonts w:ascii="Times New Roman" w:cs="Times New Roman" w:eastAsia="Times New Roman" w:hAnsi="Times New Roman"/>
                <w:sz w:val="13"/>
                <w:szCs w:val="13"/>
                <w:b w:val="1"/>
                <w:bCs w:val="1"/>
                <w:color w:val="auto"/>
              </w:rPr>
              <w:t>Interest</w:t>
            </w:r>
          </w:p>
        </w:tc>
        <w:tc>
          <w:tcPr>
            <w:tcW w:w="20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3"/>
                <w:szCs w:val="13"/>
                <w:b w:val="1"/>
                <w:bCs w:val="1"/>
                <w:color w:val="auto"/>
              </w:rPr>
              <w:t>Stock</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238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December 31, 2020</w:t>
            </w: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4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340" w:type="dxa"/>
            <w:vAlign w:val="bottom"/>
            <w:gridSpan w:val="2"/>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568,100</w:t>
            </w:r>
          </w:p>
        </w:tc>
        <w:tc>
          <w:tcPr>
            <w:tcW w:w="220" w:type="dxa"/>
            <w:vAlign w:val="bottom"/>
            <w:shd w:val="clear" w:color="auto" w:fill="CFF0FC"/>
          </w:tcPr>
          <w:p>
            <w:pPr>
              <w:spacing w:after="0"/>
              <w:rPr>
                <w:sz w:val="10"/>
                <w:szCs w:val="10"/>
                <w:color w:val="auto"/>
              </w:rPr>
            </w:pPr>
          </w:p>
        </w:tc>
        <w:tc>
          <w:tcPr>
            <w:tcW w:w="14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60" w:type="dxa"/>
            <w:vAlign w:val="bottom"/>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(253,164 )</w:t>
            </w:r>
          </w:p>
        </w:tc>
        <w:tc>
          <w:tcPr>
            <w:tcW w:w="120" w:type="dxa"/>
            <w:vAlign w:val="bottom"/>
            <w:vMerge w:val="restart"/>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(30,641 )</w:t>
            </w:r>
          </w:p>
        </w:tc>
        <w:tc>
          <w:tcPr>
            <w:tcW w:w="1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80" w:type="dxa"/>
            <w:vAlign w:val="bottom"/>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(225,74</w:t>
            </w:r>
          </w:p>
        </w:tc>
        <w:tc>
          <w:tcPr>
            <w:tcW w:w="240" w:type="dxa"/>
            <w:vAlign w:val="bottom"/>
            <w:shd w:val="clear" w:color="auto" w:fill="CFF0FC"/>
          </w:tcPr>
          <w:p>
            <w:pPr>
              <w:spacing w:after="0"/>
              <w:rPr>
                <w:sz w:val="10"/>
                <w:szCs w:val="10"/>
                <w:color w:val="auto"/>
              </w:rPr>
            </w:pPr>
          </w:p>
        </w:tc>
        <w:tc>
          <w:tcPr>
            <w:tcW w:w="5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$ 95,955</w:t>
            </w:r>
          </w:p>
        </w:tc>
        <w:tc>
          <w:tcPr>
            <w:tcW w:w="20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78,144</w:t>
            </w:r>
          </w:p>
        </w:tc>
        <w:tc>
          <w:tcPr>
            <w:tcW w:w="220" w:type="dxa"/>
            <w:vAlign w:val="bottom"/>
            <w:shd w:val="clear" w:color="auto" w:fill="CFF0FC"/>
          </w:tcPr>
          <w:p>
            <w:pPr>
              <w:spacing w:after="0"/>
              <w:rPr>
                <w:sz w:val="10"/>
                <w:szCs w:val="10"/>
                <w:color w:val="auto"/>
              </w:rPr>
            </w:pPr>
          </w:p>
        </w:tc>
        <w:tc>
          <w:tcPr>
            <w:tcW w:w="100" w:type="dxa"/>
            <w:vAlign w:val="bottom"/>
            <w:vMerge w:val="restart"/>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174,099</w:t>
            </w:r>
          </w:p>
        </w:tc>
        <w:tc>
          <w:tcPr>
            <w:tcW w:w="20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vMerge w:val="restart"/>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5,225</w:t>
            </w:r>
          </w:p>
        </w:tc>
        <w:tc>
          <w:tcPr>
            <w:tcW w:w="200" w:type="dxa"/>
            <w:vAlign w:val="bottom"/>
            <w:shd w:val="clear" w:color="auto" w:fill="CFF0FC"/>
          </w:tcPr>
          <w:p>
            <w:pPr>
              <w:spacing w:after="0"/>
              <w:rPr>
                <w:sz w:val="10"/>
                <w:szCs w:val="10"/>
                <w:color w:val="auto"/>
              </w:rPr>
            </w:pPr>
          </w:p>
        </w:tc>
        <w:tc>
          <w:tcPr>
            <w:tcW w:w="80" w:type="dxa"/>
            <w:vAlign w:val="bottom"/>
            <w:vMerge w:val="restart"/>
            <w:shd w:val="clear" w:color="auto" w:fill="CFF0FC"/>
          </w:tcPr>
          <w:p>
            <w:pPr>
              <w:ind w:left="20"/>
              <w:spacing w:after="0"/>
              <w:rPr>
                <w:sz w:val="20"/>
                <w:szCs w:val="20"/>
                <w:color w:val="auto"/>
              </w:rPr>
            </w:pPr>
            <w:r>
              <w:rPr>
                <w:rFonts w:ascii="Times New Roman" w:cs="Times New Roman" w:eastAsia="Times New Roman" w:hAnsi="Times New Roman"/>
                <w:sz w:val="11"/>
                <w:szCs w:val="11"/>
                <w:color w:val="auto"/>
                <w:w w:val="71"/>
              </w:rPr>
              <w:t>$</w:t>
            </w: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128,769</w:t>
            </w: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380" w:type="dxa"/>
            <w:vAlign w:val="bottom"/>
            <w:vMerge w:val="continue"/>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480" w:type="dxa"/>
            <w:vAlign w:val="bottom"/>
            <w:vMerge w:val="continue"/>
            <w:shd w:val="clear" w:color="auto" w:fill="CFF0FC"/>
          </w:tcPr>
          <w:p>
            <w:pPr>
              <w:spacing w:after="0"/>
              <w:rPr>
                <w:sz w:val="16"/>
                <w:szCs w:val="16"/>
                <w:color w:val="auto"/>
              </w:rPr>
            </w:pPr>
          </w:p>
        </w:tc>
        <w:tc>
          <w:tcPr>
            <w:tcW w:w="340" w:type="dxa"/>
            <w:vAlign w:val="bottom"/>
            <w:gridSpan w:val="2"/>
            <w:vMerge w:val="continue"/>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40" w:type="dxa"/>
            <w:vAlign w:val="bottom"/>
            <w:vMerge w:val="continue"/>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vMerge w:val="continue"/>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20" w:type="dxa"/>
            <w:vAlign w:val="bottom"/>
            <w:vMerge w:val="continue"/>
            <w:shd w:val="clear" w:color="auto" w:fill="CFF0FC"/>
          </w:tcPr>
          <w:p>
            <w:pPr>
              <w:spacing w:after="0"/>
              <w:rPr>
                <w:sz w:val="16"/>
                <w:szCs w:val="16"/>
                <w:color w:val="auto"/>
              </w:rPr>
            </w:pPr>
          </w:p>
        </w:tc>
        <w:tc>
          <w:tcPr>
            <w:tcW w:w="7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2 )</w:t>
            </w:r>
          </w:p>
        </w:tc>
        <w:tc>
          <w:tcPr>
            <w:tcW w:w="52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00" w:type="dxa"/>
            <w:vAlign w:val="bottom"/>
            <w:vMerge w:val="continue"/>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0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vMerge w:val="continue"/>
            <w:shd w:val="clear" w:color="auto" w:fill="CFF0FC"/>
          </w:tcPr>
          <w:p>
            <w:pPr>
              <w:spacing w:after="0"/>
              <w:rPr>
                <w:sz w:val="16"/>
                <w:szCs w:val="16"/>
                <w:color w:val="auto"/>
              </w:rPr>
            </w:pPr>
          </w:p>
        </w:tc>
        <w:tc>
          <w:tcPr>
            <w:tcW w:w="56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80" w:type="dxa"/>
            <w:vAlign w:val="bottom"/>
            <w:vMerge w:val="continue"/>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8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auto"/>
              </w:rPr>
              <w:t>Net loss</w:t>
            </w:r>
          </w:p>
        </w:tc>
        <w:tc>
          <w:tcPr>
            <w:tcW w:w="100" w:type="dxa"/>
            <w:vAlign w:val="bottom"/>
          </w:tcPr>
          <w:p>
            <w:pPr>
              <w:spacing w:after="0"/>
              <w:rPr>
                <w:sz w:val="10"/>
                <w:szCs w:val="10"/>
                <w:color w:val="auto"/>
              </w:rPr>
            </w:pPr>
          </w:p>
        </w:tc>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(43,152 )</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tcPr>
          <w:p>
            <w:pPr>
              <w:jc w:val="right"/>
              <w:spacing w:after="0" w:line="122" w:lineRule="exact"/>
              <w:rPr>
                <w:sz w:val="20"/>
                <w:szCs w:val="20"/>
                <w:color w:val="auto"/>
              </w:rPr>
            </w:pPr>
            <w:r>
              <w:rPr>
                <w:rFonts w:ascii="Times New Roman" w:cs="Times New Roman" w:eastAsia="Times New Roman" w:hAnsi="Times New Roman"/>
                <w:sz w:val="13"/>
                <w:szCs w:val="13"/>
                <w:color w:val="auto"/>
              </w:rPr>
              <w:t>(43,15</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(1,445 )</w:t>
            </w:r>
          </w:p>
        </w:tc>
        <w:tc>
          <w:tcPr>
            <w:tcW w:w="100" w:type="dxa"/>
            <w:vAlign w:val="bottom"/>
          </w:tcPr>
          <w:p>
            <w:pPr>
              <w:spacing w:after="0"/>
              <w:rPr>
                <w:sz w:val="10"/>
                <w:szCs w:val="10"/>
                <w:color w:val="auto"/>
              </w:rPr>
            </w:pPr>
          </w:p>
        </w:tc>
        <w:tc>
          <w:tcPr>
            <w:tcW w:w="780" w:type="dxa"/>
            <w:vAlign w:val="bottom"/>
            <w:tcBorders>
              <w:right w:val="single" w:sz="8" w:color="auto"/>
            </w:tcBorders>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(44,597 )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(494 )</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Times New Roman" w:cs="Times New Roman" w:eastAsia="Times New Roman" w:hAnsi="Times New Roman"/>
                <w:sz w:val="13"/>
                <w:szCs w:val="13"/>
                <w:color w:val="auto"/>
              </w:rPr>
              <w:t>2 )</w:t>
            </w: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Dividends on convertible preferred stock</w:t>
            </w:r>
          </w:p>
        </w:tc>
        <w:tc>
          <w:tcPr>
            <w:tcW w:w="100" w:type="dxa"/>
            <w:vAlign w:val="bottom"/>
            <w:shd w:val="clear" w:color="auto" w:fill="CFF0FC"/>
          </w:tcPr>
          <w:p>
            <w:pPr>
              <w:spacing w:after="0"/>
              <w:rPr>
                <w:sz w:val="15"/>
                <w:szCs w:val="15"/>
                <w:color w:val="auto"/>
              </w:rPr>
            </w:pP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(1,898 )</w:t>
            </w:r>
          </w:p>
        </w:tc>
        <w:tc>
          <w:tcPr>
            <w:tcW w:w="14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72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(1,898 )</w:t>
            </w: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780" w:type="dxa"/>
            <w:vAlign w:val="bottom"/>
            <w:tcBorders>
              <w:right w:val="single" w:sz="8" w:color="auto"/>
            </w:tcBorders>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(1,898 )</w:t>
            </w: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1,898</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38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Capital contribution (distributions) to</w:t>
            </w:r>
          </w:p>
        </w:tc>
        <w:tc>
          <w:tcPr>
            <w:tcW w:w="100" w:type="dxa"/>
            <w:vAlign w:val="bottom"/>
          </w:tcPr>
          <w:p>
            <w:pPr>
              <w:spacing w:after="0"/>
              <w:rPr>
                <w:sz w:val="10"/>
                <w:szCs w:val="10"/>
                <w:color w:val="auto"/>
              </w:rPr>
            </w:pPr>
          </w:p>
        </w:tc>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8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(951 )</w:t>
            </w:r>
          </w:p>
        </w:tc>
        <w:tc>
          <w:tcPr>
            <w:tcW w:w="100" w:type="dxa"/>
            <w:vAlign w:val="bottom"/>
          </w:tcPr>
          <w:p>
            <w:pPr>
              <w:spacing w:after="0"/>
              <w:rPr>
                <w:sz w:val="10"/>
                <w:szCs w:val="10"/>
                <w:color w:val="auto"/>
              </w:rPr>
            </w:pPr>
          </w:p>
        </w:tc>
        <w:tc>
          <w:tcPr>
            <w:tcW w:w="780" w:type="dxa"/>
            <w:vAlign w:val="bottom"/>
            <w:tcBorders>
              <w:right w:val="single" w:sz="8" w:color="auto"/>
            </w:tcBorders>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(951 )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142</w:t>
            </w: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(from) noncontrolling interest</w:t>
            </w:r>
          </w:p>
        </w:tc>
        <w:tc>
          <w:tcPr>
            <w:tcW w:w="10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38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Payment of payroll taxes on stock-based</w:t>
            </w:r>
          </w:p>
        </w:tc>
        <w:tc>
          <w:tcPr>
            <w:tcW w:w="100" w:type="dxa"/>
            <w:vAlign w:val="bottom"/>
            <w:shd w:val="clear" w:color="auto" w:fill="CFF0FC"/>
          </w:tcPr>
          <w:p>
            <w:pPr>
              <w:spacing w:after="0"/>
              <w:rPr>
                <w:sz w:val="11"/>
                <w:szCs w:val="11"/>
                <w:color w:val="auto"/>
              </w:rPr>
            </w:pPr>
          </w:p>
        </w:tc>
        <w:tc>
          <w:tcPr>
            <w:tcW w:w="4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9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720" w:type="dxa"/>
            <w:vAlign w:val="bottom"/>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(519 )</w:t>
            </w:r>
          </w:p>
        </w:tc>
        <w:tc>
          <w:tcPr>
            <w:tcW w:w="720" w:type="dxa"/>
            <w:vAlign w:val="bottom"/>
            <w:gridSpan w:val="2"/>
            <w:vMerge w:val="restart"/>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(519 )</w:t>
            </w: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780" w:type="dxa"/>
            <w:vAlign w:val="bottom"/>
            <w:tcBorders>
              <w:right w:val="single" w:sz="8" w:color="auto"/>
            </w:tcBorders>
            <w:gridSpan w:val="2"/>
            <w:vMerge w:val="restart"/>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(519 )</w:t>
            </w: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compensation through shares withheld</w:t>
            </w:r>
          </w:p>
        </w:tc>
        <w:tc>
          <w:tcPr>
            <w:tcW w:w="100" w:type="dxa"/>
            <w:vAlign w:val="bottom"/>
            <w:shd w:val="clear" w:color="auto" w:fill="CFF0FC"/>
          </w:tcPr>
          <w:p>
            <w:pPr>
              <w:spacing w:after="0"/>
              <w:rPr>
                <w:sz w:val="16"/>
                <w:szCs w:val="16"/>
                <w:color w:val="auto"/>
              </w:rPr>
            </w:pPr>
          </w:p>
        </w:tc>
        <w:tc>
          <w:tcPr>
            <w:tcW w:w="48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720" w:type="dxa"/>
            <w:vAlign w:val="bottom"/>
            <w:gridSpan w:val="2"/>
            <w:vMerge w:val="continue"/>
            <w:shd w:val="clear" w:color="auto" w:fill="CFF0FC"/>
          </w:tcPr>
          <w:p>
            <w:pPr>
              <w:spacing w:after="0"/>
              <w:rPr>
                <w:sz w:val="16"/>
                <w:szCs w:val="16"/>
                <w:color w:val="auto"/>
              </w:rPr>
            </w:pPr>
          </w:p>
        </w:tc>
        <w:tc>
          <w:tcPr>
            <w:tcW w:w="72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80" w:type="dxa"/>
            <w:vAlign w:val="bottom"/>
            <w:tcBorders>
              <w:right w:val="single" w:sz="8" w:color="auto"/>
            </w:tcBorders>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(1,198 )</w:t>
            </w:r>
          </w:p>
        </w:tc>
        <w:tc>
          <w:tcPr>
            <w:tcW w:w="140" w:type="dxa"/>
            <w:vAlign w:val="bottom"/>
          </w:tcPr>
          <w:p>
            <w:pPr>
              <w:spacing w:after="0"/>
              <w:rPr>
                <w:sz w:val="15"/>
                <w:szCs w:val="15"/>
                <w:color w:val="auto"/>
              </w:rPr>
            </w:pPr>
          </w:p>
        </w:tc>
        <w:tc>
          <w:tcPr>
            <w:tcW w:w="86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1,578</w:t>
            </w:r>
          </w:p>
        </w:tc>
        <w:tc>
          <w:tcPr>
            <w:tcW w:w="2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380</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380</w:t>
            </w:r>
          </w:p>
        </w:tc>
        <w:tc>
          <w:tcPr>
            <w:tcW w:w="20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380" w:type="dxa"/>
            <w:vAlign w:val="bottom"/>
            <w:shd w:val="clear" w:color="auto" w:fill="CFF0FC"/>
          </w:tcPr>
          <w:p>
            <w:pPr>
              <w:ind w:left="20"/>
              <w:spacing w:after="0" w:line="123" w:lineRule="exact"/>
              <w:rPr>
                <w:sz w:val="20"/>
                <w:szCs w:val="20"/>
                <w:color w:val="auto"/>
              </w:rPr>
            </w:pPr>
            <w:r>
              <w:rPr>
                <w:rFonts w:ascii="Times New Roman" w:cs="Times New Roman" w:eastAsia="Times New Roman" w:hAnsi="Times New Roman"/>
                <w:sz w:val="13"/>
                <w:szCs w:val="13"/>
                <w:color w:val="auto"/>
              </w:rPr>
              <w:t>Share-based compensation - equity</w:t>
            </w:r>
          </w:p>
        </w:tc>
        <w:tc>
          <w:tcPr>
            <w:tcW w:w="100" w:type="dxa"/>
            <w:vAlign w:val="bottom"/>
            <w:shd w:val="clear" w:color="auto" w:fill="CFF0FC"/>
          </w:tcPr>
          <w:p>
            <w:pPr>
              <w:spacing w:after="0"/>
              <w:rPr>
                <w:sz w:val="10"/>
                <w:szCs w:val="10"/>
                <w:color w:val="auto"/>
              </w:rPr>
            </w:pPr>
          </w:p>
        </w:tc>
        <w:tc>
          <w:tcPr>
            <w:tcW w:w="4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1,626</w:t>
            </w:r>
          </w:p>
        </w:tc>
        <w:tc>
          <w:tcPr>
            <w:tcW w:w="220" w:type="dxa"/>
            <w:vAlign w:val="bottom"/>
            <w:shd w:val="clear" w:color="auto" w:fill="CFF0FC"/>
          </w:tcPr>
          <w:p>
            <w:pPr>
              <w:spacing w:after="0"/>
              <w:rPr>
                <w:sz w:val="10"/>
                <w:szCs w:val="10"/>
                <w:color w:val="auto"/>
              </w:rPr>
            </w:pPr>
          </w:p>
        </w:tc>
        <w:tc>
          <w:tcPr>
            <w:tcW w:w="140" w:type="dxa"/>
            <w:vAlign w:val="bottom"/>
            <w:shd w:val="clear" w:color="auto" w:fill="CFF0FC"/>
          </w:tcPr>
          <w:p>
            <w:pPr>
              <w:spacing w:after="0"/>
              <w:rPr>
                <w:sz w:val="10"/>
                <w:szCs w:val="10"/>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9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72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1,626</w:t>
            </w:r>
          </w:p>
        </w:tc>
        <w:tc>
          <w:tcPr>
            <w:tcW w:w="20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1,626</w:t>
            </w:r>
          </w:p>
        </w:tc>
        <w:tc>
          <w:tcPr>
            <w:tcW w:w="20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7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0"/>
                <w:szCs w:val="10"/>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awards</w:t>
            </w:r>
          </w:p>
        </w:tc>
        <w:tc>
          <w:tcPr>
            <w:tcW w:w="100" w:type="dxa"/>
            <w:vAlign w:val="bottom"/>
            <w:shd w:val="clear" w:color="auto" w:fill="CFF0FC"/>
          </w:tcPr>
          <w:p>
            <w:pPr>
              <w:spacing w:after="0"/>
              <w:rPr>
                <w:sz w:val="16"/>
                <w:szCs w:val="16"/>
                <w:color w:val="auto"/>
              </w:rPr>
            </w:pPr>
          </w:p>
        </w:tc>
        <w:tc>
          <w:tcPr>
            <w:tcW w:w="48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720" w:type="dxa"/>
            <w:vAlign w:val="bottom"/>
            <w:gridSpan w:val="2"/>
            <w:vMerge w:val="continue"/>
            <w:shd w:val="clear" w:color="auto" w:fill="CFF0FC"/>
          </w:tcPr>
          <w:p>
            <w:pPr>
              <w:spacing w:after="0"/>
              <w:rPr>
                <w:sz w:val="16"/>
                <w:szCs w:val="16"/>
                <w:color w:val="auto"/>
              </w:rPr>
            </w:pPr>
          </w:p>
        </w:tc>
        <w:tc>
          <w:tcPr>
            <w:tcW w:w="52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0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8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tcPr>
          <w:p>
            <w:pPr>
              <w:spacing w:after="0"/>
              <w:rPr>
                <w:sz w:val="10"/>
                <w:szCs w:val="10"/>
                <w:color w:val="auto"/>
              </w:rPr>
            </w:pPr>
          </w:p>
        </w:tc>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3,977</w:t>
            </w: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3,977</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750</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4,727</w:t>
            </w:r>
          </w:p>
        </w:tc>
        <w:tc>
          <w:tcPr>
            <w:tcW w:w="20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77</w:t>
            </w: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38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shd w:val="clear" w:color="auto" w:fill="CFF0FC"/>
          </w:tcPr>
          <w:p>
            <w:pPr>
              <w:spacing w:after="0"/>
              <w:rPr>
                <w:sz w:val="11"/>
                <w:szCs w:val="11"/>
                <w:color w:val="auto"/>
              </w:rPr>
            </w:pPr>
          </w:p>
        </w:tc>
        <w:tc>
          <w:tcPr>
            <w:tcW w:w="4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177</w:t>
            </w:r>
          </w:p>
        </w:tc>
        <w:tc>
          <w:tcPr>
            <w:tcW w:w="2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72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177</w:t>
            </w:r>
          </w:p>
        </w:tc>
        <w:tc>
          <w:tcPr>
            <w:tcW w:w="2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177</w:t>
            </w:r>
          </w:p>
        </w:tc>
        <w:tc>
          <w:tcPr>
            <w:tcW w:w="200" w:type="dxa"/>
            <w:vAlign w:val="bottom"/>
            <w:tcBorders>
              <w:right w:val="single" w:sz="8" w:color="auto"/>
            </w:tcBorders>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shd w:val="clear" w:color="auto" w:fill="CFF0FC"/>
          </w:tcPr>
          <w:p>
            <w:pPr>
              <w:spacing w:after="0"/>
              <w:rPr>
                <w:sz w:val="16"/>
                <w:szCs w:val="16"/>
                <w:color w:val="auto"/>
              </w:rPr>
            </w:pPr>
          </w:p>
        </w:tc>
        <w:tc>
          <w:tcPr>
            <w:tcW w:w="48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720" w:type="dxa"/>
            <w:vAlign w:val="bottom"/>
            <w:gridSpan w:val="2"/>
            <w:vMerge w:val="continue"/>
            <w:shd w:val="clear" w:color="auto" w:fill="CFF0FC"/>
          </w:tcPr>
          <w:p>
            <w:pPr>
              <w:spacing w:after="0"/>
              <w:rPr>
                <w:sz w:val="16"/>
                <w:szCs w:val="16"/>
                <w:color w:val="auto"/>
              </w:rPr>
            </w:pPr>
          </w:p>
        </w:tc>
        <w:tc>
          <w:tcPr>
            <w:tcW w:w="52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0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8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Amortization of prior service cost, net of</w:t>
            </w:r>
          </w:p>
        </w:tc>
        <w:tc>
          <w:tcPr>
            <w:tcW w:w="100" w:type="dxa"/>
            <w:vAlign w:val="bottom"/>
          </w:tcPr>
          <w:p>
            <w:pPr>
              <w:spacing w:after="0"/>
              <w:rPr>
                <w:sz w:val="10"/>
                <w:szCs w:val="10"/>
                <w:color w:val="auto"/>
              </w:rPr>
            </w:pPr>
          </w:p>
        </w:tc>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(56 )</w:t>
            </w:r>
          </w:p>
        </w:tc>
        <w:tc>
          <w:tcPr>
            <w:tcW w:w="120" w:type="dxa"/>
            <w:vAlign w:val="bottom"/>
          </w:tcPr>
          <w:p>
            <w:pPr>
              <w:spacing w:after="0"/>
              <w:rPr>
                <w:sz w:val="10"/>
                <w:szCs w:val="10"/>
                <w:color w:val="auto"/>
              </w:rPr>
            </w:pPr>
          </w:p>
        </w:tc>
        <w:tc>
          <w:tcPr>
            <w:tcW w:w="7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(56 )</w:t>
            </w:r>
          </w:p>
        </w:tc>
        <w:tc>
          <w:tcPr>
            <w:tcW w:w="100" w:type="dxa"/>
            <w:vAlign w:val="bottom"/>
          </w:tcPr>
          <w:p>
            <w:pPr>
              <w:spacing w:after="0"/>
              <w:rPr>
                <w:sz w:val="10"/>
                <w:szCs w:val="10"/>
                <w:color w:val="auto"/>
              </w:rPr>
            </w:pPr>
          </w:p>
        </w:tc>
        <w:tc>
          <w:tcPr>
            <w:tcW w:w="80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780" w:type="dxa"/>
            <w:vAlign w:val="bottom"/>
            <w:tcBorders>
              <w:right w:val="single" w:sz="8" w:color="auto"/>
            </w:tcBorders>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(56 )</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6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Acquisitions</w:t>
            </w:r>
          </w:p>
        </w:tc>
        <w:tc>
          <w:tcPr>
            <w:tcW w:w="100" w:type="dxa"/>
            <w:vAlign w:val="bottom"/>
            <w:shd w:val="clear" w:color="auto" w:fill="CFF0FC"/>
          </w:tcPr>
          <w:p>
            <w:pPr>
              <w:spacing w:after="0"/>
              <w:rPr>
                <w:sz w:val="15"/>
                <w:szCs w:val="15"/>
                <w:color w:val="auto"/>
              </w:rPr>
            </w:pP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72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6,759</w:t>
            </w:r>
          </w:p>
        </w:tc>
        <w:tc>
          <w:tcPr>
            <w:tcW w:w="2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6,759</w:t>
            </w:r>
          </w:p>
        </w:tc>
        <w:tc>
          <w:tcPr>
            <w:tcW w:w="200" w:type="dxa"/>
            <w:vAlign w:val="bottom"/>
            <w:tcBorders>
              <w:right w:val="single" w:sz="8" w:color="auto"/>
            </w:tcBorders>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w:t>
            </w: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tcPr>
          <w:p>
            <w:pPr>
              <w:jc w:val="right"/>
              <w:ind w:right="180"/>
              <w:spacing w:after="0"/>
              <w:rPr>
                <w:sz w:val="20"/>
                <w:szCs w:val="20"/>
                <w:color w:val="auto"/>
              </w:rPr>
            </w:pPr>
            <w:r>
              <w:rPr>
                <w:rFonts w:ascii="Times New Roman" w:cs="Times New Roman" w:eastAsia="Times New Roman" w:hAnsi="Times New Roman"/>
                <w:sz w:val="13"/>
                <w:szCs w:val="13"/>
                <w:color w:val="auto"/>
              </w:rPr>
              <w:t>(1 )</w:t>
            </w: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72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12</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12</w:t>
            </w:r>
          </w:p>
        </w:tc>
        <w:tc>
          <w:tcPr>
            <w:tcW w:w="20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56</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38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8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4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480" w:type="dxa"/>
            <w:vAlign w:val="bottom"/>
            <w:tcBorders>
              <w:top w:val="single" w:sz="8" w:color="auto"/>
            </w:tcBorders>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(224,68</w:t>
            </w:r>
          </w:p>
        </w:tc>
        <w:tc>
          <w:tcPr>
            <w:tcW w:w="240" w:type="dxa"/>
            <w:vAlign w:val="bottom"/>
            <w:shd w:val="clear" w:color="auto" w:fill="CFF0FC"/>
          </w:tcPr>
          <w:p>
            <w:pPr>
              <w:spacing w:after="0"/>
              <w:rPr>
                <w:sz w:val="10"/>
                <w:szCs w:val="10"/>
                <w:color w:val="auto"/>
              </w:rPr>
            </w:pPr>
          </w:p>
        </w:tc>
        <w:tc>
          <w:tcPr>
            <w:tcW w:w="520" w:type="dxa"/>
            <w:vAlign w:val="bottom"/>
            <w:tcBorders>
              <w:top w:val="single" w:sz="8" w:color="auto"/>
            </w:tcBorders>
            <w:shd w:val="clear" w:color="auto" w:fill="CFF0FC"/>
          </w:tcPr>
          <w:p>
            <w:pPr>
              <w:spacing w:after="0"/>
              <w:rPr>
                <w:sz w:val="10"/>
                <w:szCs w:val="10"/>
                <w:color w:val="auto"/>
              </w:rPr>
            </w:pPr>
          </w:p>
        </w:tc>
        <w:tc>
          <w:tcPr>
            <w:tcW w:w="20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0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0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208"/>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March 31, 2021</w:t>
            </w: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566,643</w:t>
            </w:r>
          </w:p>
        </w:tc>
        <w:tc>
          <w:tcPr>
            <w:tcW w:w="220" w:type="dxa"/>
            <w:vAlign w:val="bottom"/>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6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(296,317 )</w:t>
            </w:r>
          </w:p>
        </w:tc>
        <w:tc>
          <w:tcPr>
            <w:tcW w:w="12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(26,543 )</w:t>
            </w:r>
          </w:p>
        </w:tc>
        <w:tc>
          <w:tcPr>
            <w:tcW w:w="1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3 )</w:t>
            </w: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$ 56,502</w:t>
            </w:r>
          </w:p>
        </w:tc>
        <w:tc>
          <w:tcPr>
            <w:tcW w:w="20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83,257</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139,759</w:t>
            </w:r>
          </w:p>
        </w:tc>
        <w:tc>
          <w:tcPr>
            <w:tcW w:w="200" w:type="dxa"/>
            <w:vAlign w:val="bottom"/>
            <w:tcBorders>
              <w:right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5,006</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1"/>
                <w:szCs w:val="11"/>
                <w:color w:val="auto"/>
                <w:w w:val="71"/>
              </w:rPr>
              <w:t>$</w:t>
            </w: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130,667</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38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38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auto"/>
              </w:rPr>
              <w:t>Net loss</w:t>
            </w:r>
          </w:p>
        </w:tc>
        <w:tc>
          <w:tcPr>
            <w:tcW w:w="100" w:type="dxa"/>
            <w:vAlign w:val="bottom"/>
          </w:tcPr>
          <w:p>
            <w:pPr>
              <w:spacing w:after="0"/>
              <w:rPr>
                <w:sz w:val="8"/>
                <w:szCs w:val="8"/>
                <w:color w:val="auto"/>
              </w:rPr>
            </w:pPr>
          </w:p>
        </w:tc>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vMerge w:val="restart"/>
          </w:tcPr>
          <w:p>
            <w:pPr>
              <w:spacing w:after="0"/>
              <w:rPr>
                <w:sz w:val="8"/>
                <w:szCs w:val="8"/>
                <w:color w:val="auto"/>
              </w:rPr>
            </w:pPr>
          </w:p>
        </w:tc>
        <w:tc>
          <w:tcPr>
            <w:tcW w:w="140" w:type="dxa"/>
            <w:vAlign w:val="bottom"/>
          </w:tcPr>
          <w:p>
            <w:pPr>
              <w:spacing w:after="0"/>
              <w:rPr>
                <w:sz w:val="8"/>
                <w:szCs w:val="8"/>
                <w:color w:val="auto"/>
              </w:rPr>
            </w:pPr>
          </w:p>
        </w:tc>
        <w:tc>
          <w:tcPr>
            <w:tcW w:w="8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(42,026 )</w:t>
            </w:r>
          </w:p>
        </w:tc>
        <w:tc>
          <w:tcPr>
            <w:tcW w:w="120" w:type="dxa"/>
            <w:vAlign w:val="bottom"/>
          </w:tcPr>
          <w:p>
            <w:pPr>
              <w:spacing w:after="0"/>
              <w:rPr>
                <w:sz w:val="8"/>
                <w:szCs w:val="8"/>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8"/>
                <w:szCs w:val="8"/>
                <w:color w:val="auto"/>
              </w:rPr>
            </w:pPr>
          </w:p>
        </w:tc>
        <w:tc>
          <w:tcPr>
            <w:tcW w:w="7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tcPr>
          <w:p>
            <w:pPr>
              <w:jc w:val="right"/>
              <w:spacing w:after="0" w:line="103" w:lineRule="exact"/>
              <w:rPr>
                <w:sz w:val="20"/>
                <w:szCs w:val="20"/>
                <w:color w:val="auto"/>
              </w:rPr>
            </w:pPr>
            <w:r>
              <w:rPr>
                <w:rFonts w:ascii="Times New Roman" w:cs="Times New Roman" w:eastAsia="Times New Roman" w:hAnsi="Times New Roman"/>
                <w:sz w:val="11"/>
                <w:szCs w:val="11"/>
                <w:color w:val="auto"/>
              </w:rPr>
              <w:t>(42,02</w:t>
            </w: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(510 )</w:t>
            </w:r>
          </w:p>
        </w:tc>
        <w:tc>
          <w:tcPr>
            <w:tcW w:w="100" w:type="dxa"/>
            <w:vAlign w:val="bottom"/>
          </w:tcPr>
          <w:p>
            <w:pPr>
              <w:spacing w:after="0"/>
              <w:rPr>
                <w:sz w:val="8"/>
                <w:szCs w:val="8"/>
                <w:color w:val="auto"/>
              </w:rPr>
            </w:pPr>
          </w:p>
        </w:tc>
        <w:tc>
          <w:tcPr>
            <w:tcW w:w="780" w:type="dxa"/>
            <w:vAlign w:val="bottom"/>
            <w:tcBorders>
              <w:right w:val="single" w:sz="8" w:color="auto"/>
            </w:tcBorders>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(42,536 )</w:t>
            </w: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3"/>
                <w:szCs w:val="13"/>
                <w:color w:val="auto"/>
              </w:rPr>
              <w:t>(431 )</w:t>
            </w:r>
          </w:p>
        </w:tc>
        <w:tc>
          <w:tcPr>
            <w:tcW w:w="80" w:type="dxa"/>
            <w:vAlign w:val="bottom"/>
          </w:tcPr>
          <w:p>
            <w:pPr>
              <w:spacing w:after="0"/>
              <w:rPr>
                <w:sz w:val="8"/>
                <w:szCs w:val="8"/>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81"/>
        </w:trPr>
        <w:tc>
          <w:tcPr>
            <w:tcW w:w="23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720" w:type="dxa"/>
            <w:vAlign w:val="bottom"/>
            <w:gridSpan w:val="2"/>
          </w:tcPr>
          <w:p>
            <w:pPr>
              <w:jc w:val="right"/>
              <w:ind w:right="140"/>
              <w:spacing w:after="0"/>
              <w:rPr>
                <w:sz w:val="20"/>
                <w:szCs w:val="20"/>
                <w:color w:val="auto"/>
              </w:rPr>
            </w:pPr>
            <w:r>
              <w:rPr>
                <w:rFonts w:ascii="Times New Roman" w:cs="Times New Roman" w:eastAsia="Times New Roman" w:hAnsi="Times New Roman"/>
                <w:sz w:val="13"/>
                <w:szCs w:val="13"/>
                <w:color w:val="auto"/>
              </w:rPr>
              <w:t>6 )</w:t>
            </w: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Borders>
              <w:right w:val="single" w:sz="8" w:color="auto"/>
            </w:tcBorders>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Dividends on convertible preferred stock</w:t>
            </w:r>
          </w:p>
        </w:tc>
        <w:tc>
          <w:tcPr>
            <w:tcW w:w="100" w:type="dxa"/>
            <w:vAlign w:val="bottom"/>
            <w:shd w:val="clear" w:color="auto" w:fill="CFF0FC"/>
          </w:tcPr>
          <w:p>
            <w:pPr>
              <w:spacing w:after="0"/>
              <w:rPr>
                <w:sz w:val="15"/>
                <w:szCs w:val="15"/>
                <w:color w:val="auto"/>
              </w:rPr>
            </w:pP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3"/>
                <w:szCs w:val="13"/>
                <w:color w:val="auto"/>
              </w:rPr>
              <w:t>(1,923 )</w:t>
            </w:r>
          </w:p>
        </w:tc>
        <w:tc>
          <w:tcPr>
            <w:tcW w:w="140" w:type="dxa"/>
            <w:vAlign w:val="bottom"/>
            <w:shd w:val="clear" w:color="auto" w:fill="CFF0FC"/>
          </w:tcPr>
          <w:p>
            <w:pPr>
              <w:spacing w:after="0"/>
              <w:rPr>
                <w:sz w:val="15"/>
                <w:szCs w:val="15"/>
                <w:color w:val="auto"/>
              </w:rPr>
            </w:pPr>
          </w:p>
        </w:tc>
        <w:tc>
          <w:tcPr>
            <w:tcW w:w="86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9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5"/>
                <w:szCs w:val="15"/>
                <w:color w:val="auto"/>
              </w:rPr>
            </w:pPr>
          </w:p>
        </w:tc>
        <w:tc>
          <w:tcPr>
            <w:tcW w:w="72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(1,923 )</w:t>
            </w:r>
          </w:p>
        </w:tc>
        <w:tc>
          <w:tcPr>
            <w:tcW w:w="100" w:type="dxa"/>
            <w:vAlign w:val="bottom"/>
            <w:shd w:val="clear" w:color="auto" w:fill="CFF0FC"/>
          </w:tcPr>
          <w:p>
            <w:pPr>
              <w:spacing w:after="0"/>
              <w:rPr>
                <w:sz w:val="15"/>
                <w:szCs w:val="15"/>
                <w:color w:val="auto"/>
              </w:rPr>
            </w:pPr>
          </w:p>
        </w:tc>
        <w:tc>
          <w:tcPr>
            <w:tcW w:w="80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5"/>
                <w:szCs w:val="15"/>
                <w:color w:val="auto"/>
              </w:rPr>
            </w:pPr>
          </w:p>
        </w:tc>
        <w:tc>
          <w:tcPr>
            <w:tcW w:w="780" w:type="dxa"/>
            <w:vAlign w:val="bottom"/>
            <w:tcBorders>
              <w:right w:val="single" w:sz="8" w:color="auto"/>
            </w:tcBorders>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(1,923 )</w:t>
            </w:r>
          </w:p>
        </w:tc>
        <w:tc>
          <w:tcPr>
            <w:tcW w:w="100" w:type="dxa"/>
            <w:vAlign w:val="bottom"/>
            <w:shd w:val="clear" w:color="auto" w:fill="CFF0FC"/>
          </w:tcPr>
          <w:p>
            <w:pPr>
              <w:spacing w:after="0"/>
              <w:rPr>
                <w:sz w:val="15"/>
                <w:szCs w:val="15"/>
                <w:color w:val="auto"/>
              </w:rPr>
            </w:pPr>
          </w:p>
        </w:tc>
        <w:tc>
          <w:tcPr>
            <w:tcW w:w="80" w:type="dxa"/>
            <w:vAlign w:val="bottom"/>
            <w:shd w:val="clear" w:color="auto" w:fill="CFF0FC"/>
          </w:tcPr>
          <w:p>
            <w:pPr>
              <w:spacing w:after="0"/>
              <w:rPr>
                <w:sz w:val="15"/>
                <w:szCs w:val="15"/>
                <w:color w:val="auto"/>
              </w:rPr>
            </w:pPr>
          </w:p>
        </w:tc>
        <w:tc>
          <w:tcPr>
            <w:tcW w:w="760" w:type="dxa"/>
            <w:vAlign w:val="bottom"/>
            <w:gridSpan w:val="2"/>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5"/>
                <w:szCs w:val="15"/>
                <w:color w:val="auto"/>
              </w:rPr>
            </w:pP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1,923</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22"/>
        </w:trPr>
        <w:tc>
          <w:tcPr>
            <w:tcW w:w="238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Capital contribution to noncontrolling</w:t>
            </w:r>
          </w:p>
        </w:tc>
        <w:tc>
          <w:tcPr>
            <w:tcW w:w="100" w:type="dxa"/>
            <w:vAlign w:val="bottom"/>
          </w:tcPr>
          <w:p>
            <w:pPr>
              <w:spacing w:after="0"/>
              <w:rPr>
                <w:sz w:val="10"/>
                <w:szCs w:val="10"/>
                <w:color w:val="auto"/>
              </w:rPr>
            </w:pPr>
          </w:p>
        </w:tc>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vMerge w:val="restart"/>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20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124</w:t>
            </w: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interest</w:t>
            </w:r>
          </w:p>
        </w:tc>
        <w:tc>
          <w:tcPr>
            <w:tcW w:w="10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38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Payment of payroll taxes on stock-based</w:t>
            </w:r>
          </w:p>
        </w:tc>
        <w:tc>
          <w:tcPr>
            <w:tcW w:w="100" w:type="dxa"/>
            <w:vAlign w:val="bottom"/>
            <w:shd w:val="clear" w:color="auto" w:fill="CFF0FC"/>
          </w:tcPr>
          <w:p>
            <w:pPr>
              <w:spacing w:after="0"/>
              <w:rPr>
                <w:sz w:val="11"/>
                <w:szCs w:val="11"/>
                <w:color w:val="auto"/>
              </w:rPr>
            </w:pPr>
          </w:p>
        </w:tc>
        <w:tc>
          <w:tcPr>
            <w:tcW w:w="4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9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720" w:type="dxa"/>
            <w:vAlign w:val="bottom"/>
            <w:gridSpan w:val="2"/>
            <w:vMerge w:val="restart"/>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(82 )</w:t>
            </w:r>
          </w:p>
        </w:tc>
        <w:tc>
          <w:tcPr>
            <w:tcW w:w="720" w:type="dxa"/>
            <w:vAlign w:val="bottom"/>
            <w:gridSpan w:val="2"/>
            <w:vMerge w:val="restart"/>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(82 )</w:t>
            </w: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780" w:type="dxa"/>
            <w:vAlign w:val="bottom"/>
            <w:tcBorders>
              <w:right w:val="single" w:sz="8" w:color="auto"/>
            </w:tcBorders>
            <w:gridSpan w:val="2"/>
            <w:vMerge w:val="restart"/>
            <w:shd w:val="clear" w:color="auto" w:fill="CFF0FC"/>
          </w:tcPr>
          <w:p>
            <w:pPr>
              <w:jc w:val="right"/>
              <w:ind w:right="140"/>
              <w:spacing w:after="0"/>
              <w:rPr>
                <w:sz w:val="20"/>
                <w:szCs w:val="20"/>
                <w:color w:val="auto"/>
              </w:rPr>
            </w:pPr>
            <w:r>
              <w:rPr>
                <w:rFonts w:ascii="Times New Roman" w:cs="Times New Roman" w:eastAsia="Times New Roman" w:hAnsi="Times New Roman"/>
                <w:sz w:val="13"/>
                <w:szCs w:val="13"/>
                <w:color w:val="auto"/>
              </w:rPr>
              <w:t>(82 )</w:t>
            </w: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compensation through shares withheld</w:t>
            </w:r>
          </w:p>
        </w:tc>
        <w:tc>
          <w:tcPr>
            <w:tcW w:w="100" w:type="dxa"/>
            <w:vAlign w:val="bottom"/>
            <w:shd w:val="clear" w:color="auto" w:fill="CFF0FC"/>
          </w:tcPr>
          <w:p>
            <w:pPr>
              <w:spacing w:after="0"/>
              <w:rPr>
                <w:sz w:val="16"/>
                <w:szCs w:val="16"/>
                <w:color w:val="auto"/>
              </w:rPr>
            </w:pPr>
          </w:p>
        </w:tc>
        <w:tc>
          <w:tcPr>
            <w:tcW w:w="48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720" w:type="dxa"/>
            <w:vAlign w:val="bottom"/>
            <w:gridSpan w:val="2"/>
            <w:vMerge w:val="continue"/>
            <w:shd w:val="clear" w:color="auto" w:fill="CFF0FC"/>
          </w:tcPr>
          <w:p>
            <w:pPr>
              <w:spacing w:after="0"/>
              <w:rPr>
                <w:sz w:val="16"/>
                <w:szCs w:val="16"/>
                <w:color w:val="auto"/>
              </w:rPr>
            </w:pPr>
          </w:p>
        </w:tc>
        <w:tc>
          <w:tcPr>
            <w:tcW w:w="72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780" w:type="dxa"/>
            <w:vAlign w:val="bottom"/>
            <w:tcBorders>
              <w:right w:val="single" w:sz="8" w:color="auto"/>
            </w:tcBorders>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Employee benefit plans</w:t>
            </w:r>
          </w:p>
        </w:tc>
        <w:tc>
          <w:tcPr>
            <w:tcW w:w="10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(143 )</w:t>
            </w:r>
          </w:p>
        </w:tc>
        <w:tc>
          <w:tcPr>
            <w:tcW w:w="140" w:type="dxa"/>
            <w:vAlign w:val="bottom"/>
          </w:tcPr>
          <w:p>
            <w:pPr>
              <w:spacing w:after="0"/>
              <w:rPr>
                <w:sz w:val="15"/>
                <w:szCs w:val="15"/>
                <w:color w:val="auto"/>
              </w:rPr>
            </w:pPr>
          </w:p>
        </w:tc>
        <w:tc>
          <w:tcPr>
            <w:tcW w:w="86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641</w:t>
            </w:r>
          </w:p>
        </w:tc>
        <w:tc>
          <w:tcPr>
            <w:tcW w:w="2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498</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498</w:t>
            </w:r>
          </w:p>
        </w:tc>
        <w:tc>
          <w:tcPr>
            <w:tcW w:w="20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60" w:type="dxa"/>
            <w:vAlign w:val="bottom"/>
            <w:gridSpan w:val="2"/>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3"/>
        </w:trPr>
        <w:tc>
          <w:tcPr>
            <w:tcW w:w="2380" w:type="dxa"/>
            <w:vAlign w:val="bottom"/>
            <w:shd w:val="clear" w:color="auto" w:fill="CFF0FC"/>
          </w:tcPr>
          <w:p>
            <w:pPr>
              <w:ind w:left="20"/>
              <w:spacing w:after="0" w:line="123" w:lineRule="exact"/>
              <w:rPr>
                <w:sz w:val="20"/>
                <w:szCs w:val="20"/>
                <w:color w:val="auto"/>
              </w:rPr>
            </w:pPr>
            <w:r>
              <w:rPr>
                <w:rFonts w:ascii="Times New Roman" w:cs="Times New Roman" w:eastAsia="Times New Roman" w:hAnsi="Times New Roman"/>
                <w:sz w:val="13"/>
                <w:szCs w:val="13"/>
                <w:color w:val="auto"/>
              </w:rPr>
              <w:t>Share-based compensation - equity</w:t>
            </w:r>
          </w:p>
        </w:tc>
        <w:tc>
          <w:tcPr>
            <w:tcW w:w="100" w:type="dxa"/>
            <w:vAlign w:val="bottom"/>
            <w:shd w:val="clear" w:color="auto" w:fill="CFF0FC"/>
          </w:tcPr>
          <w:p>
            <w:pPr>
              <w:spacing w:after="0"/>
              <w:rPr>
                <w:sz w:val="10"/>
                <w:szCs w:val="10"/>
                <w:color w:val="auto"/>
              </w:rPr>
            </w:pPr>
          </w:p>
        </w:tc>
        <w:tc>
          <w:tcPr>
            <w:tcW w:w="4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2,071</w:t>
            </w:r>
          </w:p>
        </w:tc>
        <w:tc>
          <w:tcPr>
            <w:tcW w:w="220" w:type="dxa"/>
            <w:vAlign w:val="bottom"/>
            <w:shd w:val="clear" w:color="auto" w:fill="CFF0FC"/>
          </w:tcPr>
          <w:p>
            <w:pPr>
              <w:spacing w:after="0"/>
              <w:rPr>
                <w:sz w:val="10"/>
                <w:szCs w:val="10"/>
                <w:color w:val="auto"/>
              </w:rPr>
            </w:pPr>
          </w:p>
        </w:tc>
        <w:tc>
          <w:tcPr>
            <w:tcW w:w="140" w:type="dxa"/>
            <w:vAlign w:val="bottom"/>
            <w:shd w:val="clear" w:color="auto" w:fill="CFF0FC"/>
          </w:tcPr>
          <w:p>
            <w:pPr>
              <w:spacing w:after="0"/>
              <w:rPr>
                <w:sz w:val="10"/>
                <w:szCs w:val="10"/>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9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0"/>
                <w:szCs w:val="10"/>
                <w:color w:val="auto"/>
              </w:rPr>
            </w:pPr>
          </w:p>
        </w:tc>
        <w:tc>
          <w:tcPr>
            <w:tcW w:w="72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2,071</w:t>
            </w:r>
          </w:p>
        </w:tc>
        <w:tc>
          <w:tcPr>
            <w:tcW w:w="200" w:type="dxa"/>
            <w:vAlign w:val="bottom"/>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2,071</w:t>
            </w:r>
          </w:p>
        </w:tc>
        <w:tc>
          <w:tcPr>
            <w:tcW w:w="20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shd w:val="clear" w:color="auto" w:fill="CFF0FC"/>
          </w:tcPr>
          <w:p>
            <w:pPr>
              <w:spacing w:after="0"/>
              <w:rPr>
                <w:sz w:val="10"/>
                <w:szCs w:val="10"/>
                <w:color w:val="auto"/>
              </w:rPr>
            </w:pPr>
          </w:p>
        </w:tc>
        <w:tc>
          <w:tcPr>
            <w:tcW w:w="7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0"/>
                <w:szCs w:val="10"/>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188"/>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awards</w:t>
            </w:r>
          </w:p>
        </w:tc>
        <w:tc>
          <w:tcPr>
            <w:tcW w:w="100" w:type="dxa"/>
            <w:vAlign w:val="bottom"/>
            <w:shd w:val="clear" w:color="auto" w:fill="CFF0FC"/>
          </w:tcPr>
          <w:p>
            <w:pPr>
              <w:spacing w:after="0"/>
              <w:rPr>
                <w:sz w:val="16"/>
                <w:szCs w:val="16"/>
                <w:color w:val="auto"/>
              </w:rPr>
            </w:pPr>
          </w:p>
        </w:tc>
        <w:tc>
          <w:tcPr>
            <w:tcW w:w="48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20" w:type="dxa"/>
            <w:vAlign w:val="bottom"/>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90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720" w:type="dxa"/>
            <w:vAlign w:val="bottom"/>
            <w:gridSpan w:val="2"/>
            <w:vMerge w:val="continue"/>
            <w:shd w:val="clear" w:color="auto" w:fill="CFF0FC"/>
          </w:tcPr>
          <w:p>
            <w:pPr>
              <w:spacing w:after="0"/>
              <w:rPr>
                <w:sz w:val="16"/>
                <w:szCs w:val="16"/>
                <w:color w:val="auto"/>
              </w:rPr>
            </w:pPr>
          </w:p>
        </w:tc>
        <w:tc>
          <w:tcPr>
            <w:tcW w:w="52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0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2380" w:type="dxa"/>
            <w:vAlign w:val="bottom"/>
          </w:tcPr>
          <w:p>
            <w:pPr>
              <w:ind w:left="20"/>
              <w:spacing w:after="0" w:line="122" w:lineRule="exact"/>
              <w:rPr>
                <w:sz w:val="20"/>
                <w:szCs w:val="20"/>
                <w:color w:val="auto"/>
              </w:rPr>
            </w:pPr>
            <w:r>
              <w:rPr>
                <w:rFonts w:ascii="Times New Roman" w:cs="Times New Roman" w:eastAsia="Times New Roman" w:hAnsi="Times New Roman"/>
                <w:sz w:val="13"/>
                <w:szCs w:val="13"/>
                <w:color w:val="auto"/>
              </w:rPr>
              <w:t>Unrealized foreign currency translation</w:t>
            </w:r>
          </w:p>
        </w:tc>
        <w:tc>
          <w:tcPr>
            <w:tcW w:w="100" w:type="dxa"/>
            <w:vAlign w:val="bottom"/>
          </w:tcPr>
          <w:p>
            <w:pPr>
              <w:spacing w:after="0"/>
              <w:rPr>
                <w:sz w:val="10"/>
                <w:szCs w:val="10"/>
                <w:color w:val="auto"/>
              </w:rPr>
            </w:pPr>
          </w:p>
        </w:tc>
        <w:tc>
          <w:tcPr>
            <w:tcW w:w="4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86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3,677</w:t>
            </w:r>
          </w:p>
        </w:tc>
        <w:tc>
          <w:tcPr>
            <w:tcW w:w="2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20" w:type="dxa"/>
            <w:vAlign w:val="bottom"/>
            <w:gridSpan w:val="2"/>
            <w:vMerge w:val="restart"/>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3,677</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1,069</w:t>
            </w: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4,746</w:t>
            </w:r>
          </w:p>
        </w:tc>
        <w:tc>
          <w:tcPr>
            <w:tcW w:w="20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79</w:t>
            </w:r>
          </w:p>
        </w:tc>
        <w:tc>
          <w:tcPr>
            <w:tcW w:w="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1"/>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100" w:type="dxa"/>
            <w:vAlign w:val="bottom"/>
          </w:tcPr>
          <w:p>
            <w:pPr>
              <w:spacing w:after="0"/>
              <w:rPr>
                <w:sz w:val="15"/>
                <w:szCs w:val="15"/>
                <w:color w:val="auto"/>
              </w:rPr>
            </w:pPr>
          </w:p>
        </w:tc>
        <w:tc>
          <w:tcPr>
            <w:tcW w:w="48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52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vMerge w:val="continue"/>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9"/>
        </w:trPr>
        <w:tc>
          <w:tcPr>
            <w:tcW w:w="2380" w:type="dxa"/>
            <w:vAlign w:val="bottom"/>
            <w:shd w:val="clear" w:color="auto" w:fill="CFF0FC"/>
          </w:tcPr>
          <w:p>
            <w:pPr>
              <w:ind w:left="20"/>
              <w:spacing w:after="0" w:line="129" w:lineRule="exact"/>
              <w:rPr>
                <w:sz w:val="20"/>
                <w:szCs w:val="20"/>
                <w:color w:val="auto"/>
              </w:rPr>
            </w:pPr>
            <w:r>
              <w:rPr>
                <w:rFonts w:ascii="Times New Roman" w:cs="Times New Roman" w:eastAsia="Times New Roman" w:hAnsi="Times New Roman"/>
                <w:sz w:val="13"/>
                <w:szCs w:val="13"/>
                <w:color w:val="auto"/>
              </w:rPr>
              <w:t>Amortization of net actuarial loss, net of</w:t>
            </w:r>
          </w:p>
        </w:tc>
        <w:tc>
          <w:tcPr>
            <w:tcW w:w="100" w:type="dxa"/>
            <w:vAlign w:val="bottom"/>
            <w:shd w:val="clear" w:color="auto" w:fill="CFF0FC"/>
          </w:tcPr>
          <w:p>
            <w:pPr>
              <w:spacing w:after="0"/>
              <w:rPr>
                <w:sz w:val="11"/>
                <w:szCs w:val="11"/>
                <w:color w:val="auto"/>
              </w:rPr>
            </w:pPr>
          </w:p>
        </w:tc>
        <w:tc>
          <w:tcPr>
            <w:tcW w:w="4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FF0FC"/>
          </w:tcPr>
          <w:p>
            <w:pPr>
              <w:spacing w:after="0"/>
              <w:rPr>
                <w:sz w:val="11"/>
                <w:szCs w:val="11"/>
                <w:color w:val="auto"/>
              </w:rPr>
            </w:pPr>
          </w:p>
        </w:tc>
        <w:tc>
          <w:tcPr>
            <w:tcW w:w="86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720" w:type="dxa"/>
            <w:vAlign w:val="bottom"/>
            <w:gridSpan w:val="2"/>
            <w:vMerge w:val="restart"/>
            <w:shd w:val="clear" w:color="auto" w:fill="CFF0FC"/>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52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58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200" w:type="dxa"/>
            <w:vAlign w:val="bottom"/>
            <w:tcBorders>
              <w:right w:val="single" w:sz="8" w:color="auto"/>
            </w:tcBorders>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760" w:type="dxa"/>
            <w:vAlign w:val="bottom"/>
            <w:gridSpan w:val="2"/>
            <w:vMerge w:val="restart"/>
            <w:shd w:val="clear" w:color="auto" w:fill="CFF0FC"/>
          </w:tcPr>
          <w:p>
            <w:pPr>
              <w:jc w:val="right"/>
              <w:ind w:right="220"/>
              <w:spacing w:after="0"/>
              <w:rPr>
                <w:sz w:val="20"/>
                <w:szCs w:val="20"/>
                <w:color w:val="auto"/>
              </w:rPr>
            </w:pPr>
            <w:r>
              <w:rPr>
                <w:rFonts w:ascii="Times New Roman" w:cs="Times New Roman" w:eastAsia="Times New Roman" w:hAnsi="Times New Roman"/>
                <w:sz w:val="13"/>
                <w:szCs w:val="13"/>
                <w:color w:val="auto"/>
              </w:rPr>
              <w:t>—</w:t>
            </w:r>
          </w:p>
        </w:tc>
        <w:tc>
          <w:tcPr>
            <w:tcW w:w="80" w:type="dxa"/>
            <w:vAlign w:val="bottom"/>
            <w:shd w:val="clear" w:color="auto" w:fill="CFF0FC"/>
          </w:tcPr>
          <w:p>
            <w:pPr>
              <w:spacing w:after="0"/>
              <w:rPr>
                <w:sz w:val="11"/>
                <w:szCs w:val="11"/>
                <w:color w:val="auto"/>
              </w:rPr>
            </w:pPr>
          </w:p>
        </w:tc>
        <w:tc>
          <w:tcPr>
            <w:tcW w:w="660" w:type="dxa"/>
            <w:vAlign w:val="bottom"/>
            <w:vMerge w:val="restart"/>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tax</w:t>
            </w:r>
          </w:p>
        </w:tc>
        <w:tc>
          <w:tcPr>
            <w:tcW w:w="100" w:type="dxa"/>
            <w:vAlign w:val="bottom"/>
            <w:shd w:val="clear" w:color="auto" w:fill="CFF0FC"/>
          </w:tcPr>
          <w:p>
            <w:pPr>
              <w:spacing w:after="0"/>
              <w:rPr>
                <w:sz w:val="16"/>
                <w:szCs w:val="16"/>
                <w:color w:val="auto"/>
              </w:rPr>
            </w:pPr>
          </w:p>
        </w:tc>
        <w:tc>
          <w:tcPr>
            <w:tcW w:w="48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860" w:type="dxa"/>
            <w:vAlign w:val="bottom"/>
            <w:gridSpan w:val="2"/>
            <w:vMerge w:val="continue"/>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720" w:type="dxa"/>
            <w:vAlign w:val="bottom"/>
            <w:gridSpan w:val="2"/>
            <w:vMerge w:val="continue"/>
            <w:shd w:val="clear" w:color="auto" w:fill="CFF0FC"/>
          </w:tcPr>
          <w:p>
            <w:pPr>
              <w:spacing w:after="0"/>
              <w:rPr>
                <w:sz w:val="16"/>
                <w:szCs w:val="16"/>
                <w:color w:val="auto"/>
              </w:rPr>
            </w:pPr>
          </w:p>
        </w:tc>
        <w:tc>
          <w:tcPr>
            <w:tcW w:w="520" w:type="dxa"/>
            <w:vAlign w:val="bottom"/>
            <w:vMerge w:val="continue"/>
            <w:shd w:val="clear" w:color="auto" w:fill="CFF0FC"/>
          </w:tcPr>
          <w:p>
            <w:pPr>
              <w:spacing w:after="0"/>
              <w:rPr>
                <w:sz w:val="16"/>
                <w:szCs w:val="16"/>
                <w:color w:val="auto"/>
              </w:rPr>
            </w:pPr>
          </w:p>
        </w:tc>
        <w:tc>
          <w:tcPr>
            <w:tcW w:w="200" w:type="dxa"/>
            <w:vAlign w:val="bottom"/>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0" w:type="dxa"/>
            <w:vAlign w:val="bottom"/>
            <w:gridSpan w:val="2"/>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580" w:type="dxa"/>
            <w:vAlign w:val="bottom"/>
            <w:vMerge w:val="continue"/>
            <w:shd w:val="clear" w:color="auto" w:fill="CFF0FC"/>
          </w:tcPr>
          <w:p>
            <w:pPr>
              <w:spacing w:after="0"/>
              <w:rPr>
                <w:sz w:val="16"/>
                <w:szCs w:val="16"/>
                <w:color w:val="auto"/>
              </w:rPr>
            </w:pPr>
          </w:p>
        </w:tc>
        <w:tc>
          <w:tcPr>
            <w:tcW w:w="200" w:type="dxa"/>
            <w:vAlign w:val="bottom"/>
            <w:tcBorders>
              <w:right w:val="single" w:sz="8" w:color="auto"/>
            </w:tcBorders>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760" w:type="dxa"/>
            <w:vAlign w:val="bottom"/>
            <w:gridSpan w:val="2"/>
            <w:vMerge w:val="continue"/>
            <w:shd w:val="clear" w:color="auto" w:fill="CFF0FC"/>
          </w:tcPr>
          <w:p>
            <w:pPr>
              <w:spacing w:after="0"/>
              <w:rPr>
                <w:sz w:val="16"/>
                <w:szCs w:val="16"/>
                <w:color w:val="auto"/>
              </w:rPr>
            </w:pPr>
          </w:p>
        </w:tc>
        <w:tc>
          <w:tcPr>
            <w:tcW w:w="80" w:type="dxa"/>
            <w:vAlign w:val="bottom"/>
            <w:shd w:val="clear" w:color="auto" w:fill="CFF0FC"/>
          </w:tcPr>
          <w:p>
            <w:pPr>
              <w:spacing w:after="0"/>
              <w:rPr>
                <w:sz w:val="16"/>
                <w:szCs w:val="16"/>
                <w:color w:val="auto"/>
              </w:rPr>
            </w:pPr>
          </w:p>
        </w:tc>
        <w:tc>
          <w:tcPr>
            <w:tcW w:w="660" w:type="dxa"/>
            <w:vAlign w:val="bottom"/>
            <w:vMerge w:val="continue"/>
            <w:shd w:val="clear" w:color="auto" w:fill="CFF0FC"/>
          </w:tcPr>
          <w:p>
            <w:pPr>
              <w:spacing w:after="0"/>
              <w:rPr>
                <w:sz w:val="16"/>
                <w:szCs w:val="16"/>
                <w:color w:val="auto"/>
              </w:rPr>
            </w:pPr>
          </w:p>
        </w:tc>
        <w:tc>
          <w:tcPr>
            <w:tcW w:w="10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175"/>
        </w:trPr>
        <w:tc>
          <w:tcPr>
            <w:tcW w:w="238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Other, net</w:t>
            </w:r>
          </w:p>
        </w:tc>
        <w:tc>
          <w:tcPr>
            <w:tcW w:w="10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10</w:t>
            </w: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6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900" w:type="dxa"/>
            <w:vAlign w:val="bottom"/>
            <w:gridSpan w:val="2"/>
          </w:tcPr>
          <w:p>
            <w:pPr>
              <w:jc w:val="right"/>
              <w:ind w:right="24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23</w:t>
            </w:r>
          </w:p>
        </w:tc>
        <w:tc>
          <w:tcPr>
            <w:tcW w:w="240" w:type="dxa"/>
            <w:vAlign w:val="bottom"/>
          </w:tcPr>
          <w:p>
            <w:pPr>
              <w:spacing w:after="0"/>
              <w:rPr>
                <w:sz w:val="15"/>
                <w:szCs w:val="15"/>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33</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(7 )</w:t>
            </w:r>
          </w:p>
        </w:tc>
        <w:tc>
          <w:tcPr>
            <w:tcW w:w="100" w:type="dxa"/>
            <w:vAlign w:val="bottom"/>
          </w:tcPr>
          <w:p>
            <w:pPr>
              <w:spacing w:after="0"/>
              <w:rPr>
                <w:sz w:val="15"/>
                <w:szCs w:val="15"/>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26</w:t>
            </w:r>
          </w:p>
        </w:tc>
        <w:tc>
          <w:tcPr>
            <w:tcW w:w="20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547</w:t>
            </w: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6"/>
        </w:trPr>
        <w:tc>
          <w:tcPr>
            <w:tcW w:w="238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48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4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240" w:type="dxa"/>
            <w:vAlign w:val="bottom"/>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480" w:type="dxa"/>
            <w:vAlign w:val="bottom"/>
            <w:tcBorders>
              <w:top w:val="single" w:sz="8" w:color="auto"/>
            </w:tcBorders>
            <w:shd w:val="clear" w:color="auto" w:fill="CFF0FC"/>
          </w:tcPr>
          <w:p>
            <w:pPr>
              <w:jc w:val="right"/>
              <w:spacing w:after="0" w:line="116" w:lineRule="exact"/>
              <w:rPr>
                <w:sz w:val="20"/>
                <w:szCs w:val="20"/>
                <w:color w:val="auto"/>
              </w:rPr>
            </w:pPr>
            <w:r>
              <w:rPr>
                <w:rFonts w:ascii="Times New Roman" w:cs="Times New Roman" w:eastAsia="Times New Roman" w:hAnsi="Times New Roman"/>
                <w:sz w:val="13"/>
                <w:szCs w:val="13"/>
                <w:color w:val="auto"/>
              </w:rPr>
              <w:t>(224,10</w:t>
            </w:r>
          </w:p>
        </w:tc>
        <w:tc>
          <w:tcPr>
            <w:tcW w:w="240" w:type="dxa"/>
            <w:vAlign w:val="bottom"/>
            <w:shd w:val="clear" w:color="auto" w:fill="CFF0FC"/>
          </w:tcPr>
          <w:p>
            <w:pPr>
              <w:spacing w:after="0"/>
              <w:rPr>
                <w:sz w:val="10"/>
                <w:szCs w:val="10"/>
                <w:color w:val="auto"/>
              </w:rPr>
            </w:pPr>
          </w:p>
        </w:tc>
        <w:tc>
          <w:tcPr>
            <w:tcW w:w="520" w:type="dxa"/>
            <w:vAlign w:val="bottom"/>
            <w:tcBorders>
              <w:top w:val="single" w:sz="8" w:color="auto"/>
            </w:tcBorders>
            <w:shd w:val="clear" w:color="auto" w:fill="CFF0FC"/>
          </w:tcPr>
          <w:p>
            <w:pPr>
              <w:spacing w:after="0"/>
              <w:rPr>
                <w:sz w:val="10"/>
                <w:szCs w:val="10"/>
                <w:color w:val="auto"/>
              </w:rPr>
            </w:pPr>
          </w:p>
        </w:tc>
        <w:tc>
          <w:tcPr>
            <w:tcW w:w="20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20" w:type="dxa"/>
            <w:vAlign w:val="bottom"/>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200" w:type="dxa"/>
            <w:vAlign w:val="bottom"/>
            <w:tcBorders>
              <w:right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200" w:type="dxa"/>
            <w:vAlign w:val="bottom"/>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60" w:type="dxa"/>
            <w:vAlign w:val="bottom"/>
            <w:tcBorders>
              <w:top w:val="single" w:sz="8" w:color="auto"/>
            </w:tcBorders>
            <w:shd w:val="clear" w:color="auto" w:fill="CFF0FC"/>
          </w:tcPr>
          <w:p>
            <w:pPr>
              <w:spacing w:after="0"/>
              <w:rPr>
                <w:sz w:val="10"/>
                <w:szCs w:val="10"/>
                <w:color w:val="auto"/>
              </w:rPr>
            </w:pPr>
          </w:p>
        </w:tc>
        <w:tc>
          <w:tcPr>
            <w:tcW w:w="100" w:type="dxa"/>
            <w:vAlign w:val="bottom"/>
            <w:shd w:val="clear" w:color="auto" w:fill="CFF0FC"/>
          </w:tcPr>
          <w:p>
            <w:pPr>
              <w:spacing w:after="0"/>
              <w:rPr>
                <w:sz w:val="10"/>
                <w:szCs w:val="10"/>
                <w:color w:val="auto"/>
              </w:rPr>
            </w:pPr>
          </w:p>
        </w:tc>
        <w:tc>
          <w:tcPr>
            <w:tcW w:w="0" w:type="dxa"/>
            <w:vAlign w:val="bottom"/>
          </w:tcPr>
          <w:p>
            <w:pPr>
              <w:spacing w:after="0"/>
              <w:rPr>
                <w:sz w:val="1"/>
                <w:szCs w:val="1"/>
                <w:color w:val="auto"/>
              </w:rPr>
            </w:pPr>
          </w:p>
        </w:tc>
      </w:tr>
      <w:tr>
        <w:trPr>
          <w:trHeight w:val="208"/>
        </w:trPr>
        <w:tc>
          <w:tcPr>
            <w:tcW w:w="2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Balance, June 30, 2021</w:t>
            </w: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4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37,402</w:t>
            </w:r>
          </w:p>
        </w:tc>
        <w:tc>
          <w:tcPr>
            <w:tcW w:w="240" w:type="dxa"/>
            <w:vAlign w:val="bottom"/>
            <w:shd w:val="clear" w:color="auto" w:fill="CFF0FC"/>
          </w:tcPr>
          <w:p>
            <w:pPr>
              <w:spacing w:after="0"/>
              <w:rPr>
                <w:sz w:val="18"/>
                <w:szCs w:val="18"/>
                <w:color w:val="auto"/>
              </w:rPr>
            </w:pP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566,658</w:t>
            </w:r>
          </w:p>
        </w:tc>
        <w:tc>
          <w:tcPr>
            <w:tcW w:w="220" w:type="dxa"/>
            <w:vAlign w:val="bottom"/>
            <w:shd w:val="clear" w:color="auto" w:fill="CFF0FC"/>
          </w:tcPr>
          <w:p>
            <w:pPr>
              <w:spacing w:after="0"/>
              <w:rPr>
                <w:sz w:val="18"/>
                <w:szCs w:val="18"/>
                <w:color w:val="auto"/>
              </w:rPr>
            </w:pP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6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(338,343 )</w:t>
            </w:r>
          </w:p>
        </w:tc>
        <w:tc>
          <w:tcPr>
            <w:tcW w:w="12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90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(22,865 )</w:t>
            </w:r>
          </w:p>
        </w:tc>
        <w:tc>
          <w:tcPr>
            <w:tcW w:w="1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3"/>
                <w:szCs w:val="13"/>
                <w:color w:val="auto"/>
              </w:rPr>
              <w:t>1 )</w:t>
            </w: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$ 18,751</w:t>
            </w:r>
          </w:p>
        </w:tc>
        <w:tc>
          <w:tcPr>
            <w:tcW w:w="200" w:type="dxa"/>
            <w:vAlign w:val="bottom"/>
            <w:shd w:val="clear" w:color="auto" w:fill="CFF0FC"/>
          </w:tcPr>
          <w:p>
            <w:pPr>
              <w:spacing w:after="0"/>
              <w:rPr>
                <w:sz w:val="18"/>
                <w:szCs w:val="18"/>
                <w:color w:val="auto"/>
              </w:rPr>
            </w:pPr>
          </w:p>
        </w:tc>
        <w:tc>
          <w:tcPr>
            <w:tcW w:w="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83,816</w:t>
            </w:r>
          </w:p>
        </w:tc>
        <w:tc>
          <w:tcPr>
            <w:tcW w:w="2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102,567</w:t>
            </w:r>
          </w:p>
        </w:tc>
        <w:tc>
          <w:tcPr>
            <w:tcW w:w="200" w:type="dxa"/>
            <w:vAlign w:val="bottom"/>
            <w:tcBorders>
              <w:right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w w:val="91"/>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5,325</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1"/>
                <w:szCs w:val="11"/>
                <w:color w:val="auto"/>
                <w:w w:val="71"/>
              </w:rPr>
              <w:t>$</w:t>
            </w:r>
          </w:p>
        </w:tc>
        <w:tc>
          <w:tcPr>
            <w:tcW w:w="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132,591</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38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6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48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FF0FC"/>
            </w:tcBorders>
            <w:shd w:val="clear" w:color="auto" w:fill="CFF0FC"/>
          </w:tcPr>
          <w:p>
            <w:pPr>
              <w:spacing w:after="0" w:line="20" w:lineRule="exact"/>
              <w:rPr>
                <w:sz w:val="1"/>
                <w:szCs w:val="1"/>
                <w:color w:val="auto"/>
              </w:rPr>
            </w:pPr>
          </w:p>
        </w:tc>
        <w:tc>
          <w:tcPr>
            <w:tcW w:w="5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5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FF0FC"/>
              <w:right w:val="single" w:sz="8" w:color="auto"/>
            </w:tcBorders>
            <w:shd w:val="clear" w:color="auto" w:fill="CFF0FC"/>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56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6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1880235</wp:posOffset>
            </wp:positionH>
            <wp:positionV relativeFrom="paragraph">
              <wp:posOffset>-1771650</wp:posOffset>
            </wp:positionV>
            <wp:extent cx="76835" cy="82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1880235</wp:posOffset>
            </wp:positionH>
            <wp:positionV relativeFrom="paragraph">
              <wp:posOffset>-1754505</wp:posOffset>
            </wp:positionV>
            <wp:extent cx="76835"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2462530</wp:posOffset>
            </wp:positionH>
            <wp:positionV relativeFrom="paragraph">
              <wp:posOffset>-1771650</wp:posOffset>
            </wp:positionV>
            <wp:extent cx="76835"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2462530</wp:posOffset>
            </wp:positionH>
            <wp:positionV relativeFrom="paragraph">
              <wp:posOffset>-1754505</wp:posOffset>
            </wp:positionV>
            <wp:extent cx="76835"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3087370</wp:posOffset>
            </wp:positionH>
            <wp:positionV relativeFrom="paragraph">
              <wp:posOffset>-1771650</wp:posOffset>
            </wp:positionV>
            <wp:extent cx="76835"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3087370</wp:posOffset>
            </wp:positionH>
            <wp:positionV relativeFrom="paragraph">
              <wp:posOffset>-1754505</wp:posOffset>
            </wp:positionV>
            <wp:extent cx="76835"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3738245</wp:posOffset>
            </wp:positionH>
            <wp:positionV relativeFrom="paragraph">
              <wp:posOffset>-1771650</wp:posOffset>
            </wp:positionV>
            <wp:extent cx="76835"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3738245</wp:posOffset>
            </wp:positionH>
            <wp:positionV relativeFrom="paragraph">
              <wp:posOffset>-1754505</wp:posOffset>
            </wp:positionV>
            <wp:extent cx="76835"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4269105</wp:posOffset>
            </wp:positionH>
            <wp:positionV relativeFrom="paragraph">
              <wp:posOffset>-1771650</wp:posOffset>
            </wp:positionV>
            <wp:extent cx="76835"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4269105</wp:posOffset>
            </wp:positionH>
            <wp:positionV relativeFrom="paragraph">
              <wp:posOffset>-1754505</wp:posOffset>
            </wp:positionV>
            <wp:extent cx="76835"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4748530</wp:posOffset>
            </wp:positionH>
            <wp:positionV relativeFrom="paragraph">
              <wp:posOffset>-1771650</wp:posOffset>
            </wp:positionV>
            <wp:extent cx="6858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4748530</wp:posOffset>
            </wp:positionH>
            <wp:positionV relativeFrom="paragraph">
              <wp:posOffset>-1754505</wp:posOffset>
            </wp:positionV>
            <wp:extent cx="68580"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5313680</wp:posOffset>
            </wp:positionH>
            <wp:positionV relativeFrom="paragraph">
              <wp:posOffset>-1771650</wp:posOffset>
            </wp:positionV>
            <wp:extent cx="6858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5313680</wp:posOffset>
            </wp:positionH>
            <wp:positionV relativeFrom="paragraph">
              <wp:posOffset>-1754505</wp:posOffset>
            </wp:positionV>
            <wp:extent cx="6858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5878830</wp:posOffset>
            </wp:positionH>
            <wp:positionV relativeFrom="paragraph">
              <wp:posOffset>-1771650</wp:posOffset>
            </wp:positionV>
            <wp:extent cx="68580"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5878830</wp:posOffset>
            </wp:positionH>
            <wp:positionV relativeFrom="paragraph">
              <wp:posOffset>-1754505</wp:posOffset>
            </wp:positionV>
            <wp:extent cx="6858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6478270</wp:posOffset>
            </wp:positionH>
            <wp:positionV relativeFrom="paragraph">
              <wp:posOffset>-1771650</wp:posOffset>
            </wp:positionV>
            <wp:extent cx="6858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6478270</wp:posOffset>
            </wp:positionH>
            <wp:positionV relativeFrom="paragraph">
              <wp:posOffset>-1754505</wp:posOffset>
            </wp:positionV>
            <wp:extent cx="68580"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-1771650</wp:posOffset>
            </wp:positionV>
            <wp:extent cx="6858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-1754505</wp:posOffset>
            </wp:positionV>
            <wp:extent cx="68580" cy="82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1880235</wp:posOffset>
            </wp:positionH>
            <wp:positionV relativeFrom="paragraph">
              <wp:posOffset>-24765</wp:posOffset>
            </wp:positionV>
            <wp:extent cx="76835"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1880235</wp:posOffset>
            </wp:positionH>
            <wp:positionV relativeFrom="paragraph">
              <wp:posOffset>-7620</wp:posOffset>
            </wp:positionV>
            <wp:extent cx="76835"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2462530</wp:posOffset>
            </wp:positionH>
            <wp:positionV relativeFrom="paragraph">
              <wp:posOffset>-24765</wp:posOffset>
            </wp:positionV>
            <wp:extent cx="76835"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2462530</wp:posOffset>
            </wp:positionH>
            <wp:positionV relativeFrom="paragraph">
              <wp:posOffset>-7620</wp:posOffset>
            </wp:positionV>
            <wp:extent cx="76835"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3087370</wp:posOffset>
            </wp:positionH>
            <wp:positionV relativeFrom="paragraph">
              <wp:posOffset>-24765</wp:posOffset>
            </wp:positionV>
            <wp:extent cx="76835"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3087370</wp:posOffset>
            </wp:positionH>
            <wp:positionV relativeFrom="paragraph">
              <wp:posOffset>-7620</wp:posOffset>
            </wp:positionV>
            <wp:extent cx="76835"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3738245</wp:posOffset>
            </wp:positionH>
            <wp:positionV relativeFrom="paragraph">
              <wp:posOffset>-24765</wp:posOffset>
            </wp:positionV>
            <wp:extent cx="76835"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3738245</wp:posOffset>
            </wp:positionH>
            <wp:positionV relativeFrom="paragraph">
              <wp:posOffset>-7620</wp:posOffset>
            </wp:positionV>
            <wp:extent cx="76835"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4269105</wp:posOffset>
            </wp:positionH>
            <wp:positionV relativeFrom="paragraph">
              <wp:posOffset>-24765</wp:posOffset>
            </wp:positionV>
            <wp:extent cx="76835"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4269105</wp:posOffset>
            </wp:positionH>
            <wp:positionV relativeFrom="paragraph">
              <wp:posOffset>-7620</wp:posOffset>
            </wp:positionV>
            <wp:extent cx="76835"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4748530</wp:posOffset>
            </wp:positionH>
            <wp:positionV relativeFrom="paragraph">
              <wp:posOffset>-24765</wp:posOffset>
            </wp:positionV>
            <wp:extent cx="68580"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4748530</wp:posOffset>
            </wp:positionH>
            <wp:positionV relativeFrom="paragraph">
              <wp:posOffset>-7620</wp:posOffset>
            </wp:positionV>
            <wp:extent cx="68580"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5313680</wp:posOffset>
            </wp:positionH>
            <wp:positionV relativeFrom="paragraph">
              <wp:posOffset>-24765</wp:posOffset>
            </wp:positionV>
            <wp:extent cx="68580"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5313680</wp:posOffset>
            </wp:positionH>
            <wp:positionV relativeFrom="paragraph">
              <wp:posOffset>-7620</wp:posOffset>
            </wp:positionV>
            <wp:extent cx="6858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5878830</wp:posOffset>
            </wp:positionH>
            <wp:positionV relativeFrom="paragraph">
              <wp:posOffset>-24765</wp:posOffset>
            </wp:positionV>
            <wp:extent cx="68580"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5878830</wp:posOffset>
            </wp:positionH>
            <wp:positionV relativeFrom="paragraph">
              <wp:posOffset>-7620</wp:posOffset>
            </wp:positionV>
            <wp:extent cx="68580"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6478270</wp:posOffset>
            </wp:positionH>
            <wp:positionV relativeFrom="paragraph">
              <wp:posOffset>-24765</wp:posOffset>
            </wp:positionV>
            <wp:extent cx="68580" cy="82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6478270</wp:posOffset>
            </wp:positionH>
            <wp:positionV relativeFrom="paragraph">
              <wp:posOffset>-7620</wp:posOffset>
            </wp:positionV>
            <wp:extent cx="68580"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CONDENSED CONSOLIDATED STATEMENTS OF CASH FLOWS</w:t>
      </w:r>
    </w:p>
    <w:p>
      <w:pPr>
        <w:spacing w:after="0" w:line="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40" w:type="dxa"/>
            <w:vAlign w:val="bottom"/>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766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3"/>
          </w:tcPr>
          <w:p>
            <w:pPr>
              <w:jc w:val="right"/>
              <w:ind w:right="31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66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5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61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Cash flows from operating activities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loss</w:t>
            </w:r>
          </w:p>
        </w:tc>
        <w:tc>
          <w:tcPr>
            <w:tcW w:w="36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(10,181 )</w:t>
            </w:r>
          </w:p>
        </w:tc>
        <w:tc>
          <w:tcPr>
            <w:tcW w:w="60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(88,058 )</w:t>
            </w:r>
          </w:p>
        </w:tc>
      </w:tr>
      <w:tr>
        <w:trPr>
          <w:trHeight w:val="216"/>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Adjustments to reconcile net loss to net cash provided by (used in) operating activities: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26,486</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26,510</w:t>
            </w: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Deferred income taxes</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(962 )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(4,253 )</w:t>
            </w: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Income from discontinued operations</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(327 )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(286 )</w:t>
            </w: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Restructuring charges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2,080</w:t>
            </w:r>
          </w:p>
        </w:tc>
        <w:tc>
          <w:tcPr>
            <w:tcW w:w="26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3,613</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Impairment charges</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583</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18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Gains on dispositions of property and other assets</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(154 )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(9,360 )</w:t>
            </w: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Share-based compensation expense</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5,469</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4,216</w:t>
            </w: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Multi-employer pension plan withdrawal</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201"/>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non-cash items, net</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5,384</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(33 )</w:t>
            </w: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Change in operating assets and liabilities: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Receivables</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(67,166 )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(7,056 )</w:t>
            </w:r>
          </w:p>
        </w:tc>
      </w:tr>
      <w:tr>
        <w:trPr>
          <w:trHeight w:val="216"/>
        </w:trPr>
        <w:tc>
          <w:tcPr>
            <w:tcW w:w="766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Inventories</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(6,461 )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(2,602 )</w:t>
            </w:r>
          </w:p>
        </w:tc>
      </w:tr>
      <w:tr>
        <w:trPr>
          <w:trHeight w:val="216"/>
        </w:trPr>
        <w:tc>
          <w:tcPr>
            <w:tcW w:w="76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Current contract costs</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(11,946 )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(4,372 )</w:t>
            </w:r>
          </w:p>
        </w:tc>
      </w:tr>
      <w:tr>
        <w:trPr>
          <w:trHeight w:val="216"/>
        </w:trPr>
        <w:tc>
          <w:tcPr>
            <w:tcW w:w="766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Accounts payable</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32,942</w:t>
            </w:r>
          </w:p>
        </w:tc>
        <w:tc>
          <w:tcPr>
            <w:tcW w:w="26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6,456</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Restructuring liabilities</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(1,894 )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(3,106 )</w:t>
            </w:r>
          </w:p>
        </w:tc>
      </w:tr>
      <w:tr>
        <w:trPr>
          <w:trHeight w:val="216"/>
        </w:trPr>
        <w:tc>
          <w:tcPr>
            <w:tcW w:w="766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Accrued compensation</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12,586</w:t>
            </w:r>
          </w:p>
        </w:tc>
        <w:tc>
          <w:tcPr>
            <w:tcW w:w="26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7,145</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Contract liabilities</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27,167</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27,770</w:t>
            </w: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380"/>
              <w:spacing w:after="0"/>
              <w:rPr>
                <w:sz w:val="20"/>
                <w:szCs w:val="20"/>
                <w:color w:val="auto"/>
              </w:rPr>
            </w:pPr>
            <w:r>
              <w:rPr>
                <w:rFonts w:ascii="Times New Roman" w:cs="Times New Roman" w:eastAsia="Times New Roman" w:hAnsi="Times New Roman"/>
                <w:sz w:val="18"/>
                <w:szCs w:val="18"/>
                <w:color w:val="auto"/>
              </w:rPr>
              <w:t>Income taxes payable</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(193 )</w:t>
            </w: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160</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380"/>
              <w:spacing w:after="0"/>
              <w:rPr>
                <w:sz w:val="20"/>
                <w:szCs w:val="20"/>
                <w:color w:val="auto"/>
              </w:rPr>
            </w:pPr>
            <w:r>
              <w:rPr>
                <w:rFonts w:ascii="Times New Roman" w:cs="Times New Roman" w:eastAsia="Times New Roman" w:hAnsi="Times New Roman"/>
                <w:sz w:val="18"/>
                <w:szCs w:val="18"/>
                <w:color w:val="auto"/>
              </w:rPr>
              <w:t>Other assets and liabilities, net</w:t>
            </w:r>
          </w:p>
        </w:tc>
        <w:tc>
          <w:tcPr>
            <w:tcW w:w="3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30,605</w:t>
            </w:r>
          </w:p>
        </w:tc>
        <w:tc>
          <w:tcPr>
            <w:tcW w:w="260" w:type="dxa"/>
            <w:vAlign w:val="bottom"/>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3,650</w:t>
            </w:r>
          </w:p>
        </w:tc>
        <w:tc>
          <w:tcPr>
            <w:tcW w:w="100" w:type="dxa"/>
            <w:vAlign w:val="bottom"/>
          </w:tcPr>
          <w:p>
            <w:pPr>
              <w:spacing w:after="0"/>
              <w:rPr>
                <w:sz w:val="18"/>
                <w:szCs w:val="18"/>
                <w:color w:val="auto"/>
              </w:rPr>
            </w:pPr>
          </w:p>
        </w:tc>
      </w:tr>
      <w:tr>
        <w:trPr>
          <w:trHeight w:val="209"/>
        </w:trPr>
        <w:tc>
          <w:tcPr>
            <w:tcW w:w="766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cash provided by (used in) operating activities</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44,018</w:t>
            </w:r>
          </w:p>
        </w:tc>
        <w:tc>
          <w:tcPr>
            <w:tcW w:w="260" w:type="dxa"/>
            <w:vAlign w:val="bottom"/>
            <w:tcBorders>
              <w:bottom w:val="single" w:sz="8" w:color="CFF0FC"/>
            </w:tcBorders>
            <w:shd w:val="clear" w:color="auto" w:fill="CFF0FC"/>
          </w:tcPr>
          <w:p>
            <w:pPr>
              <w:spacing w:after="0"/>
              <w:rPr>
                <w:sz w:val="18"/>
                <w:szCs w:val="18"/>
                <w:color w:val="auto"/>
              </w:rPr>
            </w:pPr>
          </w:p>
        </w:tc>
        <w:tc>
          <w:tcPr>
            <w:tcW w:w="60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(39,549</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9"/>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Cash flows from investing activities</w:t>
            </w:r>
          </w:p>
        </w:tc>
        <w:tc>
          <w:tcPr>
            <w:tcW w:w="3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Capital expenditures</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(31,639 )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(24,763 )</w:t>
            </w: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Cash paid for acquisitions, net</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(25,494 )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(7,606 )</w:t>
            </w:r>
          </w:p>
        </w:tc>
      </w:tr>
      <w:tr>
        <w:trPr>
          <w:trHeight w:val="216"/>
        </w:trPr>
        <w:tc>
          <w:tcPr>
            <w:tcW w:w="766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Proceeds from dispositions of property and other assets</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w:t>
            </w:r>
          </w:p>
        </w:tc>
        <w:tc>
          <w:tcPr>
            <w:tcW w:w="260" w:type="dxa"/>
            <w:vAlign w:val="bottom"/>
            <w:tcBorders>
              <w:bottom w:val="single" w:sz="8" w:color="CFF0FC"/>
            </w:tcBorders>
            <w:shd w:val="clear" w:color="auto" w:fill="CFF0FC"/>
          </w:tcPr>
          <w:p>
            <w:pPr>
              <w:spacing w:after="0"/>
              <w:rPr>
                <w:sz w:val="18"/>
                <w:szCs w:val="18"/>
                <w:color w:val="auto"/>
              </w:rPr>
            </w:pPr>
          </w:p>
        </w:tc>
        <w:tc>
          <w:tcPr>
            <w:tcW w:w="60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14,227</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cash used in investing activities</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(56,972 )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(18,142 )</w:t>
            </w:r>
          </w:p>
        </w:tc>
      </w:tr>
      <w:tr>
        <w:trPr>
          <w:trHeight w:val="209"/>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Cash flows from financing activities</w:t>
            </w:r>
          </w:p>
        </w:tc>
        <w:tc>
          <w:tcPr>
            <w:tcW w:w="360" w:type="dxa"/>
            <w:vAlign w:val="bottom"/>
            <w:tcBorders>
              <w:top w:val="single" w:sz="8" w:color="auto"/>
            </w:tcBorders>
            <w:shd w:val="clear" w:color="auto" w:fill="CFF0FC"/>
          </w:tcPr>
          <w:p>
            <w:pPr>
              <w:spacing w:after="0"/>
              <w:rPr>
                <w:sz w:val="18"/>
                <w:szCs w:val="18"/>
                <w:color w:val="auto"/>
              </w:rPr>
            </w:pPr>
          </w:p>
        </w:tc>
        <w:tc>
          <w:tcPr>
            <w:tcW w:w="1180" w:type="dxa"/>
            <w:vAlign w:val="bottom"/>
            <w:tcBorders>
              <w:top w:val="single" w:sz="8" w:color="auto"/>
            </w:tcBorders>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600" w:type="dxa"/>
            <w:vAlign w:val="bottom"/>
            <w:tcBorders>
              <w:top w:val="single" w:sz="8" w:color="auto"/>
            </w:tcBorders>
            <w:shd w:val="clear" w:color="auto" w:fill="CFF0FC"/>
          </w:tcPr>
          <w:p>
            <w:pPr>
              <w:spacing w:after="0"/>
              <w:rPr>
                <w:sz w:val="18"/>
                <w:szCs w:val="18"/>
                <w:color w:val="auto"/>
              </w:rPr>
            </w:pPr>
          </w:p>
        </w:tc>
        <w:tc>
          <w:tcPr>
            <w:tcW w:w="108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Proceeds from borrowings</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54,668</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65,608</w:t>
            </w: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Payments on debt and finance obligations</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(38,728 )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(9,027 )</w:t>
            </w: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Dividends paid on preferred stock</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(3,900 )</w:t>
            </w:r>
          </w:p>
        </w:tc>
        <w:tc>
          <w:tcPr>
            <w:tcW w:w="600" w:type="dxa"/>
            <w:vAlign w:val="bottom"/>
          </w:tcPr>
          <w:p>
            <w:pPr>
              <w:spacing w:after="0"/>
              <w:rPr>
                <w:sz w:val="18"/>
                <w:szCs w:val="18"/>
                <w:color w:val="auto"/>
              </w:rPr>
            </w:pPr>
          </w:p>
        </w:tc>
        <w:tc>
          <w:tcPr>
            <w:tcW w:w="118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Distributions to noncontrolling interest, net of contributions from noncontrolling interest</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(570 )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(678 )</w:t>
            </w:r>
          </w:p>
        </w:tc>
      </w:tr>
      <w:tr>
        <w:trPr>
          <w:trHeight w:val="216"/>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Payments of debt issuance costs</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(418 )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(128 )</w:t>
            </w:r>
          </w:p>
        </w:tc>
      </w:tr>
      <w:tr>
        <w:trPr>
          <w:trHeight w:val="216"/>
        </w:trPr>
        <w:tc>
          <w:tcPr>
            <w:tcW w:w="76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Payment of payroll taxes on stock-based compensation through shares withheld or repurchased</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(537 )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(601 )</w:t>
            </w:r>
          </w:p>
        </w:tc>
      </w:tr>
      <w:tr>
        <w:trPr>
          <w:trHeight w:val="209"/>
        </w:trPr>
        <w:tc>
          <w:tcPr>
            <w:tcW w:w="766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Net cash provided by financing activities</w:t>
            </w:r>
          </w:p>
        </w:tc>
        <w:tc>
          <w:tcPr>
            <w:tcW w:w="36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10,515</w:t>
            </w:r>
          </w:p>
        </w:tc>
        <w:tc>
          <w:tcPr>
            <w:tcW w:w="260" w:type="dxa"/>
            <w:vAlign w:val="bottom"/>
            <w:tcBorders>
              <w:top w:val="single" w:sz="8" w:color="CFF0FC"/>
            </w:tcBorders>
          </w:tcPr>
          <w:p>
            <w:pPr>
              <w:spacing w:after="0"/>
              <w:rPr>
                <w:sz w:val="18"/>
                <w:szCs w:val="18"/>
                <w:color w:val="auto"/>
              </w:rPr>
            </w:pPr>
          </w:p>
        </w:tc>
        <w:tc>
          <w:tcPr>
            <w:tcW w:w="60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55,174</w:t>
            </w:r>
          </w:p>
        </w:tc>
        <w:tc>
          <w:tcPr>
            <w:tcW w:w="100" w:type="dxa"/>
            <w:vAlign w:val="bottom"/>
            <w:tcBorders>
              <w:top w:val="single" w:sz="8" w:color="CFF0FC"/>
            </w:tcBorders>
          </w:tcPr>
          <w:p>
            <w:pPr>
              <w:spacing w:after="0"/>
              <w:rPr>
                <w:sz w:val="18"/>
                <w:szCs w:val="18"/>
                <w:color w:val="auto"/>
              </w:rPr>
            </w:pPr>
          </w:p>
        </w:tc>
      </w:tr>
      <w:tr>
        <w:trPr>
          <w:trHeight w:val="209"/>
        </w:trPr>
        <w:tc>
          <w:tcPr>
            <w:tcW w:w="766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Effect of exchange rate changes on cash, cash equivalents, and restricted cash</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(1,924</w:t>
            </w:r>
          </w:p>
        </w:tc>
        <w:tc>
          <w:tcPr>
            <w:tcW w:w="260" w:type="dxa"/>
            <w:vAlign w:val="bottom"/>
            <w:tcBorders>
              <w:bottom w:val="single" w:sz="8" w:color="CFF0FC"/>
            </w:tcBorders>
            <w:shd w:val="clear" w:color="auto" w:fill="CFF0FC"/>
          </w:tcPr>
          <w:p>
            <w:pPr>
              <w:jc w:val="right"/>
              <w:ind w:right="121"/>
              <w:spacing w:after="0"/>
              <w:rPr>
                <w:sz w:val="20"/>
                <w:szCs w:val="20"/>
                <w:color w:val="auto"/>
              </w:rPr>
            </w:pPr>
            <w:r>
              <w:rPr>
                <w:rFonts w:ascii="Times New Roman" w:cs="Times New Roman" w:eastAsia="Times New Roman" w:hAnsi="Times New Roman"/>
                <w:sz w:val="16"/>
                <w:szCs w:val="16"/>
                <w:color w:val="auto"/>
                <w:w w:val="74"/>
              </w:rPr>
              <w:t>)</w:t>
            </w:r>
          </w:p>
        </w:tc>
        <w:tc>
          <w:tcPr>
            <w:tcW w:w="60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538</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change in cash, cash equivalents, and restricted cash</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(4,363 )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(1,979 )</w:t>
            </w:r>
          </w:p>
        </w:tc>
      </w:tr>
      <w:tr>
        <w:trPr>
          <w:trHeight w:val="216"/>
        </w:trPr>
        <w:tc>
          <w:tcPr>
            <w:tcW w:w="766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Cash, cash equivalents, and restricted cash, beginning of year</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64,303</w:t>
            </w:r>
          </w:p>
        </w:tc>
        <w:tc>
          <w:tcPr>
            <w:tcW w:w="260" w:type="dxa"/>
            <w:vAlign w:val="bottom"/>
            <w:tcBorders>
              <w:bottom w:val="single" w:sz="8" w:color="CFF0FC"/>
            </w:tcBorders>
            <w:shd w:val="clear" w:color="auto" w:fill="CFF0FC"/>
          </w:tcPr>
          <w:p>
            <w:pPr>
              <w:spacing w:after="0"/>
              <w:rPr>
                <w:sz w:val="18"/>
                <w:szCs w:val="18"/>
                <w:color w:val="auto"/>
              </w:rPr>
            </w:pPr>
          </w:p>
        </w:tc>
        <w:tc>
          <w:tcPr>
            <w:tcW w:w="60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41,971</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Cash, cash equivalents, and restricted cash, end of period</w:t>
            </w:r>
          </w:p>
        </w:tc>
        <w:tc>
          <w:tcPr>
            <w:tcW w:w="36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59,940</w:t>
            </w:r>
          </w:p>
        </w:tc>
        <w:tc>
          <w:tcPr>
            <w:tcW w:w="260" w:type="dxa"/>
            <w:vAlign w:val="bottom"/>
          </w:tcPr>
          <w:p>
            <w:pPr>
              <w:spacing w:after="0"/>
              <w:rPr>
                <w:sz w:val="18"/>
                <w:szCs w:val="18"/>
                <w:color w:val="auto"/>
              </w:rPr>
            </w:pPr>
          </w:p>
        </w:tc>
        <w:tc>
          <w:tcPr>
            <w:tcW w:w="600" w:type="dxa"/>
            <w:vAlign w:val="bottom"/>
            <w:tcBorders>
              <w:bottom w:val="single" w:sz="8" w:color="auto"/>
            </w:tcBorders>
          </w:tcPr>
          <w:p>
            <w:pPr>
              <w:jc w:val="right"/>
              <w:ind w:right="41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39,992</w:t>
            </w:r>
          </w:p>
        </w:tc>
        <w:tc>
          <w:tcPr>
            <w:tcW w:w="100" w:type="dxa"/>
            <w:vAlign w:val="bottom"/>
          </w:tcPr>
          <w:p>
            <w:pPr>
              <w:spacing w:after="0"/>
              <w:rPr>
                <w:sz w:val="18"/>
                <w:szCs w:val="18"/>
                <w:color w:val="auto"/>
              </w:rPr>
            </w:pPr>
          </w:p>
        </w:tc>
      </w:tr>
      <w:tr>
        <w:trPr>
          <w:trHeight w:val="20"/>
        </w:trPr>
        <w:tc>
          <w:tcPr>
            <w:tcW w:w="76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5836285</wp:posOffset>
            </wp:positionH>
            <wp:positionV relativeFrom="paragraph">
              <wp:posOffset>-2414270</wp:posOffset>
            </wp:positionV>
            <wp:extent cx="68580" cy="82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-2414270</wp:posOffset>
            </wp:positionV>
            <wp:extent cx="68580" cy="82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5836285</wp:posOffset>
            </wp:positionH>
            <wp:positionV relativeFrom="paragraph">
              <wp:posOffset>-1857375</wp:posOffset>
            </wp:positionV>
            <wp:extent cx="68580" cy="82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-1857375</wp:posOffset>
            </wp:positionV>
            <wp:extent cx="68580" cy="825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5836285</wp:posOffset>
            </wp:positionH>
            <wp:positionV relativeFrom="paragraph">
              <wp:posOffset>-744220</wp:posOffset>
            </wp:positionV>
            <wp:extent cx="68580" cy="825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-744220</wp:posOffset>
            </wp:positionV>
            <wp:extent cx="68580" cy="825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5836285</wp:posOffset>
            </wp:positionH>
            <wp:positionV relativeFrom="paragraph">
              <wp:posOffset>-453390</wp:posOffset>
            </wp:positionV>
            <wp:extent cx="68580" cy="825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-453390</wp:posOffset>
            </wp:positionV>
            <wp:extent cx="68580"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5836285</wp:posOffset>
            </wp:positionH>
            <wp:positionV relativeFrom="paragraph">
              <wp:posOffset>-170815</wp:posOffset>
            </wp:positionV>
            <wp:extent cx="68580"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Refer to Notes to Condensed Consolidated Financial Statements.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b w:val="1"/>
          <w:bCs w:val="1"/>
          <w:color w:val="auto"/>
        </w:rPr>
        <w:t>VIAD CORP</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w:t>
      </w:r>
    </w:p>
    <w:p>
      <w:pPr>
        <w:spacing w:after="0" w:line="1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 </w:t>
      </w:r>
      <w:r>
        <w:rPr>
          <w:rFonts w:ascii="Times New Roman" w:cs="Times New Roman" w:eastAsia="Times New Roman" w:hAnsi="Times New Roman"/>
          <w:sz w:val="18"/>
          <w:szCs w:val="18"/>
          <w:b w:val="1"/>
          <w:bCs w:val="1"/>
          <w:u w:val="single" w:color="auto"/>
          <w:color w:val="auto"/>
        </w:rPr>
        <w:t>Overview and Basis of Presentation</w:t>
      </w:r>
    </w:p>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of Presentation</w:t>
      </w:r>
    </w:p>
    <w:p>
      <w:pPr>
        <w:spacing w:after="0" w:line="10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The accompanying unaudited condensed consolidated financial statements were prepared in accordance with accounting principles generally accepted in the United States of America (“GAAP”) and with the instructions to Form 10-Q and Article 10 of Regulation S-X for interim financial information. Accordingly, these financial statements do not include all of the information required by GAAP or United States Securities and Exchange Commission (“SEC”) rules and regulations for complete financial statements. These financial statements reflect all adjustments (consisting of normal recurring adjustments) necessary for a fair presentation of the results for the interim periods presented. Interim results are not necessarily indicative of the results for the full year. These unaudited condensed consolidated financial statements should be read in conjunction with our Annual Report on Form 10-K for the year ended December 31, 2021, filed with the SEC on February 25, 2022 (“2021 Form 10-K”).</w:t>
      </w:r>
    </w:p>
    <w:p>
      <w:pPr>
        <w:spacing w:after="0" w:line="132" w:lineRule="exact"/>
        <w:rPr>
          <w:sz w:val="20"/>
          <w:szCs w:val="20"/>
          <w:color w:val="auto"/>
        </w:rPr>
      </w:pPr>
    </w:p>
    <w:p>
      <w:pPr>
        <w:jc w:val="both"/>
        <w:ind w:right="20"/>
        <w:spacing w:after="0" w:line="281" w:lineRule="auto"/>
        <w:rPr>
          <w:sz w:val="20"/>
          <w:szCs w:val="20"/>
          <w:color w:val="auto"/>
        </w:rPr>
      </w:pPr>
      <w:r>
        <w:rPr>
          <w:rFonts w:ascii="Times New Roman" w:cs="Times New Roman" w:eastAsia="Times New Roman" w:hAnsi="Times New Roman"/>
          <w:sz w:val="18"/>
          <w:szCs w:val="18"/>
          <w:color w:val="auto"/>
        </w:rPr>
        <w:t>The condensed consolidated financial statements include the accounts of Viad and its subsidiaries. We have eliminated all significant intercompany account balances and transactions in consolidation.</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Nature of Business</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are a leading global provider of extraordinary experiences, including hospitality and leisure activities, experiential marketing, and live events. During the first quarter of 2022, we rebranded GES’ brand experiences business and introduced Spiro to the market to accelerate our growth by servicing the changing needs of today’s brand marketers across a broader spectrum of their experiential marketing needs.</w:t>
      </w:r>
    </w:p>
    <w:p>
      <w:pPr>
        <w:spacing w:after="0" w:line="61"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We operate through three reportable segments: Pursuit, Spiro, and GES Exhibitions as further described below. The Spiro and GES Exhibitions reportable segments are both live event businesses, and are collectively referred to as “GES.”</w:t>
      </w:r>
    </w:p>
    <w:p>
      <w:pPr>
        <w:spacing w:after="0" w:line="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Pursuit</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Pursuit is a collection of inspiring and unforgettable travel experiences that includes recreational attractions, unique hotels and lodges, food and beverage, retail, sightseeing, and ground transportation services. Pursuit comprises the Banff Jasper Collection, the Alaska Collection, the Glacier Park Collection, FlyOver, and Sky Lagoon.</w:t>
      </w:r>
    </w:p>
    <w:p>
      <w:pPr>
        <w:spacing w:after="0" w:line="1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Spiro</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Spiro is an experiential marketing agency that partners with leading brands around the world to manage and elevate their global experiential marketing activities. Spiro builds immersive experiences with its clients starting with the strategic plan, creating the content and design, and finishing with the delivery and execution. Spiro delivers a broad range of unique and impactful experiences for its clients, including strategic exhibition program management, corporate meetings and events, digital experiences, corporate customer centers, brand and sports activations, product launches, consumer pop-up events, on-site services, and audio visual/technology solutions.</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GES Exhibitions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GES Exhibitions is a global exhibition services company with a legacy spanning over 90 years and teams throughout North America, Europe, and the Middle East. GES Exhibitions partners with leading exhibition and conference organizers as a full-service provider of strategic and logistics solutions to manage the complexity of their shows, including strategy, creative &amp; design, registration &amp; engagement, accommodations, logistics &amp; management, material handling, overhead sign hanging, graphics and other rental and labor services. GES Exhibitions also serves as an in-house or preferred provider of electrical and other event services within event venues, including convention centers and conference hotels.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Reclassifications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During the first quarter of 2022, we changed our segment reporting as a result of operational changes and how our chief operating decision maker (“CODM”) reviews the financial performance of GES and makes decisions regarding the allocation of resources. As a result, we changed the presentation of certain items in GES’ disaggregation of revenue and reportable segments. Refer to Note 2 – Revenue and Related Contract Costs and Contract Liabilities and Note 23 – Segment Information for additional information. We also</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9" w:name="page10"/>
    <w:bookmarkEnd w:id="9"/>
    <w:p>
      <w:pPr>
        <w:jc w:val="both"/>
        <w:spacing w:after="0" w:line="281" w:lineRule="auto"/>
        <w:rPr>
          <w:sz w:val="20"/>
          <w:szCs w:val="20"/>
          <w:color w:val="auto"/>
        </w:rPr>
      </w:pPr>
      <w:r>
        <w:rPr>
          <w:rFonts w:ascii="Times New Roman" w:cs="Times New Roman" w:eastAsia="Times New Roman" w:hAnsi="Times New Roman"/>
          <w:sz w:val="18"/>
          <w:szCs w:val="18"/>
          <w:color w:val="auto"/>
        </w:rPr>
        <w:t>reclassified certain prior-year amounts to conform to current-period presentation. Such reclassifications had no impact on our results of operations or cash flows.</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Impact of COVID-19</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Starting in mid-March 2020, the COVID-19 pandemic created severe disruptions in the live event and tourism industries, and those disruptions had a significant and negative impact on our operations and financial performance. We are not able to fully estimate the future impact of the pandemic on our business due to the evolving and uncertain nature of COVID-19, including the scope and magnitude of variants, infections and hospitalization rates, and any related government restrictions on travel or in-person events. We will continue to evaluate and implement additional actions necessary to mitigate the negative financial and operational impact of COVID-19 on our business.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Impact of Recent Accounting Pronouncements</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provides a brief description of recent accounting pronouncements:</w:t>
      </w:r>
    </w:p>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80" w:type="dxa"/>
            <w:vAlign w:val="bottom"/>
            <w:vMerge w:val="restart"/>
          </w:tcPr>
          <w:p>
            <w:pPr>
              <w:ind w:left="540"/>
              <w:spacing w:after="0"/>
              <w:rPr>
                <w:sz w:val="20"/>
                <w:szCs w:val="20"/>
                <w:color w:val="auto"/>
              </w:rPr>
            </w:pPr>
            <w:r>
              <w:rPr>
                <w:rFonts w:ascii="Times New Roman" w:cs="Times New Roman" w:eastAsia="Times New Roman" w:hAnsi="Times New Roman"/>
                <w:sz w:val="18"/>
                <w:szCs w:val="18"/>
                <w:b w:val="1"/>
                <w:bCs w:val="1"/>
                <w:color w:val="auto"/>
              </w:rPr>
              <w:t>Standard</w:t>
            </w:r>
          </w:p>
        </w:tc>
        <w:tc>
          <w:tcPr>
            <w:tcW w:w="120" w:type="dxa"/>
            <w:vAlign w:val="bottom"/>
          </w:tcPr>
          <w:p>
            <w:pPr>
              <w:spacing w:after="0"/>
              <w:rPr>
                <w:sz w:val="17"/>
                <w:szCs w:val="17"/>
                <w:color w:val="auto"/>
              </w:rPr>
            </w:pPr>
          </w:p>
        </w:tc>
        <w:tc>
          <w:tcPr>
            <w:tcW w:w="3520" w:type="dxa"/>
            <w:vAlign w:val="bottom"/>
            <w:vMerge w:val="restart"/>
          </w:tcPr>
          <w:p>
            <w:pPr>
              <w:ind w:left="1320"/>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20" w:type="dxa"/>
            <w:vAlign w:val="bottom"/>
          </w:tcPr>
          <w:p>
            <w:pPr>
              <w:spacing w:after="0"/>
              <w:rPr>
                <w:sz w:val="17"/>
                <w:szCs w:val="17"/>
                <w:color w:val="auto"/>
              </w:rPr>
            </w:pPr>
          </w:p>
        </w:tc>
        <w:tc>
          <w:tcPr>
            <w:tcW w:w="9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Date of</w:t>
            </w:r>
          </w:p>
        </w:tc>
        <w:tc>
          <w:tcPr>
            <w:tcW w:w="100" w:type="dxa"/>
            <w:vAlign w:val="bottom"/>
          </w:tcPr>
          <w:p>
            <w:pPr>
              <w:spacing w:after="0"/>
              <w:rPr>
                <w:sz w:val="17"/>
                <w:szCs w:val="17"/>
                <w:color w:val="auto"/>
              </w:rPr>
            </w:pPr>
          </w:p>
        </w:tc>
        <w:tc>
          <w:tcPr>
            <w:tcW w:w="4680" w:type="dxa"/>
            <w:vAlign w:val="bottom"/>
            <w:vMerge w:val="restart"/>
          </w:tcPr>
          <w:p>
            <w:pPr>
              <w:ind w:left="1060"/>
              <w:spacing w:after="0"/>
              <w:rPr>
                <w:sz w:val="20"/>
                <w:szCs w:val="20"/>
                <w:color w:val="auto"/>
              </w:rPr>
            </w:pPr>
            <w:r>
              <w:rPr>
                <w:rFonts w:ascii="Times New Roman" w:cs="Times New Roman" w:eastAsia="Times New Roman" w:hAnsi="Times New Roman"/>
                <w:sz w:val="18"/>
                <w:szCs w:val="18"/>
                <w:b w:val="1"/>
                <w:bCs w:val="1"/>
                <w:color w:val="auto"/>
              </w:rPr>
              <w:t>Effect on the financial statements</w:t>
            </w:r>
          </w:p>
        </w:tc>
        <w:tc>
          <w:tcPr>
            <w:tcW w:w="0" w:type="dxa"/>
            <w:vAlign w:val="bottom"/>
          </w:tcPr>
          <w:p>
            <w:pPr>
              <w:spacing w:after="0"/>
              <w:rPr>
                <w:sz w:val="1"/>
                <w:szCs w:val="1"/>
                <w:color w:val="auto"/>
              </w:rPr>
            </w:pPr>
          </w:p>
        </w:tc>
      </w:tr>
      <w:tr>
        <w:trPr>
          <w:trHeight w:val="238"/>
        </w:trPr>
        <w:tc>
          <w:tcPr>
            <w:tcW w:w="17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352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rPr>
              <w:t>adoption</w:t>
            </w:r>
          </w:p>
        </w:tc>
        <w:tc>
          <w:tcPr>
            <w:tcW w:w="100" w:type="dxa"/>
            <w:vAlign w:val="bottom"/>
          </w:tcPr>
          <w:p>
            <w:pPr>
              <w:spacing w:after="0"/>
              <w:rPr>
                <w:sz w:val="20"/>
                <w:szCs w:val="20"/>
                <w:color w:val="auto"/>
              </w:rPr>
            </w:pPr>
          </w:p>
        </w:tc>
        <w:tc>
          <w:tcPr>
            <w:tcW w:w="4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5420" w:type="dxa"/>
            <w:vAlign w:val="bottom"/>
            <w:tcBorders>
              <w:bottom w:val="single" w:sz="8" w:color="auto"/>
            </w:tcBorders>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Standards Not Yet Adopted</w:t>
            </w: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6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3"/>
        </w:trPr>
        <w:tc>
          <w:tcPr>
            <w:tcW w:w="1780" w:type="dxa"/>
            <w:vAlign w:val="bottom"/>
            <w:shd w:val="clear" w:color="auto" w:fill="CFF0FC"/>
          </w:tcPr>
          <w:p>
            <w:pPr>
              <w:ind w:left="20"/>
              <w:spacing w:after="0" w:line="153" w:lineRule="exact"/>
              <w:rPr>
                <w:sz w:val="20"/>
                <w:szCs w:val="20"/>
                <w:color w:val="auto"/>
              </w:rPr>
            </w:pPr>
            <w:r>
              <w:rPr>
                <w:rFonts w:ascii="Times New Roman" w:cs="Times New Roman" w:eastAsia="Times New Roman" w:hAnsi="Times New Roman"/>
                <w:sz w:val="16"/>
                <w:szCs w:val="16"/>
                <w:b w:val="1"/>
                <w:bCs w:val="1"/>
                <w:color w:val="auto"/>
              </w:rPr>
              <w:t>2021-08</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i w:val="1"/>
                <w:iCs w:val="1"/>
                <w:color w:val="auto"/>
              </w:rPr>
              <w:t>Business</w:t>
            </w:r>
          </w:p>
        </w:tc>
        <w:tc>
          <w:tcPr>
            <w:tcW w:w="120" w:type="dxa"/>
            <w:vAlign w:val="bottom"/>
            <w:shd w:val="clear" w:color="auto" w:fill="CFF0FC"/>
          </w:tcPr>
          <w:p>
            <w:pPr>
              <w:spacing w:after="0"/>
              <w:rPr>
                <w:sz w:val="13"/>
                <w:szCs w:val="13"/>
                <w:color w:val="auto"/>
              </w:rPr>
            </w:pPr>
          </w:p>
        </w:tc>
        <w:tc>
          <w:tcPr>
            <w:tcW w:w="3520" w:type="dxa"/>
            <w:vAlign w:val="bottom"/>
            <w:shd w:val="clear" w:color="auto" w:fill="CFF0FC"/>
          </w:tcPr>
          <w:p>
            <w:pPr>
              <w:spacing w:after="0" w:line="153" w:lineRule="exact"/>
              <w:rPr>
                <w:sz w:val="20"/>
                <w:szCs w:val="20"/>
                <w:color w:val="auto"/>
              </w:rPr>
            </w:pPr>
            <w:r>
              <w:rPr>
                <w:rFonts w:ascii="Times New Roman" w:cs="Times New Roman" w:eastAsia="Times New Roman" w:hAnsi="Times New Roman"/>
                <w:sz w:val="16"/>
                <w:szCs w:val="16"/>
                <w:color w:val="auto"/>
              </w:rPr>
              <w:t>Amendment relates to the application of Topic 805,</w:t>
            </w:r>
          </w:p>
        </w:tc>
        <w:tc>
          <w:tcPr>
            <w:tcW w:w="1040" w:type="dxa"/>
            <w:vAlign w:val="bottom"/>
            <w:gridSpan w:val="2"/>
            <w:shd w:val="clear" w:color="auto" w:fill="CFF0FC"/>
          </w:tcPr>
          <w:p>
            <w:pPr>
              <w:ind w:left="300"/>
              <w:spacing w:after="0" w:line="153" w:lineRule="exact"/>
              <w:rPr>
                <w:sz w:val="20"/>
                <w:szCs w:val="20"/>
                <w:color w:val="auto"/>
              </w:rPr>
            </w:pPr>
            <w:r>
              <w:rPr>
                <w:rFonts w:ascii="Times New Roman" w:cs="Times New Roman" w:eastAsia="Times New Roman" w:hAnsi="Times New Roman"/>
                <w:sz w:val="16"/>
                <w:szCs w:val="16"/>
                <w:color w:val="auto"/>
              </w:rPr>
              <w:t>1/1/2023</w:t>
            </w:r>
          </w:p>
        </w:tc>
        <w:tc>
          <w:tcPr>
            <w:tcW w:w="100" w:type="dxa"/>
            <w:vAlign w:val="bottom"/>
            <w:shd w:val="clear" w:color="auto" w:fill="CFF0FC"/>
          </w:tcPr>
          <w:p>
            <w:pPr>
              <w:spacing w:after="0"/>
              <w:rPr>
                <w:sz w:val="13"/>
                <w:szCs w:val="13"/>
                <w:color w:val="auto"/>
              </w:rPr>
            </w:pPr>
          </w:p>
        </w:tc>
        <w:tc>
          <w:tcPr>
            <w:tcW w:w="4680" w:type="dxa"/>
            <w:vAlign w:val="bottom"/>
            <w:shd w:val="clear" w:color="auto" w:fill="CFF0FC"/>
          </w:tcPr>
          <w:p>
            <w:pPr>
              <w:ind w:left="20"/>
              <w:spacing w:after="0" w:line="153" w:lineRule="exact"/>
              <w:rPr>
                <w:sz w:val="20"/>
                <w:szCs w:val="20"/>
                <w:color w:val="auto"/>
              </w:rPr>
            </w:pPr>
            <w:r>
              <w:rPr>
                <w:rFonts w:ascii="Times New Roman" w:cs="Times New Roman" w:eastAsia="Times New Roman" w:hAnsi="Times New Roman"/>
                <w:sz w:val="16"/>
                <w:szCs w:val="16"/>
                <w:color w:val="auto"/>
              </w:rPr>
              <w:t>We are currently evaluating the potential impact of the adoption of this</w:t>
            </w:r>
          </w:p>
        </w:tc>
        <w:tc>
          <w:tcPr>
            <w:tcW w:w="0" w:type="dxa"/>
            <w:vAlign w:val="bottom"/>
          </w:tcPr>
          <w:p>
            <w:pPr>
              <w:spacing w:after="0"/>
              <w:rPr>
                <w:sz w:val="1"/>
                <w:szCs w:val="1"/>
                <w:color w:val="auto"/>
              </w:rPr>
            </w:pPr>
          </w:p>
        </w:tc>
      </w:tr>
      <w:tr>
        <w:trPr>
          <w:trHeight w:val="175"/>
        </w:trPr>
        <w:tc>
          <w:tcPr>
            <w:tcW w:w="1780" w:type="dxa"/>
            <w:vAlign w:val="bottom"/>
            <w:shd w:val="clear" w:color="auto" w:fill="CFF0FC"/>
          </w:tcPr>
          <w:p>
            <w:pPr>
              <w:ind w:left="20"/>
              <w:spacing w:after="0" w:line="175" w:lineRule="exact"/>
              <w:rPr>
                <w:sz w:val="20"/>
                <w:szCs w:val="20"/>
                <w:color w:val="auto"/>
              </w:rPr>
            </w:pPr>
            <w:r>
              <w:rPr>
                <w:rFonts w:ascii="Times New Roman" w:cs="Times New Roman" w:eastAsia="Times New Roman" w:hAnsi="Times New Roman"/>
                <w:sz w:val="16"/>
                <w:szCs w:val="16"/>
                <w:i w:val="1"/>
                <w:iCs w:val="1"/>
                <w:color w:val="auto"/>
              </w:rPr>
              <w:t>Combinations (Topic 805)</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5" w:lineRule="exact"/>
              <w:rPr>
                <w:sz w:val="20"/>
                <w:szCs w:val="20"/>
                <w:color w:val="auto"/>
              </w:rPr>
            </w:pPr>
            <w:r>
              <w:rPr>
                <w:rFonts w:ascii="Times New Roman" w:cs="Times New Roman" w:eastAsia="Times New Roman" w:hAnsi="Times New Roman"/>
                <w:sz w:val="16"/>
                <w:szCs w:val="16"/>
                <w:color w:val="auto"/>
              </w:rPr>
              <w:t>Business Combinations, to contracts with a customer</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ind w:left="20"/>
              <w:spacing w:after="0" w:line="175" w:lineRule="exact"/>
              <w:rPr>
                <w:sz w:val="20"/>
                <w:szCs w:val="20"/>
                <w:color w:val="auto"/>
              </w:rPr>
            </w:pPr>
            <w:r>
              <w:rPr>
                <w:rFonts w:ascii="Times New Roman" w:cs="Times New Roman" w:eastAsia="Times New Roman" w:hAnsi="Times New Roman"/>
                <w:sz w:val="16"/>
                <w:szCs w:val="16"/>
                <w:color w:val="auto"/>
              </w:rPr>
              <w:t>new guidance on our consolidated financial statements. We do not</w:t>
            </w:r>
          </w:p>
        </w:tc>
        <w:tc>
          <w:tcPr>
            <w:tcW w:w="0" w:type="dxa"/>
            <w:vAlign w:val="bottom"/>
          </w:tcPr>
          <w:p>
            <w:pPr>
              <w:spacing w:after="0"/>
              <w:rPr>
                <w:sz w:val="1"/>
                <w:szCs w:val="1"/>
                <w:color w:val="auto"/>
              </w:rPr>
            </w:pPr>
          </w:p>
        </w:tc>
      </w:tr>
      <w:tr>
        <w:trPr>
          <w:trHeight w:val="164"/>
        </w:trPr>
        <w:tc>
          <w:tcPr>
            <w:tcW w:w="1780" w:type="dxa"/>
            <w:vAlign w:val="bottom"/>
            <w:shd w:val="clear" w:color="auto" w:fill="CFF0FC"/>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Accounting for Contract</w:t>
            </w:r>
          </w:p>
        </w:tc>
        <w:tc>
          <w:tcPr>
            <w:tcW w:w="120" w:type="dxa"/>
            <w:vAlign w:val="bottom"/>
            <w:shd w:val="clear" w:color="auto" w:fill="CFF0FC"/>
          </w:tcPr>
          <w:p>
            <w:pPr>
              <w:spacing w:after="0"/>
              <w:rPr>
                <w:sz w:val="14"/>
                <w:szCs w:val="14"/>
                <w:color w:val="auto"/>
              </w:rPr>
            </w:pPr>
          </w:p>
        </w:tc>
        <w:tc>
          <w:tcPr>
            <w:tcW w:w="3520" w:type="dxa"/>
            <w:vAlign w:val="bottom"/>
            <w:shd w:val="clear" w:color="auto" w:fill="CFF0FC"/>
          </w:tcPr>
          <w:p>
            <w:pPr>
              <w:spacing w:after="0" w:line="165" w:lineRule="exact"/>
              <w:rPr>
                <w:sz w:val="20"/>
                <w:szCs w:val="20"/>
                <w:color w:val="auto"/>
              </w:rPr>
            </w:pPr>
            <w:r>
              <w:rPr>
                <w:rFonts w:ascii="Times New Roman" w:cs="Times New Roman" w:eastAsia="Times New Roman" w:hAnsi="Times New Roman"/>
                <w:sz w:val="16"/>
                <w:szCs w:val="16"/>
                <w:color w:val="auto"/>
              </w:rPr>
              <w:t>acquired in a business combination after the acquirer</w:t>
            </w:r>
          </w:p>
        </w:tc>
        <w:tc>
          <w:tcPr>
            <w:tcW w:w="120" w:type="dxa"/>
            <w:vAlign w:val="bottom"/>
            <w:shd w:val="clear" w:color="auto" w:fill="CFF0FC"/>
          </w:tcPr>
          <w:p>
            <w:pPr>
              <w:spacing w:after="0"/>
              <w:rPr>
                <w:sz w:val="14"/>
                <w:szCs w:val="14"/>
                <w:color w:val="auto"/>
              </w:rPr>
            </w:pPr>
          </w:p>
        </w:tc>
        <w:tc>
          <w:tcPr>
            <w:tcW w:w="9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680" w:type="dxa"/>
            <w:vAlign w:val="bottom"/>
            <w:shd w:val="clear" w:color="auto" w:fill="CFF0FC"/>
          </w:tcPr>
          <w:p>
            <w:pPr>
              <w:ind w:left="20"/>
              <w:spacing w:after="0" w:line="165" w:lineRule="exact"/>
              <w:rPr>
                <w:sz w:val="20"/>
                <w:szCs w:val="20"/>
                <w:color w:val="auto"/>
              </w:rPr>
            </w:pPr>
            <w:r>
              <w:rPr>
                <w:rFonts w:ascii="Times New Roman" w:cs="Times New Roman" w:eastAsia="Times New Roman" w:hAnsi="Times New Roman"/>
                <w:sz w:val="16"/>
                <w:szCs w:val="16"/>
                <w:color w:val="auto"/>
              </w:rPr>
              <w:t>expect this new guidance will have a material impact on our</w:t>
            </w:r>
          </w:p>
        </w:tc>
        <w:tc>
          <w:tcPr>
            <w:tcW w:w="0" w:type="dxa"/>
            <w:vAlign w:val="bottom"/>
          </w:tcPr>
          <w:p>
            <w:pPr>
              <w:spacing w:after="0"/>
              <w:rPr>
                <w:sz w:val="1"/>
                <w:szCs w:val="1"/>
                <w:color w:val="auto"/>
              </w:rPr>
            </w:pPr>
          </w:p>
        </w:tc>
      </w:tr>
      <w:tr>
        <w:trPr>
          <w:trHeight w:val="173"/>
        </w:trPr>
        <w:tc>
          <w:tcPr>
            <w:tcW w:w="17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Assets and Contract</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3" w:lineRule="exact"/>
              <w:rPr>
                <w:sz w:val="20"/>
                <w:szCs w:val="20"/>
                <w:color w:val="auto"/>
              </w:rPr>
            </w:pPr>
            <w:r>
              <w:rPr>
                <w:rFonts w:ascii="Times New Roman" w:cs="Times New Roman" w:eastAsia="Times New Roman" w:hAnsi="Times New Roman"/>
                <w:sz w:val="16"/>
                <w:szCs w:val="16"/>
                <w:color w:val="auto"/>
              </w:rPr>
              <w:t>has adopted Topic 606. ASU 2021-08 requires</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color w:val="auto"/>
              </w:rPr>
              <w:t>consolidated financial statements.</w:t>
            </w:r>
          </w:p>
        </w:tc>
        <w:tc>
          <w:tcPr>
            <w:tcW w:w="0" w:type="dxa"/>
            <w:vAlign w:val="bottom"/>
          </w:tcPr>
          <w:p>
            <w:pPr>
              <w:spacing w:after="0"/>
              <w:rPr>
                <w:sz w:val="1"/>
                <w:szCs w:val="1"/>
                <w:color w:val="auto"/>
              </w:rPr>
            </w:pPr>
          </w:p>
        </w:tc>
      </w:tr>
      <w:tr>
        <w:trPr>
          <w:trHeight w:val="164"/>
        </w:trPr>
        <w:tc>
          <w:tcPr>
            <w:tcW w:w="1780" w:type="dxa"/>
            <w:vAlign w:val="bottom"/>
            <w:shd w:val="clear" w:color="auto" w:fill="CFF0FC"/>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Liabilities</w:t>
            </w:r>
          </w:p>
        </w:tc>
        <w:tc>
          <w:tcPr>
            <w:tcW w:w="120" w:type="dxa"/>
            <w:vAlign w:val="bottom"/>
            <w:shd w:val="clear" w:color="auto" w:fill="CFF0FC"/>
          </w:tcPr>
          <w:p>
            <w:pPr>
              <w:spacing w:after="0"/>
              <w:rPr>
                <w:sz w:val="14"/>
                <w:szCs w:val="14"/>
                <w:color w:val="auto"/>
              </w:rPr>
            </w:pPr>
          </w:p>
        </w:tc>
        <w:tc>
          <w:tcPr>
            <w:tcW w:w="3520" w:type="dxa"/>
            <w:vAlign w:val="bottom"/>
            <w:shd w:val="clear" w:color="auto" w:fill="CFF0FC"/>
          </w:tcPr>
          <w:p>
            <w:pPr>
              <w:spacing w:after="0" w:line="165" w:lineRule="exact"/>
              <w:rPr>
                <w:sz w:val="20"/>
                <w:szCs w:val="20"/>
                <w:color w:val="auto"/>
              </w:rPr>
            </w:pPr>
            <w:r>
              <w:rPr>
                <w:rFonts w:ascii="Times New Roman" w:cs="Times New Roman" w:eastAsia="Times New Roman" w:hAnsi="Times New Roman"/>
                <w:sz w:val="16"/>
                <w:szCs w:val="16"/>
                <w:color w:val="auto"/>
              </w:rPr>
              <w:t>contract assets and contract liabilities to be accounted</w:t>
            </w:r>
          </w:p>
        </w:tc>
        <w:tc>
          <w:tcPr>
            <w:tcW w:w="120" w:type="dxa"/>
            <w:vAlign w:val="bottom"/>
            <w:shd w:val="clear" w:color="auto" w:fill="CFF0FC"/>
          </w:tcPr>
          <w:p>
            <w:pPr>
              <w:spacing w:after="0"/>
              <w:rPr>
                <w:sz w:val="14"/>
                <w:szCs w:val="14"/>
                <w:color w:val="auto"/>
              </w:rPr>
            </w:pPr>
          </w:p>
        </w:tc>
        <w:tc>
          <w:tcPr>
            <w:tcW w:w="9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68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17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from Contracts with</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3" w:lineRule="exact"/>
              <w:rPr>
                <w:sz w:val="20"/>
                <w:szCs w:val="20"/>
                <w:color w:val="auto"/>
              </w:rPr>
            </w:pPr>
            <w:r>
              <w:rPr>
                <w:rFonts w:ascii="Times New Roman" w:cs="Times New Roman" w:eastAsia="Times New Roman" w:hAnsi="Times New Roman"/>
                <w:sz w:val="16"/>
                <w:szCs w:val="16"/>
                <w:color w:val="auto"/>
              </w:rPr>
              <w:t>for as if they (the acquirer) entered into the original</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1780" w:type="dxa"/>
            <w:vAlign w:val="bottom"/>
            <w:shd w:val="clear" w:color="auto" w:fill="CFF0FC"/>
          </w:tcPr>
          <w:p>
            <w:pPr>
              <w:ind w:left="20"/>
              <w:spacing w:after="0" w:line="178" w:lineRule="exact"/>
              <w:rPr>
                <w:sz w:val="20"/>
                <w:szCs w:val="20"/>
                <w:color w:val="auto"/>
              </w:rPr>
            </w:pPr>
            <w:r>
              <w:rPr>
                <w:rFonts w:ascii="Times New Roman" w:cs="Times New Roman" w:eastAsia="Times New Roman" w:hAnsi="Times New Roman"/>
                <w:sz w:val="16"/>
                <w:szCs w:val="16"/>
                <w:i w:val="1"/>
                <w:iCs w:val="1"/>
                <w:color w:val="auto"/>
              </w:rPr>
              <w:t>Customers</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8" w:lineRule="exact"/>
              <w:rPr>
                <w:sz w:val="20"/>
                <w:szCs w:val="20"/>
                <w:color w:val="auto"/>
              </w:rPr>
            </w:pPr>
            <w:r>
              <w:rPr>
                <w:rFonts w:ascii="Times New Roman" w:cs="Times New Roman" w:eastAsia="Times New Roman" w:hAnsi="Times New Roman"/>
                <w:sz w:val="16"/>
                <w:szCs w:val="16"/>
                <w:color w:val="auto"/>
              </w:rPr>
              <w:t>contract at the same time and same date as the</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1780" w:type="dxa"/>
            <w:vAlign w:val="bottom"/>
            <w:tcBorders>
              <w:bottom w:val="single" w:sz="8" w:color="auto"/>
            </w:tcBorders>
            <w:shd w:val="clear" w:color="auto" w:fill="CFF0FC"/>
          </w:tcPr>
          <w:p>
            <w:pPr>
              <w:spacing w:after="0"/>
              <w:rPr>
                <w:sz w:val="17"/>
                <w:szCs w:val="17"/>
                <w:color w:val="auto"/>
              </w:rPr>
            </w:pPr>
          </w:p>
        </w:tc>
        <w:tc>
          <w:tcPr>
            <w:tcW w:w="120" w:type="dxa"/>
            <w:vAlign w:val="bottom"/>
            <w:tcBorders>
              <w:bottom w:val="single" w:sz="8" w:color="CFF0FC"/>
            </w:tcBorders>
            <w:shd w:val="clear" w:color="auto" w:fill="CFF0FC"/>
          </w:tcPr>
          <w:p>
            <w:pPr>
              <w:spacing w:after="0"/>
              <w:rPr>
                <w:sz w:val="17"/>
                <w:szCs w:val="17"/>
                <w:color w:val="auto"/>
              </w:rPr>
            </w:pPr>
          </w:p>
        </w:tc>
        <w:tc>
          <w:tcPr>
            <w:tcW w:w="3520" w:type="dxa"/>
            <w:vAlign w:val="bottom"/>
            <w:tcBorders>
              <w:bottom w:val="single" w:sz="8" w:color="auto"/>
            </w:tcBorders>
            <w:shd w:val="clear" w:color="auto" w:fill="CFF0FC"/>
          </w:tcPr>
          <w:p>
            <w:pPr>
              <w:spacing w:after="0"/>
              <w:rPr>
                <w:sz w:val="20"/>
                <w:szCs w:val="20"/>
                <w:color w:val="auto"/>
              </w:rPr>
            </w:pPr>
            <w:r>
              <w:rPr>
                <w:rFonts w:ascii="Times New Roman" w:cs="Times New Roman" w:eastAsia="Times New Roman" w:hAnsi="Times New Roman"/>
                <w:sz w:val="16"/>
                <w:szCs w:val="16"/>
                <w:color w:val="auto"/>
              </w:rPr>
              <w:t>acquiree.</w:t>
            </w:r>
          </w:p>
        </w:tc>
        <w:tc>
          <w:tcPr>
            <w:tcW w:w="120" w:type="dxa"/>
            <w:vAlign w:val="bottom"/>
            <w:tcBorders>
              <w:bottom w:val="single" w:sz="8" w:color="CFF0FC"/>
            </w:tcBorders>
            <w:shd w:val="clear" w:color="auto" w:fill="CFF0FC"/>
          </w:tcPr>
          <w:p>
            <w:pPr>
              <w:spacing w:after="0"/>
              <w:rPr>
                <w:sz w:val="17"/>
                <w:szCs w:val="17"/>
                <w:color w:val="auto"/>
              </w:rPr>
            </w:pPr>
          </w:p>
        </w:tc>
        <w:tc>
          <w:tcPr>
            <w:tcW w:w="920" w:type="dxa"/>
            <w:vAlign w:val="bottom"/>
            <w:tcBorders>
              <w:bottom w:val="single" w:sz="8" w:color="auto"/>
            </w:tcBorders>
            <w:shd w:val="clear" w:color="auto" w:fill="CFF0FC"/>
          </w:tcPr>
          <w:p>
            <w:pPr>
              <w:spacing w:after="0"/>
              <w:rPr>
                <w:sz w:val="17"/>
                <w:szCs w:val="17"/>
                <w:color w:val="auto"/>
              </w:rPr>
            </w:pPr>
          </w:p>
        </w:tc>
        <w:tc>
          <w:tcPr>
            <w:tcW w:w="100" w:type="dxa"/>
            <w:vAlign w:val="bottom"/>
            <w:tcBorders>
              <w:bottom w:val="single" w:sz="8" w:color="CFF0FC"/>
            </w:tcBorders>
            <w:shd w:val="clear" w:color="auto" w:fill="CFF0FC"/>
          </w:tcPr>
          <w:p>
            <w:pPr>
              <w:spacing w:after="0"/>
              <w:rPr>
                <w:sz w:val="17"/>
                <w:szCs w:val="17"/>
                <w:color w:val="auto"/>
              </w:rPr>
            </w:pPr>
          </w:p>
        </w:tc>
        <w:tc>
          <w:tcPr>
            <w:tcW w:w="4680" w:type="dxa"/>
            <w:vAlign w:val="bottom"/>
            <w:tcBorders>
              <w:bottom w:val="single" w:sz="8" w:color="auto"/>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1126490</wp:posOffset>
            </wp:positionH>
            <wp:positionV relativeFrom="paragraph">
              <wp:posOffset>-7620</wp:posOffset>
            </wp:positionV>
            <wp:extent cx="76835"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3446780</wp:posOffset>
            </wp:positionH>
            <wp:positionV relativeFrom="paragraph">
              <wp:posOffset>-7620</wp:posOffset>
            </wp:positionV>
            <wp:extent cx="76835"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4097655</wp:posOffset>
            </wp:positionH>
            <wp:positionV relativeFrom="paragraph">
              <wp:posOffset>-7620</wp:posOffset>
            </wp:positionV>
            <wp:extent cx="68580"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80" w:type="dxa"/>
            <w:vAlign w:val="bottom"/>
            <w:vMerge w:val="restart"/>
          </w:tcPr>
          <w:p>
            <w:pPr>
              <w:ind w:left="540"/>
              <w:spacing w:after="0"/>
              <w:rPr>
                <w:sz w:val="20"/>
                <w:szCs w:val="20"/>
                <w:color w:val="auto"/>
              </w:rPr>
            </w:pPr>
            <w:r>
              <w:rPr>
                <w:rFonts w:ascii="Times New Roman" w:cs="Times New Roman" w:eastAsia="Times New Roman" w:hAnsi="Times New Roman"/>
                <w:sz w:val="18"/>
                <w:szCs w:val="18"/>
                <w:b w:val="1"/>
                <w:bCs w:val="1"/>
                <w:color w:val="auto"/>
              </w:rPr>
              <w:t>Standard</w:t>
            </w:r>
          </w:p>
        </w:tc>
        <w:tc>
          <w:tcPr>
            <w:tcW w:w="120" w:type="dxa"/>
            <w:vAlign w:val="bottom"/>
          </w:tcPr>
          <w:p>
            <w:pPr>
              <w:spacing w:after="0"/>
              <w:rPr>
                <w:sz w:val="17"/>
                <w:szCs w:val="17"/>
                <w:color w:val="auto"/>
              </w:rPr>
            </w:pPr>
          </w:p>
        </w:tc>
        <w:tc>
          <w:tcPr>
            <w:tcW w:w="3520" w:type="dxa"/>
            <w:vAlign w:val="bottom"/>
            <w:vMerge w:val="restart"/>
          </w:tcPr>
          <w:p>
            <w:pPr>
              <w:ind w:left="1320"/>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20" w:type="dxa"/>
            <w:vAlign w:val="bottom"/>
          </w:tcPr>
          <w:p>
            <w:pPr>
              <w:spacing w:after="0"/>
              <w:rPr>
                <w:sz w:val="17"/>
                <w:szCs w:val="17"/>
                <w:color w:val="auto"/>
              </w:rPr>
            </w:pPr>
          </w:p>
        </w:tc>
        <w:tc>
          <w:tcPr>
            <w:tcW w:w="920" w:type="dxa"/>
            <w:vAlign w:val="bottom"/>
          </w:tcPr>
          <w:p>
            <w:pPr>
              <w:ind w:left="160"/>
              <w:spacing w:after="0"/>
              <w:rPr>
                <w:sz w:val="20"/>
                <w:szCs w:val="20"/>
                <w:color w:val="auto"/>
              </w:rPr>
            </w:pPr>
            <w:r>
              <w:rPr>
                <w:rFonts w:ascii="Times New Roman" w:cs="Times New Roman" w:eastAsia="Times New Roman" w:hAnsi="Times New Roman"/>
                <w:sz w:val="18"/>
                <w:szCs w:val="18"/>
                <w:b w:val="1"/>
                <w:bCs w:val="1"/>
                <w:color w:val="auto"/>
              </w:rPr>
              <w:t>Date of</w:t>
            </w:r>
          </w:p>
        </w:tc>
        <w:tc>
          <w:tcPr>
            <w:tcW w:w="100" w:type="dxa"/>
            <w:vAlign w:val="bottom"/>
          </w:tcPr>
          <w:p>
            <w:pPr>
              <w:spacing w:after="0"/>
              <w:rPr>
                <w:sz w:val="17"/>
                <w:szCs w:val="17"/>
                <w:color w:val="auto"/>
              </w:rPr>
            </w:pPr>
          </w:p>
        </w:tc>
        <w:tc>
          <w:tcPr>
            <w:tcW w:w="4680" w:type="dxa"/>
            <w:vAlign w:val="bottom"/>
            <w:vMerge w:val="restart"/>
          </w:tcPr>
          <w:p>
            <w:pPr>
              <w:ind w:left="1060"/>
              <w:spacing w:after="0"/>
              <w:rPr>
                <w:sz w:val="20"/>
                <w:szCs w:val="20"/>
                <w:color w:val="auto"/>
              </w:rPr>
            </w:pPr>
            <w:r>
              <w:rPr>
                <w:rFonts w:ascii="Times New Roman" w:cs="Times New Roman" w:eastAsia="Times New Roman" w:hAnsi="Times New Roman"/>
                <w:sz w:val="18"/>
                <w:szCs w:val="18"/>
                <w:b w:val="1"/>
                <w:bCs w:val="1"/>
                <w:color w:val="auto"/>
              </w:rPr>
              <w:t>Effect on the financial statements</w:t>
            </w:r>
          </w:p>
        </w:tc>
        <w:tc>
          <w:tcPr>
            <w:tcW w:w="0" w:type="dxa"/>
            <w:vAlign w:val="bottom"/>
          </w:tcPr>
          <w:p>
            <w:pPr>
              <w:spacing w:after="0"/>
              <w:rPr>
                <w:sz w:val="1"/>
                <w:szCs w:val="1"/>
                <w:color w:val="auto"/>
              </w:rPr>
            </w:pPr>
          </w:p>
        </w:tc>
      </w:tr>
      <w:tr>
        <w:trPr>
          <w:trHeight w:val="238"/>
        </w:trPr>
        <w:tc>
          <w:tcPr>
            <w:tcW w:w="178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352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9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8"/>
                <w:szCs w:val="18"/>
                <w:b w:val="1"/>
                <w:bCs w:val="1"/>
                <w:color w:val="auto"/>
              </w:rPr>
              <w:t>adoption</w:t>
            </w:r>
          </w:p>
        </w:tc>
        <w:tc>
          <w:tcPr>
            <w:tcW w:w="100" w:type="dxa"/>
            <w:vAlign w:val="bottom"/>
          </w:tcPr>
          <w:p>
            <w:pPr>
              <w:spacing w:after="0"/>
              <w:rPr>
                <w:sz w:val="20"/>
                <w:szCs w:val="20"/>
                <w:color w:val="auto"/>
              </w:rPr>
            </w:pPr>
          </w:p>
        </w:tc>
        <w:tc>
          <w:tcPr>
            <w:tcW w:w="468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5420" w:type="dxa"/>
            <w:vAlign w:val="bottom"/>
            <w:tcBorders>
              <w:bottom w:val="single" w:sz="8" w:color="auto"/>
            </w:tcBorders>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Standards Recently Adopted</w:t>
            </w:r>
          </w:p>
        </w:tc>
        <w:tc>
          <w:tcPr>
            <w:tcW w:w="12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46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42"/>
        </w:trPr>
        <w:tc>
          <w:tcPr>
            <w:tcW w:w="1780" w:type="dxa"/>
            <w:vAlign w:val="bottom"/>
            <w:shd w:val="clear" w:color="auto" w:fill="CFF0FC"/>
          </w:tcPr>
          <w:p>
            <w:pPr>
              <w:ind w:left="20"/>
              <w:spacing w:after="0" w:line="142" w:lineRule="exact"/>
              <w:rPr>
                <w:sz w:val="20"/>
                <w:szCs w:val="20"/>
                <w:color w:val="auto"/>
              </w:rPr>
            </w:pPr>
            <w:r>
              <w:rPr>
                <w:rFonts w:ascii="Times New Roman" w:cs="Times New Roman" w:eastAsia="Times New Roman" w:hAnsi="Times New Roman"/>
                <w:sz w:val="16"/>
                <w:szCs w:val="16"/>
                <w:b w:val="1"/>
                <w:bCs w:val="1"/>
                <w:color w:val="auto"/>
              </w:rPr>
              <w:t>ASU 2020-06</w:t>
            </w:r>
            <w:r>
              <w:rPr>
                <w:rFonts w:ascii="Times New Roman" w:cs="Times New Roman" w:eastAsia="Times New Roman" w:hAnsi="Times New Roman"/>
                <w:sz w:val="16"/>
                <w:szCs w:val="16"/>
                <w:color w:val="auto"/>
              </w:rPr>
              <w:t>,</w:t>
            </w:r>
            <w:r>
              <w:rPr>
                <w:rFonts w:ascii="Times New Roman" w:cs="Times New Roman" w:eastAsia="Times New Roman" w:hAnsi="Times New Roman"/>
                <w:sz w:val="16"/>
                <w:szCs w:val="16"/>
                <w:b w:val="1"/>
                <w:bCs w:val="1"/>
                <w:color w:val="auto"/>
              </w:rPr>
              <w:t xml:space="preserve"> </w:t>
            </w:r>
            <w:r>
              <w:rPr>
                <w:rFonts w:ascii="Times New Roman" w:cs="Times New Roman" w:eastAsia="Times New Roman" w:hAnsi="Times New Roman"/>
                <w:sz w:val="16"/>
                <w:szCs w:val="16"/>
                <w:i w:val="1"/>
                <w:iCs w:val="1"/>
                <w:color w:val="auto"/>
              </w:rPr>
              <w:t>Debt -</w:t>
            </w:r>
          </w:p>
        </w:tc>
        <w:tc>
          <w:tcPr>
            <w:tcW w:w="120" w:type="dxa"/>
            <w:vAlign w:val="bottom"/>
            <w:shd w:val="clear" w:color="auto" w:fill="CFF0FC"/>
          </w:tcPr>
          <w:p>
            <w:pPr>
              <w:spacing w:after="0"/>
              <w:rPr>
                <w:sz w:val="12"/>
                <w:szCs w:val="12"/>
                <w:color w:val="auto"/>
              </w:rPr>
            </w:pPr>
          </w:p>
        </w:tc>
        <w:tc>
          <w:tcPr>
            <w:tcW w:w="3520" w:type="dxa"/>
            <w:vAlign w:val="bottom"/>
            <w:shd w:val="clear" w:color="auto" w:fill="CFF0FC"/>
          </w:tcPr>
          <w:p>
            <w:pPr>
              <w:spacing w:after="0" w:line="142" w:lineRule="exact"/>
              <w:rPr>
                <w:sz w:val="20"/>
                <w:szCs w:val="20"/>
                <w:color w:val="auto"/>
              </w:rPr>
            </w:pPr>
            <w:r>
              <w:rPr>
                <w:rFonts w:ascii="Times New Roman" w:cs="Times New Roman" w:eastAsia="Times New Roman" w:hAnsi="Times New Roman"/>
                <w:sz w:val="16"/>
                <w:szCs w:val="16"/>
                <w:color w:val="auto"/>
              </w:rPr>
              <w:t>The amendment simplified the accounting for</w:t>
            </w:r>
          </w:p>
        </w:tc>
        <w:tc>
          <w:tcPr>
            <w:tcW w:w="1040" w:type="dxa"/>
            <w:vAlign w:val="bottom"/>
            <w:gridSpan w:val="2"/>
            <w:shd w:val="clear" w:color="auto" w:fill="CFF0FC"/>
          </w:tcPr>
          <w:p>
            <w:pPr>
              <w:ind w:left="300"/>
              <w:spacing w:after="0" w:line="142" w:lineRule="exact"/>
              <w:rPr>
                <w:sz w:val="20"/>
                <w:szCs w:val="20"/>
                <w:color w:val="auto"/>
              </w:rPr>
            </w:pPr>
            <w:r>
              <w:rPr>
                <w:rFonts w:ascii="Times New Roman" w:cs="Times New Roman" w:eastAsia="Times New Roman" w:hAnsi="Times New Roman"/>
                <w:sz w:val="16"/>
                <w:szCs w:val="16"/>
                <w:color w:val="auto"/>
              </w:rPr>
              <w:t>1/1/2022</w:t>
            </w:r>
          </w:p>
        </w:tc>
        <w:tc>
          <w:tcPr>
            <w:tcW w:w="100" w:type="dxa"/>
            <w:vAlign w:val="bottom"/>
            <w:shd w:val="clear" w:color="auto" w:fill="CFF0FC"/>
          </w:tcPr>
          <w:p>
            <w:pPr>
              <w:spacing w:after="0"/>
              <w:rPr>
                <w:sz w:val="12"/>
                <w:szCs w:val="12"/>
                <w:color w:val="auto"/>
              </w:rPr>
            </w:pPr>
          </w:p>
        </w:tc>
        <w:tc>
          <w:tcPr>
            <w:tcW w:w="4680" w:type="dxa"/>
            <w:vAlign w:val="bottom"/>
            <w:shd w:val="clear" w:color="auto" w:fill="CFF0FC"/>
          </w:tcPr>
          <w:p>
            <w:pPr>
              <w:ind w:left="20"/>
              <w:spacing w:after="0" w:line="142" w:lineRule="exact"/>
              <w:rPr>
                <w:sz w:val="20"/>
                <w:szCs w:val="20"/>
                <w:color w:val="auto"/>
              </w:rPr>
            </w:pPr>
            <w:r>
              <w:rPr>
                <w:rFonts w:ascii="Times New Roman" w:cs="Times New Roman" w:eastAsia="Times New Roman" w:hAnsi="Times New Roman"/>
                <w:sz w:val="16"/>
                <w:szCs w:val="16"/>
                <w:color w:val="auto"/>
              </w:rPr>
              <w:t>The adoption of this new standard on January 1, 2022 did not have a</w:t>
            </w:r>
          </w:p>
        </w:tc>
        <w:tc>
          <w:tcPr>
            <w:tcW w:w="0" w:type="dxa"/>
            <w:vAlign w:val="bottom"/>
          </w:tcPr>
          <w:p>
            <w:pPr>
              <w:spacing w:after="0"/>
              <w:rPr>
                <w:sz w:val="1"/>
                <w:szCs w:val="1"/>
                <w:color w:val="auto"/>
              </w:rPr>
            </w:pPr>
          </w:p>
        </w:tc>
      </w:tr>
      <w:tr>
        <w:trPr>
          <w:trHeight w:val="173"/>
        </w:trPr>
        <w:tc>
          <w:tcPr>
            <w:tcW w:w="17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Debt with Conversion and</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3" w:lineRule="exact"/>
              <w:rPr>
                <w:sz w:val="20"/>
                <w:szCs w:val="20"/>
                <w:color w:val="auto"/>
              </w:rPr>
            </w:pPr>
            <w:r>
              <w:rPr>
                <w:rFonts w:ascii="Times New Roman" w:cs="Times New Roman" w:eastAsia="Times New Roman" w:hAnsi="Times New Roman"/>
                <w:sz w:val="16"/>
                <w:szCs w:val="16"/>
                <w:color w:val="auto"/>
              </w:rPr>
              <w:t>convertible instruments by reducing the number of</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color w:val="auto"/>
              </w:rPr>
              <w:t>material impact on our consolidated financial statements.</w:t>
            </w:r>
          </w:p>
        </w:tc>
        <w:tc>
          <w:tcPr>
            <w:tcW w:w="0" w:type="dxa"/>
            <w:vAlign w:val="bottom"/>
          </w:tcPr>
          <w:p>
            <w:pPr>
              <w:spacing w:after="0"/>
              <w:rPr>
                <w:sz w:val="1"/>
                <w:szCs w:val="1"/>
                <w:color w:val="auto"/>
              </w:rPr>
            </w:pPr>
          </w:p>
        </w:tc>
      </w:tr>
      <w:tr>
        <w:trPr>
          <w:trHeight w:val="175"/>
        </w:trPr>
        <w:tc>
          <w:tcPr>
            <w:tcW w:w="1780" w:type="dxa"/>
            <w:vAlign w:val="bottom"/>
            <w:shd w:val="clear" w:color="auto" w:fill="CFF0FC"/>
          </w:tcPr>
          <w:p>
            <w:pPr>
              <w:ind w:left="20"/>
              <w:spacing w:after="0" w:line="175" w:lineRule="exact"/>
              <w:rPr>
                <w:sz w:val="20"/>
                <w:szCs w:val="20"/>
                <w:color w:val="auto"/>
              </w:rPr>
            </w:pPr>
            <w:r>
              <w:rPr>
                <w:rFonts w:ascii="Times New Roman" w:cs="Times New Roman" w:eastAsia="Times New Roman" w:hAnsi="Times New Roman"/>
                <w:sz w:val="16"/>
                <w:szCs w:val="16"/>
                <w:i w:val="1"/>
                <w:iCs w:val="1"/>
                <w:color w:val="auto"/>
              </w:rPr>
              <w:t>Other Options (Subtopic</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5" w:lineRule="exact"/>
              <w:rPr>
                <w:sz w:val="20"/>
                <w:szCs w:val="20"/>
                <w:color w:val="auto"/>
              </w:rPr>
            </w:pPr>
            <w:r>
              <w:rPr>
                <w:rFonts w:ascii="Times New Roman" w:cs="Times New Roman" w:eastAsia="Times New Roman" w:hAnsi="Times New Roman"/>
                <w:sz w:val="16"/>
                <w:szCs w:val="16"/>
                <w:color w:val="auto"/>
              </w:rPr>
              <w:t>accounting models available for convertible debt</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64"/>
        </w:trPr>
        <w:tc>
          <w:tcPr>
            <w:tcW w:w="1780" w:type="dxa"/>
            <w:vAlign w:val="bottom"/>
            <w:shd w:val="clear" w:color="auto" w:fill="CFF0FC"/>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470-20) and Derivatives</w:t>
            </w:r>
          </w:p>
        </w:tc>
        <w:tc>
          <w:tcPr>
            <w:tcW w:w="120" w:type="dxa"/>
            <w:vAlign w:val="bottom"/>
            <w:shd w:val="clear" w:color="auto" w:fill="CFF0FC"/>
          </w:tcPr>
          <w:p>
            <w:pPr>
              <w:spacing w:after="0"/>
              <w:rPr>
                <w:sz w:val="14"/>
                <w:szCs w:val="14"/>
                <w:color w:val="auto"/>
              </w:rPr>
            </w:pPr>
          </w:p>
        </w:tc>
        <w:tc>
          <w:tcPr>
            <w:tcW w:w="3520" w:type="dxa"/>
            <w:vAlign w:val="bottom"/>
            <w:shd w:val="clear" w:color="auto" w:fill="CFF0FC"/>
          </w:tcPr>
          <w:p>
            <w:pPr>
              <w:spacing w:after="0" w:line="165" w:lineRule="exact"/>
              <w:rPr>
                <w:sz w:val="20"/>
                <w:szCs w:val="20"/>
                <w:color w:val="auto"/>
              </w:rPr>
            </w:pPr>
            <w:r>
              <w:rPr>
                <w:rFonts w:ascii="Times New Roman" w:cs="Times New Roman" w:eastAsia="Times New Roman" w:hAnsi="Times New Roman"/>
                <w:sz w:val="16"/>
                <w:szCs w:val="16"/>
                <w:color w:val="auto"/>
              </w:rPr>
              <w:t>instruments and convertible preferred stock. The</w:t>
            </w:r>
          </w:p>
        </w:tc>
        <w:tc>
          <w:tcPr>
            <w:tcW w:w="120" w:type="dxa"/>
            <w:vAlign w:val="bottom"/>
            <w:shd w:val="clear" w:color="auto" w:fill="CFF0FC"/>
          </w:tcPr>
          <w:p>
            <w:pPr>
              <w:spacing w:after="0"/>
              <w:rPr>
                <w:sz w:val="14"/>
                <w:szCs w:val="14"/>
                <w:color w:val="auto"/>
              </w:rPr>
            </w:pPr>
          </w:p>
        </w:tc>
        <w:tc>
          <w:tcPr>
            <w:tcW w:w="9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468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1780" w:type="dxa"/>
            <w:vAlign w:val="bottom"/>
            <w:shd w:val="clear" w:color="auto" w:fill="CFF0FC"/>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and Hedging - Contracts</w:t>
            </w:r>
          </w:p>
        </w:tc>
        <w:tc>
          <w:tcPr>
            <w:tcW w:w="120" w:type="dxa"/>
            <w:vAlign w:val="bottom"/>
            <w:shd w:val="clear" w:color="auto" w:fill="CFF0FC"/>
          </w:tcPr>
          <w:p>
            <w:pPr>
              <w:spacing w:after="0"/>
              <w:rPr>
                <w:sz w:val="15"/>
                <w:szCs w:val="15"/>
                <w:color w:val="auto"/>
              </w:rPr>
            </w:pPr>
          </w:p>
        </w:tc>
        <w:tc>
          <w:tcPr>
            <w:tcW w:w="3520" w:type="dxa"/>
            <w:vAlign w:val="bottom"/>
            <w:shd w:val="clear" w:color="auto" w:fill="CFF0FC"/>
          </w:tcPr>
          <w:p>
            <w:pPr>
              <w:spacing w:after="0" w:line="173" w:lineRule="exact"/>
              <w:rPr>
                <w:sz w:val="20"/>
                <w:szCs w:val="20"/>
                <w:color w:val="auto"/>
              </w:rPr>
            </w:pPr>
            <w:r>
              <w:rPr>
                <w:rFonts w:ascii="Times New Roman" w:cs="Times New Roman" w:eastAsia="Times New Roman" w:hAnsi="Times New Roman"/>
                <w:sz w:val="16"/>
                <w:szCs w:val="16"/>
                <w:color w:val="auto"/>
              </w:rPr>
              <w:t>amendment also required expanded disclosures about</w:t>
            </w:r>
          </w:p>
        </w:tc>
        <w:tc>
          <w:tcPr>
            <w:tcW w:w="120" w:type="dxa"/>
            <w:vAlign w:val="bottom"/>
            <w:shd w:val="clear" w:color="auto" w:fill="CFF0FC"/>
          </w:tcPr>
          <w:p>
            <w:pPr>
              <w:spacing w:after="0"/>
              <w:rPr>
                <w:sz w:val="15"/>
                <w:szCs w:val="15"/>
                <w:color w:val="auto"/>
              </w:rPr>
            </w:pPr>
          </w:p>
        </w:tc>
        <w:tc>
          <w:tcPr>
            <w:tcW w:w="92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468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215"/>
        </w:trPr>
        <w:tc>
          <w:tcPr>
            <w:tcW w:w="1780" w:type="dxa"/>
            <w:vAlign w:val="bottom"/>
            <w:tcBorders>
              <w:bottom w:val="single" w:sz="8" w:color="auto"/>
            </w:tcBorders>
            <w:shd w:val="clear" w:color="auto" w:fill="CFF0FC"/>
          </w:tcPr>
          <w:p>
            <w:pPr>
              <w:ind w:left="20"/>
              <w:spacing w:after="0"/>
              <w:rPr>
                <w:sz w:val="20"/>
                <w:szCs w:val="20"/>
                <w:color w:val="auto"/>
              </w:rPr>
            </w:pPr>
            <w:r>
              <w:rPr>
                <w:rFonts w:ascii="Times New Roman" w:cs="Times New Roman" w:eastAsia="Times New Roman" w:hAnsi="Times New Roman"/>
                <w:sz w:val="16"/>
                <w:szCs w:val="16"/>
                <w:i w:val="1"/>
                <w:iCs w:val="1"/>
                <w:color w:val="auto"/>
              </w:rPr>
              <w:t>in Entity’s</w:t>
            </w:r>
          </w:p>
        </w:tc>
        <w:tc>
          <w:tcPr>
            <w:tcW w:w="120" w:type="dxa"/>
            <w:vAlign w:val="bottom"/>
            <w:tcBorders>
              <w:bottom w:val="single" w:sz="8" w:color="CFF0FC"/>
            </w:tcBorders>
            <w:shd w:val="clear" w:color="auto" w:fill="CFF0FC"/>
          </w:tcPr>
          <w:p>
            <w:pPr>
              <w:spacing w:after="0"/>
              <w:rPr>
                <w:sz w:val="18"/>
                <w:szCs w:val="18"/>
                <w:color w:val="auto"/>
              </w:rPr>
            </w:pPr>
          </w:p>
        </w:tc>
        <w:tc>
          <w:tcPr>
            <w:tcW w:w="3520" w:type="dxa"/>
            <w:vAlign w:val="bottom"/>
            <w:tcBorders>
              <w:bottom w:val="single" w:sz="8" w:color="auto"/>
            </w:tcBorders>
            <w:shd w:val="clear" w:color="auto" w:fill="CFF0FC"/>
          </w:tcPr>
          <w:p>
            <w:pPr>
              <w:spacing w:after="0"/>
              <w:rPr>
                <w:sz w:val="20"/>
                <w:szCs w:val="20"/>
                <w:color w:val="auto"/>
              </w:rPr>
            </w:pPr>
            <w:r>
              <w:rPr>
                <w:rFonts w:ascii="Times New Roman" w:cs="Times New Roman" w:eastAsia="Times New Roman" w:hAnsi="Times New Roman"/>
                <w:sz w:val="16"/>
                <w:szCs w:val="16"/>
                <w:color w:val="auto"/>
              </w:rPr>
              <w:t>the terms and features of convertible instruments.</w:t>
            </w:r>
          </w:p>
        </w:tc>
        <w:tc>
          <w:tcPr>
            <w:tcW w:w="120" w:type="dxa"/>
            <w:vAlign w:val="bottom"/>
            <w:tcBorders>
              <w:bottom w:val="single" w:sz="8" w:color="CFF0FC"/>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4680" w:type="dxa"/>
            <w:vAlign w:val="bottom"/>
            <w:tcBorders>
              <w:bottom w:val="single" w:sz="8" w:color="auto"/>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145"/>
        </w:trPr>
        <w:tc>
          <w:tcPr>
            <w:tcW w:w="1780" w:type="dxa"/>
            <w:vAlign w:val="bottom"/>
          </w:tcPr>
          <w:p>
            <w:pPr>
              <w:ind w:left="20"/>
              <w:spacing w:after="0" w:line="145" w:lineRule="exact"/>
              <w:rPr>
                <w:sz w:val="20"/>
                <w:szCs w:val="20"/>
                <w:color w:val="auto"/>
              </w:rPr>
            </w:pPr>
            <w:r>
              <w:rPr>
                <w:rFonts w:ascii="Times New Roman" w:cs="Times New Roman" w:eastAsia="Times New Roman" w:hAnsi="Times New Roman"/>
                <w:sz w:val="16"/>
                <w:szCs w:val="16"/>
                <w:b w:val="1"/>
                <w:bCs w:val="1"/>
                <w:color w:val="auto"/>
              </w:rPr>
              <w:t>ASU 2021-10</w:t>
            </w:r>
            <w:r>
              <w:rPr>
                <w:rFonts w:ascii="Times New Roman" w:cs="Times New Roman" w:eastAsia="Times New Roman" w:hAnsi="Times New Roman"/>
                <w:sz w:val="16"/>
                <w:szCs w:val="16"/>
                <w:color w:val="auto"/>
              </w:rPr>
              <w:t>,</w:t>
            </w:r>
          </w:p>
        </w:tc>
        <w:tc>
          <w:tcPr>
            <w:tcW w:w="120" w:type="dxa"/>
            <w:vAlign w:val="bottom"/>
          </w:tcPr>
          <w:p>
            <w:pPr>
              <w:spacing w:after="0"/>
              <w:rPr>
                <w:sz w:val="12"/>
                <w:szCs w:val="12"/>
                <w:color w:val="auto"/>
              </w:rPr>
            </w:pPr>
          </w:p>
        </w:tc>
        <w:tc>
          <w:tcPr>
            <w:tcW w:w="3520" w:type="dxa"/>
            <w:vAlign w:val="bottom"/>
          </w:tcPr>
          <w:p>
            <w:pPr>
              <w:spacing w:after="0" w:line="145" w:lineRule="exact"/>
              <w:rPr>
                <w:sz w:val="20"/>
                <w:szCs w:val="20"/>
                <w:color w:val="auto"/>
              </w:rPr>
            </w:pPr>
            <w:r>
              <w:rPr>
                <w:rFonts w:ascii="Times New Roman" w:cs="Times New Roman" w:eastAsia="Times New Roman" w:hAnsi="Times New Roman"/>
                <w:sz w:val="16"/>
                <w:szCs w:val="16"/>
                <w:color w:val="auto"/>
              </w:rPr>
              <w:t>Amendment improves the transparency of disclosures</w:t>
            </w:r>
          </w:p>
        </w:tc>
        <w:tc>
          <w:tcPr>
            <w:tcW w:w="1040" w:type="dxa"/>
            <w:vAlign w:val="bottom"/>
            <w:gridSpan w:val="2"/>
          </w:tcPr>
          <w:p>
            <w:pPr>
              <w:ind w:left="300"/>
              <w:spacing w:after="0" w:line="145" w:lineRule="exact"/>
              <w:rPr>
                <w:sz w:val="20"/>
                <w:szCs w:val="20"/>
                <w:color w:val="auto"/>
              </w:rPr>
            </w:pPr>
            <w:r>
              <w:rPr>
                <w:rFonts w:ascii="Times New Roman" w:cs="Times New Roman" w:eastAsia="Times New Roman" w:hAnsi="Times New Roman"/>
                <w:sz w:val="16"/>
                <w:szCs w:val="16"/>
                <w:color w:val="auto"/>
              </w:rPr>
              <w:t>1/1/2022</w:t>
            </w:r>
          </w:p>
        </w:tc>
        <w:tc>
          <w:tcPr>
            <w:tcW w:w="100" w:type="dxa"/>
            <w:vAlign w:val="bottom"/>
          </w:tcPr>
          <w:p>
            <w:pPr>
              <w:spacing w:after="0"/>
              <w:rPr>
                <w:sz w:val="12"/>
                <w:szCs w:val="12"/>
                <w:color w:val="auto"/>
              </w:rPr>
            </w:pPr>
          </w:p>
        </w:tc>
        <w:tc>
          <w:tcPr>
            <w:tcW w:w="4680" w:type="dxa"/>
            <w:vAlign w:val="bottom"/>
          </w:tcPr>
          <w:p>
            <w:pPr>
              <w:ind w:left="20"/>
              <w:spacing w:after="0" w:line="145" w:lineRule="exact"/>
              <w:rPr>
                <w:sz w:val="20"/>
                <w:szCs w:val="20"/>
                <w:color w:val="auto"/>
              </w:rPr>
            </w:pPr>
            <w:r>
              <w:rPr>
                <w:rFonts w:ascii="Times New Roman" w:cs="Times New Roman" w:eastAsia="Times New Roman" w:hAnsi="Times New Roman"/>
                <w:sz w:val="16"/>
                <w:szCs w:val="16"/>
                <w:color w:val="auto"/>
              </w:rPr>
              <w:t>We adopted this new standard on a prospective basis. This new</w:t>
            </w:r>
          </w:p>
        </w:tc>
        <w:tc>
          <w:tcPr>
            <w:tcW w:w="0" w:type="dxa"/>
            <w:vAlign w:val="bottom"/>
          </w:tcPr>
          <w:p>
            <w:pPr>
              <w:spacing w:after="0"/>
              <w:rPr>
                <w:sz w:val="1"/>
                <w:szCs w:val="1"/>
                <w:color w:val="auto"/>
              </w:rPr>
            </w:pPr>
          </w:p>
        </w:tc>
      </w:tr>
      <w:tr>
        <w:trPr>
          <w:trHeight w:val="173"/>
        </w:trPr>
        <w:tc>
          <w:tcPr>
            <w:tcW w:w="1780" w:type="dxa"/>
            <w:vAlign w:val="bottom"/>
          </w:tcPr>
          <w:p>
            <w:pPr>
              <w:ind w:left="20"/>
              <w:spacing w:after="0" w:line="173" w:lineRule="exact"/>
              <w:rPr>
                <w:sz w:val="20"/>
                <w:szCs w:val="20"/>
                <w:color w:val="auto"/>
              </w:rPr>
            </w:pPr>
            <w:r>
              <w:rPr>
                <w:rFonts w:ascii="Times New Roman" w:cs="Times New Roman" w:eastAsia="Times New Roman" w:hAnsi="Times New Roman"/>
                <w:sz w:val="16"/>
                <w:szCs w:val="16"/>
                <w:i w:val="1"/>
                <w:iCs w:val="1"/>
                <w:color w:val="auto"/>
              </w:rPr>
              <w:t>Government Assistance</w:t>
            </w:r>
          </w:p>
        </w:tc>
        <w:tc>
          <w:tcPr>
            <w:tcW w:w="120" w:type="dxa"/>
            <w:vAlign w:val="bottom"/>
          </w:tcPr>
          <w:p>
            <w:pPr>
              <w:spacing w:after="0"/>
              <w:rPr>
                <w:sz w:val="15"/>
                <w:szCs w:val="15"/>
                <w:color w:val="auto"/>
              </w:rPr>
            </w:pPr>
          </w:p>
        </w:tc>
        <w:tc>
          <w:tcPr>
            <w:tcW w:w="3520" w:type="dxa"/>
            <w:vAlign w:val="bottom"/>
          </w:tcPr>
          <w:p>
            <w:pPr>
              <w:spacing w:after="0" w:line="173" w:lineRule="exact"/>
              <w:rPr>
                <w:sz w:val="20"/>
                <w:szCs w:val="20"/>
                <w:color w:val="auto"/>
              </w:rPr>
            </w:pPr>
            <w:r>
              <w:rPr>
                <w:rFonts w:ascii="Times New Roman" w:cs="Times New Roman" w:eastAsia="Times New Roman" w:hAnsi="Times New Roman"/>
                <w:sz w:val="16"/>
                <w:szCs w:val="16"/>
                <w:color w:val="auto"/>
              </w:rPr>
              <w:t>about government assistance received by business</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80" w:type="dxa"/>
            <w:vAlign w:val="bottom"/>
          </w:tcPr>
          <w:p>
            <w:pPr>
              <w:ind w:left="20"/>
              <w:spacing w:after="0" w:line="173" w:lineRule="exact"/>
              <w:rPr>
                <w:sz w:val="20"/>
                <w:szCs w:val="20"/>
                <w:color w:val="auto"/>
              </w:rPr>
            </w:pPr>
            <w:r>
              <w:rPr>
                <w:rFonts w:ascii="Times New Roman" w:cs="Times New Roman" w:eastAsia="Times New Roman" w:hAnsi="Times New Roman"/>
                <w:sz w:val="16"/>
                <w:szCs w:val="16"/>
                <w:color w:val="auto"/>
              </w:rPr>
              <w:t>guidance will be effective for our Annual Report on Form 10-K for the</w:t>
            </w:r>
          </w:p>
        </w:tc>
        <w:tc>
          <w:tcPr>
            <w:tcW w:w="0" w:type="dxa"/>
            <w:vAlign w:val="bottom"/>
          </w:tcPr>
          <w:p>
            <w:pPr>
              <w:spacing w:after="0"/>
              <w:rPr>
                <w:sz w:val="1"/>
                <w:szCs w:val="1"/>
                <w:color w:val="auto"/>
              </w:rPr>
            </w:pPr>
          </w:p>
        </w:tc>
      </w:tr>
      <w:tr>
        <w:trPr>
          <w:trHeight w:val="175"/>
        </w:trPr>
        <w:tc>
          <w:tcPr>
            <w:tcW w:w="1780" w:type="dxa"/>
            <w:vAlign w:val="bottom"/>
          </w:tcPr>
          <w:p>
            <w:pPr>
              <w:ind w:left="20"/>
              <w:spacing w:after="0" w:line="175" w:lineRule="exact"/>
              <w:rPr>
                <w:sz w:val="20"/>
                <w:szCs w:val="20"/>
                <w:color w:val="auto"/>
              </w:rPr>
            </w:pPr>
            <w:r>
              <w:rPr>
                <w:rFonts w:ascii="Times New Roman" w:cs="Times New Roman" w:eastAsia="Times New Roman" w:hAnsi="Times New Roman"/>
                <w:sz w:val="16"/>
                <w:szCs w:val="16"/>
                <w:i w:val="1"/>
                <w:iCs w:val="1"/>
                <w:color w:val="auto"/>
              </w:rPr>
              <w:t>(Topic 832) Disclosures by</w:t>
            </w:r>
          </w:p>
        </w:tc>
        <w:tc>
          <w:tcPr>
            <w:tcW w:w="120" w:type="dxa"/>
            <w:vAlign w:val="bottom"/>
          </w:tcPr>
          <w:p>
            <w:pPr>
              <w:spacing w:after="0"/>
              <w:rPr>
                <w:sz w:val="15"/>
                <w:szCs w:val="15"/>
                <w:color w:val="auto"/>
              </w:rPr>
            </w:pPr>
          </w:p>
        </w:tc>
        <w:tc>
          <w:tcPr>
            <w:tcW w:w="3520" w:type="dxa"/>
            <w:vAlign w:val="bottom"/>
          </w:tcPr>
          <w:p>
            <w:pPr>
              <w:spacing w:after="0" w:line="175" w:lineRule="exact"/>
              <w:rPr>
                <w:sz w:val="20"/>
                <w:szCs w:val="20"/>
                <w:color w:val="auto"/>
              </w:rPr>
            </w:pPr>
            <w:r>
              <w:rPr>
                <w:rFonts w:ascii="Times New Roman" w:cs="Times New Roman" w:eastAsia="Times New Roman" w:hAnsi="Times New Roman"/>
                <w:sz w:val="16"/>
                <w:szCs w:val="16"/>
                <w:color w:val="auto"/>
              </w:rPr>
              <w:t>entities by requiring annual disclosure of: (1) the</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80" w:type="dxa"/>
            <w:vAlign w:val="bottom"/>
          </w:tcPr>
          <w:p>
            <w:pPr>
              <w:ind w:left="20"/>
              <w:spacing w:after="0" w:line="175" w:lineRule="exact"/>
              <w:rPr>
                <w:sz w:val="20"/>
                <w:szCs w:val="20"/>
                <w:color w:val="auto"/>
              </w:rPr>
            </w:pPr>
            <w:r>
              <w:rPr>
                <w:rFonts w:ascii="Times New Roman" w:cs="Times New Roman" w:eastAsia="Times New Roman" w:hAnsi="Times New Roman"/>
                <w:sz w:val="16"/>
                <w:szCs w:val="16"/>
                <w:color w:val="auto"/>
              </w:rPr>
              <w:t>year ending December 31, 2022, whereby we will expand our</w:t>
            </w:r>
          </w:p>
        </w:tc>
        <w:tc>
          <w:tcPr>
            <w:tcW w:w="0" w:type="dxa"/>
            <w:vAlign w:val="bottom"/>
          </w:tcPr>
          <w:p>
            <w:pPr>
              <w:spacing w:after="0"/>
              <w:rPr>
                <w:sz w:val="1"/>
                <w:szCs w:val="1"/>
                <w:color w:val="auto"/>
              </w:rPr>
            </w:pPr>
          </w:p>
        </w:tc>
      </w:tr>
      <w:tr>
        <w:trPr>
          <w:trHeight w:val="164"/>
        </w:trPr>
        <w:tc>
          <w:tcPr>
            <w:tcW w:w="1780" w:type="dxa"/>
            <w:vAlign w:val="bottom"/>
          </w:tcPr>
          <w:p>
            <w:pPr>
              <w:ind w:left="20"/>
              <w:spacing w:after="0" w:line="165" w:lineRule="exact"/>
              <w:rPr>
                <w:sz w:val="20"/>
                <w:szCs w:val="20"/>
                <w:color w:val="auto"/>
              </w:rPr>
            </w:pPr>
            <w:r>
              <w:rPr>
                <w:rFonts w:ascii="Times New Roman" w:cs="Times New Roman" w:eastAsia="Times New Roman" w:hAnsi="Times New Roman"/>
                <w:sz w:val="16"/>
                <w:szCs w:val="16"/>
                <w:i w:val="1"/>
                <w:iCs w:val="1"/>
                <w:color w:val="auto"/>
              </w:rPr>
              <w:t>Business Entities about</w:t>
            </w:r>
          </w:p>
        </w:tc>
        <w:tc>
          <w:tcPr>
            <w:tcW w:w="120" w:type="dxa"/>
            <w:vAlign w:val="bottom"/>
          </w:tcPr>
          <w:p>
            <w:pPr>
              <w:spacing w:after="0"/>
              <w:rPr>
                <w:sz w:val="14"/>
                <w:szCs w:val="14"/>
                <w:color w:val="auto"/>
              </w:rPr>
            </w:pPr>
          </w:p>
        </w:tc>
        <w:tc>
          <w:tcPr>
            <w:tcW w:w="3520" w:type="dxa"/>
            <w:vAlign w:val="bottom"/>
          </w:tcPr>
          <w:p>
            <w:pPr>
              <w:spacing w:after="0" w:line="165" w:lineRule="exact"/>
              <w:rPr>
                <w:sz w:val="20"/>
                <w:szCs w:val="20"/>
                <w:color w:val="auto"/>
              </w:rPr>
            </w:pPr>
            <w:r>
              <w:rPr>
                <w:rFonts w:ascii="Times New Roman" w:cs="Times New Roman" w:eastAsia="Times New Roman" w:hAnsi="Times New Roman"/>
                <w:sz w:val="16"/>
                <w:szCs w:val="16"/>
                <w:color w:val="auto"/>
              </w:rPr>
              <w:t>types of government assistance received; (2) the</w:t>
            </w: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80" w:type="dxa"/>
            <w:vAlign w:val="bottom"/>
          </w:tcPr>
          <w:p>
            <w:pPr>
              <w:ind w:left="20"/>
              <w:spacing w:after="0" w:line="165" w:lineRule="exact"/>
              <w:rPr>
                <w:sz w:val="20"/>
                <w:szCs w:val="20"/>
                <w:color w:val="auto"/>
              </w:rPr>
            </w:pPr>
            <w:r>
              <w:rPr>
                <w:rFonts w:ascii="Times New Roman" w:cs="Times New Roman" w:eastAsia="Times New Roman" w:hAnsi="Times New Roman"/>
                <w:sz w:val="16"/>
                <w:szCs w:val="16"/>
                <w:color w:val="auto"/>
              </w:rPr>
              <w:t>disclosures within the scope of this new standard that are reflected in</w:t>
            </w:r>
          </w:p>
        </w:tc>
        <w:tc>
          <w:tcPr>
            <w:tcW w:w="0" w:type="dxa"/>
            <w:vAlign w:val="bottom"/>
          </w:tcPr>
          <w:p>
            <w:pPr>
              <w:spacing w:after="0"/>
              <w:rPr>
                <w:sz w:val="1"/>
                <w:szCs w:val="1"/>
                <w:color w:val="auto"/>
              </w:rPr>
            </w:pPr>
          </w:p>
        </w:tc>
      </w:tr>
      <w:tr>
        <w:trPr>
          <w:trHeight w:val="175"/>
        </w:trPr>
        <w:tc>
          <w:tcPr>
            <w:tcW w:w="1780" w:type="dxa"/>
            <w:vAlign w:val="bottom"/>
          </w:tcPr>
          <w:p>
            <w:pPr>
              <w:ind w:left="20"/>
              <w:spacing w:after="0" w:line="175" w:lineRule="exact"/>
              <w:rPr>
                <w:sz w:val="20"/>
                <w:szCs w:val="20"/>
                <w:color w:val="auto"/>
              </w:rPr>
            </w:pPr>
            <w:r>
              <w:rPr>
                <w:rFonts w:ascii="Times New Roman" w:cs="Times New Roman" w:eastAsia="Times New Roman" w:hAnsi="Times New Roman"/>
                <w:sz w:val="16"/>
                <w:szCs w:val="16"/>
                <w:i w:val="1"/>
                <w:iCs w:val="1"/>
                <w:color w:val="auto"/>
              </w:rPr>
              <w:t>Government Assistance</w:t>
            </w:r>
          </w:p>
        </w:tc>
        <w:tc>
          <w:tcPr>
            <w:tcW w:w="120" w:type="dxa"/>
            <w:vAlign w:val="bottom"/>
          </w:tcPr>
          <w:p>
            <w:pPr>
              <w:spacing w:after="0"/>
              <w:rPr>
                <w:sz w:val="15"/>
                <w:szCs w:val="15"/>
                <w:color w:val="auto"/>
              </w:rPr>
            </w:pPr>
          </w:p>
        </w:tc>
        <w:tc>
          <w:tcPr>
            <w:tcW w:w="3520" w:type="dxa"/>
            <w:vAlign w:val="bottom"/>
          </w:tcPr>
          <w:p>
            <w:pPr>
              <w:spacing w:after="0" w:line="175" w:lineRule="exact"/>
              <w:rPr>
                <w:sz w:val="20"/>
                <w:szCs w:val="20"/>
                <w:color w:val="auto"/>
              </w:rPr>
            </w:pPr>
            <w:r>
              <w:rPr>
                <w:rFonts w:ascii="Times New Roman" w:cs="Times New Roman" w:eastAsia="Times New Roman" w:hAnsi="Times New Roman"/>
                <w:sz w:val="16"/>
                <w:szCs w:val="16"/>
                <w:color w:val="auto"/>
              </w:rPr>
              <w:t>accounting for such assistance; and (3) the effect of</w:t>
            </w:r>
          </w:p>
        </w:tc>
        <w:tc>
          <w:tcPr>
            <w:tcW w:w="1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680" w:type="dxa"/>
            <w:vAlign w:val="bottom"/>
          </w:tcPr>
          <w:p>
            <w:pPr>
              <w:ind w:left="20"/>
              <w:spacing w:after="0" w:line="175" w:lineRule="exact"/>
              <w:rPr>
                <w:sz w:val="20"/>
                <w:szCs w:val="20"/>
                <w:color w:val="auto"/>
              </w:rPr>
            </w:pPr>
            <w:r>
              <w:rPr>
                <w:rFonts w:ascii="Times New Roman" w:cs="Times New Roman" w:eastAsia="Times New Roman" w:hAnsi="Times New Roman"/>
                <w:sz w:val="16"/>
                <w:szCs w:val="16"/>
                <w:color w:val="auto"/>
              </w:rPr>
              <w:t>the financial statements as of the adoption date. We do not expect this</w:t>
            </w:r>
          </w:p>
        </w:tc>
        <w:tc>
          <w:tcPr>
            <w:tcW w:w="0" w:type="dxa"/>
            <w:vAlign w:val="bottom"/>
          </w:tcPr>
          <w:p>
            <w:pPr>
              <w:spacing w:after="0"/>
              <w:rPr>
                <w:sz w:val="1"/>
                <w:szCs w:val="1"/>
                <w:color w:val="auto"/>
              </w:rPr>
            </w:pPr>
          </w:p>
        </w:tc>
      </w:tr>
      <w:tr>
        <w:trPr>
          <w:trHeight w:val="162"/>
        </w:trPr>
        <w:tc>
          <w:tcPr>
            <w:tcW w:w="1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520" w:type="dxa"/>
            <w:vAlign w:val="bottom"/>
          </w:tcPr>
          <w:p>
            <w:pPr>
              <w:spacing w:after="0" w:line="162" w:lineRule="exact"/>
              <w:rPr>
                <w:sz w:val="20"/>
                <w:szCs w:val="20"/>
                <w:color w:val="auto"/>
              </w:rPr>
            </w:pPr>
            <w:r>
              <w:rPr>
                <w:rFonts w:ascii="Times New Roman" w:cs="Times New Roman" w:eastAsia="Times New Roman" w:hAnsi="Times New Roman"/>
                <w:sz w:val="16"/>
                <w:szCs w:val="16"/>
                <w:color w:val="auto"/>
              </w:rPr>
              <w:t>the assistance on a business entity’s financial</w:t>
            </w: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80" w:type="dxa"/>
            <w:vAlign w:val="bottom"/>
          </w:tcPr>
          <w:p>
            <w:pPr>
              <w:ind w:left="20"/>
              <w:spacing w:after="0" w:line="162" w:lineRule="exact"/>
              <w:rPr>
                <w:sz w:val="20"/>
                <w:szCs w:val="20"/>
                <w:color w:val="auto"/>
              </w:rPr>
            </w:pPr>
            <w:r>
              <w:rPr>
                <w:rFonts w:ascii="Times New Roman" w:cs="Times New Roman" w:eastAsia="Times New Roman" w:hAnsi="Times New Roman"/>
                <w:sz w:val="16"/>
                <w:szCs w:val="16"/>
                <w:color w:val="auto"/>
              </w:rPr>
              <w:t>new standard to have a material impact our consolidated financial</w:t>
            </w:r>
          </w:p>
        </w:tc>
        <w:tc>
          <w:tcPr>
            <w:tcW w:w="0" w:type="dxa"/>
            <w:vAlign w:val="bottom"/>
          </w:tcPr>
          <w:p>
            <w:pPr>
              <w:spacing w:after="0"/>
              <w:rPr>
                <w:sz w:val="1"/>
                <w:szCs w:val="1"/>
                <w:color w:val="auto"/>
              </w:rPr>
            </w:pPr>
          </w:p>
        </w:tc>
      </w:tr>
      <w:tr>
        <w:trPr>
          <w:trHeight w:val="213"/>
        </w:trPr>
        <w:tc>
          <w:tcPr>
            <w:tcW w:w="17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3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6"/>
                <w:szCs w:val="16"/>
                <w:color w:val="auto"/>
              </w:rPr>
              <w:t>statements.</w:t>
            </w:r>
          </w:p>
        </w:tc>
        <w:tc>
          <w:tcPr>
            <w:tcW w:w="120" w:type="dxa"/>
            <w:vAlign w:val="bottom"/>
          </w:tcPr>
          <w:p>
            <w:pPr>
              <w:spacing w:after="0"/>
              <w:rPr>
                <w:sz w:val="18"/>
                <w:szCs w:val="18"/>
                <w:color w:val="auto"/>
              </w:rPr>
            </w:pPr>
          </w:p>
        </w:tc>
        <w:tc>
          <w:tcPr>
            <w:tcW w:w="9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6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statements or related disclosures.</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1126490</wp:posOffset>
            </wp:positionH>
            <wp:positionV relativeFrom="paragraph">
              <wp:posOffset>-787400</wp:posOffset>
            </wp:positionV>
            <wp:extent cx="76835" cy="825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3446780</wp:posOffset>
            </wp:positionH>
            <wp:positionV relativeFrom="paragraph">
              <wp:posOffset>-787400</wp:posOffset>
            </wp:positionV>
            <wp:extent cx="76835" cy="825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4097655</wp:posOffset>
            </wp:positionH>
            <wp:positionV relativeFrom="paragraph">
              <wp:posOffset>-787400</wp:posOffset>
            </wp:positionV>
            <wp:extent cx="68580" cy="82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3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Significant Accounting Policies</w:t>
      </w:r>
    </w:p>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w:t>
      </w:r>
    </w:p>
    <w:p>
      <w:pPr>
        <w:spacing w:after="0" w:line="107"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United States GAAP requires management to make estimates and assumptions that affect the reported amounts of assets and liabilities at the date of the financial statements and the reported amounts of revenue and expenses during the reported period. Estimates and assumptions are used in accounting for, among other things: impairment testing of recorded goodwill and intangible assets and long-lived assets; allowances for uncollectible accounts receivable; sales reserve allowances; provisions for income taxes, including uncertain tax positions; valuation allowances related to deferred tax assets; liabilities for losses related to self-insured liability claims; liabilities for losses related to environmental remediation obligations; sublease income associated with restructuring liabilities; pension and postretirement benefit costs and obligations; share-based compensation costs; the discount rates used to value lease obligations; the redemption value of redeemable noncontrolling interests; and the allocation of purchase price of acquired businesses. Actual results could differ from these and other estimates.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1"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b w:val="1"/>
          <w:bCs w:val="1"/>
          <w:i w:val="1"/>
          <w:iCs w:val="1"/>
          <w:color w:val="auto"/>
        </w:rPr>
        <w:t>Cash, Cash Equivalents, and Restricted Cash</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Cash equivalents are highly-liquid investments with remaining maturities when purchased of three months or less. Cash and cash equivalents consist of cash and bank demand deposits and money market funds. Investments in money market funds are classified as available-for-sale and carried at fair value. Restricted cash represents collateral required for surety bonds, bank guarantees, letters of credit, and corporate credit cards.</w:t>
      </w:r>
    </w:p>
    <w:p>
      <w:pPr>
        <w:spacing w:after="0" w:line="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Cash, cash equivalents, and restricted cash balances presented in the Condensed Consolidated Statements of Cash Flows consisted of the following:</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00" w:type="dxa"/>
            <w:vAlign w:val="bottom"/>
          </w:tcPr>
          <w:p>
            <w:pPr>
              <w:spacing w:after="0"/>
              <w:rPr>
                <w:sz w:val="15"/>
                <w:szCs w:val="15"/>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5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tcPr>
          <w:p>
            <w:pPr>
              <w:jc w:val="right"/>
              <w:ind w:right="297"/>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5"/>
                <w:szCs w:val="15"/>
                <w:color w:val="auto"/>
              </w:rPr>
            </w:pPr>
          </w:p>
        </w:tc>
      </w:tr>
      <w:tr>
        <w:trPr>
          <w:trHeight w:val="187"/>
        </w:trPr>
        <w:tc>
          <w:tcPr>
            <w:tcW w:w="77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06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4"/>
                <w:szCs w:val="14"/>
                <w:b w:val="1"/>
                <w:bCs w:val="1"/>
                <w:color w:val="auto"/>
              </w:rPr>
              <w:t>2022</w:t>
            </w:r>
          </w:p>
        </w:tc>
        <w:tc>
          <w:tcPr>
            <w:tcW w:w="520" w:type="dxa"/>
            <w:vAlign w:val="bottom"/>
            <w:tcBorders>
              <w:bottom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right"/>
              <w:ind w:right="577"/>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209"/>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060" w:type="dxa"/>
            <w:vAlign w:val="bottom"/>
            <w:shd w:val="clear" w:color="auto" w:fill="CFF0FC"/>
          </w:tcPr>
          <w:p>
            <w:pPr>
              <w:jc w:val="right"/>
              <w:ind w:right="879"/>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54,516</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61,600</w:t>
            </w:r>
          </w:p>
        </w:tc>
        <w:tc>
          <w:tcPr>
            <w:tcW w:w="100" w:type="dxa"/>
            <w:vAlign w:val="bottom"/>
            <w:shd w:val="clear" w:color="auto" w:fill="CFF0FC"/>
          </w:tcPr>
          <w:p>
            <w:pPr>
              <w:spacing w:after="0"/>
              <w:rPr>
                <w:sz w:val="18"/>
                <w:szCs w:val="18"/>
                <w:color w:val="auto"/>
              </w:rPr>
            </w:pPr>
          </w:p>
        </w:tc>
      </w:tr>
      <w:tr>
        <w:trPr>
          <w:trHeight w:val="216"/>
        </w:trPr>
        <w:tc>
          <w:tcPr>
            <w:tcW w:w="7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Restricted cash included in other current assets</w:t>
            </w:r>
          </w:p>
        </w:tc>
        <w:tc>
          <w:tcPr>
            <w:tcW w:w="106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5,424</w:t>
            </w:r>
          </w:p>
        </w:tc>
        <w:tc>
          <w:tcPr>
            <w:tcW w:w="2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2,703</w:t>
            </w:r>
          </w:p>
        </w:tc>
        <w:tc>
          <w:tcPr>
            <w:tcW w:w="100" w:type="dxa"/>
            <w:vAlign w:val="bottom"/>
          </w:tcPr>
          <w:p>
            <w:pPr>
              <w:spacing w:after="0"/>
              <w:rPr>
                <w:sz w:val="18"/>
                <w:szCs w:val="18"/>
                <w:color w:val="auto"/>
              </w:rPr>
            </w:pPr>
          </w:p>
        </w:tc>
      </w:tr>
      <w:tr>
        <w:trPr>
          <w:trHeight w:val="249"/>
        </w:trPr>
        <w:tc>
          <w:tcPr>
            <w:tcW w:w="770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Cash, cash equivalents, and restricted cash shown in the statement of cash flows</w:t>
            </w:r>
          </w:p>
        </w:tc>
        <w:tc>
          <w:tcPr>
            <w:tcW w:w="1060" w:type="dxa"/>
            <w:vAlign w:val="bottom"/>
            <w:tcBorders>
              <w:bottom w:val="single" w:sz="8" w:color="auto"/>
            </w:tcBorders>
            <w:shd w:val="clear" w:color="auto" w:fill="CFF0FC"/>
          </w:tcPr>
          <w:p>
            <w:pPr>
              <w:jc w:val="right"/>
              <w:ind w:right="879"/>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59,940</w:t>
            </w:r>
          </w:p>
        </w:tc>
        <w:tc>
          <w:tcPr>
            <w:tcW w:w="26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64,303</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5887085</wp:posOffset>
            </wp:positionH>
            <wp:positionV relativeFrom="paragraph">
              <wp:posOffset>-24765</wp:posOffset>
            </wp:positionV>
            <wp:extent cx="68580" cy="825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5887085</wp:posOffset>
            </wp:positionH>
            <wp:positionV relativeFrom="paragraph">
              <wp:posOffset>-7620</wp:posOffset>
            </wp:positionV>
            <wp:extent cx="68580" cy="825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Recognition</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Revenue is measured based on a specified amount of consideration in a contract with a customer, net of commissions paid to customers and amounts collected on behalf of third parties. We recognize revenue when a performance obligation is satisfied by transferring control of a product or delivering the service to a customer.</w:t>
      </w:r>
    </w:p>
    <w:p>
      <w:pPr>
        <w:spacing w:after="0" w:line="12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Pursuit’s service revenue is derived through its admissions, accommodations, and transportation services. Product revenue is derived through food and beverage and retail sales. Revenue is recognized at the time services are performed or upon delivery of the product. Pursuit’s service revenue is recognized over time as the customer simultaneously receives and consumes the benefits, and product revenue is recognized at a point in time.</w:t>
      </w:r>
    </w:p>
    <w:p>
      <w:pPr>
        <w:spacing w:after="0" w:line="11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GES’ service revenue is primarily derived through its comprehensive range of marketing, event production, and other related services to event organizers and corporate brand marketers. GES’ service revenue is earned over time over the duration of the live event, which generally lasts one to three days. Revenue for goods and services provided for which we do not have control of the goods or services before that good or service is transferred to a customer is recorded on a net basis to reflect only the fees received for arranging these services. GES’ product revenue is derived from the build of exhibits, environments, and graphics and is recognized at a point in time upon delivery of the product.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Noncontrolling Interests – Non-redeemable and Redeemable</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Non-redeemable noncontrolling interest represents the portion of equity in a subsidiary that is not attributable, directly or indirectly, to us. We report non-redeemable noncontrolling interest within stockholders’ equity in the Condensed Consolidated Balance Sheets. The amount of consolidated net income or loss attributable to Viad and the non-redeemable noncontrolling interest is presented in the Condensed Consolidated Statements of Operations.</w:t>
      </w:r>
    </w:p>
    <w:p>
      <w:pPr>
        <w:spacing w:after="0" w:line="115"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We consider noncontrolling interests with redemption features that are not solely within our control to be redeemable noncontrolling interests. Our redeemable noncontrolling interest relates to our 56.4% equity ownership interest in Esja Attractions ehf. (“Esja”), which owns the FlyOver Iceland attraction. The Esja shareholders agreement contains a put option that gives the minority Esja shareholders the right to sell (or “put”) their Esja shares to us based on a calculated formula within a predefined term. This redeemable noncontrolling interest is considered mezzanine equity and we report it between liabilities and stockholders’ equity in the Condensed Consolidated Balance Sheets. The amount of the net income or loss attributable to redeemable noncontrolling interests is recorded in the Condensed Consolidated Statements of Operations and the accretion of the redemption value is recorded as an adjustment to accumulated deficit and is included in our income (loss) per share. Refer to Note 22 – Noncontrolling Interest – Redeemable and Non-redeemable for additional information.</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Convertible Preferred Stock</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We record shares of convertible preferred stock based on proceeds received net of costs on the date of issuance. Redeemable preferred stock (including preferred stock that features redemption rights that are either within the control of the holder or subject to redemption upon the occurrence of uncertain events not solely within our control) is classified as mezzanine equity and is reported between liabilities and stockholders’ equity in the Condensed Consolidated Balance Sheets.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Leases</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We recognize a right-of-use (“ROU”) asset and lease liability on the balance sheet and classify leases as either finance or operating leases. The classification of the lease determines whether we recognize the lease expense on an effective interest method basis (finance lease) or on a straight-line basis (operating lease) over the lease term. In determining whether an agreement contains a lease, we consider</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47625</wp:posOffset>
            </wp:positionV>
            <wp:extent cx="7157720" cy="425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5" w:right="339" w:bottom="1440" w:gutter="0" w:footer="0" w:header="0"/>
        </w:sectPr>
      </w:pPr>
    </w:p>
    <w:bookmarkStart w:id="11" w:name="page12"/>
    <w:bookmarkEnd w:id="11"/>
    <w:p>
      <w:pPr>
        <w:jc w:val="both"/>
        <w:spacing w:after="0" w:line="258" w:lineRule="auto"/>
        <w:rPr>
          <w:sz w:val="20"/>
          <w:szCs w:val="20"/>
          <w:color w:val="auto"/>
        </w:rPr>
      </w:pPr>
      <w:r>
        <w:rPr>
          <w:rFonts w:ascii="Times New Roman" w:cs="Times New Roman" w:eastAsia="Times New Roman" w:hAnsi="Times New Roman"/>
          <w:sz w:val="18"/>
          <w:szCs w:val="18"/>
          <w:color w:val="auto"/>
        </w:rPr>
        <w:t>if we have a right to control the use of the underlying asset during the lease term in exchange for an obligation to make lease payments arising from the lease. We recognize ROU assets and lease liabilities at commencement date, which is when the underlying asset is available for use to a lessee, based on the present value of lease payments over the lease term.</w:t>
      </w:r>
    </w:p>
    <w:p>
      <w:pPr>
        <w:spacing w:after="0" w:line="11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Our operating and finance leases are primarily facility, equipment, and land leases. Our facility leases comprise mainly manufacturing facilities, sales and design facilities, offices, storage and/or warehouses, and truck marshaling yards for our GES business. These facility leases have lease terms ranging up to 24 years. Our equipment leases comprise mainly vehicles, hardware, and office equipment, each with various lease terms. Our land leases comprise mainly leases in Canada and Iceland on which our Pursuit hotels or attractions are located and have lease terms ranging up to 46 years.</w:t>
      </w:r>
    </w:p>
    <w:p>
      <w:pPr>
        <w:spacing w:after="0" w:line="135"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If a lease contains a renewal option that is reasonably certain to be exercised, then the lease term includes the optional periods in measuring a ROU asset and lease liability. We evaluate the reasonably certain threshold at lease commencement, and it is typically met if we identify substantial economic incentives or termination penalties. We do not include variable leases and variable non-lease components in the calculation of the ROU asset and corresponding lease liability. For facility leases, variable lease costs include the costs of common area maintenance, taxes, and insurance for which we pay our lessors an estimate that is adjusted to actual expense on a quarterly or annual basis depending on the underlying contract terms. We expense these variable lease payments as incurred. Our lease agreements do not contain any significant residual value guarantees or restrictive covenants.</w:t>
      </w:r>
    </w:p>
    <w:p>
      <w:pPr>
        <w:spacing w:after="0" w:line="13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Substantially all of our lease agreements do not specify an implicit borrowing rate, and as such, we utilize an incremental borrowing rate based on lease term and country, in order to calculate the present value of our future lease payments. The discount rate represents a risk-adjusted rate on a collateralized basis and is the expected rate at which we would borrow funds to satisfy the scheduled lease liability payment streams commensurate with the lease term and the country.</w:t>
      </w:r>
    </w:p>
    <w:p>
      <w:pPr>
        <w:spacing w:after="0" w:line="13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We are also a lessor to third party tenants who either lease certain portions of facilities that we own or sublease certain portions of facilities that we lease. We record lease income from owned facilities as rental income and we record sublease income from leased facilities as an offset to lease expense in the Condensed Consolidated Statements of Operations. We classify all of our leases for which we are the lessor as operating leases.</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 </w:t>
      </w:r>
      <w:r>
        <w:rPr>
          <w:rFonts w:ascii="Times New Roman" w:cs="Times New Roman" w:eastAsia="Times New Roman" w:hAnsi="Times New Roman"/>
          <w:sz w:val="18"/>
          <w:szCs w:val="18"/>
          <w:b w:val="1"/>
          <w:bCs w:val="1"/>
          <w:u w:val="single" w:color="auto"/>
          <w:color w:val="auto"/>
        </w:rPr>
        <w:t>Revenue and Related Contract Costs and Contract Liabilities</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Pursuit’s performance obligations are short-term in nature. They include the provision of a hotel room, an attraction admission, a chartered or ticketed bus or van ride, and/or the sale of food, beverage, or retail products. We recognize revenue when the service has been provided or the product has been delivered. When we extend credit, payment terms are generally within 30 days and contain no significant financing components.</w:t>
      </w:r>
    </w:p>
    <w:p>
      <w:pPr>
        <w:spacing w:after="0" w:line="115"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GES’ performance obligations consist of services or product(s) outlined in a contract. While we often sign multi-year contracts for recurring events, the obligations for each occurrence are well defined and conclude upon the occurrence of each event. The obligations are typically the provision of services and/or sale of a product in connection with a live event. Revenue for goods and services provided for which we do not have control of the goods or services before that good or service is transferred to a customer is recorded on a net basis to reflect only the fees received for arranging these services. We recognize revenue for services generally at the close of the live event. We recognize revenue for products either upon delivery to the customer’s location, upon delivery to an event that we are serving, or when we have the right to invoice. In circumstances where a customer cancels a contract, we generally have the right to bill the customer for costs incurred to date. Payment terms are generally within 30-60 days and contain no significant financing components.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Contract Liabilities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Pursuit and GES typically receive customer deposits prior to transferring the related product or service to the customer. We record these deposits as a contract liability, which are recognized as revenue upon satisfaction of the related contract performance obligation(s). GES also provides customer rebates and volume discounts to certain event organizers that we recognize as a reduction of revenue. We include these amounts in “Contract liabilities” and “Other deferred items and liabilities” in the Condensed Consolidated Balance Sheets.</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380" w:type="dxa"/>
            <w:vAlign w:val="bottom"/>
          </w:tcPr>
          <w:p>
            <w:pPr>
              <w:spacing w:after="0"/>
              <w:rPr>
                <w:sz w:val="20"/>
                <w:szCs w:val="20"/>
                <w:color w:val="auto"/>
              </w:rPr>
            </w:pPr>
            <w:r>
              <w:rPr>
                <w:rFonts w:ascii="Times New Roman" w:cs="Times New Roman" w:eastAsia="Times New Roman" w:hAnsi="Times New Roman"/>
                <w:sz w:val="18"/>
                <w:szCs w:val="18"/>
                <w:color w:val="auto"/>
              </w:rPr>
              <w:t>Changes to contract liabilities are as follows:</w:t>
            </w:r>
          </w:p>
        </w:tc>
        <w:tc>
          <w:tcPr>
            <w:tcW w:w="48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04"/>
        </w:trPr>
        <w:tc>
          <w:tcPr>
            <w:tcW w:w="438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(in thousands)</w:t>
            </w:r>
          </w:p>
        </w:tc>
        <w:tc>
          <w:tcPr>
            <w:tcW w:w="48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4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5580" w:type="dxa"/>
            <w:vAlign w:val="bottom"/>
            <w:gridSpan w:val="2"/>
            <w:shd w:val="clear" w:color="auto" w:fill="CFF0FC"/>
          </w:tcPr>
          <w:p>
            <w:pPr>
              <w:jc w:val="right"/>
              <w:ind w:right="53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39,662</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additions</w:t>
            </w:r>
          </w:p>
        </w:tc>
        <w:tc>
          <w:tcPr>
            <w:tcW w:w="48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93,013</w:t>
            </w:r>
          </w:p>
        </w:tc>
        <w:tc>
          <w:tcPr>
            <w:tcW w:w="100" w:type="dxa"/>
            <w:vAlign w:val="bottom"/>
          </w:tcPr>
          <w:p>
            <w:pPr>
              <w:spacing w:after="0"/>
              <w:rPr>
                <w:sz w:val="18"/>
                <w:szCs w:val="18"/>
                <w:color w:val="auto"/>
              </w:rPr>
            </w:pPr>
          </w:p>
        </w:tc>
      </w:tr>
      <w:tr>
        <w:trPr>
          <w:trHeight w:val="216"/>
        </w:trPr>
        <w:tc>
          <w:tcPr>
            <w:tcW w:w="4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Revenue recognized</w:t>
            </w:r>
          </w:p>
        </w:tc>
        <w:tc>
          <w:tcPr>
            <w:tcW w:w="486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28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(58,618 )</w:t>
            </w:r>
          </w:p>
        </w:tc>
      </w:tr>
      <w:tr>
        <w:trPr>
          <w:trHeight w:val="216"/>
        </w:trPr>
        <w:tc>
          <w:tcPr>
            <w:tcW w:w="43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Foreign exchange translation adjustment</w:t>
            </w:r>
          </w:p>
        </w:tc>
        <w:tc>
          <w:tcPr>
            <w:tcW w:w="48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(7,121 )</w:t>
            </w:r>
          </w:p>
        </w:tc>
      </w:tr>
      <w:tr>
        <w:trPr>
          <w:trHeight w:val="249"/>
        </w:trPr>
        <w:tc>
          <w:tcPr>
            <w:tcW w:w="43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June 30, 2022</w:t>
            </w:r>
          </w:p>
        </w:tc>
        <w:tc>
          <w:tcPr>
            <w:tcW w:w="4860" w:type="dxa"/>
            <w:vAlign w:val="bottom"/>
            <w:tcBorders>
              <w:bottom w:val="single" w:sz="8" w:color="CFF0FC"/>
            </w:tcBorders>
            <w:shd w:val="clear" w:color="auto" w:fill="CFF0FC"/>
          </w:tcPr>
          <w:p>
            <w:pPr>
              <w:spacing w:after="0"/>
              <w:rPr>
                <w:sz w:val="21"/>
                <w:szCs w:val="21"/>
                <w:color w:val="auto"/>
              </w:rPr>
            </w:pPr>
          </w:p>
        </w:tc>
        <w:tc>
          <w:tcPr>
            <w:tcW w:w="720" w:type="dxa"/>
            <w:vAlign w:val="bottom"/>
            <w:tcBorders>
              <w:top w:val="single" w:sz="8" w:color="auto"/>
              <w:bottom w:val="single" w:sz="8" w:color="auto"/>
            </w:tcBorders>
            <w:shd w:val="clear" w:color="auto" w:fill="CFF0FC"/>
          </w:tcPr>
          <w:p>
            <w:pPr>
              <w:jc w:val="right"/>
              <w:ind w:right="53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66,936</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28"/>
        </w:trPr>
        <w:tc>
          <w:tcPr>
            <w:tcW w:w="4380" w:type="dxa"/>
            <w:vAlign w:val="bottom"/>
          </w:tcPr>
          <w:p>
            <w:pPr>
              <w:spacing w:after="0"/>
              <w:rPr>
                <w:sz w:val="24"/>
                <w:szCs w:val="24"/>
                <w:color w:val="auto"/>
              </w:rPr>
            </w:pPr>
          </w:p>
        </w:tc>
        <w:tc>
          <w:tcPr>
            <w:tcW w:w="4860" w:type="dxa"/>
            <w:vAlign w:val="bottom"/>
          </w:tcPr>
          <w:p>
            <w:pPr>
              <w:jc w:val="right"/>
              <w:ind w:right="3430"/>
              <w:spacing w:after="0"/>
              <w:rPr>
                <w:sz w:val="20"/>
                <w:szCs w:val="20"/>
                <w:color w:val="auto"/>
              </w:rPr>
            </w:pPr>
            <w:r>
              <w:rPr>
                <w:rFonts w:ascii="Times New Roman" w:cs="Times New Roman" w:eastAsia="Times New Roman" w:hAnsi="Times New Roman"/>
                <w:sz w:val="18"/>
                <w:szCs w:val="18"/>
                <w:color w:val="auto"/>
              </w:rPr>
              <w:t>10</w:t>
            </w:r>
          </w:p>
        </w:tc>
        <w:tc>
          <w:tcPr>
            <w:tcW w:w="7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74"/>
        </w:trPr>
        <w:tc>
          <w:tcPr>
            <w:tcW w:w="4380" w:type="dxa"/>
            <w:vAlign w:val="bottom"/>
            <w:tcBorders>
              <w:bottom w:val="single" w:sz="8" w:color="9A9A9A"/>
            </w:tcBorders>
          </w:tcPr>
          <w:p>
            <w:pPr>
              <w:spacing w:after="0"/>
              <w:rPr>
                <w:sz w:val="6"/>
                <w:szCs w:val="6"/>
                <w:color w:val="auto"/>
              </w:rPr>
            </w:pPr>
          </w:p>
        </w:tc>
        <w:tc>
          <w:tcPr>
            <w:tcW w:w="4860" w:type="dxa"/>
            <w:vAlign w:val="bottom"/>
            <w:tcBorders>
              <w:bottom w:val="single" w:sz="8" w:color="9A9A9A"/>
            </w:tcBorders>
          </w:tcPr>
          <w:p>
            <w:pPr>
              <w:spacing w:after="0"/>
              <w:rPr>
                <w:sz w:val="6"/>
                <w:szCs w:val="6"/>
                <w:color w:val="auto"/>
              </w:rPr>
            </w:pPr>
          </w:p>
        </w:tc>
        <w:tc>
          <w:tcPr>
            <w:tcW w:w="720" w:type="dxa"/>
            <w:vAlign w:val="bottom"/>
            <w:tcBorders>
              <w:bottom w:val="single" w:sz="8" w:color="9A9A9A"/>
            </w:tcBorders>
          </w:tcPr>
          <w:p>
            <w:pPr>
              <w:spacing w:after="0"/>
              <w:rPr>
                <w:sz w:val="6"/>
                <w:szCs w:val="6"/>
                <w:color w:val="auto"/>
              </w:rPr>
            </w:pPr>
          </w:p>
        </w:tc>
        <w:tc>
          <w:tcPr>
            <w:tcW w:w="1180" w:type="dxa"/>
            <w:vAlign w:val="bottom"/>
            <w:tcBorders>
              <w:bottom w:val="single" w:sz="8" w:color="9A9A9A"/>
            </w:tcBorders>
          </w:tcPr>
          <w:p>
            <w:pPr>
              <w:spacing w:after="0"/>
              <w:rPr>
                <w:sz w:val="6"/>
                <w:szCs w:val="6"/>
                <w:color w:val="auto"/>
              </w:rPr>
            </w:pPr>
          </w:p>
        </w:tc>
        <w:tc>
          <w:tcPr>
            <w:tcW w:w="100" w:type="dxa"/>
            <w:vAlign w:val="bottom"/>
            <w:tcBorders>
              <w:bottom w:val="single" w:sz="8" w:color="9A9A9A"/>
            </w:tcBorders>
          </w:tcPr>
          <w:p>
            <w:pPr>
              <w:spacing w:after="0"/>
              <w:rPr>
                <w:sz w:val="6"/>
                <w:szCs w:val="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-495935</wp:posOffset>
            </wp:positionV>
            <wp:extent cx="68580" cy="825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-478790</wp:posOffset>
            </wp:positionV>
            <wp:extent cx="68580" cy="825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431"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color w:val="auto"/>
        </w:rPr>
        <w:t>Contract Costs</w:t>
      </w:r>
    </w:p>
    <w:p>
      <w:pPr>
        <w:spacing w:after="0" w:line="12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GES capitalizes certain incremental costs incurred in obtaining and fulfilling contracts. Capitalized costs principally relate to direct costs of materials and services incurred in fulfilling services of future live events, and also include up-front incentives and commissions incurred upon contract signing. We expense costs associated with preliminary contract activities (i.e. proposal activities) as incurred. Capitalized contract costs are expensed upon the transfer of the related goods or services and are included in Costs of services or Costs of products, as applicable. We include the deferred incremental costs of obtaining and fulfilling contracts in “Current contract costs” and “Other investments and assets” in the Condensed Consolidated Balance Sheets.</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240" w:type="dxa"/>
            <w:vAlign w:val="bottom"/>
          </w:tcPr>
          <w:p>
            <w:pPr>
              <w:spacing w:after="0"/>
              <w:rPr>
                <w:sz w:val="20"/>
                <w:szCs w:val="20"/>
                <w:color w:val="auto"/>
              </w:rPr>
            </w:pPr>
            <w:r>
              <w:rPr>
                <w:rFonts w:ascii="Times New Roman" w:cs="Times New Roman" w:eastAsia="Times New Roman" w:hAnsi="Times New Roman"/>
                <w:sz w:val="18"/>
                <w:szCs w:val="18"/>
                <w:color w:val="auto"/>
              </w:rPr>
              <w:t>Changes to contract costs are as follows:</w:t>
            </w:r>
          </w:p>
        </w:tc>
        <w:tc>
          <w:tcPr>
            <w:tcW w:w="7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1"/>
        </w:trPr>
        <w:tc>
          <w:tcPr>
            <w:tcW w:w="924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(in thousands)</w:t>
            </w:r>
          </w:p>
        </w:tc>
        <w:tc>
          <w:tcPr>
            <w:tcW w:w="7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9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700" w:type="dxa"/>
            <w:vAlign w:val="bottom"/>
            <w:shd w:val="clear" w:color="auto" w:fill="CFF0FC"/>
          </w:tcPr>
          <w:p>
            <w:pPr>
              <w:jc w:val="right"/>
              <w:ind w:right="5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13,790</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Additions</w:t>
            </w:r>
          </w:p>
        </w:tc>
        <w:tc>
          <w:tcPr>
            <w:tcW w:w="7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32,034</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Expenses</w:t>
            </w:r>
          </w:p>
        </w:tc>
        <w:tc>
          <w:tcPr>
            <w:tcW w:w="700" w:type="dxa"/>
            <w:vAlign w:val="bottom"/>
            <w:shd w:val="clear" w:color="auto" w:fill="CFF0FC"/>
          </w:tcPr>
          <w:p>
            <w:pPr>
              <w:spacing w:after="0"/>
              <w:rPr>
                <w:sz w:val="18"/>
                <w:szCs w:val="18"/>
                <w:color w:val="auto"/>
              </w:rPr>
            </w:pPr>
          </w:p>
        </w:tc>
        <w:tc>
          <w:tcPr>
            <w:tcW w:w="130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(20,584 )</w:t>
            </w:r>
          </w:p>
        </w:tc>
      </w:tr>
      <w:tr>
        <w:trPr>
          <w:trHeight w:val="216"/>
        </w:trPr>
        <w:tc>
          <w:tcPr>
            <w:tcW w:w="9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Foreign exchange translation adjustment</w:t>
            </w:r>
          </w:p>
        </w:tc>
        <w:tc>
          <w:tcPr>
            <w:tcW w:w="700" w:type="dxa"/>
            <w:vAlign w:val="bottom"/>
          </w:tcPr>
          <w:p>
            <w:pPr>
              <w:spacing w:after="0"/>
              <w:rPr>
                <w:sz w:val="18"/>
                <w:szCs w:val="18"/>
                <w:color w:val="auto"/>
              </w:rPr>
            </w:pPr>
          </w:p>
        </w:tc>
        <w:tc>
          <w:tcPr>
            <w:tcW w:w="13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(485 )</w:t>
            </w:r>
          </w:p>
        </w:tc>
      </w:tr>
      <w:tr>
        <w:trPr>
          <w:trHeight w:val="249"/>
        </w:trPr>
        <w:tc>
          <w:tcPr>
            <w:tcW w:w="92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June 30, 2022</w:t>
            </w:r>
          </w:p>
        </w:tc>
        <w:tc>
          <w:tcPr>
            <w:tcW w:w="700" w:type="dxa"/>
            <w:vAlign w:val="bottom"/>
            <w:tcBorders>
              <w:top w:val="single" w:sz="8" w:color="auto"/>
              <w:bottom w:val="single" w:sz="8" w:color="auto"/>
            </w:tcBorders>
            <w:shd w:val="clear" w:color="auto" w:fill="CFF0FC"/>
          </w:tcPr>
          <w:p>
            <w:pPr>
              <w:jc w:val="right"/>
              <w:ind w:right="510"/>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24,755</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June 30, 2022, capitalized contract costs consisted of $0.2 million to obtain contracts and $24.6 million to fulfill contracts. We did not recognize an impairment loss with respect to capitalized contract costs during the three and six months ended June 30, 2022 or 2021.</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Disaggregation of Revenue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tables disaggregate Pursuit and GES revenue by major service and product lines, timing of revenue recognition, and markets served:</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Pursuit</w:t>
      </w:r>
    </w:p>
    <w:p>
      <w:pPr>
        <w:spacing w:after="0" w:line="175" w:lineRule="exact"/>
        <w:rPr>
          <w:sz w:val="20"/>
          <w:szCs w:val="20"/>
          <w:color w:val="auto"/>
        </w:rPr>
      </w:pPr>
    </w:p>
    <w:p>
      <w:pPr>
        <w:jc w:val="both"/>
        <w:ind w:right="20"/>
        <w:spacing w:after="0" w:line="281" w:lineRule="auto"/>
        <w:rPr>
          <w:sz w:val="20"/>
          <w:szCs w:val="20"/>
          <w:color w:val="auto"/>
        </w:rPr>
      </w:pPr>
      <w:r>
        <w:rPr>
          <w:rFonts w:ascii="Times New Roman" w:cs="Times New Roman" w:eastAsia="Times New Roman" w:hAnsi="Times New Roman"/>
          <w:sz w:val="18"/>
          <w:szCs w:val="18"/>
          <w:color w:val="auto"/>
        </w:rPr>
        <w:t>During the first quarter of 2022, we reallocated certain ancillary revenue presented in Pursuit’s services revenue to better align with how we analyze revenue and depict the nature of revenue. All prior periods have been reclassified to conform to this new presentation.</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418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60" w:type="dxa"/>
            <w:vAlign w:val="bottom"/>
            <w:gridSpan w:val="4"/>
          </w:tcPr>
          <w:p>
            <w:pPr>
              <w:jc w:val="right"/>
              <w:ind w:right="551"/>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20" w:type="dxa"/>
            <w:vAlign w:val="bottom"/>
            <w:gridSpan w:val="4"/>
          </w:tcPr>
          <w:p>
            <w:pPr>
              <w:jc w:val="right"/>
              <w:ind w:right="631"/>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41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3"/>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2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8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(in thousands)</w:t>
            </w:r>
          </w:p>
        </w:tc>
        <w:tc>
          <w:tcPr>
            <w:tcW w:w="15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29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ind w:right="31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Services:</w:t>
            </w:r>
          </w:p>
        </w:tc>
        <w:tc>
          <w:tcPr>
            <w:tcW w:w="15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Ticket revenue</w:t>
            </w:r>
          </w:p>
        </w:tc>
        <w:tc>
          <w:tcPr>
            <w:tcW w:w="180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29,337</w:t>
            </w:r>
          </w:p>
        </w:tc>
        <w:tc>
          <w:tcPr>
            <w:tcW w:w="62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10,105</w:t>
            </w:r>
          </w:p>
        </w:tc>
        <w:tc>
          <w:tcPr>
            <w:tcW w:w="4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38,539</w:t>
            </w:r>
          </w:p>
        </w:tc>
        <w:tc>
          <w:tcPr>
            <w:tcW w:w="6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11,589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Rooms revenue</w:t>
            </w:r>
          </w:p>
        </w:tc>
        <w:tc>
          <w:tcPr>
            <w:tcW w:w="15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20,559</w:t>
            </w:r>
          </w:p>
        </w:tc>
        <w:tc>
          <w:tcPr>
            <w:tcW w:w="2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11,370</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27,462</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16,139</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Transportation</w:t>
            </w: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3,755</w:t>
            </w:r>
          </w:p>
        </w:tc>
        <w:tc>
          <w:tcPr>
            <w:tcW w:w="2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923</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4,934</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Other</w:t>
            </w:r>
          </w:p>
        </w:tc>
        <w:tc>
          <w:tcPr>
            <w:tcW w:w="15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3,017</w:t>
            </w:r>
          </w:p>
        </w:tc>
        <w:tc>
          <w:tcPr>
            <w:tcW w:w="26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2,547</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4,387</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3,642</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services revenue</w:t>
            </w:r>
          </w:p>
        </w:tc>
        <w:tc>
          <w:tcPr>
            <w:tcW w:w="15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56,668</w:t>
            </w:r>
          </w:p>
        </w:tc>
        <w:tc>
          <w:tcPr>
            <w:tcW w:w="26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24,945</w:t>
            </w:r>
          </w:p>
        </w:tc>
        <w:tc>
          <w:tcPr>
            <w:tcW w:w="2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75,322</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32,830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Products:</w:t>
            </w:r>
          </w:p>
        </w:tc>
        <w:tc>
          <w:tcPr>
            <w:tcW w:w="15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Food and beverage</w:t>
            </w: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12,171</w:t>
            </w:r>
          </w:p>
        </w:tc>
        <w:tc>
          <w:tcPr>
            <w:tcW w:w="2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5,899</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16,264</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7,123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Retail operations</w:t>
            </w:r>
          </w:p>
        </w:tc>
        <w:tc>
          <w:tcPr>
            <w:tcW w:w="15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8,760</w:t>
            </w:r>
          </w:p>
        </w:tc>
        <w:tc>
          <w:tcPr>
            <w:tcW w:w="26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5,469</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9,797</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6,150</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products revenue</w:t>
            </w:r>
          </w:p>
        </w:tc>
        <w:tc>
          <w:tcPr>
            <w:tcW w:w="15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20,931</w:t>
            </w:r>
          </w:p>
        </w:tc>
        <w:tc>
          <w:tcPr>
            <w:tcW w:w="26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11,368</w:t>
            </w:r>
          </w:p>
        </w:tc>
        <w:tc>
          <w:tcPr>
            <w:tcW w:w="2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26,061</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13,273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41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156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77,599</w:t>
            </w:r>
          </w:p>
        </w:tc>
        <w:tc>
          <w:tcPr>
            <w:tcW w:w="26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36,313</w:t>
            </w:r>
          </w:p>
        </w:tc>
        <w:tc>
          <w:tcPr>
            <w:tcW w:w="24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101,383</w:t>
            </w:r>
          </w:p>
        </w:tc>
        <w:tc>
          <w:tcPr>
            <w:tcW w:w="22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46,103</w:t>
            </w:r>
          </w:p>
        </w:tc>
        <w:tc>
          <w:tcPr>
            <w:tcW w:w="10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418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Timing of revenue recognition:</w:t>
            </w:r>
          </w:p>
        </w:tc>
        <w:tc>
          <w:tcPr>
            <w:tcW w:w="15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Services transferred over time</w:t>
            </w:r>
          </w:p>
        </w:tc>
        <w:tc>
          <w:tcPr>
            <w:tcW w:w="180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56,668</w:t>
            </w:r>
          </w:p>
        </w:tc>
        <w:tc>
          <w:tcPr>
            <w:tcW w:w="62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24,945</w:t>
            </w:r>
          </w:p>
        </w:tc>
        <w:tc>
          <w:tcPr>
            <w:tcW w:w="4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75,322</w:t>
            </w:r>
          </w:p>
        </w:tc>
        <w:tc>
          <w:tcPr>
            <w:tcW w:w="6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32,830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Products transferred at a point in time</w:t>
            </w:r>
          </w:p>
        </w:tc>
        <w:tc>
          <w:tcPr>
            <w:tcW w:w="15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20,931</w:t>
            </w:r>
          </w:p>
        </w:tc>
        <w:tc>
          <w:tcPr>
            <w:tcW w:w="26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11,368</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26,061</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13,273</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180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77,599</w:t>
            </w:r>
          </w:p>
        </w:tc>
        <w:tc>
          <w:tcPr>
            <w:tcW w:w="62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36,313</w:t>
            </w:r>
          </w:p>
        </w:tc>
        <w:tc>
          <w:tcPr>
            <w:tcW w:w="4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101,383</w:t>
            </w:r>
          </w:p>
        </w:tc>
        <w:tc>
          <w:tcPr>
            <w:tcW w:w="6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46,103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8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180" w:type="dxa"/>
            <w:vAlign w:val="bottom"/>
            <w:shd w:val="clear" w:color="auto" w:fill="CFF0FC"/>
          </w:tcPr>
          <w:p>
            <w:pPr>
              <w:spacing w:after="0"/>
              <w:rPr>
                <w:sz w:val="17"/>
                <w:szCs w:val="17"/>
                <w:color w:val="auto"/>
              </w:rPr>
            </w:pPr>
          </w:p>
        </w:tc>
        <w:tc>
          <w:tcPr>
            <w:tcW w:w="15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8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92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8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Markets:</w:t>
            </w: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Banff Jasper Collection</w:t>
            </w:r>
          </w:p>
        </w:tc>
        <w:tc>
          <w:tcPr>
            <w:tcW w:w="1800" w:type="dxa"/>
            <w:vAlign w:val="bottom"/>
            <w:gridSpan w:val="2"/>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38,962</w:t>
            </w:r>
          </w:p>
        </w:tc>
        <w:tc>
          <w:tcPr>
            <w:tcW w:w="620" w:type="dxa"/>
            <w:vAlign w:val="bottom"/>
            <w:gridSpan w:val="2"/>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10,658</w:t>
            </w:r>
          </w:p>
        </w:tc>
        <w:tc>
          <w:tcPr>
            <w:tcW w:w="480" w:type="dxa"/>
            <w:vAlign w:val="bottom"/>
            <w:gridSpan w:val="2"/>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53,292</w:t>
            </w:r>
          </w:p>
        </w:tc>
        <w:tc>
          <w:tcPr>
            <w:tcW w:w="600" w:type="dxa"/>
            <w:vAlign w:val="bottom"/>
            <w:gridSpan w:val="2"/>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19,118</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Alaska Collection</w:t>
            </w: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13,319</w:t>
            </w:r>
          </w:p>
        </w:tc>
        <w:tc>
          <w:tcPr>
            <w:tcW w:w="2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11,058</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13,816</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11,347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Glacier Park Collection</w:t>
            </w:r>
          </w:p>
        </w:tc>
        <w:tc>
          <w:tcPr>
            <w:tcW w:w="15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13,581</w:t>
            </w:r>
          </w:p>
        </w:tc>
        <w:tc>
          <w:tcPr>
            <w:tcW w:w="26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10,968</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14,590</w:t>
            </w:r>
          </w:p>
        </w:tc>
        <w:tc>
          <w:tcPr>
            <w:tcW w:w="22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11,546</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FlyOver</w:t>
            </w: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5,870</w:t>
            </w:r>
          </w:p>
        </w:tc>
        <w:tc>
          <w:tcPr>
            <w:tcW w:w="2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735</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10,009</w:t>
            </w: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18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Sky Lagoon</w:t>
            </w:r>
          </w:p>
        </w:tc>
        <w:tc>
          <w:tcPr>
            <w:tcW w:w="15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5,867</w:t>
            </w:r>
          </w:p>
        </w:tc>
        <w:tc>
          <w:tcPr>
            <w:tcW w:w="26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2,894</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9,676</w:t>
            </w:r>
          </w:p>
        </w:tc>
        <w:tc>
          <w:tcPr>
            <w:tcW w:w="220" w:type="dxa"/>
            <w:vAlign w:val="bottom"/>
            <w:tcBorders>
              <w:bottom w:val="single" w:sz="8" w:color="CFF0FC"/>
            </w:tcBorders>
            <w:shd w:val="clear" w:color="auto" w:fill="CFF0FC"/>
          </w:tcPr>
          <w:p>
            <w:pPr>
              <w:spacing w:after="0"/>
              <w:rPr>
                <w:sz w:val="18"/>
                <w:szCs w:val="18"/>
                <w:color w:val="auto"/>
              </w:rPr>
            </w:pPr>
          </w:p>
        </w:tc>
        <w:tc>
          <w:tcPr>
            <w:tcW w:w="38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2,894</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180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77,599</w:t>
            </w:r>
          </w:p>
        </w:tc>
        <w:tc>
          <w:tcPr>
            <w:tcW w:w="62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36,313</w:t>
            </w:r>
          </w:p>
        </w:tc>
        <w:tc>
          <w:tcPr>
            <w:tcW w:w="4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101,383</w:t>
            </w:r>
          </w:p>
        </w:tc>
        <w:tc>
          <w:tcPr>
            <w:tcW w:w="600" w:type="dxa"/>
            <w:vAlign w:val="bottom"/>
            <w:gridSpan w:val="2"/>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46,103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180" w:type="dxa"/>
            <w:vAlign w:val="bottom"/>
          </w:tcPr>
          <w:p>
            <w:pPr>
              <w:spacing w:after="0" w:line="20" w:lineRule="exact"/>
              <w:rPr>
                <w:sz w:val="1"/>
                <w:szCs w:val="1"/>
                <w:color w:val="auto"/>
              </w:rPr>
            </w:pPr>
          </w:p>
        </w:tc>
        <w:tc>
          <w:tcPr>
            <w:tcW w:w="15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8"/>
        </w:trPr>
        <w:tc>
          <w:tcPr>
            <w:tcW w:w="4180" w:type="dxa"/>
            <w:vAlign w:val="bottom"/>
          </w:tcPr>
          <w:p>
            <w:pPr>
              <w:spacing w:after="0"/>
              <w:rPr>
                <w:sz w:val="24"/>
                <w:szCs w:val="24"/>
                <w:color w:val="auto"/>
              </w:rPr>
            </w:pPr>
          </w:p>
        </w:tc>
        <w:tc>
          <w:tcPr>
            <w:tcW w:w="156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180" w:type="dxa"/>
            <w:vAlign w:val="bottom"/>
            <w:tcBorders>
              <w:bottom w:val="single" w:sz="8" w:color="9A9A9A"/>
            </w:tcBorders>
          </w:tcPr>
          <w:p>
            <w:pPr>
              <w:spacing w:after="0"/>
              <w:rPr>
                <w:sz w:val="7"/>
                <w:szCs w:val="7"/>
                <w:color w:val="auto"/>
              </w:rPr>
            </w:pPr>
          </w:p>
        </w:tc>
        <w:tc>
          <w:tcPr>
            <w:tcW w:w="15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360" w:type="dxa"/>
            <w:vAlign w:val="bottom"/>
            <w:tcBorders>
              <w:bottom w:val="single" w:sz="8" w:color="9A9A9A"/>
            </w:tcBorders>
          </w:tcPr>
          <w:p>
            <w:pPr>
              <w:spacing w:after="0"/>
              <w:rPr>
                <w:sz w:val="7"/>
                <w:szCs w:val="7"/>
                <w:color w:val="auto"/>
              </w:rPr>
            </w:pPr>
          </w:p>
        </w:tc>
        <w:tc>
          <w:tcPr>
            <w:tcW w:w="92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380" w:type="dxa"/>
            <w:vAlign w:val="bottom"/>
            <w:tcBorders>
              <w:bottom w:val="single" w:sz="8" w:color="9A9A9A"/>
            </w:tcBorders>
          </w:tcPr>
          <w:p>
            <w:pPr>
              <w:spacing w:after="0"/>
              <w:rPr>
                <w:sz w:val="7"/>
                <w:szCs w:val="7"/>
                <w:color w:val="auto"/>
              </w:rPr>
            </w:pPr>
          </w:p>
        </w:tc>
        <w:tc>
          <w:tcPr>
            <w:tcW w:w="9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4320540</wp:posOffset>
            </wp:positionH>
            <wp:positionV relativeFrom="paragraph">
              <wp:posOffset>-3210560</wp:posOffset>
            </wp:positionV>
            <wp:extent cx="76835" cy="825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-3210560</wp:posOffset>
            </wp:positionV>
            <wp:extent cx="68580" cy="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6118860</wp:posOffset>
            </wp:positionH>
            <wp:positionV relativeFrom="paragraph">
              <wp:posOffset>-3210560</wp:posOffset>
            </wp:positionV>
            <wp:extent cx="68580" cy="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-3210560</wp:posOffset>
            </wp:positionV>
            <wp:extent cx="68580" cy="825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4320540</wp:posOffset>
            </wp:positionH>
            <wp:positionV relativeFrom="paragraph">
              <wp:posOffset>-2645410</wp:posOffset>
            </wp:positionV>
            <wp:extent cx="76835" cy="825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-2645410</wp:posOffset>
            </wp:positionV>
            <wp:extent cx="68580" cy="825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6118860</wp:posOffset>
            </wp:positionH>
            <wp:positionV relativeFrom="paragraph">
              <wp:posOffset>-2645410</wp:posOffset>
            </wp:positionV>
            <wp:extent cx="68580" cy="825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-2645410</wp:posOffset>
            </wp:positionV>
            <wp:extent cx="68580" cy="825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4320540</wp:posOffset>
            </wp:positionH>
            <wp:positionV relativeFrom="paragraph">
              <wp:posOffset>-2353945</wp:posOffset>
            </wp:positionV>
            <wp:extent cx="76835" cy="825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4320540</wp:posOffset>
            </wp:positionH>
            <wp:positionV relativeFrom="paragraph">
              <wp:posOffset>-2336800</wp:posOffset>
            </wp:positionV>
            <wp:extent cx="76835" cy="825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-2353945</wp:posOffset>
            </wp:positionV>
            <wp:extent cx="68580" cy="825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-2336800</wp:posOffset>
            </wp:positionV>
            <wp:extent cx="68580" cy="825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6118860</wp:posOffset>
            </wp:positionH>
            <wp:positionV relativeFrom="paragraph">
              <wp:posOffset>-2353945</wp:posOffset>
            </wp:positionV>
            <wp:extent cx="68580" cy="825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6118860</wp:posOffset>
            </wp:positionH>
            <wp:positionV relativeFrom="paragraph">
              <wp:posOffset>-2336800</wp:posOffset>
            </wp:positionV>
            <wp:extent cx="68580" cy="825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-2353945</wp:posOffset>
            </wp:positionV>
            <wp:extent cx="68580" cy="825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-2336800</wp:posOffset>
            </wp:positionV>
            <wp:extent cx="68580" cy="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4320540</wp:posOffset>
            </wp:positionH>
            <wp:positionV relativeFrom="paragraph">
              <wp:posOffset>-1780540</wp:posOffset>
            </wp:positionV>
            <wp:extent cx="76835" cy="825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-1780540</wp:posOffset>
            </wp:positionV>
            <wp:extent cx="68580" cy="825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6118860</wp:posOffset>
            </wp:positionH>
            <wp:positionV relativeFrom="paragraph">
              <wp:posOffset>-1780540</wp:posOffset>
            </wp:positionV>
            <wp:extent cx="68580" cy="825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-1780540</wp:posOffset>
            </wp:positionV>
            <wp:extent cx="68580" cy="825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4320540</wp:posOffset>
            </wp:positionH>
            <wp:positionV relativeFrom="paragraph">
              <wp:posOffset>-650240</wp:posOffset>
            </wp:positionV>
            <wp:extent cx="76835" cy="825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-650240</wp:posOffset>
            </wp:positionV>
            <wp:extent cx="68580" cy="825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6118860</wp:posOffset>
            </wp:positionH>
            <wp:positionV relativeFrom="paragraph">
              <wp:posOffset>-650240</wp:posOffset>
            </wp:positionV>
            <wp:extent cx="68580" cy="825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-650240</wp:posOffset>
            </wp:positionV>
            <wp:extent cx="68580" cy="825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535"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b w:val="1"/>
          <w:bCs w:val="1"/>
          <w:color w:val="auto"/>
        </w:rPr>
        <w:t>GES</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During the first quarter of 2022, we changed our segment reporting as a result of operational changes and how our CODM reviews the financial performance of GES and makes decisions regarding the allocation of resources. Accordingly, GES’ new reportable segments are Spiro and GES Exhibitions. As a result, we changed certain items in the following disaggregation of revenue table. All prior periods have been reclassified to conform to the new reporting structure.</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7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600" w:type="dxa"/>
            <w:vAlign w:val="bottom"/>
            <w:gridSpan w:val="5"/>
          </w:tcPr>
          <w:p>
            <w:pPr>
              <w:jc w:val="right"/>
              <w:ind w:right="90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6"/>
                <w:szCs w:val="16"/>
                <w:color w:val="auto"/>
              </w:rPr>
            </w:pPr>
          </w:p>
        </w:tc>
        <w:tc>
          <w:tcPr>
            <w:tcW w:w="2440" w:type="dxa"/>
            <w:vAlign w:val="bottom"/>
            <w:gridSpan w:val="5"/>
          </w:tcPr>
          <w:p>
            <w:pPr>
              <w:jc w:val="right"/>
              <w:ind w:right="820"/>
              <w:spacing w:after="0"/>
              <w:rPr>
                <w:sz w:val="20"/>
                <w:szCs w:val="20"/>
                <w:color w:val="auto"/>
              </w:rPr>
            </w:pPr>
            <w:r>
              <w:rPr>
                <w:rFonts w:ascii="Times New Roman" w:cs="Times New Roman" w:eastAsia="Times New Roman" w:hAnsi="Times New Roman"/>
                <w:sz w:val="14"/>
                <w:szCs w:val="14"/>
                <w:b w:val="1"/>
                <w:bCs w:val="1"/>
                <w:color w:val="auto"/>
              </w:rPr>
              <w:t>Six Months Ended</w:t>
            </w:r>
          </w:p>
        </w:tc>
      </w:tr>
      <w:tr>
        <w:trPr>
          <w:trHeight w:val="214"/>
        </w:trPr>
        <w:tc>
          <w:tcPr>
            <w:tcW w:w="57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09"/>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(in thousands)</w:t>
            </w: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3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ind w:right="31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8"/>
                <w:szCs w:val="18"/>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Service lines: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89,425</w:t>
            </w:r>
          </w:p>
        </w:tc>
        <w:tc>
          <w:tcPr>
            <w:tcW w:w="24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11,944</w:t>
            </w:r>
          </w:p>
        </w:tc>
        <w:tc>
          <w:tcPr>
            <w:tcW w:w="2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132,241</w:t>
            </w:r>
          </w:p>
        </w:tc>
        <w:tc>
          <w:tcPr>
            <w:tcW w:w="240" w:type="dxa"/>
            <w:vAlign w:val="bottom"/>
          </w:tcPr>
          <w:p>
            <w:pPr>
              <w:spacing w:after="0"/>
              <w:rPr>
                <w:sz w:val="18"/>
                <w:szCs w:val="18"/>
                <w:color w:val="auto"/>
              </w:rPr>
            </w:pP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24,003</w:t>
            </w:r>
          </w:p>
        </w:tc>
        <w:tc>
          <w:tcPr>
            <w:tcW w:w="100" w:type="dxa"/>
            <w:vAlign w:val="bottom"/>
          </w:tcPr>
          <w:p>
            <w:pPr>
              <w:spacing w:after="0"/>
              <w:rPr>
                <w:sz w:val="18"/>
                <w:szCs w:val="18"/>
                <w:color w:val="auto"/>
              </w:rPr>
            </w:pP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154,600</w:t>
            </w: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13,057</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266,431</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20,209</w:t>
            </w: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Intersegment eliminations</w:t>
            </w:r>
          </w:p>
        </w:tc>
        <w:tc>
          <w:tcPr>
            <w:tcW w:w="26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(2,421 )</w:t>
            </w:r>
          </w:p>
        </w:tc>
        <w:tc>
          <w:tcPr>
            <w:tcW w:w="3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(81 )</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(3,492 )</w:t>
            </w:r>
          </w:p>
        </w:tc>
        <w:tc>
          <w:tcPr>
            <w:tcW w:w="36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(147 )</w:t>
            </w:r>
          </w:p>
        </w:tc>
      </w:tr>
      <w:tr>
        <w:trPr>
          <w:trHeight w:val="249"/>
        </w:trPr>
        <w:tc>
          <w:tcPr>
            <w:tcW w:w="5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241,604</w:t>
            </w:r>
          </w:p>
        </w:tc>
        <w:tc>
          <w:tcPr>
            <w:tcW w:w="24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24,920</w:t>
            </w:r>
          </w:p>
        </w:tc>
        <w:tc>
          <w:tcPr>
            <w:tcW w:w="24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395,180</w:t>
            </w:r>
          </w:p>
        </w:tc>
        <w:tc>
          <w:tcPr>
            <w:tcW w:w="24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44,065</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6"/>
        </w:trPr>
        <w:tc>
          <w:tcPr>
            <w:tcW w:w="57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Timing of revenue recognition:</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Services transferred over time</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197,464</w:t>
            </w:r>
          </w:p>
        </w:tc>
        <w:tc>
          <w:tcPr>
            <w:tcW w:w="24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21,361</w:t>
            </w:r>
          </w:p>
        </w:tc>
        <w:tc>
          <w:tcPr>
            <w:tcW w:w="2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329,947</w:t>
            </w:r>
          </w:p>
        </w:tc>
        <w:tc>
          <w:tcPr>
            <w:tcW w:w="240" w:type="dxa"/>
            <w:vAlign w:val="bottom"/>
          </w:tcPr>
          <w:p>
            <w:pPr>
              <w:spacing w:after="0"/>
              <w:rPr>
                <w:sz w:val="18"/>
                <w:szCs w:val="18"/>
                <w:color w:val="auto"/>
              </w:rPr>
            </w:pP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38,376</w:t>
            </w:r>
          </w:p>
        </w:tc>
        <w:tc>
          <w:tcPr>
            <w:tcW w:w="100" w:type="dxa"/>
            <w:vAlign w:val="bottom"/>
          </w:tcPr>
          <w:p>
            <w:pPr>
              <w:spacing w:after="0"/>
              <w:rPr>
                <w:sz w:val="18"/>
                <w:szCs w:val="18"/>
                <w:color w:val="auto"/>
              </w:rPr>
            </w:pPr>
          </w:p>
        </w:tc>
      </w:tr>
      <w:tr>
        <w:trPr>
          <w:trHeight w:val="216"/>
        </w:trPr>
        <w:tc>
          <w:tcPr>
            <w:tcW w:w="5700" w:type="dxa"/>
            <w:vAlign w:val="bottom"/>
            <w:shd w:val="clear" w:color="auto" w:fill="CFF0FC"/>
          </w:tcPr>
          <w:p>
            <w:pPr>
              <w:ind w:left="120"/>
              <w:spacing w:after="0" w:line="216" w:lineRule="exact"/>
              <w:rPr>
                <w:sz w:val="20"/>
                <w:szCs w:val="20"/>
                <w:color w:val="auto"/>
              </w:rPr>
            </w:pPr>
            <w:r>
              <w:rPr>
                <w:rFonts w:ascii="Times New Roman" w:cs="Times New Roman" w:eastAsia="Times New Roman" w:hAnsi="Times New Roman"/>
                <w:sz w:val="18"/>
                <w:szCs w:val="18"/>
                <w:color w:val="auto"/>
              </w:rPr>
              <w:t>Products transferred over time</w:t>
            </w:r>
            <w:r>
              <w:rPr>
                <w:rFonts w:ascii="Times New Roman" w:cs="Times New Roman" w:eastAsia="Times New Roman" w:hAnsi="Times New Roman"/>
                <w:sz w:val="24"/>
                <w:szCs w:val="24"/>
                <w:color w:val="auto"/>
                <w:vertAlign w:val="superscript"/>
              </w:rPr>
              <w:t>(1)</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16,025</w:t>
            </w: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733</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23,963</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1,150</w:t>
            </w: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Products transferred at a point in time</w:t>
            </w: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28,115</w:t>
            </w:r>
          </w:p>
        </w:tc>
        <w:tc>
          <w:tcPr>
            <w:tcW w:w="24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2,826</w:t>
            </w:r>
          </w:p>
        </w:tc>
        <w:tc>
          <w:tcPr>
            <w:tcW w:w="2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41,270</w:t>
            </w:r>
          </w:p>
        </w:tc>
        <w:tc>
          <w:tcPr>
            <w:tcW w:w="24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4,539</w:t>
            </w:r>
          </w:p>
        </w:tc>
        <w:tc>
          <w:tcPr>
            <w:tcW w:w="100" w:type="dxa"/>
            <w:vAlign w:val="bottom"/>
          </w:tcPr>
          <w:p>
            <w:pPr>
              <w:spacing w:after="0"/>
              <w:rPr>
                <w:sz w:val="18"/>
                <w:szCs w:val="18"/>
                <w:color w:val="auto"/>
              </w:rPr>
            </w:pPr>
          </w:p>
        </w:tc>
      </w:tr>
      <w:tr>
        <w:trPr>
          <w:trHeight w:val="249"/>
        </w:trPr>
        <w:tc>
          <w:tcPr>
            <w:tcW w:w="5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241,604</w:t>
            </w:r>
          </w:p>
        </w:tc>
        <w:tc>
          <w:tcPr>
            <w:tcW w:w="24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24,920</w:t>
            </w:r>
          </w:p>
        </w:tc>
        <w:tc>
          <w:tcPr>
            <w:tcW w:w="24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395,180</w:t>
            </w:r>
          </w:p>
        </w:tc>
        <w:tc>
          <w:tcPr>
            <w:tcW w:w="24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44,065</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6"/>
        </w:trPr>
        <w:tc>
          <w:tcPr>
            <w:tcW w:w="57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Geographical markets:</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North America</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189,670</w:t>
            </w:r>
          </w:p>
        </w:tc>
        <w:tc>
          <w:tcPr>
            <w:tcW w:w="24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19,472</w:t>
            </w:r>
          </w:p>
        </w:tc>
        <w:tc>
          <w:tcPr>
            <w:tcW w:w="24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318,697</w:t>
            </w:r>
          </w:p>
        </w:tc>
        <w:tc>
          <w:tcPr>
            <w:tcW w:w="240" w:type="dxa"/>
            <w:vAlign w:val="bottom"/>
          </w:tcPr>
          <w:p>
            <w:pPr>
              <w:spacing w:after="0"/>
              <w:rPr>
                <w:sz w:val="18"/>
                <w:szCs w:val="18"/>
                <w:color w:val="auto"/>
              </w:rPr>
            </w:pP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35,330</w:t>
            </w:r>
          </w:p>
        </w:tc>
        <w:tc>
          <w:tcPr>
            <w:tcW w:w="100" w:type="dxa"/>
            <w:vAlign w:val="bottom"/>
          </w:tcPr>
          <w:p>
            <w:pPr>
              <w:spacing w:after="0"/>
              <w:rPr>
                <w:sz w:val="18"/>
                <w:szCs w:val="18"/>
                <w:color w:val="auto"/>
              </w:rPr>
            </w:pP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EMEA</w:t>
            </w: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58,534</w:t>
            </w: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6,074</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84,347</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9,977</w:t>
            </w: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Intersegment eliminations</w:t>
            </w:r>
          </w:p>
        </w:tc>
        <w:tc>
          <w:tcPr>
            <w:tcW w:w="260" w:type="dxa"/>
            <w:vAlign w:val="bottom"/>
          </w:tcPr>
          <w:p>
            <w:pPr>
              <w:spacing w:after="0"/>
              <w:rPr>
                <w:sz w:val="18"/>
                <w:szCs w:val="18"/>
                <w:color w:val="auto"/>
              </w:rPr>
            </w:pPr>
          </w:p>
        </w:tc>
        <w:tc>
          <w:tcPr>
            <w:tcW w:w="11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(6,600 )</w:t>
            </w:r>
          </w:p>
        </w:tc>
        <w:tc>
          <w:tcPr>
            <w:tcW w:w="340" w:type="dxa"/>
            <w:vAlign w:val="bottom"/>
          </w:tcPr>
          <w:p>
            <w:pPr>
              <w:spacing w:after="0"/>
              <w:rPr>
                <w:sz w:val="18"/>
                <w:szCs w:val="18"/>
                <w:color w:val="auto"/>
              </w:rPr>
            </w:pPr>
          </w:p>
        </w:tc>
        <w:tc>
          <w:tcPr>
            <w:tcW w:w="11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(626 )</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(7,864 )</w:t>
            </w:r>
          </w:p>
        </w:tc>
        <w:tc>
          <w:tcPr>
            <w:tcW w:w="36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(1,242 )</w:t>
            </w:r>
          </w:p>
        </w:tc>
      </w:tr>
      <w:tr>
        <w:trPr>
          <w:trHeight w:val="249"/>
        </w:trPr>
        <w:tc>
          <w:tcPr>
            <w:tcW w:w="5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241,604</w:t>
            </w:r>
          </w:p>
        </w:tc>
        <w:tc>
          <w:tcPr>
            <w:tcW w:w="24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24,920</w:t>
            </w:r>
          </w:p>
        </w:tc>
        <w:tc>
          <w:tcPr>
            <w:tcW w:w="24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395,180</w:t>
            </w:r>
          </w:p>
        </w:tc>
        <w:tc>
          <w:tcPr>
            <w:tcW w:w="24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44,065</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4345940</wp:posOffset>
            </wp:positionH>
            <wp:positionV relativeFrom="paragraph">
              <wp:posOffset>-1737360</wp:posOffset>
            </wp:positionV>
            <wp:extent cx="68580" cy="825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4345940</wp:posOffset>
            </wp:positionH>
            <wp:positionV relativeFrom="paragraph">
              <wp:posOffset>-1720215</wp:posOffset>
            </wp:positionV>
            <wp:extent cx="68580" cy="825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-1737360</wp:posOffset>
            </wp:positionV>
            <wp:extent cx="68580" cy="825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-1720215</wp:posOffset>
            </wp:positionV>
            <wp:extent cx="68580" cy="825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-1737360</wp:posOffset>
            </wp:positionV>
            <wp:extent cx="68580" cy="825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-1720215</wp:posOffset>
            </wp:positionV>
            <wp:extent cx="68580" cy="825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-1737360</wp:posOffset>
            </wp:positionV>
            <wp:extent cx="68580" cy="825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-1720215</wp:posOffset>
            </wp:positionV>
            <wp:extent cx="68580" cy="825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4345940</wp:posOffset>
            </wp:positionH>
            <wp:positionV relativeFrom="paragraph">
              <wp:posOffset>-881380</wp:posOffset>
            </wp:positionV>
            <wp:extent cx="68580" cy="82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4345940</wp:posOffset>
            </wp:positionH>
            <wp:positionV relativeFrom="paragraph">
              <wp:posOffset>-864235</wp:posOffset>
            </wp:positionV>
            <wp:extent cx="68580" cy="825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-881380</wp:posOffset>
            </wp:positionV>
            <wp:extent cx="68580" cy="825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-864235</wp:posOffset>
            </wp:positionV>
            <wp:extent cx="68580" cy="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-881380</wp:posOffset>
            </wp:positionV>
            <wp:extent cx="68580" cy="825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-864235</wp:posOffset>
            </wp:positionV>
            <wp:extent cx="68580" cy="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-881380</wp:posOffset>
            </wp:positionV>
            <wp:extent cx="68580" cy="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-864235</wp:posOffset>
            </wp:positionV>
            <wp:extent cx="68580"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4345940</wp:posOffset>
            </wp:positionH>
            <wp:positionV relativeFrom="paragraph">
              <wp:posOffset>-24765</wp:posOffset>
            </wp:positionV>
            <wp:extent cx="68580" cy="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4345940</wp:posOffset>
            </wp:positionH>
            <wp:positionV relativeFrom="paragraph">
              <wp:posOffset>-7620</wp:posOffset>
            </wp:positionV>
            <wp:extent cx="68580"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-24765</wp:posOffset>
            </wp:positionV>
            <wp:extent cx="68580"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-7620</wp:posOffset>
            </wp:positionV>
            <wp:extent cx="68580"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-24765</wp:posOffset>
            </wp:positionV>
            <wp:extent cx="68580" cy="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-7620</wp:posOffset>
            </wp:positionV>
            <wp:extent cx="68580" cy="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7" w:lineRule="exact"/>
        <w:rPr>
          <w:sz w:val="20"/>
          <w:szCs w:val="20"/>
          <w:color w:val="auto"/>
        </w:rPr>
      </w:pPr>
    </w:p>
    <w:p>
      <w:pPr>
        <w:ind w:left="380" w:hanging="372"/>
        <w:spacing w:after="0" w:line="216" w:lineRule="auto"/>
        <w:tabs>
          <w:tab w:leader="none" w:pos="380" w:val="left"/>
        </w:tabs>
        <w:numPr>
          <w:ilvl w:val="0"/>
          <w:numId w:val="4"/>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GES’ graphics product revenue is earned over time over the duration of an event as it is considered a part of the single performance obligation satisfied over time.</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3. </w:t>
      </w:r>
      <w:r>
        <w:rPr>
          <w:rFonts w:ascii="Times New Roman" w:cs="Times New Roman" w:eastAsia="Times New Roman" w:hAnsi="Times New Roman"/>
          <w:sz w:val="18"/>
          <w:szCs w:val="18"/>
          <w:b w:val="1"/>
          <w:bCs w:val="1"/>
          <w:u w:val="single" w:color="auto"/>
          <w:color w:val="auto"/>
        </w:rPr>
        <w:t>Share-Based Compensation</w:t>
      </w:r>
    </w:p>
    <w:p>
      <w:pPr>
        <w:spacing w:after="0" w:line="10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We grant share-based compensation awards to our officers, directors, and certain key employees pursuant to the 2017 Viad Corp Omnibus Incentive Plan, as amended, (the “2017 Plan”). The 2017 Plan has a 10-year term and provides for the following types of awards: (a) incentive and non-qualified stock options; (b) restricted stock awards and restricted stock units; (c) performance units or performance shares; (d) stock appreciation rights; (e) cash-based awards; and (f) certain other stock-based awards. In June 2017, we reserved 1,750,000 shares of common stock for issuance under the 2017 Plan. On May 24, 2022, we amended and restated the 2017 Plan, which among other things, increased the number of shares reserved for issuance under the 2017 Plan by 840,000 shares, thus bringing the total number of reserved shares to 2,590,000. As of June 30, 2022, there were 1,176,507 shares available for future grant under the 2017 Plan.</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share-based compensation expense:</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680" w:type="dxa"/>
            <w:vAlign w:val="bottom"/>
          </w:tcPr>
          <w:p>
            <w:pPr>
              <w:spacing w:after="0"/>
              <w:rPr>
                <w:sz w:val="15"/>
                <w:szCs w:val="15"/>
                <w:color w:val="auto"/>
              </w:rPr>
            </w:pPr>
          </w:p>
        </w:tc>
        <w:tc>
          <w:tcPr>
            <w:tcW w:w="2200" w:type="dxa"/>
            <w:vAlign w:val="bottom"/>
            <w:gridSpan w:val="4"/>
          </w:tcPr>
          <w:p>
            <w:pPr>
              <w:jc w:val="right"/>
              <w:ind w:right="136"/>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4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420" w:type="dxa"/>
            <w:vAlign w:val="bottom"/>
            <w:gridSpan w:val="5"/>
          </w:tcPr>
          <w:p>
            <w:pPr>
              <w:jc w:val="right"/>
              <w:ind w:right="820"/>
              <w:spacing w:after="0"/>
              <w:rPr>
                <w:sz w:val="20"/>
                <w:szCs w:val="20"/>
                <w:color w:val="auto"/>
              </w:rPr>
            </w:pPr>
            <w:r>
              <w:rPr>
                <w:rFonts w:ascii="Times New Roman" w:cs="Times New Roman" w:eastAsia="Times New Roman" w:hAnsi="Times New Roman"/>
                <w:sz w:val="14"/>
                <w:szCs w:val="14"/>
                <w:b w:val="1"/>
                <w:bCs w:val="1"/>
                <w:color w:val="auto"/>
              </w:rPr>
              <w:t>Six Months Ended</w:t>
            </w:r>
          </w:p>
        </w:tc>
      </w:tr>
      <w:tr>
        <w:trPr>
          <w:trHeight w:val="187"/>
        </w:trPr>
        <w:tc>
          <w:tcPr>
            <w:tcW w:w="5680" w:type="dxa"/>
            <w:vAlign w:val="bottom"/>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480" w:type="dxa"/>
            <w:vAlign w:val="bottom"/>
            <w:tcBorders>
              <w:bottom w:val="single" w:sz="8" w:color="auto"/>
            </w:tcBorders>
            <w:gridSpan w:val="3"/>
          </w:tcPr>
          <w:p>
            <w:pPr>
              <w:jc w:val="right"/>
              <w:ind w:right="536"/>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46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56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2022</w:t>
            </w:r>
          </w:p>
        </w:tc>
        <w:tc>
          <w:tcPr>
            <w:tcW w:w="420" w:type="dxa"/>
            <w:vAlign w:val="bottom"/>
            <w:tcBorders>
              <w:bottom w:val="single" w:sz="8" w:color="auto"/>
            </w:tcBorders>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46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31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9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56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Performance-based restricted stock units</w:t>
            </w:r>
          </w:p>
        </w:tc>
        <w:tc>
          <w:tcPr>
            <w:tcW w:w="720" w:type="dxa"/>
            <w:vAlign w:val="bottom"/>
            <w:shd w:val="clear" w:color="auto" w:fill="CFF0FC"/>
          </w:tcPr>
          <w:p>
            <w:pPr>
              <w:jc w:val="right"/>
              <w:ind w:right="539"/>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705</w:t>
            </w:r>
          </w:p>
        </w:tc>
        <w:tc>
          <w:tcPr>
            <w:tcW w:w="260" w:type="dxa"/>
            <w:vAlign w:val="bottom"/>
            <w:shd w:val="clear" w:color="auto" w:fill="CFF0FC"/>
          </w:tcPr>
          <w:p>
            <w:pPr>
              <w:spacing w:after="0"/>
              <w:rPr>
                <w:sz w:val="18"/>
                <w:szCs w:val="18"/>
                <w:color w:val="auto"/>
              </w:rPr>
            </w:pPr>
          </w:p>
        </w:tc>
        <w:tc>
          <w:tcPr>
            <w:tcW w:w="800" w:type="dxa"/>
            <w:vAlign w:val="bottom"/>
            <w:shd w:val="clear" w:color="auto" w:fill="CFF0FC"/>
          </w:tcPr>
          <w:p>
            <w:pPr>
              <w:jc w:val="right"/>
              <w:ind w:right="616"/>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719</w:t>
            </w:r>
          </w:p>
        </w:tc>
        <w:tc>
          <w:tcPr>
            <w:tcW w:w="24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606</w:t>
            </w:r>
          </w:p>
        </w:tc>
        <w:tc>
          <w:tcPr>
            <w:tcW w:w="100" w:type="dxa"/>
            <w:vAlign w:val="bottom"/>
            <w:shd w:val="clear" w:color="auto" w:fill="CFF0FC"/>
          </w:tcPr>
          <w:p>
            <w:pPr>
              <w:spacing w:after="0"/>
              <w:rPr>
                <w:sz w:val="18"/>
                <w:szCs w:val="18"/>
                <w:color w:val="auto"/>
              </w:rPr>
            </w:pPr>
          </w:p>
        </w:tc>
      </w:tr>
      <w:tr>
        <w:trPr>
          <w:trHeight w:val="216"/>
        </w:trPr>
        <w:tc>
          <w:tcPr>
            <w:tcW w:w="56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Restricted stock awards and restricted stock units</w:t>
            </w:r>
          </w:p>
        </w:tc>
        <w:tc>
          <w:tcPr>
            <w:tcW w:w="7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3"/>
              </w:rPr>
              <w:t>1,787</w:t>
            </w:r>
          </w:p>
        </w:tc>
        <w:tc>
          <w:tcPr>
            <w:tcW w:w="2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1,436</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3,349</w:t>
            </w: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2,680</w:t>
            </w:r>
          </w:p>
        </w:tc>
        <w:tc>
          <w:tcPr>
            <w:tcW w:w="100" w:type="dxa"/>
            <w:vAlign w:val="bottom"/>
          </w:tcPr>
          <w:p>
            <w:pPr>
              <w:spacing w:after="0"/>
              <w:rPr>
                <w:sz w:val="18"/>
                <w:szCs w:val="18"/>
                <w:color w:val="auto"/>
              </w:rPr>
            </w:pPr>
          </w:p>
        </w:tc>
      </w:tr>
      <w:tr>
        <w:trPr>
          <w:trHeight w:val="216"/>
        </w:trPr>
        <w:tc>
          <w:tcPr>
            <w:tcW w:w="56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Stock options</w:t>
            </w:r>
          </w:p>
        </w:tc>
        <w:tc>
          <w:tcPr>
            <w:tcW w:w="720" w:type="dxa"/>
            <w:vAlign w:val="bottom"/>
            <w:tcBorders>
              <w:bottom w:val="single" w:sz="8" w:color="auto"/>
            </w:tcBorders>
            <w:shd w:val="clear" w:color="auto" w:fill="CFF0FC"/>
          </w:tcPr>
          <w:p>
            <w:pPr>
              <w:spacing w:after="0"/>
              <w:rPr>
                <w:sz w:val="18"/>
                <w:szCs w:val="18"/>
                <w:color w:val="auto"/>
              </w:rPr>
            </w:pPr>
          </w:p>
        </w:tc>
        <w:tc>
          <w:tcPr>
            <w:tcW w:w="4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811</w:t>
            </w:r>
          </w:p>
        </w:tc>
        <w:tc>
          <w:tcPr>
            <w:tcW w:w="260" w:type="dxa"/>
            <w:vAlign w:val="bottom"/>
            <w:tcBorders>
              <w:bottom w:val="single" w:sz="8" w:color="CFF0FC"/>
            </w:tcBorders>
            <w:shd w:val="clear" w:color="auto" w:fill="CFF0FC"/>
          </w:tcPr>
          <w:p>
            <w:pPr>
              <w:spacing w:after="0"/>
              <w:rPr>
                <w:sz w:val="18"/>
                <w:szCs w:val="18"/>
                <w:color w:val="auto"/>
              </w:rPr>
            </w:pPr>
          </w:p>
        </w:tc>
        <w:tc>
          <w:tcPr>
            <w:tcW w:w="800" w:type="dxa"/>
            <w:vAlign w:val="bottom"/>
            <w:tcBorders>
              <w:bottom w:val="single" w:sz="8" w:color="auto"/>
            </w:tcBorders>
            <w:shd w:val="clear" w:color="auto" w:fill="CFF0FC"/>
          </w:tcPr>
          <w:p>
            <w:pPr>
              <w:spacing w:after="0"/>
              <w:rPr>
                <w:sz w:val="18"/>
                <w:szCs w:val="18"/>
                <w:color w:val="auto"/>
              </w:rPr>
            </w:pPr>
          </w:p>
        </w:tc>
        <w:tc>
          <w:tcPr>
            <w:tcW w:w="4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551</w:t>
            </w:r>
          </w:p>
        </w:tc>
        <w:tc>
          <w:tcPr>
            <w:tcW w:w="2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1,401</w:t>
            </w:r>
          </w:p>
        </w:tc>
        <w:tc>
          <w:tcPr>
            <w:tcW w:w="24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930</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6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Share-based compensation expense before income tax</w:t>
            </w:r>
          </w:p>
        </w:tc>
        <w:tc>
          <w:tcPr>
            <w:tcW w:w="72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3"/>
              </w:rPr>
              <w:t>3,303</w:t>
            </w:r>
          </w:p>
        </w:tc>
        <w:tc>
          <w:tcPr>
            <w:tcW w:w="2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2,453</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5,469</w:t>
            </w:r>
          </w:p>
        </w:tc>
        <w:tc>
          <w:tcPr>
            <w:tcW w:w="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4,216</w:t>
            </w:r>
          </w:p>
        </w:tc>
        <w:tc>
          <w:tcPr>
            <w:tcW w:w="100" w:type="dxa"/>
            <w:vAlign w:val="bottom"/>
          </w:tcPr>
          <w:p>
            <w:pPr>
              <w:spacing w:after="0"/>
              <w:rPr>
                <w:sz w:val="18"/>
                <w:szCs w:val="18"/>
                <w:color w:val="auto"/>
              </w:rPr>
            </w:pPr>
          </w:p>
        </w:tc>
      </w:tr>
      <w:tr>
        <w:trPr>
          <w:trHeight w:val="216"/>
        </w:trPr>
        <w:tc>
          <w:tcPr>
            <w:tcW w:w="5680" w:type="dxa"/>
            <w:vAlign w:val="bottom"/>
            <w:shd w:val="clear" w:color="auto" w:fill="CFF0FC"/>
          </w:tcPr>
          <w:p>
            <w:pPr>
              <w:ind w:left="20"/>
              <w:spacing w:after="0" w:line="216" w:lineRule="exact"/>
              <w:rPr>
                <w:sz w:val="20"/>
                <w:szCs w:val="20"/>
                <w:color w:val="auto"/>
              </w:rPr>
            </w:pPr>
            <w:r>
              <w:rPr>
                <w:rFonts w:ascii="Times New Roman" w:cs="Times New Roman" w:eastAsia="Times New Roman" w:hAnsi="Times New Roman"/>
                <w:sz w:val="18"/>
                <w:szCs w:val="18"/>
                <w:color w:val="auto"/>
              </w:rPr>
              <w:t>Income tax benefit</w:t>
            </w:r>
            <w:r>
              <w:rPr>
                <w:rFonts w:ascii="Times New Roman" w:cs="Times New Roman" w:eastAsia="Times New Roman" w:hAnsi="Times New Roman"/>
                <w:sz w:val="24"/>
                <w:szCs w:val="24"/>
                <w:color w:val="auto"/>
                <w:vertAlign w:val="superscript"/>
              </w:rPr>
              <w:t>(1)</w:t>
            </w:r>
          </w:p>
        </w:tc>
        <w:tc>
          <w:tcPr>
            <w:tcW w:w="720" w:type="dxa"/>
            <w:vAlign w:val="bottom"/>
            <w:shd w:val="clear" w:color="auto" w:fill="CFF0FC"/>
          </w:tcPr>
          <w:p>
            <w:pPr>
              <w:spacing w:after="0"/>
              <w:rPr>
                <w:sz w:val="18"/>
                <w:szCs w:val="18"/>
                <w:color w:val="auto"/>
              </w:rPr>
            </w:pPr>
          </w:p>
        </w:tc>
        <w:tc>
          <w:tcPr>
            <w:tcW w:w="68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(30 )</w:t>
            </w:r>
          </w:p>
        </w:tc>
        <w:tc>
          <w:tcPr>
            <w:tcW w:w="800" w:type="dxa"/>
            <w:vAlign w:val="bottom"/>
            <w:shd w:val="clear" w:color="auto" w:fill="CFF0FC"/>
          </w:tcPr>
          <w:p>
            <w:pPr>
              <w:spacing w:after="0"/>
              <w:rPr>
                <w:sz w:val="18"/>
                <w:szCs w:val="18"/>
                <w:color w:val="auto"/>
              </w:rPr>
            </w:pPr>
          </w:p>
        </w:tc>
        <w:tc>
          <w:tcPr>
            <w:tcW w:w="70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(28 )</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(47 )</w:t>
            </w:r>
          </w:p>
        </w:tc>
        <w:tc>
          <w:tcPr>
            <w:tcW w:w="34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(55 )</w:t>
            </w:r>
          </w:p>
        </w:tc>
      </w:tr>
      <w:tr>
        <w:trPr>
          <w:trHeight w:val="209"/>
        </w:trPr>
        <w:tc>
          <w:tcPr>
            <w:tcW w:w="568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Share-based compensation expense, net of income tax</w:t>
            </w:r>
          </w:p>
        </w:tc>
        <w:tc>
          <w:tcPr>
            <w:tcW w:w="720" w:type="dxa"/>
            <w:vAlign w:val="bottom"/>
            <w:tcBorders>
              <w:top w:val="single" w:sz="8" w:color="auto"/>
              <w:bottom w:val="single" w:sz="8" w:color="auto"/>
            </w:tcBorders>
          </w:tcPr>
          <w:p>
            <w:pPr>
              <w:jc w:val="right"/>
              <w:ind w:right="539"/>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3"/>
              </w:rPr>
              <w:t>3,273</w:t>
            </w:r>
          </w:p>
        </w:tc>
        <w:tc>
          <w:tcPr>
            <w:tcW w:w="260" w:type="dxa"/>
            <w:vAlign w:val="bottom"/>
            <w:tcBorders>
              <w:top w:val="single" w:sz="8" w:color="CFF0FC"/>
            </w:tcBorders>
          </w:tcPr>
          <w:p>
            <w:pPr>
              <w:spacing w:after="0"/>
              <w:rPr>
                <w:sz w:val="18"/>
                <w:szCs w:val="18"/>
                <w:color w:val="auto"/>
              </w:rPr>
            </w:pPr>
          </w:p>
        </w:tc>
        <w:tc>
          <w:tcPr>
            <w:tcW w:w="800" w:type="dxa"/>
            <w:vAlign w:val="bottom"/>
            <w:tcBorders>
              <w:top w:val="single" w:sz="8" w:color="auto"/>
              <w:bottom w:val="single" w:sz="8" w:color="auto"/>
            </w:tcBorders>
          </w:tcPr>
          <w:p>
            <w:pPr>
              <w:jc w:val="right"/>
              <w:ind w:right="616"/>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2,425</w:t>
            </w:r>
          </w:p>
        </w:tc>
        <w:tc>
          <w:tcPr>
            <w:tcW w:w="240" w:type="dxa"/>
            <w:vAlign w:val="bottom"/>
            <w:tcBorders>
              <w:top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5,422</w:t>
            </w:r>
          </w:p>
        </w:tc>
        <w:tc>
          <w:tcPr>
            <w:tcW w:w="240" w:type="dxa"/>
            <w:vAlign w:val="bottom"/>
            <w:tcBorders>
              <w:top w:val="single" w:sz="8" w:color="CFF0FC"/>
            </w:tcBorders>
          </w:tcPr>
          <w:p>
            <w:pPr>
              <w:spacing w:after="0"/>
              <w:rPr>
                <w:sz w:val="18"/>
                <w:szCs w:val="18"/>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4,161</w:t>
            </w:r>
          </w:p>
        </w:tc>
        <w:tc>
          <w:tcPr>
            <w:tcW w:w="100" w:type="dxa"/>
            <w:vAlign w:val="bottom"/>
            <w:tcBorders>
              <w:top w:val="single" w:sz="8" w:color="CFF0FC"/>
            </w:tcBorders>
          </w:tcPr>
          <w:p>
            <w:pPr>
              <w:spacing w:after="0"/>
              <w:rPr>
                <w:sz w:val="18"/>
                <w:szCs w:val="18"/>
                <w:color w:val="auto"/>
              </w:rPr>
            </w:pPr>
          </w:p>
        </w:tc>
      </w:tr>
      <w:tr>
        <w:trPr>
          <w:trHeight w:val="20"/>
        </w:trPr>
        <w:tc>
          <w:tcPr>
            <w:tcW w:w="568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4328795</wp:posOffset>
            </wp:positionH>
            <wp:positionV relativeFrom="paragraph">
              <wp:posOffset>-453390</wp:posOffset>
            </wp:positionV>
            <wp:extent cx="76835" cy="825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-453390</wp:posOffset>
            </wp:positionV>
            <wp:extent cx="68580" cy="825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-453390</wp:posOffset>
            </wp:positionV>
            <wp:extent cx="68580" cy="825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-453390</wp:posOffset>
            </wp:positionV>
            <wp:extent cx="68580" cy="825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-170815</wp:posOffset>
            </wp:positionV>
            <wp:extent cx="76835" cy="825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5296535</wp:posOffset>
            </wp:positionH>
            <wp:positionV relativeFrom="paragraph">
              <wp:posOffset>-170815</wp:posOffset>
            </wp:positionV>
            <wp:extent cx="68580" cy="825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-170815</wp:posOffset>
            </wp:positionV>
            <wp:extent cx="68580" cy="825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ind w:left="5540" w:right="1660" w:hanging="5532"/>
        <w:spacing w:after="0" w:line="451" w:lineRule="auto"/>
        <w:tabs>
          <w:tab w:leader="none" w:pos="388" w:val="left"/>
        </w:tabs>
        <w:numPr>
          <w:ilvl w:val="0"/>
          <w:numId w:val="5"/>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The 2022 and 2021 income tax benefit amount primarily reflects the tax benefit associated with our Canadian-based employees.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-106045</wp:posOffset>
            </wp:positionV>
            <wp:extent cx="7157720" cy="425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5"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color w:val="auto"/>
        </w:rPr>
        <w:t xml:space="preserve">Note 4. </w:t>
      </w:r>
      <w:r>
        <w:rPr>
          <w:rFonts w:ascii="Times New Roman" w:cs="Times New Roman" w:eastAsia="Times New Roman" w:hAnsi="Times New Roman"/>
          <w:sz w:val="18"/>
          <w:szCs w:val="18"/>
          <w:b w:val="1"/>
          <w:bCs w:val="1"/>
          <w:u w:val="single" w:color="auto"/>
          <w:color w:val="auto"/>
        </w:rPr>
        <w:t>Acquisitions</w:t>
      </w:r>
    </w:p>
    <w:p>
      <w:pPr>
        <w:spacing w:after="0" w:line="1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2022 Acquisition</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Glacier Raft Company</w:t>
      </w:r>
    </w:p>
    <w:p>
      <w:pPr>
        <w:spacing w:after="0" w:line="11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On April 6, 2022, we acquired the Glacier Raft Company, which provides guided river rafting trips operating in Pursuit’s West Glacier, Montana operations. The Glacier Raft Company also owns 13 log cabins, a lodge, and a wedding venue located on 50 acres with views into Glacier National Park. The purchase price was $26.5 million in cash, subject to certain adjustments. This acquisition was funded via cash on hand of approximately $11.5 million and borrowings under our revolving credit facility of $15.0 million.</w:t>
      </w:r>
    </w:p>
    <w:p>
      <w:pPr>
        <w:spacing w:after="0" w:line="122"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The following table summarizes the preliminary allocation of the fair value of the assets acquired and liabilities assumed at the date of acquisition. Due to the recent timing of the acquisition, the purchase price allocation is not yet finalized and is subject to change within the measurement period (up to one year from the acquisition date).</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92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7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9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Purchase price paid as:</w:t>
            </w:r>
          </w:p>
        </w:tc>
        <w:tc>
          <w:tcPr>
            <w:tcW w:w="740" w:type="dxa"/>
            <w:vAlign w:val="bottom"/>
            <w:shd w:val="clear" w:color="auto" w:fill="CFF0FC"/>
          </w:tcPr>
          <w:p>
            <w:pPr>
              <w:spacing w:after="0"/>
              <w:rPr>
                <w:sz w:val="18"/>
                <w:szCs w:val="18"/>
                <w:color w:val="auto"/>
              </w:rPr>
            </w:pPr>
          </w:p>
        </w:tc>
        <w:tc>
          <w:tcPr>
            <w:tcW w:w="11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Cash</w:t>
            </w:r>
          </w:p>
        </w:tc>
        <w:tc>
          <w:tcPr>
            <w:tcW w:w="740" w:type="dxa"/>
            <w:vAlign w:val="bottom"/>
          </w:tcPr>
          <w:p>
            <w:pPr>
              <w:jc w:val="right"/>
              <w:ind w:right="55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26,507</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Working capital adjustment</w:t>
            </w:r>
          </w:p>
        </w:tc>
        <w:tc>
          <w:tcPr>
            <w:tcW w:w="74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(961 )</w:t>
            </w:r>
          </w:p>
        </w:tc>
      </w:tr>
      <w:tr>
        <w:trPr>
          <w:trHeight w:val="216"/>
        </w:trPr>
        <w:tc>
          <w:tcPr>
            <w:tcW w:w="9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Purchase price adjustment</w:t>
            </w:r>
          </w:p>
        </w:tc>
        <w:tc>
          <w:tcPr>
            <w:tcW w:w="7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Cash acquired</w:t>
            </w:r>
          </w:p>
        </w:tc>
        <w:tc>
          <w:tcPr>
            <w:tcW w:w="74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(177 )</w:t>
            </w:r>
          </w:p>
        </w:tc>
      </w:tr>
      <w:tr>
        <w:trPr>
          <w:trHeight w:val="209"/>
        </w:trPr>
        <w:tc>
          <w:tcPr>
            <w:tcW w:w="9240" w:type="dxa"/>
            <w:vAlign w:val="bottom"/>
            <w:tcBorders>
              <w:top w:val="single" w:sz="8" w:color="CFF0FC"/>
            </w:tcBorders>
          </w:tcPr>
          <w:p>
            <w:pPr>
              <w:ind w:left="300"/>
              <w:spacing w:after="0"/>
              <w:rPr>
                <w:sz w:val="20"/>
                <w:szCs w:val="20"/>
                <w:color w:val="auto"/>
              </w:rPr>
            </w:pPr>
            <w:r>
              <w:rPr>
                <w:rFonts w:ascii="Times New Roman" w:cs="Times New Roman" w:eastAsia="Times New Roman" w:hAnsi="Times New Roman"/>
                <w:sz w:val="18"/>
                <w:szCs w:val="18"/>
                <w:b w:val="1"/>
                <w:bCs w:val="1"/>
                <w:color w:val="auto"/>
              </w:rPr>
              <w:t>Purchase price, net of cash acquired</w:t>
            </w:r>
          </w:p>
        </w:tc>
        <w:tc>
          <w:tcPr>
            <w:tcW w:w="7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25,494</w:t>
            </w:r>
          </w:p>
        </w:tc>
        <w:tc>
          <w:tcPr>
            <w:tcW w:w="100" w:type="dxa"/>
            <w:vAlign w:val="bottom"/>
            <w:tcBorders>
              <w:top w:val="single" w:sz="8" w:color="CFF0FC"/>
            </w:tcBorders>
          </w:tcPr>
          <w:p>
            <w:pPr>
              <w:spacing w:after="0"/>
              <w:rPr>
                <w:sz w:val="18"/>
                <w:szCs w:val="18"/>
                <w:color w:val="auto"/>
              </w:rPr>
            </w:pPr>
          </w:p>
        </w:tc>
      </w:tr>
      <w:tr>
        <w:trPr>
          <w:trHeight w:val="135"/>
        </w:trPr>
        <w:tc>
          <w:tcPr>
            <w:tcW w:w="924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16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r>
      <w:tr>
        <w:trPr>
          <w:trHeight w:val="216"/>
        </w:trPr>
        <w:tc>
          <w:tcPr>
            <w:tcW w:w="9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Fair value of net assets acquired:</w:t>
            </w:r>
          </w:p>
        </w:tc>
        <w:tc>
          <w:tcPr>
            <w:tcW w:w="7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Inventory</w:t>
            </w:r>
          </w:p>
        </w:tc>
        <w:tc>
          <w:tcPr>
            <w:tcW w:w="74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370</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Prepaid expenses and other</w:t>
            </w:r>
          </w:p>
        </w:tc>
        <w:tc>
          <w:tcPr>
            <w:tcW w:w="7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Property and equipment</w:t>
            </w:r>
          </w:p>
        </w:tc>
        <w:tc>
          <w:tcPr>
            <w:tcW w:w="74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6,487</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Intangible assets</w:t>
            </w:r>
          </w:p>
        </w:tc>
        <w:tc>
          <w:tcPr>
            <w:tcW w:w="7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3,400</w:t>
            </w:r>
          </w:p>
        </w:tc>
        <w:tc>
          <w:tcPr>
            <w:tcW w:w="100" w:type="dxa"/>
            <w:vAlign w:val="bottom"/>
          </w:tcPr>
          <w:p>
            <w:pPr>
              <w:spacing w:after="0"/>
              <w:rPr>
                <w:sz w:val="18"/>
                <w:szCs w:val="18"/>
                <w:color w:val="auto"/>
              </w:rPr>
            </w:pPr>
          </w:p>
        </w:tc>
      </w:tr>
      <w:tr>
        <w:trPr>
          <w:trHeight w:val="209"/>
        </w:trPr>
        <w:tc>
          <w:tcPr>
            <w:tcW w:w="9240" w:type="dxa"/>
            <w:vAlign w:val="bottom"/>
            <w:tcBorders>
              <w:bottom w:val="single" w:sz="8" w:color="CFF0FC"/>
            </w:tcBorders>
            <w:shd w:val="clear" w:color="auto" w:fill="CFF0FC"/>
          </w:tcPr>
          <w:p>
            <w:pPr>
              <w:ind w:left="300"/>
              <w:spacing w:after="0"/>
              <w:rPr>
                <w:sz w:val="20"/>
                <w:szCs w:val="20"/>
                <w:color w:val="auto"/>
              </w:rPr>
            </w:pPr>
            <w:r>
              <w:rPr>
                <w:rFonts w:ascii="Times New Roman" w:cs="Times New Roman" w:eastAsia="Times New Roman" w:hAnsi="Times New Roman"/>
                <w:sz w:val="18"/>
                <w:szCs w:val="18"/>
                <w:b w:val="1"/>
                <w:bCs w:val="1"/>
                <w:color w:val="auto"/>
              </w:rPr>
              <w:t>Total assets acquired</w:t>
            </w:r>
          </w:p>
        </w:tc>
        <w:tc>
          <w:tcPr>
            <w:tcW w:w="740" w:type="dxa"/>
            <w:vAlign w:val="bottom"/>
            <w:tcBorders>
              <w:bottom w:val="single" w:sz="8" w:color="auto"/>
            </w:tcBorders>
            <w:shd w:val="clear" w:color="auto" w:fill="CFF0FC"/>
          </w:tcPr>
          <w:p>
            <w:pPr>
              <w:spacing w:after="0"/>
              <w:rPr>
                <w:sz w:val="18"/>
                <w:szCs w:val="18"/>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10,314</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92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Customer deposits</w:t>
            </w:r>
          </w:p>
        </w:tc>
        <w:tc>
          <w:tcPr>
            <w:tcW w:w="74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1,575</w:t>
            </w:r>
          </w:p>
        </w:tc>
        <w:tc>
          <w:tcPr>
            <w:tcW w:w="100" w:type="dxa"/>
            <w:vAlign w:val="bottom"/>
          </w:tcPr>
          <w:p>
            <w:pPr>
              <w:spacing w:after="0"/>
              <w:rPr>
                <w:sz w:val="18"/>
                <w:szCs w:val="18"/>
                <w:color w:val="auto"/>
              </w:rPr>
            </w:pPr>
          </w:p>
        </w:tc>
      </w:tr>
      <w:tr>
        <w:trPr>
          <w:trHeight w:val="216"/>
        </w:trPr>
        <w:tc>
          <w:tcPr>
            <w:tcW w:w="924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Other current liabilities</w:t>
            </w:r>
          </w:p>
        </w:tc>
        <w:tc>
          <w:tcPr>
            <w:tcW w:w="740" w:type="dxa"/>
            <w:vAlign w:val="bottom"/>
            <w:tcBorders>
              <w:bottom w:val="single" w:sz="8" w:color="auto"/>
            </w:tcBorders>
            <w:shd w:val="clear" w:color="auto" w:fill="CFF0FC"/>
          </w:tcPr>
          <w:p>
            <w:pPr>
              <w:spacing w:after="0"/>
              <w:rPr>
                <w:sz w:val="18"/>
                <w:szCs w:val="18"/>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9240" w:type="dxa"/>
            <w:vAlign w:val="bottom"/>
          </w:tcPr>
          <w:p>
            <w:pPr>
              <w:ind w:left="300"/>
              <w:spacing w:after="0"/>
              <w:rPr>
                <w:sz w:val="20"/>
                <w:szCs w:val="20"/>
                <w:color w:val="auto"/>
              </w:rPr>
            </w:pPr>
            <w:r>
              <w:rPr>
                <w:rFonts w:ascii="Times New Roman" w:cs="Times New Roman" w:eastAsia="Times New Roman" w:hAnsi="Times New Roman"/>
                <w:sz w:val="18"/>
                <w:szCs w:val="18"/>
                <w:b w:val="1"/>
                <w:bCs w:val="1"/>
                <w:color w:val="auto"/>
              </w:rPr>
              <w:t>Total liabilities assumed</w:t>
            </w:r>
          </w:p>
        </w:tc>
        <w:tc>
          <w:tcPr>
            <w:tcW w:w="7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1,607</w:t>
            </w:r>
          </w:p>
        </w:tc>
        <w:tc>
          <w:tcPr>
            <w:tcW w:w="100" w:type="dxa"/>
            <w:vAlign w:val="bottom"/>
          </w:tcPr>
          <w:p>
            <w:pPr>
              <w:spacing w:after="0"/>
              <w:rPr>
                <w:sz w:val="18"/>
                <w:szCs w:val="18"/>
                <w:color w:val="auto"/>
              </w:rPr>
            </w:pPr>
          </w:p>
        </w:tc>
      </w:tr>
      <w:tr>
        <w:trPr>
          <w:trHeight w:val="209"/>
        </w:trPr>
        <w:tc>
          <w:tcPr>
            <w:tcW w:w="9240" w:type="dxa"/>
            <w:vAlign w:val="bottom"/>
            <w:tcBorders>
              <w:bottom w:val="single" w:sz="8" w:color="CFF0FC"/>
            </w:tcBorders>
            <w:shd w:val="clear" w:color="auto" w:fill="CFF0FC"/>
          </w:tcPr>
          <w:p>
            <w:pPr>
              <w:ind w:left="380"/>
              <w:spacing w:after="0"/>
              <w:rPr>
                <w:sz w:val="20"/>
                <w:szCs w:val="20"/>
                <w:color w:val="auto"/>
              </w:rPr>
            </w:pPr>
            <w:r>
              <w:rPr>
                <w:rFonts w:ascii="Times New Roman" w:cs="Times New Roman" w:eastAsia="Times New Roman" w:hAnsi="Times New Roman"/>
                <w:sz w:val="18"/>
                <w:szCs w:val="18"/>
                <w:b w:val="1"/>
                <w:bCs w:val="1"/>
                <w:color w:val="auto"/>
              </w:rPr>
              <w:t>Total fair value of net assets acquired</w:t>
            </w:r>
          </w:p>
        </w:tc>
        <w:tc>
          <w:tcPr>
            <w:tcW w:w="740" w:type="dxa"/>
            <w:vAlign w:val="bottom"/>
            <w:tcBorders>
              <w:bottom w:val="single" w:sz="8" w:color="auto"/>
            </w:tcBorders>
            <w:shd w:val="clear" w:color="auto" w:fill="CFF0FC"/>
          </w:tcPr>
          <w:p>
            <w:pPr>
              <w:spacing w:after="0"/>
              <w:rPr>
                <w:sz w:val="18"/>
                <w:szCs w:val="18"/>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8,707</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92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Excess purchase price over fair value of net assets acquired (“goodwill”)</w:t>
            </w:r>
          </w:p>
        </w:tc>
        <w:tc>
          <w:tcPr>
            <w:tcW w:w="740" w:type="dxa"/>
            <w:vAlign w:val="bottom"/>
            <w:tcBorders>
              <w:bottom w:val="single" w:sz="8" w:color="auto"/>
            </w:tcBorders>
          </w:tcPr>
          <w:p>
            <w:pPr>
              <w:jc w:val="right"/>
              <w:ind w:right="550"/>
              <w:spacing w:after="0"/>
              <w:rPr>
                <w:sz w:val="20"/>
                <w:szCs w:val="20"/>
                <w:color w:val="auto"/>
              </w:rPr>
            </w:pPr>
            <w:r>
              <w:rPr>
                <w:rFonts w:ascii="Times New Roman" w:cs="Times New Roman" w:eastAsia="Times New Roman" w:hAnsi="Times New Roman"/>
                <w:sz w:val="18"/>
                <w:szCs w:val="18"/>
                <w:color w:val="auto"/>
                <w:w w:val="88"/>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16,787</w:t>
            </w:r>
          </w:p>
        </w:tc>
        <w:tc>
          <w:tcPr>
            <w:tcW w:w="100" w:type="dxa"/>
            <w:vAlign w:val="bottom"/>
          </w:tcPr>
          <w:p>
            <w:pPr>
              <w:spacing w:after="0"/>
              <w:rPr>
                <w:sz w:val="18"/>
                <w:szCs w:val="18"/>
                <w:color w:val="auto"/>
              </w:rPr>
            </w:pPr>
          </w:p>
        </w:tc>
      </w:tr>
      <w:tr>
        <w:trPr>
          <w:trHeight w:val="20"/>
        </w:trPr>
        <w:tc>
          <w:tcPr>
            <w:tcW w:w="9240" w:type="dxa"/>
            <w:vAlign w:val="bottom"/>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-1805940</wp:posOffset>
            </wp:positionV>
            <wp:extent cx="68580" cy="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-744220</wp:posOffset>
            </wp:positionV>
            <wp:extent cx="68580" cy="825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-461645</wp:posOffset>
            </wp:positionV>
            <wp:extent cx="68580" cy="825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23"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Under the acquisition method of accounting, the purchase price is allocated to the tangible and identifiable intangible assets acquired and liabilities assumed based on their estimated fair values. The excess purchase price over the fair value of net assets acquired was recorded as “Goodwill.” Goodwill is included in the Pursuit reportable segment. The primary factor that contributed to the purchase price resulting in the recognition of goodwill related to future growth opportunities when combined with our other businesses. Goodwill is deductible for tax purposes. We included these assets in the Condensed Consolidated Balance Sheets from the date of acquisition.</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Following are details of the purchase price allocated to the intangible assets acquired for the Glacier Raft Company:</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36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410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474"/>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60" w:type="dxa"/>
            <w:vAlign w:val="bottom"/>
          </w:tcPr>
          <w:p>
            <w:pPr>
              <w:spacing w:after="0"/>
              <w:rPr>
                <w:sz w:val="16"/>
                <w:szCs w:val="16"/>
                <w:color w:val="auto"/>
              </w:rPr>
            </w:pPr>
          </w:p>
        </w:tc>
        <w:tc>
          <w:tcPr>
            <w:tcW w:w="1660" w:type="dxa"/>
            <w:vAlign w:val="bottom"/>
            <w:tcBorders>
              <w:bottom w:val="single" w:sz="8" w:color="auto"/>
            </w:tcBorders>
          </w:tcPr>
          <w:p>
            <w:pPr>
              <w:jc w:val="right"/>
              <w:ind w:right="34"/>
              <w:spacing w:after="0"/>
              <w:rPr>
                <w:sz w:val="20"/>
                <w:szCs w:val="20"/>
                <w:color w:val="auto"/>
              </w:rPr>
            </w:pPr>
            <w:r>
              <w:rPr>
                <w:rFonts w:ascii="Times New Roman" w:cs="Times New Roman" w:eastAsia="Times New Roman" w:hAnsi="Times New Roman"/>
                <w:sz w:val="14"/>
                <w:szCs w:val="14"/>
                <w:b w:val="1"/>
                <w:bCs w:val="1"/>
                <w:color w:val="auto"/>
              </w:rPr>
              <w:t>Weighted Average Life</w:t>
            </w:r>
          </w:p>
        </w:tc>
        <w:tc>
          <w:tcPr>
            <w:tcW w:w="0" w:type="dxa"/>
            <w:vAlign w:val="bottom"/>
          </w:tcPr>
          <w:p>
            <w:pPr>
              <w:spacing w:after="0"/>
              <w:rPr>
                <w:sz w:val="1"/>
                <w:szCs w:val="1"/>
                <w:color w:val="auto"/>
              </w:rPr>
            </w:pPr>
          </w:p>
        </w:tc>
      </w:tr>
      <w:tr>
        <w:trPr>
          <w:trHeight w:val="209"/>
        </w:trPr>
        <w:tc>
          <w:tcPr>
            <w:tcW w:w="36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Customer relationships</w:t>
            </w:r>
          </w:p>
        </w:tc>
        <w:tc>
          <w:tcPr>
            <w:tcW w:w="410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1,800</w:t>
            </w:r>
          </w:p>
        </w:tc>
        <w:tc>
          <w:tcPr>
            <w:tcW w:w="260" w:type="dxa"/>
            <w:vAlign w:val="bottom"/>
            <w:shd w:val="clear" w:color="auto" w:fill="CFF0FC"/>
          </w:tcPr>
          <w:p>
            <w:pPr>
              <w:spacing w:after="0"/>
              <w:rPr>
                <w:sz w:val="18"/>
                <w:szCs w:val="18"/>
                <w:color w:val="auto"/>
              </w:rPr>
            </w:pPr>
          </w:p>
        </w:tc>
        <w:tc>
          <w:tcPr>
            <w:tcW w:w="16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 years</w:t>
            </w:r>
          </w:p>
        </w:tc>
        <w:tc>
          <w:tcPr>
            <w:tcW w:w="0" w:type="dxa"/>
            <w:vAlign w:val="bottom"/>
          </w:tcPr>
          <w:p>
            <w:pPr>
              <w:spacing w:after="0"/>
              <w:rPr>
                <w:sz w:val="1"/>
                <w:szCs w:val="1"/>
                <w:color w:val="auto"/>
              </w:rPr>
            </w:pPr>
          </w:p>
        </w:tc>
      </w:tr>
      <w:tr>
        <w:trPr>
          <w:trHeight w:val="216"/>
        </w:trPr>
        <w:tc>
          <w:tcPr>
            <w:tcW w:w="3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licenses</w:t>
            </w:r>
          </w:p>
        </w:tc>
        <w:tc>
          <w:tcPr>
            <w:tcW w:w="4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1,300</w:t>
            </w: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 years</w:t>
            </w:r>
          </w:p>
        </w:tc>
        <w:tc>
          <w:tcPr>
            <w:tcW w:w="0" w:type="dxa"/>
            <w:vAlign w:val="bottom"/>
          </w:tcPr>
          <w:p>
            <w:pPr>
              <w:spacing w:after="0"/>
              <w:rPr>
                <w:sz w:val="1"/>
                <w:szCs w:val="1"/>
                <w:color w:val="auto"/>
              </w:rPr>
            </w:pPr>
          </w:p>
        </w:tc>
      </w:tr>
      <w:tr>
        <w:trPr>
          <w:trHeight w:val="216"/>
        </w:trPr>
        <w:tc>
          <w:tcPr>
            <w:tcW w:w="36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Trade name</w:t>
            </w:r>
          </w:p>
        </w:tc>
        <w:tc>
          <w:tcPr>
            <w:tcW w:w="410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spacing w:after="0"/>
              <w:rPr>
                <w:sz w:val="18"/>
                <w:szCs w:val="18"/>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260" w:type="dxa"/>
            <w:vAlign w:val="bottom"/>
            <w:tcBorders>
              <w:bottom w:val="single" w:sz="8" w:color="CFF0FC"/>
            </w:tcBorders>
            <w:shd w:val="clear" w:color="auto" w:fill="CFF0FC"/>
          </w:tcPr>
          <w:p>
            <w:pPr>
              <w:spacing w:after="0"/>
              <w:rPr>
                <w:sz w:val="18"/>
                <w:szCs w:val="18"/>
                <w:color w:val="auto"/>
              </w:rPr>
            </w:pPr>
          </w:p>
        </w:tc>
        <w:tc>
          <w:tcPr>
            <w:tcW w:w="16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 years</w:t>
            </w:r>
          </w:p>
        </w:tc>
        <w:tc>
          <w:tcPr>
            <w:tcW w:w="0" w:type="dxa"/>
            <w:vAlign w:val="bottom"/>
          </w:tcPr>
          <w:p>
            <w:pPr>
              <w:spacing w:after="0"/>
              <w:rPr>
                <w:sz w:val="1"/>
                <w:szCs w:val="1"/>
                <w:color w:val="auto"/>
              </w:rPr>
            </w:pPr>
          </w:p>
        </w:tc>
      </w:tr>
      <w:tr>
        <w:trPr>
          <w:trHeight w:val="209"/>
        </w:trPr>
        <w:tc>
          <w:tcPr>
            <w:tcW w:w="36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Total</w:t>
            </w:r>
          </w:p>
        </w:tc>
        <w:tc>
          <w:tcPr>
            <w:tcW w:w="444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3,400</w:t>
            </w:r>
          </w:p>
        </w:tc>
        <w:tc>
          <w:tcPr>
            <w:tcW w:w="26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 years</w:t>
            </w:r>
          </w:p>
        </w:tc>
        <w:tc>
          <w:tcPr>
            <w:tcW w:w="0" w:type="dxa"/>
            <w:vAlign w:val="bottom"/>
          </w:tcPr>
          <w:p>
            <w:pPr>
              <w:spacing w:after="0"/>
              <w:rPr>
                <w:sz w:val="1"/>
                <w:szCs w:val="1"/>
                <w:color w:val="auto"/>
              </w:rPr>
            </w:pPr>
          </w:p>
        </w:tc>
      </w:tr>
      <w:tr>
        <w:trPr>
          <w:trHeight w:val="20"/>
        </w:trPr>
        <w:tc>
          <w:tcPr>
            <w:tcW w:w="3600" w:type="dxa"/>
            <w:vAlign w:val="bottom"/>
          </w:tcPr>
          <w:p>
            <w:pPr>
              <w:spacing w:after="0" w:line="20" w:lineRule="exact"/>
              <w:rPr>
                <w:sz w:val="1"/>
                <w:szCs w:val="1"/>
                <w:color w:val="auto"/>
              </w:rPr>
            </w:pPr>
          </w:p>
        </w:tc>
        <w:tc>
          <w:tcPr>
            <w:tcW w:w="4100" w:type="dxa"/>
            <w:vAlign w:val="bottom"/>
            <w:vMerge w:val="restart"/>
          </w:tcPr>
          <w:p>
            <w:pPr>
              <w:jc w:val="right"/>
              <w:ind w:right="1890"/>
              <w:spacing w:after="0"/>
              <w:rPr>
                <w:sz w:val="20"/>
                <w:szCs w:val="20"/>
                <w:color w:val="auto"/>
              </w:rPr>
            </w:pPr>
            <w:r>
              <w:rPr>
                <w:rFonts w:ascii="Times New Roman" w:cs="Times New Roman" w:eastAsia="Times New Roman" w:hAnsi="Times New Roman"/>
                <w:sz w:val="18"/>
                <w:szCs w:val="18"/>
                <w:color w:val="auto"/>
              </w:rPr>
              <w:t>13</w:t>
            </w: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4"/>
        </w:trPr>
        <w:tc>
          <w:tcPr>
            <w:tcW w:w="3600" w:type="dxa"/>
            <w:vAlign w:val="bottom"/>
          </w:tcPr>
          <w:p>
            <w:pPr>
              <w:spacing w:after="0"/>
              <w:rPr>
                <w:sz w:val="24"/>
                <w:szCs w:val="24"/>
                <w:color w:val="auto"/>
              </w:rPr>
            </w:pPr>
          </w:p>
        </w:tc>
        <w:tc>
          <w:tcPr>
            <w:tcW w:w="4100" w:type="dxa"/>
            <w:vAlign w:val="bottom"/>
            <w:vMerge w:val="continue"/>
          </w:tcPr>
          <w:p>
            <w:pPr>
              <w:spacing w:after="0"/>
              <w:rPr>
                <w:sz w:val="24"/>
                <w:szCs w:val="24"/>
                <w:color w:val="auto"/>
              </w:rPr>
            </w:pPr>
          </w:p>
        </w:tc>
        <w:tc>
          <w:tcPr>
            <w:tcW w:w="34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3600" w:type="dxa"/>
            <w:vAlign w:val="bottom"/>
            <w:tcBorders>
              <w:bottom w:val="single" w:sz="8" w:color="9A9A9A"/>
            </w:tcBorders>
          </w:tcPr>
          <w:p>
            <w:pPr>
              <w:spacing w:after="0"/>
              <w:rPr>
                <w:sz w:val="7"/>
                <w:szCs w:val="7"/>
                <w:color w:val="auto"/>
              </w:rPr>
            </w:pPr>
          </w:p>
        </w:tc>
        <w:tc>
          <w:tcPr>
            <w:tcW w:w="4100" w:type="dxa"/>
            <w:vAlign w:val="bottom"/>
            <w:tcBorders>
              <w:bottom w:val="single" w:sz="8" w:color="9A9A9A"/>
            </w:tcBorders>
          </w:tcPr>
          <w:p>
            <w:pPr>
              <w:spacing w:after="0"/>
              <w:rPr>
                <w:sz w:val="7"/>
                <w:szCs w:val="7"/>
                <w:color w:val="auto"/>
              </w:rPr>
            </w:pPr>
          </w:p>
        </w:tc>
        <w:tc>
          <w:tcPr>
            <w:tcW w:w="340" w:type="dxa"/>
            <w:vAlign w:val="bottom"/>
            <w:tcBorders>
              <w:bottom w:val="single" w:sz="8" w:color="9A9A9A"/>
            </w:tcBorders>
          </w:tcPr>
          <w:p>
            <w:pPr>
              <w:spacing w:after="0"/>
              <w:rPr>
                <w:sz w:val="7"/>
                <w:szCs w:val="7"/>
                <w:color w:val="auto"/>
              </w:rPr>
            </w:pPr>
          </w:p>
        </w:tc>
        <w:tc>
          <w:tcPr>
            <w:tcW w:w="128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1660" w:type="dxa"/>
            <w:vAlign w:val="bottom"/>
            <w:tcBorders>
              <w:bottom w:val="single" w:sz="8" w:color="9A9A9A"/>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5913120</wp:posOffset>
            </wp:positionH>
            <wp:positionV relativeFrom="paragraph">
              <wp:posOffset>-641350</wp:posOffset>
            </wp:positionV>
            <wp:extent cx="68580" cy="825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075" w:right="339" w:bottom="1440" w:gutter="0" w:footer="0" w:header="0"/>
        </w:sectPr>
      </w:pPr>
    </w:p>
    <w:bookmarkStart w:id="15" w:name="page16"/>
    <w:bookmarkEnd w:id="15"/>
    <w:p>
      <w:pPr>
        <w:jc w:val="both"/>
        <w:spacing w:after="0" w:line="281" w:lineRule="auto"/>
        <w:rPr>
          <w:sz w:val="20"/>
          <w:szCs w:val="20"/>
          <w:color w:val="auto"/>
        </w:rPr>
      </w:pPr>
      <w:r>
        <w:rPr>
          <w:rFonts w:ascii="Times New Roman" w:cs="Times New Roman" w:eastAsia="Times New Roman" w:hAnsi="Times New Roman"/>
          <w:sz w:val="18"/>
          <w:szCs w:val="18"/>
          <w:color w:val="auto"/>
        </w:rPr>
        <w:t>Transaction costs associated with the acquisition were $0.1 million during 2022, which are included in “Costs of services” in the Condensed Consolidated Statements of Operations.</w:t>
      </w:r>
    </w:p>
    <w:p>
      <w:pPr>
        <w:spacing w:after="0" w:line="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2021 Acquisition</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Golden Skybridge</w:t>
      </w:r>
    </w:p>
    <w:p>
      <w:pPr>
        <w:spacing w:after="0" w:line="11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On March 18, 2021, we acquired a 60% controlling interest in the Golden Skybridge attraction for total cash consideration of $15 million Canadian dollars (approximately $12 million U.S. dollars), of which $6 million Canadian dollars (approximately $4.8 million U.S. dollars) were primarily used to fund additional experiences. The Golden Skybridge opened in June 2021.</w:t>
      </w:r>
    </w:p>
    <w:p>
      <w:pPr>
        <w:spacing w:after="0" w:line="135"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The fair value of net assets acquired as of the acquisition date included $2.2 million U.S. dollars in property and equipment and $6.8 million U.S. dollars in noncontrolling interest. Under the acquisition method of accounting, the purchase price is allocated to the tangible and identifiable intangible assets acquired and liabilities assumed based on their estimated fair values. The excess purchase price over the fair value of net assets acquired of $11.8 million U.S. dollars was recorded as “Goodwill.” Goodwill is included in the Pursuit reportable segment. The primary factor that contributed to the purchase price resulting in the recognition of goodwill related to future growth opportunities when combined with our other businesses. Goodwill is not deductible for tax purposes. We included these assets in the Condensed Consolidated Balance Sheets from the date of acquisition.</w:t>
      </w:r>
    </w:p>
    <w:p>
      <w:pPr>
        <w:spacing w:after="0" w:line="131"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Transaction costs associated with the acquisition were $0.4 million U.S. dollars during 2021, which are included in “Costs of services” in the Condensed Consolidated Statements of Operations.</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5. </w:t>
      </w:r>
      <w:r>
        <w:rPr>
          <w:rFonts w:ascii="Times New Roman" w:cs="Times New Roman" w:eastAsia="Times New Roman" w:hAnsi="Times New Roman"/>
          <w:sz w:val="18"/>
          <w:szCs w:val="18"/>
          <w:b w:val="1"/>
          <w:bCs w:val="1"/>
          <w:u w:val="single" w:color="auto"/>
          <w:color w:val="auto"/>
        </w:rPr>
        <w:t>Inventories</w:t>
      </w:r>
    </w:p>
    <w:p>
      <w:pPr>
        <w:spacing w:after="0" w:line="107"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We state inventories, which consist primarily of exhibit design and construction materials and supplies, as well as retail inventory, at the lower of cost (first-in, first-out and specific identification methods) or net realizable value.</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inventories consisted of the following:</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6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2220" w:type="dxa"/>
            <w:vAlign w:val="bottom"/>
          </w:tcPr>
          <w:p>
            <w:pPr>
              <w:spacing w:after="0"/>
              <w:rPr>
                <w:sz w:val="15"/>
                <w:szCs w:val="15"/>
                <w:color w:val="auto"/>
              </w:rPr>
            </w:pPr>
          </w:p>
        </w:tc>
        <w:tc>
          <w:tcPr>
            <w:tcW w:w="32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40" w:type="dxa"/>
            <w:vAlign w:val="bottom"/>
          </w:tcPr>
          <w:p>
            <w:pPr>
              <w:jc w:val="center"/>
              <w:ind w:left="439"/>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5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60" w:type="dxa"/>
            <w:vAlign w:val="bottom"/>
          </w:tcPr>
          <w:p>
            <w:pPr>
              <w:jc w:val="center"/>
              <w:ind w:right="155"/>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46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4280" w:type="dxa"/>
            <w:vAlign w:val="bottom"/>
            <w:gridSpan w:val="3"/>
          </w:tcPr>
          <w:p>
            <w:pPr>
              <w:jc w:val="center"/>
              <w:ind w:left="3679"/>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5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tcPr>
          <w:p>
            <w:pPr>
              <w:jc w:val="center"/>
              <w:ind w:right="155"/>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446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Raw materials</w:t>
            </w:r>
          </w:p>
        </w:tc>
        <w:tc>
          <w:tcPr>
            <w:tcW w:w="32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040" w:type="dxa"/>
            <w:vAlign w:val="bottom"/>
            <w:tcBorders>
              <w:top w:val="single" w:sz="8" w:color="auto"/>
            </w:tcBorders>
            <w:shd w:val="clear" w:color="auto" w:fill="CFF0FC"/>
          </w:tcPr>
          <w:p>
            <w:pPr>
              <w:jc w:val="right"/>
              <w:ind w:right="859"/>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1,595</w:t>
            </w:r>
          </w:p>
        </w:tc>
        <w:tc>
          <w:tcPr>
            <w:tcW w:w="26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2,350</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Finished goods</w:t>
            </w:r>
          </w:p>
        </w:tc>
        <w:tc>
          <w:tcPr>
            <w:tcW w:w="3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13,345</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6,231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4460" w:type="dxa"/>
            <w:vAlign w:val="bottom"/>
            <w:tcBorders>
              <w:bottom w:val="single" w:sz="8" w:color="CFF0FC"/>
            </w:tcBorders>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Inventories</w:t>
            </w:r>
          </w:p>
        </w:tc>
        <w:tc>
          <w:tcPr>
            <w:tcW w:w="3200" w:type="dxa"/>
            <w:vAlign w:val="bottom"/>
            <w:tcBorders>
              <w:bottom w:val="single" w:sz="8" w:color="CFF0FC"/>
            </w:tcBorders>
            <w:shd w:val="clear" w:color="auto" w:fill="CFF0FC"/>
          </w:tcPr>
          <w:p>
            <w:pPr>
              <w:spacing w:after="0"/>
              <w:rPr>
                <w:sz w:val="21"/>
                <w:szCs w:val="21"/>
                <w:color w:val="auto"/>
              </w:rPr>
            </w:pPr>
          </w:p>
        </w:tc>
        <w:tc>
          <w:tcPr>
            <w:tcW w:w="40" w:type="dxa"/>
            <w:vAlign w:val="bottom"/>
            <w:tcBorders>
              <w:bottom w:val="single" w:sz="8" w:color="CFF0FC"/>
            </w:tcBorders>
            <w:shd w:val="clear" w:color="auto" w:fill="CFF0FC"/>
          </w:tcPr>
          <w:p>
            <w:pPr>
              <w:spacing w:after="0"/>
              <w:rPr>
                <w:sz w:val="21"/>
                <w:szCs w:val="21"/>
                <w:color w:val="auto"/>
              </w:rPr>
            </w:pPr>
          </w:p>
        </w:tc>
        <w:tc>
          <w:tcPr>
            <w:tcW w:w="1040" w:type="dxa"/>
            <w:vAlign w:val="bottom"/>
            <w:tcBorders>
              <w:bottom w:val="single" w:sz="8" w:color="auto"/>
            </w:tcBorders>
            <w:shd w:val="clear" w:color="auto" w:fill="CFF0FC"/>
          </w:tcPr>
          <w:p>
            <w:pPr>
              <w:jc w:val="right"/>
              <w:ind w:right="859"/>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6"/>
              </w:rPr>
              <w:t>14,940</w:t>
            </w:r>
          </w:p>
        </w:tc>
        <w:tc>
          <w:tcPr>
            <w:tcW w:w="260" w:type="dxa"/>
            <w:vAlign w:val="bottom"/>
            <w:tcBorders>
              <w:bottom w:val="single" w:sz="8" w:color="CFF0FC"/>
            </w:tcBorders>
            <w:shd w:val="clear" w:color="auto" w:fill="CFF0FC"/>
          </w:tcPr>
          <w:p>
            <w:pPr>
              <w:spacing w:after="0"/>
              <w:rPr>
                <w:sz w:val="21"/>
                <w:szCs w:val="21"/>
                <w:color w:val="auto"/>
              </w:rPr>
            </w:pPr>
          </w:p>
        </w:tc>
        <w:tc>
          <w:tcPr>
            <w:tcW w:w="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8,581</w:t>
            </w:r>
          </w:p>
        </w:tc>
        <w:tc>
          <w:tcPr>
            <w:tcW w:w="10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682"/>
        </w:trPr>
        <w:tc>
          <w:tcPr>
            <w:tcW w:w="446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Note 6. Other Current Assets</w:t>
            </w:r>
          </w:p>
        </w:tc>
        <w:tc>
          <w:tcPr>
            <w:tcW w:w="3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1640" w:type="dxa"/>
            <w:vAlign w:val="bottom"/>
            <w:shd w:val="clear" w:color="auto" w:fill="000000"/>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1"/>
        </w:trPr>
        <w:tc>
          <w:tcPr>
            <w:tcW w:w="446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current assets consisted of the following:</w:t>
            </w:r>
          </w:p>
        </w:tc>
        <w:tc>
          <w:tcPr>
            <w:tcW w:w="3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6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40" w:type="dxa"/>
            <w:vAlign w:val="bottom"/>
          </w:tcPr>
          <w:p>
            <w:pPr>
              <w:jc w:val="center"/>
              <w:ind w:left="399"/>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Pr>
          <w:p>
            <w:pPr>
              <w:jc w:val="center"/>
              <w:ind w:right="175"/>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446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4280" w:type="dxa"/>
            <w:vAlign w:val="bottom"/>
            <w:gridSpan w:val="3"/>
          </w:tcPr>
          <w:p>
            <w:pPr>
              <w:jc w:val="center"/>
              <w:ind w:left="3639"/>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5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360" w:type="dxa"/>
            <w:vAlign w:val="bottom"/>
          </w:tcPr>
          <w:p>
            <w:pPr>
              <w:jc w:val="center"/>
              <w:ind w:right="17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446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Restricted cash</w:t>
            </w:r>
          </w:p>
        </w:tc>
        <w:tc>
          <w:tcPr>
            <w:tcW w:w="3200" w:type="dxa"/>
            <w:vAlign w:val="bottom"/>
            <w:shd w:val="clear" w:color="auto" w:fill="CFF0FC"/>
          </w:tcPr>
          <w:p>
            <w:pPr>
              <w:spacing w:after="0"/>
              <w:rPr>
                <w:sz w:val="18"/>
                <w:szCs w:val="18"/>
                <w:color w:val="auto"/>
              </w:rPr>
            </w:pPr>
          </w:p>
        </w:tc>
        <w:tc>
          <w:tcPr>
            <w:tcW w:w="1080" w:type="dxa"/>
            <w:vAlign w:val="bottom"/>
            <w:tcBorders>
              <w:top w:val="single" w:sz="8" w:color="auto"/>
            </w:tcBorders>
            <w:gridSpan w:val="2"/>
            <w:shd w:val="clear" w:color="auto" w:fill="CFF0FC"/>
          </w:tcPr>
          <w:p>
            <w:pPr>
              <w:jc w:val="right"/>
              <w:ind w:right="879"/>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5,424</w:t>
            </w:r>
          </w:p>
        </w:tc>
        <w:tc>
          <w:tcPr>
            <w:tcW w:w="260" w:type="dxa"/>
            <w:vAlign w:val="bottom"/>
            <w:shd w:val="clear" w:color="auto" w:fill="CFF0FC"/>
          </w:tcPr>
          <w:p>
            <w:pPr>
              <w:spacing w:after="0"/>
              <w:rPr>
                <w:sz w:val="18"/>
                <w:szCs w:val="18"/>
                <w:color w:val="auto"/>
              </w:rPr>
            </w:pPr>
          </w:p>
        </w:tc>
        <w:tc>
          <w:tcPr>
            <w:tcW w:w="260" w:type="dxa"/>
            <w:vAlign w:val="bottom"/>
            <w:tcBorders>
              <w:top w:val="single" w:sz="8" w:color="auto"/>
            </w:tcBorders>
            <w:gridSpan w:val="2"/>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2,703</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Prepaid software maintenance</w:t>
            </w:r>
          </w:p>
        </w:tc>
        <w:tc>
          <w:tcPr>
            <w:tcW w:w="3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5,153</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4,154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Income tax receivable</w:t>
            </w:r>
          </w:p>
        </w:tc>
        <w:tc>
          <w:tcPr>
            <w:tcW w:w="32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2,994</w:t>
            </w:r>
          </w:p>
        </w:tc>
        <w:tc>
          <w:tcPr>
            <w:tcW w:w="26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1,901</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Prepaid vendor payments</w:t>
            </w:r>
          </w:p>
        </w:tc>
        <w:tc>
          <w:tcPr>
            <w:tcW w:w="3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1,705</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1,604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Prepaid taxes</w:t>
            </w:r>
          </w:p>
        </w:tc>
        <w:tc>
          <w:tcPr>
            <w:tcW w:w="320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5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311</w:t>
            </w:r>
          </w:p>
        </w:tc>
        <w:tc>
          <w:tcPr>
            <w:tcW w:w="26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456</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Prepaid other</w:t>
            </w:r>
          </w:p>
        </w:tc>
        <w:tc>
          <w:tcPr>
            <w:tcW w:w="3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1,698</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Other</w:t>
            </w:r>
          </w:p>
        </w:tc>
        <w:tc>
          <w:tcPr>
            <w:tcW w:w="3200" w:type="dxa"/>
            <w:vAlign w:val="bottom"/>
            <w:tcBorders>
              <w:bottom w:val="single" w:sz="8" w:color="CFF0FC"/>
            </w:tcBorders>
            <w:shd w:val="clear" w:color="auto" w:fill="CFF0FC"/>
          </w:tcPr>
          <w:p>
            <w:pPr>
              <w:spacing w:after="0"/>
              <w:rPr>
                <w:sz w:val="18"/>
                <w:szCs w:val="18"/>
                <w:color w:val="auto"/>
              </w:rPr>
            </w:pPr>
          </w:p>
        </w:tc>
        <w:tc>
          <w:tcPr>
            <w:tcW w:w="40" w:type="dxa"/>
            <w:vAlign w:val="bottom"/>
            <w:tcBorders>
              <w:bottom w:val="single" w:sz="8" w:color="auto"/>
            </w:tcBorders>
            <w:shd w:val="clear" w:color="auto" w:fill="CFF0FC"/>
          </w:tcPr>
          <w:p>
            <w:pPr>
              <w:spacing w:after="0"/>
              <w:rPr>
                <w:sz w:val="18"/>
                <w:szCs w:val="18"/>
                <w:color w:val="auto"/>
              </w:rPr>
            </w:pPr>
          </w:p>
        </w:tc>
        <w:tc>
          <w:tcPr>
            <w:tcW w:w="1040" w:type="dxa"/>
            <w:vAlign w:val="bottom"/>
            <w:tcBorders>
              <w:bottom w:val="single" w:sz="8" w:color="auto"/>
            </w:tcBorders>
            <w:shd w:val="clear" w:color="auto" w:fill="CFF0FC"/>
          </w:tcPr>
          <w:p>
            <w:pPr>
              <w:spacing w:after="0"/>
              <w:rPr>
                <w:sz w:val="18"/>
                <w:szCs w:val="18"/>
                <w:color w:val="auto"/>
              </w:rPr>
            </w:pPr>
          </w:p>
        </w:tc>
        <w:tc>
          <w:tcPr>
            <w:tcW w:w="5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1,517</w:t>
            </w:r>
          </w:p>
        </w:tc>
        <w:tc>
          <w:tcPr>
            <w:tcW w:w="26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auto"/>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2,097</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460" w:type="dxa"/>
            <w:vAlign w:val="bottom"/>
            <w:gridSpan w:val="3"/>
          </w:tcPr>
          <w:p>
            <w:pPr>
              <w:ind w:left="200"/>
              <w:spacing w:after="0"/>
              <w:rPr>
                <w:sz w:val="20"/>
                <w:szCs w:val="20"/>
                <w:color w:val="auto"/>
              </w:rPr>
            </w:pPr>
            <w:r>
              <w:rPr>
                <w:rFonts w:ascii="Times New Roman" w:cs="Times New Roman" w:eastAsia="Times New Roman" w:hAnsi="Times New Roman"/>
                <w:sz w:val="18"/>
                <w:szCs w:val="18"/>
                <w:b w:val="1"/>
                <w:bCs w:val="1"/>
                <w:color w:val="auto"/>
              </w:rPr>
              <w:t>Other current assets</w:t>
            </w:r>
          </w:p>
        </w:tc>
        <w:tc>
          <w:tcPr>
            <w:tcW w:w="4280" w:type="dxa"/>
            <w:vAlign w:val="bottom"/>
            <w:gridSpan w:val="3"/>
          </w:tcPr>
          <w:p>
            <w:pPr>
              <w:jc w:val="right"/>
              <w:ind w:right="879"/>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18,802</w:t>
            </w:r>
          </w:p>
        </w:tc>
        <w:tc>
          <w:tcPr>
            <w:tcW w:w="52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14,080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0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3200" w:type="dxa"/>
            <w:vAlign w:val="bottom"/>
            <w:vMerge w:val="restart"/>
          </w:tcPr>
          <w:p>
            <w:pPr>
              <w:jc w:val="right"/>
              <w:ind w:right="1859"/>
              <w:spacing w:after="0"/>
              <w:rPr>
                <w:sz w:val="20"/>
                <w:szCs w:val="20"/>
                <w:color w:val="auto"/>
              </w:rPr>
            </w:pPr>
            <w:r>
              <w:rPr>
                <w:rFonts w:ascii="Times New Roman" w:cs="Times New Roman" w:eastAsia="Times New Roman" w:hAnsi="Times New Roman"/>
                <w:sz w:val="18"/>
                <w:szCs w:val="18"/>
                <w:color w:val="auto"/>
              </w:rPr>
              <w:t>14</w:t>
            </w:r>
          </w:p>
        </w:tc>
        <w:tc>
          <w:tcPr>
            <w:tcW w:w="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4"/>
        </w:trPr>
        <w:tc>
          <w:tcPr>
            <w:tcW w:w="6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3200" w:type="dxa"/>
            <w:vAlign w:val="bottom"/>
            <w:vMerge w:val="continue"/>
          </w:tcPr>
          <w:p>
            <w:pPr>
              <w:spacing w:after="0"/>
              <w:rPr>
                <w:sz w:val="24"/>
                <w:szCs w:val="24"/>
                <w:color w:val="auto"/>
              </w:rPr>
            </w:pPr>
          </w:p>
        </w:tc>
        <w:tc>
          <w:tcPr>
            <w:tcW w:w="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600" w:type="dxa"/>
            <w:vAlign w:val="bottom"/>
            <w:tcBorders>
              <w:bottom w:val="single" w:sz="8" w:color="9A9A9A"/>
            </w:tcBorders>
          </w:tcPr>
          <w:p>
            <w:pPr>
              <w:spacing w:after="0"/>
              <w:rPr>
                <w:sz w:val="8"/>
                <w:szCs w:val="8"/>
                <w:color w:val="auto"/>
              </w:rPr>
            </w:pPr>
          </w:p>
        </w:tc>
        <w:tc>
          <w:tcPr>
            <w:tcW w:w="1640" w:type="dxa"/>
            <w:vAlign w:val="bottom"/>
            <w:tcBorders>
              <w:bottom w:val="single" w:sz="8" w:color="9A9A9A"/>
            </w:tcBorders>
          </w:tcPr>
          <w:p>
            <w:pPr>
              <w:spacing w:after="0"/>
              <w:rPr>
                <w:sz w:val="8"/>
                <w:szCs w:val="8"/>
                <w:color w:val="auto"/>
              </w:rPr>
            </w:pPr>
          </w:p>
        </w:tc>
        <w:tc>
          <w:tcPr>
            <w:tcW w:w="2220" w:type="dxa"/>
            <w:vAlign w:val="bottom"/>
            <w:tcBorders>
              <w:bottom w:val="single" w:sz="8" w:color="9A9A9A"/>
            </w:tcBorders>
          </w:tcPr>
          <w:p>
            <w:pPr>
              <w:spacing w:after="0"/>
              <w:rPr>
                <w:sz w:val="8"/>
                <w:szCs w:val="8"/>
                <w:color w:val="auto"/>
              </w:rPr>
            </w:pPr>
          </w:p>
        </w:tc>
        <w:tc>
          <w:tcPr>
            <w:tcW w:w="320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1040" w:type="dxa"/>
            <w:vAlign w:val="bottom"/>
            <w:tcBorders>
              <w:bottom w:val="single" w:sz="8" w:color="9A9A9A"/>
            </w:tcBorders>
          </w:tcPr>
          <w:p>
            <w:pPr>
              <w:spacing w:after="0"/>
              <w:rPr>
                <w:sz w:val="8"/>
                <w:szCs w:val="8"/>
                <w:color w:val="auto"/>
              </w:rPr>
            </w:pPr>
          </w:p>
        </w:tc>
        <w:tc>
          <w:tcPr>
            <w:tcW w:w="520" w:type="dxa"/>
            <w:vAlign w:val="bottom"/>
            <w:tcBorders>
              <w:bottom w:val="single" w:sz="8" w:color="9A9A9A"/>
            </w:tcBorders>
          </w:tcPr>
          <w:p>
            <w:pPr>
              <w:spacing w:after="0"/>
              <w:rPr>
                <w:sz w:val="8"/>
                <w:szCs w:val="8"/>
                <w:color w:val="auto"/>
              </w:rPr>
            </w:pPr>
          </w:p>
        </w:tc>
        <w:tc>
          <w:tcPr>
            <w:tcW w:w="26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40" w:type="dxa"/>
            <w:vAlign w:val="bottom"/>
            <w:tcBorders>
              <w:bottom w:val="single" w:sz="8" w:color="9A9A9A"/>
            </w:tcBorders>
          </w:tcPr>
          <w:p>
            <w:pPr>
              <w:spacing w:after="0"/>
              <w:rPr>
                <w:sz w:val="8"/>
                <w:szCs w:val="8"/>
                <w:color w:val="auto"/>
              </w:rPr>
            </w:pPr>
          </w:p>
        </w:tc>
        <w:tc>
          <w:tcPr>
            <w:tcW w:w="136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5878830</wp:posOffset>
            </wp:positionH>
            <wp:positionV relativeFrom="paragraph">
              <wp:posOffset>-2662555</wp:posOffset>
            </wp:positionV>
            <wp:extent cx="68580" cy="825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5878830</wp:posOffset>
            </wp:positionH>
            <wp:positionV relativeFrom="paragraph">
              <wp:posOffset>-2645410</wp:posOffset>
            </wp:positionV>
            <wp:extent cx="68580" cy="825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-2662555</wp:posOffset>
            </wp:positionV>
            <wp:extent cx="68580" cy="825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-2645410</wp:posOffset>
            </wp:positionV>
            <wp:extent cx="68580" cy="825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5878830</wp:posOffset>
            </wp:positionH>
            <wp:positionV relativeFrom="paragraph">
              <wp:posOffset>-650240</wp:posOffset>
            </wp:positionV>
            <wp:extent cx="68580" cy="825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-650240</wp:posOffset>
            </wp:positionV>
            <wp:extent cx="68580" cy="825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color w:val="auto"/>
        </w:rPr>
        <w:t xml:space="preserve">Note 7. </w:t>
      </w:r>
      <w:r>
        <w:rPr>
          <w:rFonts w:ascii="Times New Roman" w:cs="Times New Roman" w:eastAsia="Times New Roman" w:hAnsi="Times New Roman"/>
          <w:sz w:val="18"/>
          <w:szCs w:val="18"/>
          <w:b w:val="1"/>
          <w:bCs w:val="1"/>
          <w:u w:val="single" w:color="auto"/>
          <w:color w:val="auto"/>
        </w:rPr>
        <w:t>Property and Equipment</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Property and equipment consisted of the following:</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540" w:type="dxa"/>
            <w:vAlign w:val="bottom"/>
            <w:gridSpan w:val="2"/>
          </w:tcPr>
          <w:p>
            <w:pPr>
              <w:jc w:val="right"/>
              <w:ind w:right="80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240" w:type="dxa"/>
            <w:vAlign w:val="bottom"/>
          </w:tcPr>
          <w:p>
            <w:pPr>
              <w:spacing w:after="0"/>
              <w:rPr>
                <w:sz w:val="15"/>
                <w:szCs w:val="15"/>
                <w:color w:val="auto"/>
              </w:rPr>
            </w:pPr>
          </w:p>
        </w:tc>
        <w:tc>
          <w:tcPr>
            <w:tcW w:w="1420" w:type="dxa"/>
            <w:vAlign w:val="bottom"/>
            <w:gridSpan w:val="2"/>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87"/>
        </w:trPr>
        <w:tc>
          <w:tcPr>
            <w:tcW w:w="77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0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5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55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209"/>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Land and land interests</w:t>
            </w:r>
          </w:p>
        </w:tc>
        <w:tc>
          <w:tcPr>
            <w:tcW w:w="300" w:type="dxa"/>
            <w:vAlign w:val="bottom"/>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31,316</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30,532</w:t>
            </w:r>
          </w:p>
        </w:tc>
        <w:tc>
          <w:tcPr>
            <w:tcW w:w="100" w:type="dxa"/>
            <w:vAlign w:val="bottom"/>
            <w:shd w:val="clear" w:color="auto" w:fill="CFF0FC"/>
          </w:tcPr>
          <w:p>
            <w:pPr>
              <w:spacing w:after="0"/>
              <w:rPr>
                <w:sz w:val="18"/>
                <w:szCs w:val="18"/>
                <w:color w:val="auto"/>
              </w:rPr>
            </w:pPr>
          </w:p>
        </w:tc>
      </w:tr>
      <w:tr>
        <w:trPr>
          <w:trHeight w:val="216"/>
        </w:trPr>
        <w:tc>
          <w:tcPr>
            <w:tcW w:w="77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Buildings and leasehold improvements</w:t>
            </w:r>
          </w:p>
        </w:tc>
        <w:tc>
          <w:tcPr>
            <w:tcW w:w="30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408,114</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407,930</w:t>
            </w:r>
          </w:p>
        </w:tc>
        <w:tc>
          <w:tcPr>
            <w:tcW w:w="100" w:type="dxa"/>
            <w:vAlign w:val="bottom"/>
          </w:tcPr>
          <w:p>
            <w:pPr>
              <w:spacing w:after="0"/>
              <w:rPr>
                <w:sz w:val="18"/>
                <w:szCs w:val="18"/>
                <w:color w:val="auto"/>
              </w:rPr>
            </w:pPr>
          </w:p>
        </w:tc>
      </w:tr>
      <w:tr>
        <w:trPr>
          <w:trHeight w:val="216"/>
        </w:trPr>
        <w:tc>
          <w:tcPr>
            <w:tcW w:w="77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Equipment and other</w:t>
            </w:r>
          </w:p>
        </w:tc>
        <w:tc>
          <w:tcPr>
            <w:tcW w:w="300" w:type="dxa"/>
            <w:vAlign w:val="bottom"/>
            <w:tcBorders>
              <w:bottom w:val="single" w:sz="8" w:color="auto"/>
            </w:tcBorders>
            <w:shd w:val="clear" w:color="auto" w:fill="CFF0FC"/>
          </w:tcPr>
          <w:p>
            <w:pPr>
              <w:spacing w:after="0"/>
              <w:rPr>
                <w:sz w:val="18"/>
                <w:szCs w:val="18"/>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436,076</w:t>
            </w:r>
          </w:p>
        </w:tc>
        <w:tc>
          <w:tcPr>
            <w:tcW w:w="28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413,684</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4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Gross property and equipment</w:t>
            </w:r>
          </w:p>
        </w:tc>
        <w:tc>
          <w:tcPr>
            <w:tcW w:w="30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875,506</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852,146</w:t>
            </w:r>
          </w:p>
        </w:tc>
        <w:tc>
          <w:tcPr>
            <w:tcW w:w="100" w:type="dxa"/>
            <w:vAlign w:val="bottom"/>
          </w:tcPr>
          <w:p>
            <w:pPr>
              <w:spacing w:after="0"/>
              <w:rPr>
                <w:sz w:val="18"/>
                <w:szCs w:val="18"/>
                <w:color w:val="auto"/>
              </w:rPr>
            </w:pPr>
          </w:p>
        </w:tc>
      </w:tr>
      <w:tr>
        <w:trPr>
          <w:trHeight w:val="216"/>
        </w:trPr>
        <w:tc>
          <w:tcPr>
            <w:tcW w:w="77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Accumulated depreciation</w:t>
            </w:r>
          </w:p>
        </w:tc>
        <w:tc>
          <w:tcPr>
            <w:tcW w:w="300" w:type="dxa"/>
            <w:vAlign w:val="bottom"/>
            <w:shd w:val="clear" w:color="auto" w:fill="CFF0FC"/>
          </w:tcPr>
          <w:p>
            <w:pPr>
              <w:spacing w:after="0"/>
              <w:rPr>
                <w:sz w:val="18"/>
                <w:szCs w:val="18"/>
                <w:color w:val="auto"/>
              </w:rPr>
            </w:pPr>
          </w:p>
        </w:tc>
        <w:tc>
          <w:tcPr>
            <w:tcW w:w="1540" w:type="dxa"/>
            <w:vAlign w:val="bottom"/>
            <w:gridSpan w:val="2"/>
            <w:shd w:val="clear" w:color="auto" w:fill="CFF0FC"/>
          </w:tcPr>
          <w:p>
            <w:pPr>
              <w:jc w:val="right"/>
              <w:ind w:right="200"/>
              <w:spacing w:after="0"/>
              <w:rPr>
                <w:sz w:val="20"/>
                <w:szCs w:val="20"/>
                <w:color w:val="auto"/>
              </w:rPr>
            </w:pPr>
            <w:r>
              <w:rPr>
                <w:rFonts w:ascii="Times New Roman" w:cs="Times New Roman" w:eastAsia="Times New Roman" w:hAnsi="Times New Roman"/>
                <w:sz w:val="18"/>
                <w:szCs w:val="18"/>
                <w:color w:val="auto"/>
              </w:rPr>
              <w:t>(378,428 )</w:t>
            </w:r>
          </w:p>
        </w:tc>
        <w:tc>
          <w:tcPr>
            <w:tcW w:w="240" w:type="dxa"/>
            <w:vAlign w:val="bottom"/>
            <w:shd w:val="clear" w:color="auto" w:fill="CFF0FC"/>
          </w:tcPr>
          <w:p>
            <w:pPr>
              <w:spacing w:after="0"/>
              <w:rPr>
                <w:sz w:val="18"/>
                <w:szCs w:val="18"/>
                <w:color w:val="auto"/>
              </w:rPr>
            </w:pPr>
          </w:p>
        </w:tc>
        <w:tc>
          <w:tcPr>
            <w:tcW w:w="142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(364,060 )</w:t>
            </w:r>
          </w:p>
        </w:tc>
      </w:tr>
      <w:tr>
        <w:trPr>
          <w:trHeight w:val="209"/>
        </w:trPr>
        <w:tc>
          <w:tcPr>
            <w:tcW w:w="7740" w:type="dxa"/>
            <w:vAlign w:val="bottom"/>
            <w:tcBorders>
              <w:top w:val="single" w:sz="8" w:color="CFF0FC"/>
            </w:tcBorders>
          </w:tcPr>
          <w:p>
            <w:pPr>
              <w:ind w:left="200"/>
              <w:spacing w:after="0"/>
              <w:rPr>
                <w:sz w:val="20"/>
                <w:szCs w:val="20"/>
                <w:color w:val="auto"/>
              </w:rPr>
            </w:pPr>
            <w:r>
              <w:rPr>
                <w:rFonts w:ascii="Times New Roman" w:cs="Times New Roman" w:eastAsia="Times New Roman" w:hAnsi="Times New Roman"/>
                <w:sz w:val="18"/>
                <w:szCs w:val="18"/>
                <w:b w:val="1"/>
                <w:bCs w:val="1"/>
                <w:color w:val="auto"/>
              </w:rPr>
              <w:t>Property and equipment, net (excluding finance leases)</w:t>
            </w:r>
          </w:p>
        </w:tc>
        <w:tc>
          <w:tcPr>
            <w:tcW w:w="3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497,078</w:t>
            </w:r>
          </w:p>
        </w:tc>
        <w:tc>
          <w:tcPr>
            <w:tcW w:w="280" w:type="dxa"/>
            <w:vAlign w:val="bottom"/>
            <w:tcBorders>
              <w:top w:val="single" w:sz="8" w:color="CFF0FC"/>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488,086</w:t>
            </w:r>
          </w:p>
        </w:tc>
        <w:tc>
          <w:tcPr>
            <w:tcW w:w="100" w:type="dxa"/>
            <w:vAlign w:val="bottom"/>
            <w:tcBorders>
              <w:top w:val="single" w:sz="8" w:color="CFF0FC"/>
            </w:tcBorders>
          </w:tcPr>
          <w:p>
            <w:pPr>
              <w:spacing w:after="0"/>
              <w:rPr>
                <w:sz w:val="18"/>
                <w:szCs w:val="18"/>
                <w:color w:val="auto"/>
              </w:rPr>
            </w:pPr>
          </w:p>
        </w:tc>
      </w:tr>
      <w:tr>
        <w:trPr>
          <w:trHeight w:val="216"/>
        </w:trPr>
        <w:tc>
          <w:tcPr>
            <w:tcW w:w="77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Finance lease ROU assets, net</w:t>
            </w:r>
          </w:p>
        </w:tc>
        <w:tc>
          <w:tcPr>
            <w:tcW w:w="300" w:type="dxa"/>
            <w:vAlign w:val="bottom"/>
            <w:tcBorders>
              <w:bottom w:val="single" w:sz="8" w:color="auto"/>
            </w:tcBorders>
            <w:shd w:val="clear" w:color="auto" w:fill="CFF0FC"/>
          </w:tcPr>
          <w:p>
            <w:pPr>
              <w:spacing w:after="0"/>
              <w:rPr>
                <w:sz w:val="18"/>
                <w:szCs w:val="18"/>
                <w:color w:val="auto"/>
              </w:rPr>
            </w:pPr>
          </w:p>
        </w:tc>
        <w:tc>
          <w:tcPr>
            <w:tcW w:w="12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62,101</w:t>
            </w:r>
          </w:p>
        </w:tc>
        <w:tc>
          <w:tcPr>
            <w:tcW w:w="28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61,022</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4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Property and equipment, net</w:t>
            </w:r>
          </w:p>
        </w:tc>
        <w:tc>
          <w:tcPr>
            <w:tcW w:w="300" w:type="dxa"/>
            <w:vAlign w:val="bottom"/>
            <w:tcBorders>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559,179</w:t>
            </w:r>
          </w:p>
        </w:tc>
        <w:tc>
          <w:tcPr>
            <w:tcW w:w="28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549,108</w:t>
            </w:r>
          </w:p>
        </w:tc>
        <w:tc>
          <w:tcPr>
            <w:tcW w:w="100" w:type="dxa"/>
            <w:vAlign w:val="bottom"/>
          </w:tcPr>
          <w:p>
            <w:pPr>
              <w:spacing w:after="0"/>
              <w:rPr>
                <w:sz w:val="18"/>
                <w:szCs w:val="18"/>
                <w:color w:val="auto"/>
              </w:rPr>
            </w:pPr>
          </w:p>
        </w:tc>
      </w:tr>
      <w:tr>
        <w:trPr>
          <w:trHeight w:val="20"/>
        </w:trPr>
        <w:tc>
          <w:tcPr>
            <w:tcW w:w="77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5904230</wp:posOffset>
            </wp:positionH>
            <wp:positionV relativeFrom="paragraph">
              <wp:posOffset>-735965</wp:posOffset>
            </wp:positionV>
            <wp:extent cx="68580" cy="825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-735965</wp:posOffset>
            </wp:positionV>
            <wp:extent cx="68580" cy="825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-453390</wp:posOffset>
            </wp:positionV>
            <wp:extent cx="68580" cy="825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-453390</wp:posOffset>
            </wp:positionV>
            <wp:extent cx="68580" cy="825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-170815</wp:posOffset>
            </wp:positionV>
            <wp:extent cx="68580" cy="825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Depreciation expense was $10.8 million for the three months ended June 30, 2022 and $21.8 million for the six months ended June 30, 2022. Depreciation expense was $10.7 million for the three months ended June 30, 2021 and $21.6 million for the six months ended June 30, 2021.</w:t>
      </w:r>
    </w:p>
    <w:p>
      <w:pPr>
        <w:spacing w:after="0" w:line="10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Property and equipment purchased through accounts payable and accrued liabilities decreased $0.4 million during the six months ended June 30, 2022 and increased $4.2 million during the six months ended June 30, 2021. Capitalized interest was $0.7 million for the three months ended June 30, 2022 and $2.6 million for the six months ended June 30, 2022, which was primarily related to the development of Pursuit’s FlyOver attractions.</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8. </w:t>
      </w:r>
      <w:r>
        <w:rPr>
          <w:rFonts w:ascii="Times New Roman" w:cs="Times New Roman" w:eastAsia="Times New Roman" w:hAnsi="Times New Roman"/>
          <w:sz w:val="18"/>
          <w:szCs w:val="18"/>
          <w:b w:val="1"/>
          <w:bCs w:val="1"/>
          <w:u w:val="single" w:color="auto"/>
          <w:color w:val="auto"/>
        </w:rPr>
        <w:t>Other Investments and Assets</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investments and assets consisted of the following:</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60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4240" w:type="dxa"/>
            <w:vAlign w:val="bottom"/>
          </w:tcPr>
          <w:p>
            <w:pPr>
              <w:spacing w:after="0"/>
              <w:rPr>
                <w:sz w:val="15"/>
                <w:szCs w:val="15"/>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4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440" w:type="dxa"/>
            <w:vAlign w:val="bottom"/>
            <w:gridSpan w:val="2"/>
          </w:tcPr>
          <w:p>
            <w:pPr>
              <w:jc w:val="right"/>
              <w:ind w:right="48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87"/>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04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4"/>
                <w:szCs w:val="14"/>
                <w:b w:val="1"/>
                <w:bCs w:val="1"/>
                <w:color w:val="auto"/>
              </w:rPr>
              <w:t>2022</w:t>
            </w:r>
          </w:p>
        </w:tc>
        <w:tc>
          <w:tcPr>
            <w:tcW w:w="4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555"/>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209"/>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Self-insured liability receivable</w:t>
            </w:r>
          </w:p>
        </w:tc>
        <w:tc>
          <w:tcPr>
            <w:tcW w:w="1040" w:type="dxa"/>
            <w:vAlign w:val="bottom"/>
            <w:shd w:val="clear" w:color="auto" w:fill="CFF0FC"/>
          </w:tcPr>
          <w:p>
            <w:pPr>
              <w:jc w:val="right"/>
              <w:ind w:right="859"/>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6,847</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6,847</w:t>
            </w:r>
          </w:p>
        </w:tc>
        <w:tc>
          <w:tcPr>
            <w:tcW w:w="100" w:type="dxa"/>
            <w:vAlign w:val="bottom"/>
            <w:shd w:val="clear" w:color="auto" w:fill="CFF0FC"/>
          </w:tcPr>
          <w:p>
            <w:pPr>
              <w:spacing w:after="0"/>
              <w:rPr>
                <w:sz w:val="18"/>
                <w:szCs w:val="18"/>
                <w:color w:val="auto"/>
              </w:rPr>
            </w:pPr>
          </w:p>
        </w:tc>
      </w:tr>
      <w:tr>
        <w:trPr>
          <w:trHeight w:val="216"/>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Other mutual funds</w:t>
            </w:r>
          </w:p>
        </w:tc>
        <w:tc>
          <w:tcPr>
            <w:tcW w:w="1040" w:type="dxa"/>
            <w:vAlign w:val="bottom"/>
          </w:tcPr>
          <w:p>
            <w:pPr>
              <w:spacing w:after="0"/>
              <w:rPr>
                <w:sz w:val="18"/>
                <w:szCs w:val="18"/>
                <w:color w:val="auto"/>
              </w:rPr>
            </w:pPr>
          </w:p>
        </w:tc>
        <w:tc>
          <w:tcPr>
            <w:tcW w:w="5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3,459</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4,057</w:t>
            </w:r>
          </w:p>
        </w:tc>
        <w:tc>
          <w:tcPr>
            <w:tcW w:w="100" w:type="dxa"/>
            <w:vAlign w:val="bottom"/>
          </w:tcPr>
          <w:p>
            <w:pPr>
              <w:spacing w:after="0"/>
              <w:rPr>
                <w:sz w:val="18"/>
                <w:szCs w:val="18"/>
                <w:color w:val="auto"/>
              </w:rPr>
            </w:pPr>
          </w:p>
        </w:tc>
      </w:tr>
      <w:tr>
        <w:trPr>
          <w:trHeight w:val="216"/>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Contract costs</w:t>
            </w:r>
          </w:p>
        </w:tc>
        <w:tc>
          <w:tcPr>
            <w:tcW w:w="1040" w:type="dxa"/>
            <w:vAlign w:val="bottom"/>
            <w:shd w:val="clear" w:color="auto" w:fill="CFF0FC"/>
          </w:tcPr>
          <w:p>
            <w:pPr>
              <w:spacing w:after="0"/>
              <w:rPr>
                <w:sz w:val="18"/>
                <w:szCs w:val="18"/>
                <w:color w:val="auto"/>
              </w:rPr>
            </w:pPr>
          </w:p>
        </w:tc>
        <w:tc>
          <w:tcPr>
            <w:tcW w:w="5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2,453</w:t>
            </w: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2,685</w:t>
            </w:r>
          </w:p>
        </w:tc>
        <w:tc>
          <w:tcPr>
            <w:tcW w:w="100" w:type="dxa"/>
            <w:vAlign w:val="bottom"/>
            <w:shd w:val="clear" w:color="auto" w:fill="CFF0FC"/>
          </w:tcPr>
          <w:p>
            <w:pPr>
              <w:spacing w:after="0"/>
              <w:rPr>
                <w:sz w:val="18"/>
                <w:szCs w:val="18"/>
                <w:color w:val="auto"/>
              </w:rPr>
            </w:pPr>
          </w:p>
        </w:tc>
      </w:tr>
      <w:tr>
        <w:trPr>
          <w:trHeight w:val="216"/>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Other</w:t>
            </w:r>
          </w:p>
        </w:tc>
        <w:tc>
          <w:tcPr>
            <w:tcW w:w="1040" w:type="dxa"/>
            <w:vAlign w:val="bottom"/>
            <w:tcBorders>
              <w:bottom w:val="single" w:sz="8" w:color="auto"/>
            </w:tcBorders>
          </w:tcPr>
          <w:p>
            <w:pPr>
              <w:spacing w:after="0"/>
              <w:rPr>
                <w:sz w:val="18"/>
                <w:szCs w:val="18"/>
                <w:color w:val="auto"/>
              </w:rPr>
            </w:pPr>
          </w:p>
        </w:tc>
        <w:tc>
          <w:tcPr>
            <w:tcW w:w="52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2,928</w:t>
            </w:r>
          </w:p>
        </w:tc>
        <w:tc>
          <w:tcPr>
            <w:tcW w:w="2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3,129</w:t>
            </w:r>
          </w:p>
        </w:tc>
        <w:tc>
          <w:tcPr>
            <w:tcW w:w="100" w:type="dxa"/>
            <w:vAlign w:val="bottom"/>
          </w:tcPr>
          <w:p>
            <w:pPr>
              <w:spacing w:after="0"/>
              <w:rPr>
                <w:sz w:val="18"/>
                <w:szCs w:val="18"/>
                <w:color w:val="auto"/>
              </w:rPr>
            </w:pPr>
          </w:p>
        </w:tc>
      </w:tr>
      <w:tr>
        <w:trPr>
          <w:trHeight w:val="249"/>
        </w:trPr>
        <w:tc>
          <w:tcPr>
            <w:tcW w:w="7720" w:type="dxa"/>
            <w:vAlign w:val="bottom"/>
            <w:tcBorders>
              <w:bottom w:val="single" w:sz="8" w:color="CFF0FC"/>
            </w:tcBorders>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Other investments and assets</w:t>
            </w:r>
          </w:p>
        </w:tc>
        <w:tc>
          <w:tcPr>
            <w:tcW w:w="1040" w:type="dxa"/>
            <w:vAlign w:val="bottom"/>
            <w:tcBorders>
              <w:bottom w:val="single" w:sz="8" w:color="auto"/>
            </w:tcBorders>
            <w:shd w:val="clear" w:color="auto" w:fill="CFF0FC"/>
          </w:tcPr>
          <w:p>
            <w:pPr>
              <w:jc w:val="right"/>
              <w:ind w:right="859"/>
              <w:spacing w:after="0"/>
              <w:rPr>
                <w:sz w:val="20"/>
                <w:szCs w:val="20"/>
                <w:color w:val="auto"/>
              </w:rPr>
            </w:pPr>
            <w:r>
              <w:rPr>
                <w:rFonts w:ascii="Times New Roman" w:cs="Times New Roman" w:eastAsia="Times New Roman" w:hAnsi="Times New Roman"/>
                <w:sz w:val="18"/>
                <w:szCs w:val="18"/>
                <w:color w:val="auto"/>
                <w:w w:val="88"/>
              </w:rPr>
              <w:t>$</w:t>
            </w:r>
          </w:p>
        </w:tc>
        <w:tc>
          <w:tcPr>
            <w:tcW w:w="52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15,687</w:t>
            </w:r>
          </w:p>
        </w:tc>
        <w:tc>
          <w:tcPr>
            <w:tcW w:w="28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16,718</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82"/>
        </w:trPr>
        <w:tc>
          <w:tcPr>
            <w:tcW w:w="77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Note 9. Goodwill and Other Intangible Assets</w:t>
            </w:r>
          </w:p>
        </w:tc>
        <w:tc>
          <w:tcPr>
            <w:tcW w:w="10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0"/>
        </w:trPr>
        <w:tc>
          <w:tcPr>
            <w:tcW w:w="600" w:type="dxa"/>
            <w:vAlign w:val="bottom"/>
          </w:tcPr>
          <w:p>
            <w:pPr>
              <w:spacing w:after="0" w:line="20" w:lineRule="exact"/>
              <w:rPr>
                <w:sz w:val="1"/>
                <w:szCs w:val="1"/>
                <w:color w:val="auto"/>
              </w:rPr>
            </w:pPr>
          </w:p>
        </w:tc>
        <w:tc>
          <w:tcPr>
            <w:tcW w:w="2880" w:type="dxa"/>
            <w:vAlign w:val="bottom"/>
            <w:shd w:val="clear" w:color="auto" w:fill="000000"/>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44"/>
        </w:trPr>
        <w:tc>
          <w:tcPr>
            <w:tcW w:w="77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The changes in the carrying amount of goodwill are as follows:</w:t>
            </w:r>
          </w:p>
        </w:tc>
        <w:tc>
          <w:tcPr>
            <w:tcW w:w="10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364"/>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0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40" w:type="dxa"/>
            <w:vAlign w:val="bottom"/>
            <w:gridSpan w:val="2"/>
          </w:tcPr>
          <w:p>
            <w:pPr>
              <w:jc w:val="right"/>
              <w:ind w:right="840"/>
              <w:spacing w:after="0"/>
              <w:rPr>
                <w:sz w:val="20"/>
                <w:szCs w:val="20"/>
                <w:color w:val="auto"/>
              </w:rPr>
            </w:pPr>
            <w:r>
              <w:rPr>
                <w:rFonts w:ascii="Times New Roman" w:cs="Times New Roman" w:eastAsia="Times New Roman" w:hAnsi="Times New Roman"/>
                <w:sz w:val="14"/>
                <w:szCs w:val="14"/>
                <w:b w:val="1"/>
                <w:bCs w:val="1"/>
                <w:color w:val="auto"/>
              </w:rPr>
              <w:t>Pursuit</w:t>
            </w:r>
          </w:p>
        </w:tc>
      </w:tr>
      <w:tr>
        <w:trPr>
          <w:trHeight w:val="209"/>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104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340" w:type="dxa"/>
            <w:vAlign w:val="bottom"/>
            <w:tcBorders>
              <w:top w:val="single" w:sz="8" w:color="auto"/>
            </w:tcBorders>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w w:val="88"/>
              </w:rPr>
              <w:t>$</w:t>
            </w:r>
          </w:p>
        </w:tc>
        <w:tc>
          <w:tcPr>
            <w:tcW w:w="240" w:type="dxa"/>
            <w:vAlign w:val="bottom"/>
            <w:tcBorders>
              <w:top w:val="single" w:sz="8" w:color="auto"/>
            </w:tcBorders>
            <w:shd w:val="clear" w:color="auto" w:fill="CFF0FC"/>
          </w:tcPr>
          <w:p>
            <w:pPr>
              <w:spacing w:after="0"/>
              <w:rPr>
                <w:sz w:val="18"/>
                <w:szCs w:val="18"/>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112,078</w:t>
            </w:r>
          </w:p>
        </w:tc>
        <w:tc>
          <w:tcPr>
            <w:tcW w:w="100" w:type="dxa"/>
            <w:vAlign w:val="bottom"/>
            <w:shd w:val="clear" w:color="auto" w:fill="CFF0FC"/>
          </w:tcPr>
          <w:p>
            <w:pPr>
              <w:spacing w:after="0"/>
              <w:rPr>
                <w:sz w:val="18"/>
                <w:szCs w:val="18"/>
                <w:color w:val="auto"/>
              </w:rPr>
            </w:pPr>
          </w:p>
        </w:tc>
      </w:tr>
      <w:tr>
        <w:trPr>
          <w:trHeight w:val="216"/>
        </w:trPr>
        <w:tc>
          <w:tcPr>
            <w:tcW w:w="77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Business acquisition</w:t>
            </w:r>
          </w:p>
        </w:tc>
        <w:tc>
          <w:tcPr>
            <w:tcW w:w="10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16,787</w:t>
            </w:r>
          </w:p>
        </w:tc>
        <w:tc>
          <w:tcPr>
            <w:tcW w:w="100" w:type="dxa"/>
            <w:vAlign w:val="bottom"/>
          </w:tcPr>
          <w:p>
            <w:pPr>
              <w:spacing w:after="0"/>
              <w:rPr>
                <w:sz w:val="18"/>
                <w:szCs w:val="18"/>
                <w:color w:val="auto"/>
              </w:rPr>
            </w:pPr>
          </w:p>
        </w:tc>
      </w:tr>
      <w:tr>
        <w:trPr>
          <w:trHeight w:val="216"/>
        </w:trPr>
        <w:tc>
          <w:tcPr>
            <w:tcW w:w="772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104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(1,988 )</w:t>
            </w:r>
          </w:p>
        </w:tc>
      </w:tr>
      <w:tr>
        <w:trPr>
          <w:trHeight w:val="209"/>
        </w:trPr>
        <w:tc>
          <w:tcPr>
            <w:tcW w:w="7720" w:type="dxa"/>
            <w:vAlign w:val="bottom"/>
            <w:tcBorders>
              <w:top w:val="single" w:sz="8" w:color="CFF0FC"/>
            </w:tcBorders>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June 30, 2022</w:t>
            </w:r>
          </w:p>
        </w:tc>
        <w:tc>
          <w:tcPr>
            <w:tcW w:w="1040" w:type="dxa"/>
            <w:vAlign w:val="bottom"/>
            <w:tcBorders>
              <w:top w:val="single" w:sz="8" w:color="CFF0FC"/>
            </w:tcBorders>
          </w:tcPr>
          <w:p>
            <w:pPr>
              <w:spacing w:after="0"/>
              <w:rPr>
                <w:sz w:val="18"/>
                <w:szCs w:val="18"/>
                <w:color w:val="auto"/>
              </w:rPr>
            </w:pPr>
          </w:p>
        </w:tc>
        <w:tc>
          <w:tcPr>
            <w:tcW w:w="460" w:type="dxa"/>
            <w:vAlign w:val="bottom"/>
            <w:tcBorders>
              <w:top w:val="single" w:sz="8" w:color="CFF0FC"/>
            </w:tcBorders>
          </w:tcPr>
          <w:p>
            <w:pPr>
              <w:spacing w:after="0"/>
              <w:rPr>
                <w:sz w:val="18"/>
                <w:szCs w:val="18"/>
                <w:color w:val="auto"/>
              </w:rPr>
            </w:pPr>
          </w:p>
        </w:tc>
        <w:tc>
          <w:tcPr>
            <w:tcW w:w="340" w:type="dxa"/>
            <w:vAlign w:val="bottom"/>
            <w:tcBorders>
              <w:top w:val="single" w:sz="8" w:color="auto"/>
              <w:bottom w:val="single" w:sz="8" w:color="auto"/>
            </w:tcBorders>
            <w:gridSpan w:val="2"/>
          </w:tcPr>
          <w:p>
            <w:pPr>
              <w:jc w:val="right"/>
              <w:ind w:right="240"/>
              <w:spacing w:after="0"/>
              <w:rPr>
                <w:sz w:val="20"/>
                <w:szCs w:val="20"/>
                <w:color w:val="auto"/>
              </w:rPr>
            </w:pPr>
            <w:r>
              <w:rPr>
                <w:rFonts w:ascii="Times New Roman" w:cs="Times New Roman" w:eastAsia="Times New Roman" w:hAnsi="Times New Roman"/>
                <w:sz w:val="18"/>
                <w:szCs w:val="18"/>
                <w:color w:val="auto"/>
                <w:w w:val="88"/>
              </w:rPr>
              <w:t>$</w:t>
            </w:r>
          </w:p>
        </w:tc>
        <w:tc>
          <w:tcPr>
            <w:tcW w:w="24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126,877</w:t>
            </w:r>
          </w:p>
        </w:tc>
        <w:tc>
          <w:tcPr>
            <w:tcW w:w="100" w:type="dxa"/>
            <w:vAlign w:val="bottom"/>
            <w:tcBorders>
              <w:top w:val="single" w:sz="8" w:color="CFF0FC"/>
            </w:tcBorders>
          </w:tcPr>
          <w:p>
            <w:pPr>
              <w:spacing w:after="0"/>
              <w:rPr>
                <w:sz w:val="18"/>
                <w:szCs w:val="18"/>
                <w:color w:val="auto"/>
              </w:rPr>
            </w:pPr>
          </w:p>
        </w:tc>
      </w:tr>
      <w:tr>
        <w:trPr>
          <w:trHeight w:val="20"/>
        </w:trPr>
        <w:tc>
          <w:tcPr>
            <w:tcW w:w="60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42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5895975</wp:posOffset>
            </wp:positionH>
            <wp:positionV relativeFrom="paragraph">
              <wp:posOffset>-1523365</wp:posOffset>
            </wp:positionV>
            <wp:extent cx="76835" cy="825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5895975</wp:posOffset>
            </wp:positionH>
            <wp:positionV relativeFrom="paragraph">
              <wp:posOffset>-1506220</wp:posOffset>
            </wp:positionV>
            <wp:extent cx="76835" cy="825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-1523365</wp:posOffset>
            </wp:positionV>
            <wp:extent cx="68580" cy="825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-1506220</wp:posOffset>
            </wp:positionV>
            <wp:extent cx="68580" cy="825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Goodwill is tested for impairment at the reporting unit level on an annual basis as of October 31, and between annual tests if an event occurs or circumstances change that would more-likely-than-not reduce the fair value of a reporting unit below its carrying value. We use a discounted expected future cash flow methodology (income approach) to estimate the fair value of our reporting units for purposes of goodwill impairment testing.</w:t>
      </w:r>
    </w:p>
    <w:p>
      <w:pPr>
        <w:spacing w:after="0" w:line="1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color w:val="auto"/>
        </w:rPr>
        <w:t>Other intangible assets consisted of the following:</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356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4"/>
          </w:tcPr>
          <w:p>
            <w:pPr>
              <w:ind w:left="10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gridSpan w:val="5"/>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31"/>
        </w:trPr>
        <w:tc>
          <w:tcPr>
            <w:tcW w:w="35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80" w:type="dxa"/>
            <w:vAlign w:val="bottom"/>
          </w:tcPr>
          <w:p>
            <w:pPr>
              <w:jc w:val="center"/>
              <w:ind w:right="35"/>
              <w:spacing w:after="0" w:line="131" w:lineRule="exact"/>
              <w:rPr>
                <w:sz w:val="20"/>
                <w:szCs w:val="20"/>
                <w:color w:val="auto"/>
              </w:rPr>
            </w:pPr>
            <w:r>
              <w:rPr>
                <w:rFonts w:ascii="Times New Roman" w:cs="Times New Roman" w:eastAsia="Times New Roman" w:hAnsi="Times New Roman"/>
                <w:sz w:val="14"/>
                <w:szCs w:val="14"/>
                <w:b w:val="1"/>
                <w:bCs w:val="1"/>
                <w:color w:val="auto"/>
              </w:rPr>
              <w:t>Gross</w:t>
            </w: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jc w:val="center"/>
              <w:ind w:right="35"/>
              <w:spacing w:after="0" w:line="131" w:lineRule="exact"/>
              <w:rPr>
                <w:sz w:val="20"/>
                <w:szCs w:val="20"/>
                <w:color w:val="auto"/>
              </w:rPr>
            </w:pPr>
            <w:r>
              <w:rPr>
                <w:rFonts w:ascii="Times New Roman" w:cs="Times New Roman" w:eastAsia="Times New Roman" w:hAnsi="Times New Roman"/>
                <w:sz w:val="14"/>
                <w:szCs w:val="14"/>
                <w:b w:val="1"/>
                <w:bCs w:val="1"/>
                <w:color w:val="auto"/>
              </w:rPr>
              <w:t>Net</w:t>
            </w: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Gross</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20" w:type="dxa"/>
            <w:vAlign w:val="bottom"/>
          </w:tcPr>
          <w:p>
            <w:pPr>
              <w:jc w:val="center"/>
              <w:ind w:right="35"/>
              <w:spacing w:after="0" w:line="131" w:lineRule="exact"/>
              <w:rPr>
                <w:sz w:val="20"/>
                <w:szCs w:val="20"/>
                <w:color w:val="auto"/>
              </w:rPr>
            </w:pPr>
            <w:r>
              <w:rPr>
                <w:rFonts w:ascii="Times New Roman" w:cs="Times New Roman" w:eastAsia="Times New Roman" w:hAnsi="Times New Roman"/>
                <w:sz w:val="14"/>
                <w:szCs w:val="14"/>
                <w:b w:val="1"/>
                <w:bCs w:val="1"/>
                <w:color w:val="auto"/>
                <w:w w:val="95"/>
              </w:rPr>
              <w:t>Net</w:t>
            </w:r>
          </w:p>
        </w:tc>
        <w:tc>
          <w:tcPr>
            <w:tcW w:w="100" w:type="dxa"/>
            <w:vAlign w:val="bottom"/>
          </w:tcPr>
          <w:p>
            <w:pPr>
              <w:spacing w:after="0"/>
              <w:rPr>
                <w:sz w:val="11"/>
                <w:szCs w:val="11"/>
                <w:color w:val="auto"/>
              </w:rPr>
            </w:pPr>
          </w:p>
        </w:tc>
      </w:tr>
      <w:tr>
        <w:trPr>
          <w:trHeight w:val="160"/>
        </w:trPr>
        <w:tc>
          <w:tcPr>
            <w:tcW w:w="3560" w:type="dxa"/>
            <w:vAlign w:val="bottom"/>
          </w:tcPr>
          <w:p>
            <w:pPr>
              <w:spacing w:after="0"/>
              <w:rPr>
                <w:sz w:val="13"/>
                <w:szCs w:val="13"/>
                <w:color w:val="auto"/>
              </w:rPr>
            </w:pPr>
          </w:p>
        </w:tc>
        <w:tc>
          <w:tcPr>
            <w:tcW w:w="1060" w:type="dxa"/>
            <w:vAlign w:val="bottom"/>
            <w:gridSpan w:val="2"/>
          </w:tcPr>
          <w:p>
            <w:pPr>
              <w:jc w:val="center"/>
              <w:ind w:right="140"/>
              <w:spacing w:after="0" w:line="159" w:lineRule="exact"/>
              <w:rPr>
                <w:sz w:val="20"/>
                <w:szCs w:val="20"/>
                <w:color w:val="auto"/>
              </w:rPr>
            </w:pPr>
            <w:r>
              <w:rPr>
                <w:rFonts w:ascii="Times New Roman" w:cs="Times New Roman" w:eastAsia="Times New Roman" w:hAnsi="Times New Roman"/>
                <w:sz w:val="14"/>
                <w:szCs w:val="14"/>
                <w:b w:val="1"/>
                <w:bCs w:val="1"/>
                <w:color w:val="auto"/>
              </w:rPr>
              <w:t>Useful Life</w:t>
            </w:r>
          </w:p>
        </w:tc>
        <w:tc>
          <w:tcPr>
            <w:tcW w:w="120" w:type="dxa"/>
            <w:vAlign w:val="bottom"/>
          </w:tcPr>
          <w:p>
            <w:pPr>
              <w:spacing w:after="0"/>
              <w:rPr>
                <w:sz w:val="13"/>
                <w:szCs w:val="13"/>
                <w:color w:val="auto"/>
              </w:rPr>
            </w:pPr>
          </w:p>
        </w:tc>
        <w:tc>
          <w:tcPr>
            <w:tcW w:w="680" w:type="dxa"/>
            <w:vAlign w:val="bottom"/>
          </w:tcPr>
          <w:p>
            <w:pPr>
              <w:jc w:val="center"/>
              <w:ind w:right="35"/>
              <w:spacing w:after="0" w:line="15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3"/>
          </w:tcPr>
          <w:p>
            <w:pPr>
              <w:spacing w:after="0" w:line="159" w:lineRule="exact"/>
              <w:rPr>
                <w:sz w:val="20"/>
                <w:szCs w:val="20"/>
                <w:color w:val="auto"/>
              </w:rPr>
            </w:pPr>
            <w:r>
              <w:rPr>
                <w:rFonts w:ascii="Times New Roman" w:cs="Times New Roman" w:eastAsia="Times New Roman" w:hAnsi="Times New Roman"/>
                <w:sz w:val="14"/>
                <w:szCs w:val="14"/>
                <w:b w:val="1"/>
                <w:bCs w:val="1"/>
                <w:color w:val="auto"/>
              </w:rPr>
              <w:t>Accumulated</w:t>
            </w:r>
          </w:p>
        </w:tc>
        <w:tc>
          <w:tcPr>
            <w:tcW w:w="120" w:type="dxa"/>
            <w:vAlign w:val="bottom"/>
          </w:tcPr>
          <w:p>
            <w:pPr>
              <w:spacing w:after="0"/>
              <w:rPr>
                <w:sz w:val="13"/>
                <w:szCs w:val="13"/>
                <w:color w:val="auto"/>
              </w:rPr>
            </w:pPr>
          </w:p>
        </w:tc>
        <w:tc>
          <w:tcPr>
            <w:tcW w:w="700" w:type="dxa"/>
            <w:vAlign w:val="bottom"/>
          </w:tcPr>
          <w:p>
            <w:pPr>
              <w:jc w:val="center"/>
              <w:ind w:right="35"/>
              <w:spacing w:after="0" w:line="15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80" w:type="dxa"/>
            <w:vAlign w:val="bottom"/>
          </w:tcPr>
          <w:p>
            <w:pPr>
              <w:jc w:val="center"/>
              <w:spacing w:after="0" w:line="15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4"/>
          </w:tcPr>
          <w:p>
            <w:pPr>
              <w:jc w:val="center"/>
              <w:ind w:right="220"/>
              <w:spacing w:after="0" w:line="159" w:lineRule="exact"/>
              <w:rPr>
                <w:sz w:val="20"/>
                <w:szCs w:val="20"/>
                <w:color w:val="auto"/>
              </w:rPr>
            </w:pPr>
            <w:r>
              <w:rPr>
                <w:rFonts w:ascii="Times New Roman" w:cs="Times New Roman" w:eastAsia="Times New Roman" w:hAnsi="Times New Roman"/>
                <w:sz w:val="14"/>
                <w:szCs w:val="14"/>
                <w:b w:val="1"/>
                <w:bCs w:val="1"/>
                <w:color w:val="auto"/>
              </w:rPr>
              <w:t>Accumulated</w:t>
            </w:r>
          </w:p>
        </w:tc>
        <w:tc>
          <w:tcPr>
            <w:tcW w:w="120" w:type="dxa"/>
            <w:vAlign w:val="bottom"/>
          </w:tcPr>
          <w:p>
            <w:pPr>
              <w:spacing w:after="0"/>
              <w:rPr>
                <w:sz w:val="13"/>
                <w:szCs w:val="13"/>
                <w:color w:val="auto"/>
              </w:rPr>
            </w:pPr>
          </w:p>
        </w:tc>
        <w:tc>
          <w:tcPr>
            <w:tcW w:w="720" w:type="dxa"/>
            <w:vAlign w:val="bottom"/>
          </w:tcPr>
          <w:p>
            <w:pPr>
              <w:jc w:val="center"/>
              <w:ind w:right="35"/>
              <w:spacing w:after="0" w:line="159" w:lineRule="exact"/>
              <w:rPr>
                <w:sz w:val="20"/>
                <w:szCs w:val="20"/>
                <w:color w:val="auto"/>
              </w:rPr>
            </w:pPr>
            <w:r>
              <w:rPr>
                <w:rFonts w:ascii="Times New Roman" w:cs="Times New Roman" w:eastAsia="Times New Roman" w:hAnsi="Times New Roman"/>
                <w:sz w:val="14"/>
                <w:szCs w:val="14"/>
                <w:b w:val="1"/>
                <w:bCs w:val="1"/>
                <w:color w:val="auto"/>
              </w:rPr>
              <w:t>Carrying</w:t>
            </w:r>
          </w:p>
        </w:tc>
        <w:tc>
          <w:tcPr>
            <w:tcW w:w="100" w:type="dxa"/>
            <w:vAlign w:val="bottom"/>
          </w:tcPr>
          <w:p>
            <w:pPr>
              <w:spacing w:after="0"/>
              <w:rPr>
                <w:sz w:val="13"/>
                <w:szCs w:val="13"/>
                <w:color w:val="auto"/>
              </w:rPr>
            </w:pPr>
          </w:p>
        </w:tc>
      </w:tr>
      <w:tr>
        <w:trPr>
          <w:trHeight w:val="189"/>
        </w:trPr>
        <w:tc>
          <w:tcPr>
            <w:tcW w:w="356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06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w w:val="99"/>
              </w:rPr>
              <w:t>(Years)</w:t>
            </w:r>
          </w:p>
        </w:tc>
        <w:tc>
          <w:tcPr>
            <w:tcW w:w="120" w:type="dxa"/>
            <w:vAlign w:val="bottom"/>
          </w:tcPr>
          <w:p>
            <w:pPr>
              <w:spacing w:after="0"/>
              <w:rPr>
                <w:sz w:val="16"/>
                <w:szCs w:val="16"/>
                <w:color w:val="auto"/>
              </w:rPr>
            </w:pPr>
          </w:p>
        </w:tc>
        <w:tc>
          <w:tcPr>
            <w:tcW w:w="680" w:type="dxa"/>
            <w:vAlign w:val="bottom"/>
          </w:tcPr>
          <w:p>
            <w:pPr>
              <w:jc w:val="center"/>
              <w:ind w:right="15"/>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Amortization</w:t>
            </w:r>
          </w:p>
        </w:tc>
        <w:tc>
          <w:tcPr>
            <w:tcW w:w="120" w:type="dxa"/>
            <w:vAlign w:val="bottom"/>
          </w:tcPr>
          <w:p>
            <w:pPr>
              <w:spacing w:after="0"/>
              <w:rPr>
                <w:sz w:val="16"/>
                <w:szCs w:val="16"/>
                <w:color w:val="auto"/>
              </w:rPr>
            </w:pPr>
          </w:p>
        </w:tc>
        <w:tc>
          <w:tcPr>
            <w:tcW w:w="700" w:type="dxa"/>
            <w:vAlign w:val="bottom"/>
          </w:tcPr>
          <w:p>
            <w:pPr>
              <w:jc w:val="center"/>
              <w:ind w:right="35"/>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jc w:val="center"/>
              <w:ind w:right="15"/>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gridSpan w:val="4"/>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Amortization</w:t>
            </w:r>
          </w:p>
        </w:tc>
        <w:tc>
          <w:tcPr>
            <w:tcW w:w="120" w:type="dxa"/>
            <w:vAlign w:val="bottom"/>
          </w:tcPr>
          <w:p>
            <w:pPr>
              <w:spacing w:after="0"/>
              <w:rPr>
                <w:sz w:val="16"/>
                <w:szCs w:val="16"/>
                <w:color w:val="auto"/>
              </w:rPr>
            </w:pPr>
          </w:p>
        </w:tc>
        <w:tc>
          <w:tcPr>
            <w:tcW w:w="720" w:type="dxa"/>
            <w:vAlign w:val="bottom"/>
          </w:tcPr>
          <w:p>
            <w:pPr>
              <w:jc w:val="center"/>
              <w:ind w:right="35"/>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00" w:type="dxa"/>
            <w:vAlign w:val="bottom"/>
          </w:tcPr>
          <w:p>
            <w:pPr>
              <w:spacing w:after="0"/>
              <w:rPr>
                <w:sz w:val="16"/>
                <w:szCs w:val="16"/>
                <w:color w:val="auto"/>
              </w:rPr>
            </w:pPr>
          </w:p>
        </w:tc>
      </w:tr>
      <w:tr>
        <w:trPr>
          <w:trHeight w:val="209"/>
        </w:trPr>
        <w:tc>
          <w:tcPr>
            <w:tcW w:w="35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Intangible assets subject to amortization:</w:t>
            </w:r>
          </w:p>
        </w:tc>
        <w:tc>
          <w:tcPr>
            <w:tcW w:w="920" w:type="dxa"/>
            <w:vAlign w:val="bottom"/>
            <w:tcBorders>
              <w:top w:val="single" w:sz="8" w:color="auto"/>
            </w:tcBorders>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35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Customer contracts and relationships</w:t>
            </w:r>
          </w:p>
        </w:tc>
        <w:tc>
          <w:tcPr>
            <w:tcW w:w="9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7.2</w:t>
            </w: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37,485</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(28,764 )</w:t>
            </w: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8,721</w:t>
            </w:r>
          </w:p>
        </w:tc>
        <w:tc>
          <w:tcPr>
            <w:tcW w:w="3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36,848</w:t>
            </w:r>
          </w:p>
        </w:tc>
        <w:tc>
          <w:tcPr>
            <w:tcW w:w="520" w:type="dxa"/>
            <w:vAlign w:val="bottom"/>
            <w:gridSpan w:val="3"/>
          </w:tcPr>
          <w:p>
            <w:pPr>
              <w:jc w:val="right"/>
              <w:ind w:right="88"/>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(28,372 )</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8,476</w:t>
            </w:r>
          </w:p>
        </w:tc>
        <w:tc>
          <w:tcPr>
            <w:tcW w:w="100" w:type="dxa"/>
            <w:vAlign w:val="bottom"/>
          </w:tcPr>
          <w:p>
            <w:pPr>
              <w:spacing w:after="0"/>
              <w:rPr>
                <w:sz w:val="18"/>
                <w:szCs w:val="18"/>
                <w:color w:val="auto"/>
              </w:rPr>
            </w:pPr>
          </w:p>
        </w:tc>
      </w:tr>
      <w:tr>
        <w:trPr>
          <w:trHeight w:val="216"/>
        </w:trPr>
        <w:tc>
          <w:tcPr>
            <w:tcW w:w="35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Operating contracts and licenses</w:t>
            </w:r>
          </w:p>
        </w:tc>
        <w:tc>
          <w:tcPr>
            <w:tcW w:w="920" w:type="dxa"/>
            <w:vAlign w:val="bottom"/>
            <w:shd w:val="clear" w:color="auto" w:fill="CFF0FC"/>
          </w:tcPr>
          <w:p>
            <w:pPr>
              <w:jc w:val="center"/>
              <w:spacing w:after="0"/>
              <w:rPr>
                <w:sz w:val="20"/>
                <w:szCs w:val="20"/>
                <w:color w:val="auto"/>
              </w:rPr>
            </w:pPr>
            <w:r>
              <w:rPr>
                <w:rFonts w:ascii="Times New Roman" w:cs="Times New Roman" w:eastAsia="Times New Roman" w:hAnsi="Times New Roman"/>
                <w:sz w:val="18"/>
                <w:szCs w:val="18"/>
                <w:color w:val="auto"/>
              </w:rPr>
              <w:t>34.6</w:t>
            </w:r>
          </w:p>
        </w:tc>
        <w:tc>
          <w:tcPr>
            <w:tcW w:w="1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41,444</w:t>
            </w:r>
          </w:p>
        </w:tc>
        <w:tc>
          <w:tcPr>
            <w:tcW w:w="2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(3,113 )</w:t>
            </w:r>
          </w:p>
        </w:tc>
        <w:tc>
          <w:tcPr>
            <w:tcW w:w="1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38,331</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40,927</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8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(2,660 )</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38,267</w:t>
            </w:r>
          </w:p>
        </w:tc>
        <w:tc>
          <w:tcPr>
            <w:tcW w:w="100" w:type="dxa"/>
            <w:vAlign w:val="bottom"/>
            <w:shd w:val="clear" w:color="auto" w:fill="CFF0FC"/>
          </w:tcPr>
          <w:p>
            <w:pPr>
              <w:spacing w:after="0"/>
              <w:rPr>
                <w:sz w:val="18"/>
                <w:szCs w:val="18"/>
                <w:color w:val="auto"/>
              </w:rPr>
            </w:pPr>
          </w:p>
        </w:tc>
      </w:tr>
      <w:tr>
        <w:trPr>
          <w:trHeight w:val="216"/>
        </w:trPr>
        <w:tc>
          <w:tcPr>
            <w:tcW w:w="35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In-place lease</w:t>
            </w:r>
          </w:p>
        </w:tc>
        <w:tc>
          <w:tcPr>
            <w:tcW w:w="9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34.3</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15,183</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(1,280 )</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13,903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15,464</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(1,084 )</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14,380</w:t>
            </w:r>
          </w:p>
        </w:tc>
        <w:tc>
          <w:tcPr>
            <w:tcW w:w="100" w:type="dxa"/>
            <w:vAlign w:val="bottom"/>
          </w:tcPr>
          <w:p>
            <w:pPr>
              <w:spacing w:after="0"/>
              <w:rPr>
                <w:sz w:val="18"/>
                <w:szCs w:val="18"/>
                <w:color w:val="auto"/>
              </w:rPr>
            </w:pPr>
          </w:p>
        </w:tc>
      </w:tr>
      <w:tr>
        <w:trPr>
          <w:trHeight w:val="216"/>
        </w:trPr>
        <w:tc>
          <w:tcPr>
            <w:tcW w:w="356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Tradenames</w:t>
            </w:r>
          </w:p>
        </w:tc>
        <w:tc>
          <w:tcPr>
            <w:tcW w:w="920" w:type="dxa"/>
            <w:vAlign w:val="bottom"/>
            <w:shd w:val="clear" w:color="auto" w:fill="CFF0FC"/>
          </w:tcPr>
          <w:p>
            <w:pPr>
              <w:jc w:val="center"/>
              <w:spacing w:after="0"/>
              <w:rPr>
                <w:sz w:val="20"/>
                <w:szCs w:val="20"/>
                <w:color w:val="auto"/>
              </w:rPr>
            </w:pPr>
            <w:r>
              <w:rPr>
                <w:rFonts w:ascii="Times New Roman" w:cs="Times New Roman" w:eastAsia="Times New Roman" w:hAnsi="Times New Roman"/>
                <w:sz w:val="18"/>
                <w:szCs w:val="18"/>
                <w:color w:val="auto"/>
              </w:rPr>
              <w:t>4.3</w:t>
            </w:r>
          </w:p>
        </w:tc>
        <w:tc>
          <w:tcPr>
            <w:tcW w:w="1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5,823</w:t>
            </w:r>
          </w:p>
        </w:tc>
        <w:tc>
          <w:tcPr>
            <w:tcW w:w="2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(3,128 )</w:t>
            </w:r>
          </w:p>
        </w:tc>
        <w:tc>
          <w:tcPr>
            <w:tcW w:w="1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2,695</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5,626</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8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(2,819 )</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7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2,807</w:t>
            </w:r>
          </w:p>
        </w:tc>
        <w:tc>
          <w:tcPr>
            <w:tcW w:w="100" w:type="dxa"/>
            <w:vAlign w:val="bottom"/>
            <w:shd w:val="clear" w:color="auto" w:fill="CFF0FC"/>
          </w:tcPr>
          <w:p>
            <w:pPr>
              <w:spacing w:after="0"/>
              <w:rPr>
                <w:sz w:val="18"/>
                <w:szCs w:val="18"/>
                <w:color w:val="auto"/>
              </w:rPr>
            </w:pPr>
          </w:p>
        </w:tc>
      </w:tr>
      <w:tr>
        <w:trPr>
          <w:trHeight w:val="216"/>
        </w:trPr>
        <w:tc>
          <w:tcPr>
            <w:tcW w:w="35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9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5.7</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810</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(154 )</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824</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(139 )</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685</w:t>
            </w:r>
          </w:p>
        </w:tc>
        <w:tc>
          <w:tcPr>
            <w:tcW w:w="100" w:type="dxa"/>
            <w:vAlign w:val="bottom"/>
          </w:tcPr>
          <w:p>
            <w:pPr>
              <w:spacing w:after="0"/>
              <w:rPr>
                <w:sz w:val="18"/>
                <w:szCs w:val="18"/>
                <w:color w:val="auto"/>
              </w:rPr>
            </w:pPr>
          </w:p>
        </w:tc>
      </w:tr>
      <w:tr>
        <w:trPr>
          <w:trHeight w:val="209"/>
        </w:trPr>
        <w:tc>
          <w:tcPr>
            <w:tcW w:w="35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amortized intangible assets</w:t>
            </w:r>
          </w:p>
        </w:tc>
        <w:tc>
          <w:tcPr>
            <w:tcW w:w="9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100,745</w:t>
            </w:r>
          </w:p>
        </w:tc>
        <w:tc>
          <w:tcPr>
            <w:tcW w:w="280" w:type="dxa"/>
            <w:vAlign w:val="bottom"/>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9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(36,439</w:t>
            </w:r>
          </w:p>
        </w:tc>
        <w:tc>
          <w:tcPr>
            <w:tcW w:w="1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7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64,306</w:t>
            </w:r>
          </w:p>
        </w:tc>
        <w:tc>
          <w:tcPr>
            <w:tcW w:w="10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tcBorders>
              <w:top w:val="single" w:sz="8" w:color="auto"/>
            </w:tcBorders>
            <w:shd w:val="clear" w:color="auto" w:fill="CFF0FC"/>
          </w:tcPr>
          <w:p>
            <w:pPr>
              <w:spacing w:after="0"/>
              <w:rPr>
                <w:sz w:val="18"/>
                <w:szCs w:val="18"/>
                <w:color w:val="auto"/>
              </w:rPr>
            </w:pP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99,689</w:t>
            </w: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8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(35,074</w:t>
            </w:r>
          </w:p>
        </w:tc>
        <w:tc>
          <w:tcPr>
            <w:tcW w:w="1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99"/>
              </w:rPr>
              <w:t>)</w:t>
            </w:r>
          </w:p>
        </w:tc>
        <w:tc>
          <w:tcPr>
            <w:tcW w:w="12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7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64,615</w:t>
            </w:r>
          </w:p>
        </w:tc>
        <w:tc>
          <w:tcPr>
            <w:tcW w:w="100" w:type="dxa"/>
            <w:vAlign w:val="bottom"/>
            <w:shd w:val="clear" w:color="auto" w:fill="CFF0FC"/>
          </w:tcPr>
          <w:p>
            <w:pPr>
              <w:spacing w:after="0"/>
              <w:rPr>
                <w:sz w:val="18"/>
                <w:szCs w:val="18"/>
                <w:color w:val="auto"/>
              </w:rPr>
            </w:pPr>
          </w:p>
        </w:tc>
      </w:tr>
      <w:tr>
        <w:trPr>
          <w:trHeight w:val="216"/>
        </w:trPr>
        <w:tc>
          <w:tcPr>
            <w:tcW w:w="3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Indefinite-lived intangible assets:</w:t>
            </w: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56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Business licenses</w:t>
            </w:r>
          </w:p>
        </w:tc>
        <w:tc>
          <w:tcPr>
            <w:tcW w:w="92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572</w:t>
            </w:r>
          </w:p>
        </w:tc>
        <w:tc>
          <w:tcPr>
            <w:tcW w:w="28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FF0FC"/>
            </w:tcBorders>
            <w:gridSpan w:val="2"/>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572</w:t>
            </w:r>
          </w:p>
        </w:tc>
        <w:tc>
          <w:tcPr>
            <w:tcW w:w="10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auto"/>
            </w:tcBorders>
            <w:shd w:val="clear" w:color="auto" w:fill="CFF0FC"/>
          </w:tcPr>
          <w:p>
            <w:pPr>
              <w:spacing w:after="0"/>
              <w:rPr>
                <w:sz w:val="18"/>
                <w:szCs w:val="18"/>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574</w:t>
            </w:r>
          </w:p>
        </w:tc>
        <w:tc>
          <w:tcPr>
            <w:tcW w:w="12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28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CFF0FC"/>
            </w:tcBorders>
            <w:gridSpan w:val="2"/>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7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574</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356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Other intangible assets, net</w:t>
            </w: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101,317</w:t>
            </w:r>
          </w:p>
        </w:tc>
        <w:tc>
          <w:tcPr>
            <w:tcW w:w="3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(36,439 )</w:t>
            </w:r>
          </w:p>
        </w:tc>
        <w:tc>
          <w:tcPr>
            <w:tcW w:w="14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64,878</w:t>
            </w:r>
          </w:p>
        </w:tc>
        <w:tc>
          <w:tcPr>
            <w:tcW w:w="3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100,263</w:t>
            </w:r>
          </w:p>
        </w:tc>
        <w:tc>
          <w:tcPr>
            <w:tcW w:w="520" w:type="dxa"/>
            <w:vAlign w:val="bottom"/>
            <w:gridSpan w:val="3"/>
          </w:tcPr>
          <w:p>
            <w:pPr>
              <w:jc w:val="right"/>
              <w:ind w:right="88"/>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(35,074 )</w:t>
            </w: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65,189</w:t>
            </w:r>
          </w:p>
        </w:tc>
        <w:tc>
          <w:tcPr>
            <w:tcW w:w="100" w:type="dxa"/>
            <w:vAlign w:val="bottom"/>
          </w:tcPr>
          <w:p>
            <w:pPr>
              <w:spacing w:after="0"/>
              <w:rPr>
                <w:sz w:val="18"/>
                <w:szCs w:val="18"/>
                <w:color w:val="auto"/>
              </w:rPr>
            </w:pPr>
          </w:p>
        </w:tc>
      </w:tr>
      <w:tr>
        <w:trPr>
          <w:trHeight w:val="20"/>
        </w:trPr>
        <w:tc>
          <w:tcPr>
            <w:tcW w:w="35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3446780</wp:posOffset>
            </wp:positionH>
            <wp:positionV relativeFrom="paragraph">
              <wp:posOffset>-170815</wp:posOffset>
            </wp:positionV>
            <wp:extent cx="76835" cy="825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4269105</wp:posOffset>
            </wp:positionH>
            <wp:positionV relativeFrom="paragraph">
              <wp:posOffset>-170815</wp:posOffset>
            </wp:positionV>
            <wp:extent cx="76835" cy="825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4954270</wp:posOffset>
            </wp:positionH>
            <wp:positionV relativeFrom="paragraph">
              <wp:posOffset>-170815</wp:posOffset>
            </wp:positionV>
            <wp:extent cx="68580" cy="825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5604510</wp:posOffset>
            </wp:positionH>
            <wp:positionV relativeFrom="paragraph">
              <wp:posOffset>-170815</wp:posOffset>
            </wp:positionV>
            <wp:extent cx="68580" cy="825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6392545</wp:posOffset>
            </wp:positionH>
            <wp:positionV relativeFrom="paragraph">
              <wp:posOffset>-170815</wp:posOffset>
            </wp:positionV>
            <wp:extent cx="68580" cy="825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6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Intangible asset amortization expense (excluding amortization expense of ROU assets) was $1.4 million for the three months ended June 30, 2022 and $2.6 million for the six months ended June 30, 2022. Intangible assets amortization expense was $1.6 million for the three months ended June 30, 2021 and $2.8 million for the six months ended June 30, 2021.</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 June 30, 2022, the estimated future amortization expense related to intangible assets subject to amortization is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37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60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Year ending December 31,</w:t>
            </w:r>
          </w:p>
        </w:tc>
        <w:tc>
          <w:tcPr>
            <w:tcW w:w="60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Remainder of 2022</w:t>
            </w:r>
          </w:p>
        </w:tc>
        <w:tc>
          <w:tcPr>
            <w:tcW w:w="648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2,686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2023</w:t>
            </w:r>
          </w:p>
        </w:tc>
        <w:tc>
          <w:tcPr>
            <w:tcW w:w="60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4,710</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2024</w:t>
            </w:r>
          </w:p>
        </w:tc>
        <w:tc>
          <w:tcPr>
            <w:tcW w:w="60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3,746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2025</w:t>
            </w:r>
          </w:p>
        </w:tc>
        <w:tc>
          <w:tcPr>
            <w:tcW w:w="6040" w:type="dxa"/>
            <w:vAlign w:val="bottom"/>
            <w:shd w:val="clear" w:color="auto" w:fill="CFF0FC"/>
          </w:tcPr>
          <w:p>
            <w:pPr>
              <w:spacing w:after="0"/>
              <w:rPr>
                <w:sz w:val="18"/>
                <w:szCs w:val="18"/>
                <w:color w:val="auto"/>
              </w:rPr>
            </w:pPr>
          </w:p>
        </w:tc>
        <w:tc>
          <w:tcPr>
            <w:tcW w:w="44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2,439</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2026</w:t>
            </w:r>
          </w:p>
        </w:tc>
        <w:tc>
          <w:tcPr>
            <w:tcW w:w="60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2,404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8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Thereafter</w:t>
            </w:r>
          </w:p>
        </w:tc>
        <w:tc>
          <w:tcPr>
            <w:tcW w:w="6040" w:type="dxa"/>
            <w:vAlign w:val="bottom"/>
            <w:tcBorders>
              <w:bottom w:val="single" w:sz="8" w:color="CFF0FC"/>
            </w:tcBorders>
            <w:shd w:val="clear" w:color="auto" w:fill="CFF0FC"/>
          </w:tcPr>
          <w:p>
            <w:pPr>
              <w:spacing w:after="0"/>
              <w:rPr>
                <w:sz w:val="18"/>
                <w:szCs w:val="18"/>
                <w:color w:val="auto"/>
              </w:rPr>
            </w:pPr>
          </w:p>
        </w:tc>
        <w:tc>
          <w:tcPr>
            <w:tcW w:w="440" w:type="dxa"/>
            <w:vAlign w:val="bottom"/>
            <w:tcBorders>
              <w:bottom w:val="single" w:sz="8" w:color="auto"/>
            </w:tcBorders>
            <w:shd w:val="clear" w:color="auto" w:fill="CFF0FC"/>
          </w:tcPr>
          <w:p>
            <w:pPr>
              <w:spacing w:after="0"/>
              <w:rPr>
                <w:sz w:val="18"/>
                <w:szCs w:val="18"/>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48,321</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78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w:t>
            </w:r>
          </w:p>
        </w:tc>
        <w:tc>
          <w:tcPr>
            <w:tcW w:w="6480" w:type="dxa"/>
            <w:vAlign w:val="bottom"/>
            <w:gridSpan w:val="2"/>
          </w:tcPr>
          <w:p>
            <w:pPr>
              <w:jc w:val="right"/>
              <w:ind w:right="34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64,306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6040" w:type="dxa"/>
            <w:vAlign w:val="bottom"/>
            <w:vMerge w:val="restart"/>
          </w:tcPr>
          <w:p>
            <w:pPr>
              <w:jc w:val="right"/>
              <w:ind w:right="4010"/>
              <w:spacing w:after="0"/>
              <w:rPr>
                <w:sz w:val="20"/>
                <w:szCs w:val="20"/>
                <w:color w:val="auto"/>
              </w:rPr>
            </w:pPr>
            <w:r>
              <w:rPr>
                <w:rFonts w:ascii="Times New Roman" w:cs="Times New Roman" w:eastAsia="Times New Roman" w:hAnsi="Times New Roman"/>
                <w:sz w:val="18"/>
                <w:szCs w:val="18"/>
                <w:color w:val="auto"/>
              </w:rPr>
              <w:t>16</w:t>
            </w:r>
          </w:p>
        </w:tc>
        <w:tc>
          <w:tcPr>
            <w:tcW w:w="4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4"/>
        </w:trPr>
        <w:tc>
          <w:tcPr>
            <w:tcW w:w="3780" w:type="dxa"/>
            <w:vAlign w:val="bottom"/>
          </w:tcPr>
          <w:p>
            <w:pPr>
              <w:spacing w:after="0"/>
              <w:rPr>
                <w:sz w:val="24"/>
                <w:szCs w:val="24"/>
                <w:color w:val="auto"/>
              </w:rPr>
            </w:pPr>
          </w:p>
        </w:tc>
        <w:tc>
          <w:tcPr>
            <w:tcW w:w="6040" w:type="dxa"/>
            <w:vAlign w:val="bottom"/>
            <w:vMerge w:val="continue"/>
          </w:tcPr>
          <w:p>
            <w:pPr>
              <w:spacing w:after="0"/>
              <w:rPr>
                <w:sz w:val="24"/>
                <w:szCs w:val="24"/>
                <w:color w:val="auto"/>
              </w:rPr>
            </w:pPr>
          </w:p>
        </w:tc>
        <w:tc>
          <w:tcPr>
            <w:tcW w:w="4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3780" w:type="dxa"/>
            <w:vAlign w:val="bottom"/>
            <w:tcBorders>
              <w:bottom w:val="single" w:sz="8" w:color="9A9A9A"/>
            </w:tcBorders>
          </w:tcPr>
          <w:p>
            <w:pPr>
              <w:spacing w:after="0"/>
              <w:rPr>
                <w:sz w:val="8"/>
                <w:szCs w:val="8"/>
                <w:color w:val="auto"/>
              </w:rPr>
            </w:pPr>
          </w:p>
        </w:tc>
        <w:tc>
          <w:tcPr>
            <w:tcW w:w="6040" w:type="dxa"/>
            <w:vAlign w:val="bottom"/>
            <w:tcBorders>
              <w:bottom w:val="single" w:sz="8" w:color="9A9A9A"/>
            </w:tcBorders>
          </w:tcPr>
          <w:p>
            <w:pPr>
              <w:spacing w:after="0"/>
              <w:rPr>
                <w:sz w:val="8"/>
                <w:szCs w:val="8"/>
                <w:color w:val="auto"/>
              </w:rPr>
            </w:pPr>
          </w:p>
        </w:tc>
        <w:tc>
          <w:tcPr>
            <w:tcW w:w="440" w:type="dxa"/>
            <w:vAlign w:val="bottom"/>
            <w:tcBorders>
              <w:bottom w:val="single" w:sz="8" w:color="9A9A9A"/>
            </w:tcBorders>
          </w:tcPr>
          <w:p>
            <w:pPr>
              <w:spacing w:after="0"/>
              <w:rPr>
                <w:sz w:val="8"/>
                <w:szCs w:val="8"/>
                <w:color w:val="auto"/>
              </w:rPr>
            </w:pPr>
          </w:p>
        </w:tc>
        <w:tc>
          <w:tcPr>
            <w:tcW w:w="88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-650240</wp:posOffset>
            </wp:positionV>
            <wp:extent cx="68580" cy="825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color w:val="auto"/>
        </w:rPr>
        <w:t xml:space="preserve">Note 10. </w:t>
      </w:r>
      <w:r>
        <w:rPr>
          <w:rFonts w:ascii="Times New Roman" w:cs="Times New Roman" w:eastAsia="Times New Roman" w:hAnsi="Times New Roman"/>
          <w:sz w:val="18"/>
          <w:szCs w:val="18"/>
          <w:b w:val="1"/>
          <w:bCs w:val="1"/>
          <w:u w:val="single" w:color="auto"/>
          <w:color w:val="auto"/>
        </w:rPr>
        <w:t>Other Current Liabilities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current liabilities consisted of the following:</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680" w:type="dxa"/>
            <w:vAlign w:val="bottom"/>
          </w:tcPr>
          <w:p>
            <w:pPr>
              <w:spacing w:after="0"/>
              <w:rPr>
                <w:sz w:val="15"/>
                <w:szCs w:val="15"/>
                <w:color w:val="auto"/>
              </w:rPr>
            </w:pPr>
          </w:p>
        </w:tc>
        <w:tc>
          <w:tcPr>
            <w:tcW w:w="2800" w:type="dxa"/>
            <w:vAlign w:val="bottom"/>
          </w:tcPr>
          <w:p>
            <w:pPr>
              <w:spacing w:after="0"/>
              <w:rPr>
                <w:sz w:val="15"/>
                <w:szCs w:val="15"/>
                <w:color w:val="auto"/>
              </w:rPr>
            </w:pPr>
          </w:p>
        </w:tc>
        <w:tc>
          <w:tcPr>
            <w:tcW w:w="1520" w:type="dxa"/>
            <w:vAlign w:val="bottom"/>
          </w:tcPr>
          <w:p>
            <w:pPr>
              <w:spacing w:after="0"/>
              <w:rPr>
                <w:sz w:val="15"/>
                <w:szCs w:val="15"/>
                <w:color w:val="auto"/>
              </w:rPr>
            </w:pPr>
          </w:p>
        </w:tc>
        <w:tc>
          <w:tcPr>
            <w:tcW w:w="26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500" w:type="dxa"/>
            <w:vAlign w:val="bottom"/>
            <w:gridSpan w:val="3"/>
          </w:tcPr>
          <w:p>
            <w:pPr>
              <w:ind w:left="18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340" w:type="dxa"/>
            <w:vAlign w:val="bottom"/>
          </w:tcPr>
          <w:p>
            <w:pPr>
              <w:jc w:val="center"/>
              <w:ind w:right="192"/>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66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57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500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Continuing operations:</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Commissions payable</w:t>
            </w:r>
          </w:p>
        </w:tc>
        <w:tc>
          <w:tcPr>
            <w:tcW w:w="3020" w:type="dxa"/>
            <w:vAlign w:val="bottom"/>
            <w:gridSpan w:val="3"/>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9,786</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4,119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Accommodation service deposits</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9,420</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892</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Accrued sales and use taxes</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8,688</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Self-insured liability</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5,428</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4,815</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Accrued employee benefit costs</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4,188</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4,164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Accrued concession fees</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3,089</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964</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Accrued professional fees</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1,310</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Current portion of pension and postretirement liabilities</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1,457</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1,637</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Accrued restructuring</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628</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Accrued interest payable</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233</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228</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Other taxes</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1,252</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tcBorders>
              <w:bottom w:val="single" w:sz="8" w:color="CFF0FC"/>
            </w:tcBorders>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660" w:type="dxa"/>
            <w:vAlign w:val="bottom"/>
            <w:tcBorders>
              <w:bottom w:val="single" w:sz="8" w:color="CFF0FC"/>
            </w:tcBorders>
            <w:shd w:val="clear" w:color="auto" w:fill="CFF0FC"/>
          </w:tcPr>
          <w:p>
            <w:pPr>
              <w:spacing w:after="0"/>
              <w:rPr>
                <w:sz w:val="18"/>
                <w:szCs w:val="18"/>
                <w:color w:val="auto"/>
              </w:rPr>
            </w:pPr>
          </w:p>
        </w:tc>
        <w:tc>
          <w:tcPr>
            <w:tcW w:w="60" w:type="dxa"/>
            <w:vAlign w:val="bottom"/>
            <w:tcBorders>
              <w:bottom w:val="single" w:sz="8" w:color="auto"/>
            </w:tcBorders>
            <w:shd w:val="clear" w:color="auto" w:fill="CFF0FC"/>
          </w:tcPr>
          <w:p>
            <w:pPr>
              <w:spacing w:after="0"/>
              <w:rPr>
                <w:sz w:val="18"/>
                <w:szCs w:val="18"/>
                <w:color w:val="auto"/>
              </w:rPr>
            </w:pPr>
          </w:p>
        </w:tc>
        <w:tc>
          <w:tcPr>
            <w:tcW w:w="300" w:type="dxa"/>
            <w:vAlign w:val="bottom"/>
            <w:tcBorders>
              <w:bottom w:val="single" w:sz="8" w:color="auto"/>
            </w:tcBorders>
            <w:shd w:val="clear" w:color="auto" w:fill="CFF0FC"/>
          </w:tcPr>
          <w:p>
            <w:pPr>
              <w:spacing w:after="0"/>
              <w:rPr>
                <w:sz w:val="18"/>
                <w:szCs w:val="18"/>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4,509</w:t>
            </w:r>
          </w:p>
        </w:tc>
        <w:tc>
          <w:tcPr>
            <w:tcW w:w="2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CFF0FC"/>
            </w:tcBorders>
            <w:shd w:val="clear" w:color="auto" w:fill="CFF0FC"/>
          </w:tcPr>
          <w:p>
            <w:pPr>
              <w:spacing w:after="0"/>
              <w:rPr>
                <w:sz w:val="18"/>
                <w:szCs w:val="18"/>
                <w:color w:val="auto"/>
              </w:rPr>
            </w:pPr>
          </w:p>
        </w:tc>
        <w:tc>
          <w:tcPr>
            <w:tcW w:w="40" w:type="dxa"/>
            <w:vAlign w:val="bottom"/>
            <w:tcBorders>
              <w:bottom w:val="single" w:sz="8" w:color="auto"/>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3,999</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Total continuing operations</w:t>
            </w:r>
          </w:p>
        </w:tc>
        <w:tc>
          <w:tcPr>
            <w:tcW w:w="2660" w:type="dxa"/>
            <w:vAlign w:val="bottom"/>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49,988</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27,823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00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Discontinued operations:</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Self-insured liability</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354</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Environmental remediation liabilities</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660" w:type="dxa"/>
            <w:vAlign w:val="bottom"/>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00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discontinued operations</w:t>
            </w:r>
          </w:p>
        </w:tc>
        <w:tc>
          <w:tcPr>
            <w:tcW w:w="2660" w:type="dxa"/>
            <w:vAlign w:val="bottom"/>
            <w:tcBorders>
              <w:bottom w:val="single" w:sz="8" w:color="CFF0FC"/>
            </w:tcBorders>
            <w:shd w:val="clear" w:color="auto" w:fill="CFF0FC"/>
          </w:tcPr>
          <w:p>
            <w:pPr>
              <w:spacing w:after="0"/>
              <w:rPr>
                <w:sz w:val="18"/>
                <w:szCs w:val="18"/>
                <w:color w:val="auto"/>
              </w:rPr>
            </w:pPr>
          </w:p>
        </w:tc>
        <w:tc>
          <w:tcPr>
            <w:tcW w:w="60" w:type="dxa"/>
            <w:vAlign w:val="bottom"/>
            <w:tcBorders>
              <w:bottom w:val="single" w:sz="8" w:color="auto"/>
            </w:tcBorders>
            <w:shd w:val="clear" w:color="auto" w:fill="CFF0FC"/>
          </w:tcPr>
          <w:p>
            <w:pPr>
              <w:spacing w:after="0"/>
              <w:rPr>
                <w:sz w:val="18"/>
                <w:szCs w:val="18"/>
                <w:color w:val="auto"/>
              </w:rPr>
            </w:pPr>
          </w:p>
        </w:tc>
        <w:tc>
          <w:tcPr>
            <w:tcW w:w="300" w:type="dxa"/>
            <w:vAlign w:val="bottom"/>
            <w:tcBorders>
              <w:bottom w:val="single" w:sz="8" w:color="auto"/>
            </w:tcBorders>
            <w:shd w:val="clear" w:color="auto" w:fill="CFF0FC"/>
          </w:tcPr>
          <w:p>
            <w:pPr>
              <w:spacing w:after="0"/>
              <w:rPr>
                <w:sz w:val="18"/>
                <w:szCs w:val="18"/>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2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CFF0FC"/>
            </w:tcBorders>
            <w:shd w:val="clear" w:color="auto" w:fill="CFF0FC"/>
          </w:tcPr>
          <w:p>
            <w:pPr>
              <w:spacing w:after="0"/>
              <w:rPr>
                <w:sz w:val="18"/>
                <w:szCs w:val="18"/>
                <w:color w:val="auto"/>
              </w:rPr>
            </w:pPr>
          </w:p>
        </w:tc>
        <w:tc>
          <w:tcPr>
            <w:tcW w:w="40" w:type="dxa"/>
            <w:vAlign w:val="bottom"/>
            <w:tcBorders>
              <w:bottom w:val="single" w:sz="8" w:color="auto"/>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Total other current liabilities</w:t>
            </w:r>
          </w:p>
        </w:tc>
        <w:tc>
          <w:tcPr>
            <w:tcW w:w="3020" w:type="dxa"/>
            <w:vAlign w:val="bottom"/>
            <w:gridSpan w:val="3"/>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50,488</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28,289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00" w:type="dxa"/>
            <w:vAlign w:val="bottom"/>
            <w:gridSpan w:val="3"/>
            <w:vMerge w:val="restart"/>
          </w:tcPr>
          <w:p>
            <w:pPr>
              <w:spacing w:after="0"/>
              <w:rPr>
                <w:sz w:val="20"/>
                <w:szCs w:val="20"/>
                <w:color w:val="auto"/>
              </w:rPr>
            </w:pPr>
            <w:r>
              <w:rPr>
                <w:rFonts w:ascii="Times New Roman" w:cs="Times New Roman" w:eastAsia="Times New Roman" w:hAnsi="Times New Roman"/>
                <w:sz w:val="18"/>
                <w:szCs w:val="18"/>
                <w:b w:val="1"/>
                <w:bCs w:val="1"/>
                <w:color w:val="auto"/>
              </w:rPr>
              <w:t>Note 11. Other Deferred Items and Liabilities</w:t>
            </w:r>
          </w:p>
        </w:tc>
        <w:tc>
          <w:tcPr>
            <w:tcW w:w="26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5"/>
        </w:trPr>
        <w:tc>
          <w:tcPr>
            <w:tcW w:w="5000" w:type="dxa"/>
            <w:vAlign w:val="bottom"/>
            <w:gridSpan w:val="3"/>
            <w:vMerge w:val="continue"/>
          </w:tcPr>
          <w:p>
            <w:pPr>
              <w:spacing w:after="0"/>
              <w:rPr>
                <w:sz w:val="24"/>
                <w:szCs w:val="24"/>
                <w:color w:val="auto"/>
              </w:rPr>
            </w:pPr>
          </w:p>
        </w:tc>
        <w:tc>
          <w:tcPr>
            <w:tcW w:w="2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280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6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1"/>
        </w:trPr>
        <w:tc>
          <w:tcPr>
            <w:tcW w:w="500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Other deferred items and liabilities consisted of the following:</w:t>
            </w:r>
          </w:p>
        </w:tc>
        <w:tc>
          <w:tcPr>
            <w:tcW w:w="2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6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500" w:type="dxa"/>
            <w:vAlign w:val="bottom"/>
            <w:gridSpan w:val="3"/>
          </w:tcPr>
          <w:p>
            <w:pPr>
              <w:ind w:left="22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jc w:val="center"/>
              <w:ind w:right="152"/>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6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jc w:val="right"/>
              <w:ind w:right="5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5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5000" w:type="dxa"/>
            <w:vAlign w:val="bottom"/>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Continuing operations:</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Foreign deferred tax liability</w:t>
            </w:r>
          </w:p>
        </w:tc>
        <w:tc>
          <w:tcPr>
            <w:tcW w:w="3020" w:type="dxa"/>
            <w:vAlign w:val="bottom"/>
            <w:gridSpan w:val="3"/>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28,636</w:t>
            </w:r>
          </w:p>
        </w:tc>
        <w:tc>
          <w:tcPr>
            <w:tcW w:w="240" w:type="dxa"/>
            <w:vAlign w:val="bottom"/>
          </w:tcPr>
          <w:p>
            <w:pPr>
              <w:spacing w:after="0"/>
              <w:rPr>
                <w:sz w:val="18"/>
                <w:szCs w:val="18"/>
                <w:color w:val="auto"/>
              </w:rPr>
            </w:pPr>
          </w:p>
        </w:tc>
        <w:tc>
          <w:tcPr>
            <w:tcW w:w="28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27,748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Multi-employer pension plan withdrawal liability</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14,041</w:t>
            </w: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14,260</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Self-insured excess liability</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6,847</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6,847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Self-insured liability</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4,944</w:t>
            </w: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5,119</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Accrued compensation</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4,708</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5,696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Accrued restructuring</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2,629</w:t>
            </w: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2,571</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3,144</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2,758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00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continuing operations</w:t>
            </w:r>
          </w:p>
        </w:tc>
        <w:tc>
          <w:tcPr>
            <w:tcW w:w="2660" w:type="dxa"/>
            <w:vAlign w:val="bottom"/>
            <w:tcBorders>
              <w:bottom w:val="single" w:sz="8" w:color="CFF0FC"/>
            </w:tcBorders>
            <w:shd w:val="clear" w:color="auto" w:fill="CFF0FC"/>
          </w:tcPr>
          <w:p>
            <w:pPr>
              <w:spacing w:after="0"/>
              <w:rPr>
                <w:sz w:val="18"/>
                <w:szCs w:val="18"/>
                <w:color w:val="auto"/>
              </w:rPr>
            </w:pPr>
          </w:p>
        </w:tc>
        <w:tc>
          <w:tcPr>
            <w:tcW w:w="60" w:type="dxa"/>
            <w:vAlign w:val="bottom"/>
            <w:tcBorders>
              <w:bottom w:val="single" w:sz="8" w:color="CFF0FC"/>
            </w:tcBorders>
            <w:shd w:val="clear" w:color="auto" w:fill="CFF0FC"/>
          </w:tcPr>
          <w:p>
            <w:pPr>
              <w:spacing w:after="0"/>
              <w:rPr>
                <w:sz w:val="18"/>
                <w:szCs w:val="18"/>
                <w:color w:val="auto"/>
              </w:rPr>
            </w:pPr>
          </w:p>
        </w:tc>
        <w:tc>
          <w:tcPr>
            <w:tcW w:w="300" w:type="dxa"/>
            <w:vAlign w:val="bottom"/>
            <w:tcBorders>
              <w:bottom w:val="single" w:sz="8" w:color="auto"/>
            </w:tcBorders>
            <w:shd w:val="clear" w:color="auto" w:fill="CFF0FC"/>
          </w:tcPr>
          <w:p>
            <w:pPr>
              <w:spacing w:after="0"/>
              <w:rPr>
                <w:sz w:val="18"/>
                <w:szCs w:val="18"/>
                <w:color w:val="auto"/>
              </w:rPr>
            </w:pPr>
          </w:p>
        </w:tc>
        <w:tc>
          <w:tcPr>
            <w:tcW w:w="126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64,949</w:t>
            </w:r>
          </w:p>
        </w:tc>
        <w:tc>
          <w:tcPr>
            <w:tcW w:w="240" w:type="dxa"/>
            <w:vAlign w:val="bottom"/>
            <w:tcBorders>
              <w:bottom w:val="single" w:sz="8" w:color="CFF0FC"/>
            </w:tcBorders>
            <w:shd w:val="clear" w:color="auto" w:fill="CFF0FC"/>
          </w:tcPr>
          <w:p>
            <w:pPr>
              <w:spacing w:after="0"/>
              <w:rPr>
                <w:sz w:val="18"/>
                <w:szCs w:val="18"/>
                <w:color w:val="auto"/>
              </w:rPr>
            </w:pPr>
          </w:p>
        </w:tc>
        <w:tc>
          <w:tcPr>
            <w:tcW w:w="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64,999</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Discontinued operations:</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Environmental remediation liabilities</w:t>
            </w:r>
          </w:p>
        </w:tc>
        <w:tc>
          <w:tcPr>
            <w:tcW w:w="266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2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2,176</w:t>
            </w:r>
          </w:p>
        </w:tc>
        <w:tc>
          <w:tcPr>
            <w:tcW w:w="24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2,168</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gridSpan w:val="3"/>
          </w:tcPr>
          <w:p>
            <w:pPr>
              <w:ind w:left="200"/>
              <w:spacing w:after="0"/>
              <w:rPr>
                <w:sz w:val="20"/>
                <w:szCs w:val="20"/>
                <w:color w:val="auto"/>
              </w:rPr>
            </w:pPr>
            <w:r>
              <w:rPr>
                <w:rFonts w:ascii="Times New Roman" w:cs="Times New Roman" w:eastAsia="Times New Roman" w:hAnsi="Times New Roman"/>
                <w:sz w:val="18"/>
                <w:szCs w:val="18"/>
                <w:color w:val="auto"/>
              </w:rPr>
              <w:t>Self-insured liability</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1,428</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1,535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00" w:type="dxa"/>
            <w:vAlign w:val="bottom"/>
            <w:tcBorders>
              <w:bottom w:val="single" w:sz="8" w:color="CFF0FC"/>
            </w:tcBorders>
            <w:gridSpan w:val="3"/>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660" w:type="dxa"/>
            <w:vAlign w:val="bottom"/>
            <w:tcBorders>
              <w:bottom w:val="single" w:sz="8" w:color="CFF0FC"/>
            </w:tcBorders>
            <w:shd w:val="clear" w:color="auto" w:fill="CFF0FC"/>
          </w:tcPr>
          <w:p>
            <w:pPr>
              <w:spacing w:after="0"/>
              <w:rPr>
                <w:sz w:val="18"/>
                <w:szCs w:val="18"/>
                <w:color w:val="auto"/>
              </w:rPr>
            </w:pPr>
          </w:p>
        </w:tc>
        <w:tc>
          <w:tcPr>
            <w:tcW w:w="60" w:type="dxa"/>
            <w:vAlign w:val="bottom"/>
            <w:tcBorders>
              <w:bottom w:val="single" w:sz="8" w:color="CFF0FC"/>
            </w:tcBorders>
            <w:shd w:val="clear" w:color="auto" w:fill="CFF0FC"/>
          </w:tcPr>
          <w:p>
            <w:pPr>
              <w:spacing w:after="0"/>
              <w:rPr>
                <w:sz w:val="18"/>
                <w:szCs w:val="18"/>
                <w:color w:val="auto"/>
              </w:rPr>
            </w:pPr>
          </w:p>
        </w:tc>
        <w:tc>
          <w:tcPr>
            <w:tcW w:w="300" w:type="dxa"/>
            <w:vAlign w:val="bottom"/>
            <w:tcBorders>
              <w:bottom w:val="single" w:sz="8" w:color="auto"/>
            </w:tcBorders>
            <w:shd w:val="clear" w:color="auto" w:fill="CFF0FC"/>
          </w:tcPr>
          <w:p>
            <w:pPr>
              <w:spacing w:after="0"/>
              <w:rPr>
                <w:sz w:val="18"/>
                <w:szCs w:val="18"/>
                <w:color w:val="auto"/>
              </w:rPr>
            </w:pPr>
          </w:p>
        </w:tc>
        <w:tc>
          <w:tcPr>
            <w:tcW w:w="126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250</w:t>
            </w:r>
          </w:p>
        </w:tc>
        <w:tc>
          <w:tcPr>
            <w:tcW w:w="240" w:type="dxa"/>
            <w:vAlign w:val="bottom"/>
            <w:tcBorders>
              <w:bottom w:val="single" w:sz="8" w:color="CFF0FC"/>
            </w:tcBorders>
            <w:shd w:val="clear" w:color="auto" w:fill="CFF0FC"/>
          </w:tcPr>
          <w:p>
            <w:pPr>
              <w:spacing w:after="0"/>
              <w:rPr>
                <w:sz w:val="18"/>
                <w:szCs w:val="18"/>
                <w:color w:val="auto"/>
              </w:rPr>
            </w:pPr>
          </w:p>
        </w:tc>
        <w:tc>
          <w:tcPr>
            <w:tcW w:w="4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251</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0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Total discontinued operations</w:t>
            </w:r>
          </w:p>
        </w:tc>
        <w:tc>
          <w:tcPr>
            <w:tcW w:w="26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3,854</w:t>
            </w:r>
          </w:p>
        </w:tc>
        <w:tc>
          <w:tcPr>
            <w:tcW w:w="2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3,954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5000" w:type="dxa"/>
            <w:vAlign w:val="bottom"/>
            <w:tcBorders>
              <w:bottom w:val="single" w:sz="8" w:color="CFF0FC"/>
            </w:tcBorders>
            <w:gridSpan w:val="3"/>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other deferred items and liabilities</w:t>
            </w:r>
          </w:p>
        </w:tc>
        <w:tc>
          <w:tcPr>
            <w:tcW w:w="2720" w:type="dxa"/>
            <w:vAlign w:val="bottom"/>
            <w:tcBorders>
              <w:bottom w:val="single" w:sz="8" w:color="CFF0FC"/>
            </w:tcBorders>
            <w:gridSpan w:val="2"/>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68,803</w:t>
            </w:r>
          </w:p>
        </w:tc>
        <w:tc>
          <w:tcPr>
            <w:tcW w:w="240" w:type="dxa"/>
            <w:vAlign w:val="bottom"/>
            <w:tcBorders>
              <w:bottom w:val="single" w:sz="8" w:color="CFF0FC"/>
            </w:tcBorders>
            <w:shd w:val="clear" w:color="auto" w:fill="CFF0FC"/>
          </w:tcPr>
          <w:p>
            <w:pPr>
              <w:spacing w:after="0"/>
              <w:rPr>
                <w:sz w:val="21"/>
                <w:szCs w:val="21"/>
                <w:color w:val="auto"/>
              </w:rPr>
            </w:pPr>
          </w:p>
        </w:tc>
        <w:tc>
          <w:tcPr>
            <w:tcW w:w="4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68,953</w:t>
            </w:r>
          </w:p>
        </w:tc>
        <w:tc>
          <w:tcPr>
            <w:tcW w:w="10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614"/>
        </w:trPr>
        <w:tc>
          <w:tcPr>
            <w:tcW w:w="68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2660" w:type="dxa"/>
            <w:vAlign w:val="bottom"/>
          </w:tcPr>
          <w:p>
            <w:pPr>
              <w:jc w:val="right"/>
              <w:ind w:right="1850"/>
              <w:spacing w:after="0"/>
              <w:rPr>
                <w:sz w:val="20"/>
                <w:szCs w:val="20"/>
                <w:color w:val="auto"/>
              </w:rPr>
            </w:pPr>
            <w:r>
              <w:rPr>
                <w:rFonts w:ascii="Times New Roman" w:cs="Times New Roman" w:eastAsia="Times New Roman" w:hAnsi="Times New Roman"/>
                <w:sz w:val="18"/>
                <w:szCs w:val="18"/>
                <w:color w:val="auto"/>
              </w:rPr>
              <w:t>17</w:t>
            </w: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680" w:type="dxa"/>
            <w:vAlign w:val="bottom"/>
            <w:tcBorders>
              <w:bottom w:val="single" w:sz="8" w:color="9A9A9A"/>
            </w:tcBorders>
          </w:tcPr>
          <w:p>
            <w:pPr>
              <w:spacing w:after="0"/>
              <w:rPr>
                <w:sz w:val="8"/>
                <w:szCs w:val="8"/>
                <w:color w:val="auto"/>
              </w:rPr>
            </w:pPr>
          </w:p>
        </w:tc>
        <w:tc>
          <w:tcPr>
            <w:tcW w:w="2800" w:type="dxa"/>
            <w:vAlign w:val="bottom"/>
            <w:tcBorders>
              <w:bottom w:val="single" w:sz="8" w:color="9A9A9A"/>
            </w:tcBorders>
          </w:tcPr>
          <w:p>
            <w:pPr>
              <w:spacing w:after="0"/>
              <w:rPr>
                <w:sz w:val="8"/>
                <w:szCs w:val="8"/>
                <w:color w:val="auto"/>
              </w:rPr>
            </w:pPr>
          </w:p>
        </w:tc>
        <w:tc>
          <w:tcPr>
            <w:tcW w:w="1520" w:type="dxa"/>
            <w:vAlign w:val="bottom"/>
            <w:tcBorders>
              <w:bottom w:val="single" w:sz="8" w:color="9A9A9A"/>
            </w:tcBorders>
          </w:tcPr>
          <w:p>
            <w:pPr>
              <w:spacing w:after="0"/>
              <w:rPr>
                <w:sz w:val="8"/>
                <w:szCs w:val="8"/>
                <w:color w:val="auto"/>
              </w:rPr>
            </w:pPr>
          </w:p>
        </w:tc>
        <w:tc>
          <w:tcPr>
            <w:tcW w:w="266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124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4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240" w:type="dxa"/>
            <w:vAlign w:val="bottom"/>
            <w:tcBorders>
              <w:bottom w:val="single" w:sz="8" w:color="9A9A9A"/>
            </w:tcBorders>
          </w:tcPr>
          <w:p>
            <w:pPr>
              <w:spacing w:after="0"/>
              <w:rPr>
                <w:sz w:val="8"/>
                <w:szCs w:val="8"/>
                <w:color w:val="auto"/>
              </w:rPr>
            </w:pPr>
          </w:p>
        </w:tc>
        <w:tc>
          <w:tcPr>
            <w:tcW w:w="134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5878830</wp:posOffset>
            </wp:positionH>
            <wp:positionV relativeFrom="paragraph">
              <wp:posOffset>-4648835</wp:posOffset>
            </wp:positionV>
            <wp:extent cx="68580" cy="825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-4648835</wp:posOffset>
            </wp:positionV>
            <wp:extent cx="68580" cy="825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5878830</wp:posOffset>
            </wp:positionH>
            <wp:positionV relativeFrom="paragraph">
              <wp:posOffset>-3801110</wp:posOffset>
            </wp:positionV>
            <wp:extent cx="68580" cy="825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-3801110</wp:posOffset>
            </wp:positionV>
            <wp:extent cx="68580" cy="825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5895975</wp:posOffset>
            </wp:positionH>
            <wp:positionV relativeFrom="paragraph">
              <wp:posOffset>-1351915</wp:posOffset>
            </wp:positionV>
            <wp:extent cx="76835" cy="825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-1351915</wp:posOffset>
            </wp:positionV>
            <wp:extent cx="68580" cy="825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5895975</wp:posOffset>
            </wp:positionH>
            <wp:positionV relativeFrom="paragraph">
              <wp:posOffset>-795655</wp:posOffset>
            </wp:positionV>
            <wp:extent cx="76835" cy="825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-795655</wp:posOffset>
            </wp:positionV>
            <wp:extent cx="68580" cy="825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5895975</wp:posOffset>
            </wp:positionH>
            <wp:positionV relativeFrom="paragraph">
              <wp:posOffset>-504825</wp:posOffset>
            </wp:positionV>
            <wp:extent cx="76835" cy="825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5895975</wp:posOffset>
            </wp:positionH>
            <wp:positionV relativeFrom="paragraph">
              <wp:posOffset>-487680</wp:posOffset>
            </wp:positionV>
            <wp:extent cx="76835" cy="825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-504825</wp:posOffset>
            </wp:positionV>
            <wp:extent cx="68580" cy="825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-487680</wp:posOffset>
            </wp:positionV>
            <wp:extent cx="68580" cy="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b w:val="1"/>
          <w:bCs w:val="1"/>
          <w:color w:val="auto"/>
        </w:rPr>
        <w:t xml:space="preserve">Note 12. </w:t>
      </w:r>
      <w:r>
        <w:rPr>
          <w:rFonts w:ascii="Times New Roman" w:cs="Times New Roman" w:eastAsia="Times New Roman" w:hAnsi="Times New Roman"/>
          <w:sz w:val="18"/>
          <w:szCs w:val="18"/>
          <w:b w:val="1"/>
          <w:bCs w:val="1"/>
          <w:u w:val="single" w:color="auto"/>
          <w:color w:val="auto"/>
        </w:rPr>
        <w:t>Debt and Finance Obligations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debt and finance obligations consisted of the following:</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7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540" w:type="dxa"/>
            <w:vAlign w:val="bottom"/>
            <w:gridSpan w:val="2"/>
          </w:tcPr>
          <w:p>
            <w:pPr>
              <w:jc w:val="right"/>
              <w:ind w:right="80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240" w:type="dxa"/>
            <w:vAlign w:val="bottom"/>
          </w:tcPr>
          <w:p>
            <w:pPr>
              <w:spacing w:after="0"/>
              <w:rPr>
                <w:sz w:val="15"/>
                <w:szCs w:val="15"/>
                <w:color w:val="auto"/>
              </w:rPr>
            </w:pPr>
          </w:p>
        </w:tc>
        <w:tc>
          <w:tcPr>
            <w:tcW w:w="1440" w:type="dxa"/>
            <w:vAlign w:val="bottom"/>
            <w:gridSpan w:val="2"/>
          </w:tcPr>
          <w:p>
            <w:pPr>
              <w:jc w:val="right"/>
              <w:ind w:right="48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87"/>
        </w:trPr>
        <w:tc>
          <w:tcPr>
            <w:tcW w:w="77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 except interest rates)</w:t>
            </w:r>
          </w:p>
        </w:tc>
        <w:tc>
          <w:tcPr>
            <w:tcW w:w="3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7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right"/>
              <w:ind w:right="55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155"/>
        </w:trPr>
        <w:tc>
          <w:tcPr>
            <w:tcW w:w="7700" w:type="dxa"/>
            <w:vAlign w:val="bottom"/>
            <w:shd w:val="clear" w:color="auto" w:fill="CFF0FC"/>
          </w:tcPr>
          <w:p>
            <w:pPr>
              <w:ind w:left="20"/>
              <w:spacing w:after="0" w:line="156" w:lineRule="exact"/>
              <w:rPr>
                <w:sz w:val="20"/>
                <w:szCs w:val="20"/>
                <w:color w:val="auto"/>
              </w:rPr>
            </w:pPr>
            <w:r>
              <w:rPr>
                <w:rFonts w:ascii="Times New Roman" w:cs="Times New Roman" w:eastAsia="Times New Roman" w:hAnsi="Times New Roman"/>
                <w:sz w:val="18"/>
                <w:szCs w:val="18"/>
                <w:color w:val="auto"/>
              </w:rPr>
              <w:t>2021 Credit Facility - Term Loan B, 6.1% interest rate at June 30, 2022 and 5.5% at December 31,</w:t>
            </w:r>
          </w:p>
        </w:tc>
        <w:tc>
          <w:tcPr>
            <w:tcW w:w="320" w:type="dxa"/>
            <w:vAlign w:val="bottom"/>
            <w:shd w:val="clear" w:color="auto" w:fill="CFF0FC"/>
          </w:tcPr>
          <w:p>
            <w:pPr>
              <w:spacing w:after="0"/>
              <w:rPr>
                <w:sz w:val="13"/>
                <w:szCs w:val="13"/>
                <w:color w:val="auto"/>
              </w:rPr>
            </w:pPr>
          </w:p>
        </w:tc>
        <w:tc>
          <w:tcPr>
            <w:tcW w:w="1280" w:type="dxa"/>
            <w:vAlign w:val="bottom"/>
            <w:shd w:val="clear" w:color="auto" w:fill="CFF0FC"/>
          </w:tcPr>
          <w:p>
            <w:pPr>
              <w:spacing w:after="0"/>
              <w:rPr>
                <w:sz w:val="13"/>
                <w:szCs w:val="13"/>
                <w:color w:val="auto"/>
              </w:rPr>
            </w:pPr>
          </w:p>
        </w:tc>
        <w:tc>
          <w:tcPr>
            <w:tcW w:w="260" w:type="dxa"/>
            <w:vAlign w:val="bottom"/>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34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r>
      <w:tr>
        <w:trPr>
          <w:trHeight w:val="243"/>
        </w:trPr>
        <w:tc>
          <w:tcPr>
            <w:tcW w:w="7700" w:type="dxa"/>
            <w:vAlign w:val="bottom"/>
            <w:shd w:val="clear" w:color="auto" w:fill="CFF0FC"/>
          </w:tcPr>
          <w:p>
            <w:pPr>
              <w:ind w:left="20"/>
              <w:spacing w:after="0" w:line="243" w:lineRule="exact"/>
              <w:rPr>
                <w:sz w:val="20"/>
                <w:szCs w:val="20"/>
                <w:color w:val="auto"/>
              </w:rPr>
            </w:pPr>
            <w:r>
              <w:rPr>
                <w:rFonts w:ascii="Times New Roman" w:cs="Times New Roman" w:eastAsia="Times New Roman" w:hAnsi="Times New Roman"/>
                <w:sz w:val="18"/>
                <w:szCs w:val="18"/>
                <w:color w:val="auto"/>
              </w:rPr>
              <w:t>2021, due through 2028</w:t>
            </w:r>
            <w:r>
              <w:rPr>
                <w:rFonts w:ascii="Times New Roman" w:cs="Times New Roman" w:eastAsia="Times New Roman" w:hAnsi="Times New Roman"/>
                <w:sz w:val="24"/>
                <w:szCs w:val="24"/>
                <w:color w:val="auto"/>
                <w:vertAlign w:val="superscript"/>
              </w:rPr>
              <w:t>(1)</w:t>
            </w:r>
          </w:p>
        </w:tc>
        <w:tc>
          <w:tcPr>
            <w:tcW w:w="320" w:type="dxa"/>
            <w:vAlign w:val="bottom"/>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397,000</w:t>
            </w:r>
          </w:p>
        </w:tc>
        <w:tc>
          <w:tcPr>
            <w:tcW w:w="260" w:type="dxa"/>
            <w:vAlign w:val="bottom"/>
            <w:shd w:val="clear" w:color="auto" w:fill="CFF0FC"/>
          </w:tcPr>
          <w:p>
            <w:pPr>
              <w:spacing w:after="0"/>
              <w:rPr>
                <w:sz w:val="21"/>
                <w:szCs w:val="21"/>
                <w:color w:val="auto"/>
              </w:rPr>
            </w:pPr>
          </w:p>
        </w:tc>
        <w:tc>
          <w:tcPr>
            <w:tcW w:w="240" w:type="dxa"/>
            <w:vAlign w:val="bottom"/>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399,000</w:t>
            </w:r>
          </w:p>
        </w:tc>
        <w:tc>
          <w:tcPr>
            <w:tcW w:w="100" w:type="dxa"/>
            <w:vAlign w:val="bottom"/>
            <w:shd w:val="clear" w:color="auto" w:fill="CFF0FC"/>
          </w:tcPr>
          <w:p>
            <w:pPr>
              <w:spacing w:after="0"/>
              <w:rPr>
                <w:sz w:val="21"/>
                <w:szCs w:val="21"/>
                <w:color w:val="auto"/>
              </w:rPr>
            </w:pPr>
          </w:p>
        </w:tc>
      </w:tr>
      <w:tr>
        <w:trPr>
          <w:trHeight w:val="162"/>
        </w:trPr>
        <w:tc>
          <w:tcPr>
            <w:tcW w:w="7700" w:type="dxa"/>
            <w:vAlign w:val="bottom"/>
          </w:tcPr>
          <w:p>
            <w:pPr>
              <w:ind w:left="20"/>
              <w:spacing w:after="0" w:line="162" w:lineRule="exact"/>
              <w:rPr>
                <w:sz w:val="20"/>
                <w:szCs w:val="20"/>
                <w:color w:val="auto"/>
              </w:rPr>
            </w:pPr>
            <w:r>
              <w:rPr>
                <w:rFonts w:ascii="Times New Roman" w:cs="Times New Roman" w:eastAsia="Times New Roman" w:hAnsi="Times New Roman"/>
                <w:sz w:val="18"/>
                <w:szCs w:val="18"/>
                <w:color w:val="auto"/>
              </w:rPr>
              <w:t>2021 Credit Facility - Revolving Credit Facility, 7.3% weighted-average interest rate at June 30, 2022,</w:t>
            </w:r>
          </w:p>
        </w:tc>
        <w:tc>
          <w:tcPr>
            <w:tcW w:w="3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43"/>
        </w:trPr>
        <w:tc>
          <w:tcPr>
            <w:tcW w:w="7700" w:type="dxa"/>
            <w:vAlign w:val="bottom"/>
          </w:tcPr>
          <w:p>
            <w:pPr>
              <w:ind w:left="20"/>
              <w:spacing w:after="0" w:line="243" w:lineRule="exact"/>
              <w:rPr>
                <w:sz w:val="20"/>
                <w:szCs w:val="20"/>
                <w:color w:val="auto"/>
              </w:rPr>
            </w:pPr>
            <w:r>
              <w:rPr>
                <w:rFonts w:ascii="Times New Roman" w:cs="Times New Roman" w:eastAsia="Times New Roman" w:hAnsi="Times New Roman"/>
                <w:sz w:val="18"/>
                <w:szCs w:val="18"/>
                <w:color w:val="auto"/>
              </w:rPr>
              <w:t>due through 2026</w:t>
            </w:r>
            <w:r>
              <w:rPr>
                <w:rFonts w:ascii="Times New Roman" w:cs="Times New Roman" w:eastAsia="Times New Roman" w:hAnsi="Times New Roman"/>
                <w:sz w:val="24"/>
                <w:szCs w:val="24"/>
                <w:color w:val="auto"/>
                <w:vertAlign w:val="superscript"/>
              </w:rPr>
              <w:t>(1)</w:t>
            </w:r>
          </w:p>
        </w:tc>
        <w:tc>
          <w:tcPr>
            <w:tcW w:w="3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15,000</w:t>
            </w: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4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Forest Park Hotel Construction Loan Facility, 4.8% interest rate at June 30, 2022, due through 2027</w:t>
            </w:r>
            <w:r>
              <w:rPr>
                <w:rFonts w:ascii="Times New Roman" w:cs="Times New Roman" w:eastAsia="Times New Roman" w:hAnsi="Times New Roman"/>
                <w:sz w:val="8"/>
                <w:szCs w:val="8"/>
                <w:color w:val="auto"/>
              </w:rPr>
              <w:t>(1)</w:t>
            </w:r>
          </w:p>
        </w:tc>
        <w:tc>
          <w:tcPr>
            <w:tcW w:w="320" w:type="dxa"/>
            <w:vAlign w:val="bottom"/>
            <w:shd w:val="clear" w:color="auto" w:fill="CFF0FC"/>
          </w:tcPr>
          <w:p>
            <w:pPr>
              <w:spacing w:after="0"/>
              <w:rPr>
                <w:sz w:val="18"/>
                <w:szCs w:val="18"/>
                <w:color w:val="auto"/>
              </w:rPr>
            </w:pPr>
          </w:p>
        </w:tc>
        <w:tc>
          <w:tcPr>
            <w:tcW w:w="1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8,634</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162"/>
        </w:trPr>
        <w:tc>
          <w:tcPr>
            <w:tcW w:w="7700" w:type="dxa"/>
            <w:vAlign w:val="bottom"/>
          </w:tcPr>
          <w:p>
            <w:pPr>
              <w:ind w:left="20"/>
              <w:spacing w:after="0" w:line="162" w:lineRule="exact"/>
              <w:rPr>
                <w:sz w:val="20"/>
                <w:szCs w:val="20"/>
                <w:color w:val="auto"/>
              </w:rPr>
            </w:pPr>
            <w:r>
              <w:rPr>
                <w:rFonts w:ascii="Times New Roman" w:cs="Times New Roman" w:eastAsia="Times New Roman" w:hAnsi="Times New Roman"/>
                <w:sz w:val="18"/>
                <w:szCs w:val="18"/>
                <w:color w:val="auto"/>
              </w:rPr>
              <w:t>FlyOver Iceland Credit Facility, 4.9% interest rate at June 30, 2022 and December 31, 2021, due</w:t>
            </w:r>
          </w:p>
        </w:tc>
        <w:tc>
          <w:tcPr>
            <w:tcW w:w="3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43"/>
        </w:trPr>
        <w:tc>
          <w:tcPr>
            <w:tcW w:w="7700" w:type="dxa"/>
            <w:vAlign w:val="bottom"/>
          </w:tcPr>
          <w:p>
            <w:pPr>
              <w:ind w:left="20"/>
              <w:spacing w:after="0" w:line="243" w:lineRule="exact"/>
              <w:rPr>
                <w:sz w:val="20"/>
                <w:szCs w:val="20"/>
                <w:color w:val="auto"/>
              </w:rPr>
            </w:pPr>
            <w:r>
              <w:rPr>
                <w:rFonts w:ascii="Times New Roman" w:cs="Times New Roman" w:eastAsia="Times New Roman" w:hAnsi="Times New Roman"/>
                <w:sz w:val="18"/>
                <w:szCs w:val="18"/>
                <w:color w:val="auto"/>
              </w:rPr>
              <w:t>through 2025</w:t>
            </w:r>
            <w:r>
              <w:rPr>
                <w:rFonts w:ascii="Times New Roman" w:cs="Times New Roman" w:eastAsia="Times New Roman" w:hAnsi="Times New Roman"/>
                <w:sz w:val="24"/>
                <w:szCs w:val="24"/>
                <w:color w:val="auto"/>
                <w:vertAlign w:val="superscript"/>
              </w:rPr>
              <w:t>(1)</w:t>
            </w:r>
          </w:p>
        </w:tc>
        <w:tc>
          <w:tcPr>
            <w:tcW w:w="3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5,123</w:t>
            </w:r>
          </w:p>
        </w:tc>
        <w:tc>
          <w:tcPr>
            <w:tcW w:w="2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5,566</w:t>
            </w:r>
          </w:p>
        </w:tc>
        <w:tc>
          <w:tcPr>
            <w:tcW w:w="100" w:type="dxa"/>
            <w:vAlign w:val="bottom"/>
          </w:tcPr>
          <w:p>
            <w:pPr>
              <w:spacing w:after="0"/>
              <w:rPr>
                <w:sz w:val="21"/>
                <w:szCs w:val="21"/>
                <w:color w:val="auto"/>
              </w:rPr>
            </w:pPr>
          </w:p>
        </w:tc>
      </w:tr>
      <w:tr>
        <w:trPr>
          <w:trHeight w:val="162"/>
        </w:trPr>
        <w:tc>
          <w:tcPr>
            <w:tcW w:w="7700" w:type="dxa"/>
            <w:vAlign w:val="bottom"/>
            <w:shd w:val="clear" w:color="auto" w:fill="CFF0FC"/>
          </w:tcPr>
          <w:p>
            <w:pPr>
              <w:ind w:left="20"/>
              <w:spacing w:after="0" w:line="162" w:lineRule="exact"/>
              <w:rPr>
                <w:sz w:val="20"/>
                <w:szCs w:val="20"/>
                <w:color w:val="auto"/>
              </w:rPr>
            </w:pPr>
            <w:r>
              <w:rPr>
                <w:rFonts w:ascii="Times New Roman" w:cs="Times New Roman" w:eastAsia="Times New Roman" w:hAnsi="Times New Roman"/>
                <w:sz w:val="18"/>
                <w:szCs w:val="18"/>
                <w:color w:val="auto"/>
              </w:rPr>
              <w:t>FlyOver Iceland Term Loans, 8.6% weighted-average interest rate at June 30, 2022 and 3.8% at</w:t>
            </w:r>
          </w:p>
        </w:tc>
        <w:tc>
          <w:tcPr>
            <w:tcW w:w="320" w:type="dxa"/>
            <w:vAlign w:val="bottom"/>
            <w:shd w:val="clear" w:color="auto" w:fill="CFF0FC"/>
          </w:tcPr>
          <w:p>
            <w:pPr>
              <w:spacing w:after="0"/>
              <w:rPr>
                <w:sz w:val="14"/>
                <w:szCs w:val="14"/>
                <w:color w:val="auto"/>
              </w:rPr>
            </w:pPr>
          </w:p>
        </w:tc>
        <w:tc>
          <w:tcPr>
            <w:tcW w:w="12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3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r>
      <w:tr>
        <w:trPr>
          <w:trHeight w:val="243"/>
        </w:trPr>
        <w:tc>
          <w:tcPr>
            <w:tcW w:w="7700" w:type="dxa"/>
            <w:vAlign w:val="bottom"/>
            <w:shd w:val="clear" w:color="auto" w:fill="CFF0FC"/>
          </w:tcPr>
          <w:p>
            <w:pPr>
              <w:ind w:left="20"/>
              <w:spacing w:after="0" w:line="243" w:lineRule="exact"/>
              <w:rPr>
                <w:sz w:val="20"/>
                <w:szCs w:val="20"/>
                <w:color w:val="auto"/>
              </w:rPr>
            </w:pPr>
            <w:r>
              <w:rPr>
                <w:rFonts w:ascii="Times New Roman" w:cs="Times New Roman" w:eastAsia="Times New Roman" w:hAnsi="Times New Roman"/>
                <w:sz w:val="18"/>
                <w:szCs w:val="18"/>
                <w:color w:val="auto"/>
              </w:rPr>
              <w:t>December 31, 2021, due through 2024</w:t>
            </w:r>
            <w:r>
              <w:rPr>
                <w:rFonts w:ascii="Times New Roman" w:cs="Times New Roman" w:eastAsia="Times New Roman" w:hAnsi="Times New Roman"/>
                <w:sz w:val="24"/>
                <w:szCs w:val="24"/>
                <w:color w:val="auto"/>
                <w:vertAlign w:val="superscript"/>
              </w:rPr>
              <w:t>(1)</w:t>
            </w:r>
          </w:p>
        </w:tc>
        <w:tc>
          <w:tcPr>
            <w:tcW w:w="320" w:type="dxa"/>
            <w:vAlign w:val="bottom"/>
            <w:shd w:val="clear" w:color="auto" w:fill="CFF0FC"/>
          </w:tcPr>
          <w:p>
            <w:pPr>
              <w:spacing w:after="0"/>
              <w:rPr>
                <w:sz w:val="21"/>
                <w:szCs w:val="21"/>
                <w:color w:val="auto"/>
              </w:rPr>
            </w:pPr>
          </w:p>
        </w:tc>
        <w:tc>
          <w:tcPr>
            <w:tcW w:w="1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679</w:t>
            </w:r>
          </w:p>
        </w:tc>
        <w:tc>
          <w:tcPr>
            <w:tcW w:w="26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689</w:t>
            </w:r>
          </w:p>
        </w:tc>
        <w:tc>
          <w:tcPr>
            <w:tcW w:w="100" w:type="dxa"/>
            <w:vAlign w:val="bottom"/>
            <w:shd w:val="clear" w:color="auto" w:fill="CFF0FC"/>
          </w:tcPr>
          <w:p>
            <w:pPr>
              <w:spacing w:after="0"/>
              <w:rPr>
                <w:sz w:val="21"/>
                <w:szCs w:val="21"/>
                <w:color w:val="auto"/>
              </w:rPr>
            </w:pPr>
          </w:p>
        </w:tc>
      </w:tr>
      <w:tr>
        <w:trPr>
          <w:trHeight w:val="216"/>
        </w:trPr>
        <w:tc>
          <w:tcPr>
            <w:tcW w:w="7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Less unamortized debt issuance costs</w:t>
            </w:r>
          </w:p>
        </w:tc>
        <w:tc>
          <w:tcPr>
            <w:tcW w:w="320" w:type="dxa"/>
            <w:vAlign w:val="bottom"/>
          </w:tcPr>
          <w:p>
            <w:pPr>
              <w:spacing w:after="0"/>
              <w:rPr>
                <w:sz w:val="18"/>
                <w:szCs w:val="18"/>
                <w:color w:val="auto"/>
              </w:rPr>
            </w:pPr>
          </w:p>
        </w:tc>
        <w:tc>
          <w:tcPr>
            <w:tcW w:w="15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(13,864 )</w:t>
            </w:r>
          </w:p>
        </w:tc>
        <w:tc>
          <w:tcPr>
            <w:tcW w:w="240" w:type="dxa"/>
            <w:vAlign w:val="bottom"/>
          </w:tcPr>
          <w:p>
            <w:pPr>
              <w:spacing w:after="0"/>
              <w:rPr>
                <w:sz w:val="18"/>
                <w:szCs w:val="18"/>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(14,804 )</w:t>
            </w:r>
          </w:p>
        </w:tc>
      </w:tr>
      <w:tr>
        <w:trPr>
          <w:trHeight w:val="209"/>
        </w:trPr>
        <w:tc>
          <w:tcPr>
            <w:tcW w:w="7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debt</w:t>
            </w:r>
          </w:p>
        </w:tc>
        <w:tc>
          <w:tcPr>
            <w:tcW w:w="320" w:type="dxa"/>
            <w:vAlign w:val="bottom"/>
            <w:tcBorders>
              <w:top w:val="single" w:sz="8" w:color="auto"/>
            </w:tcBorders>
            <w:shd w:val="clear" w:color="auto" w:fill="CFF0FC"/>
          </w:tcPr>
          <w:p>
            <w:pPr>
              <w:spacing w:after="0"/>
              <w:rPr>
                <w:sz w:val="18"/>
                <w:szCs w:val="18"/>
                <w:color w:val="auto"/>
              </w:rPr>
            </w:pPr>
          </w:p>
        </w:tc>
        <w:tc>
          <w:tcPr>
            <w:tcW w:w="12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412,572</w:t>
            </w:r>
          </w:p>
        </w:tc>
        <w:tc>
          <w:tcPr>
            <w:tcW w:w="260" w:type="dxa"/>
            <w:vAlign w:val="bottom"/>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spacing w:after="0"/>
              <w:rPr>
                <w:sz w:val="18"/>
                <w:szCs w:val="18"/>
                <w:color w:val="auto"/>
              </w:rPr>
            </w:pPr>
          </w:p>
        </w:tc>
        <w:tc>
          <w:tcPr>
            <w:tcW w:w="13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390,451</w:t>
            </w:r>
          </w:p>
        </w:tc>
        <w:tc>
          <w:tcPr>
            <w:tcW w:w="100" w:type="dxa"/>
            <w:vAlign w:val="bottom"/>
            <w:shd w:val="clear" w:color="auto" w:fill="CFF0FC"/>
          </w:tcPr>
          <w:p>
            <w:pPr>
              <w:spacing w:after="0"/>
              <w:rPr>
                <w:sz w:val="18"/>
                <w:szCs w:val="18"/>
                <w:color w:val="auto"/>
              </w:rPr>
            </w:pPr>
          </w:p>
        </w:tc>
      </w:tr>
      <w:tr>
        <w:trPr>
          <w:trHeight w:val="170"/>
        </w:trPr>
        <w:tc>
          <w:tcPr>
            <w:tcW w:w="7700" w:type="dxa"/>
            <w:vAlign w:val="bottom"/>
          </w:tcPr>
          <w:p>
            <w:pPr>
              <w:ind w:left="20"/>
              <w:spacing w:after="0" w:line="170" w:lineRule="exact"/>
              <w:rPr>
                <w:sz w:val="20"/>
                <w:szCs w:val="20"/>
                <w:color w:val="auto"/>
              </w:rPr>
            </w:pPr>
            <w:r>
              <w:rPr>
                <w:rFonts w:ascii="Times New Roman" w:cs="Times New Roman" w:eastAsia="Times New Roman" w:hAnsi="Times New Roman"/>
                <w:sz w:val="18"/>
                <w:szCs w:val="18"/>
                <w:color w:val="auto"/>
              </w:rPr>
              <w:t>Finance lease obligations, 9.1% weighted-average interest rate at June 30, 2022 and December 31,</w:t>
            </w:r>
          </w:p>
        </w:tc>
        <w:tc>
          <w:tcPr>
            <w:tcW w:w="3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34"/>
        </w:trPr>
        <w:tc>
          <w:tcPr>
            <w:tcW w:w="7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2021, due through 2067</w:t>
            </w:r>
          </w:p>
        </w:tc>
        <w:tc>
          <w:tcPr>
            <w:tcW w:w="32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64,895</w:t>
            </w:r>
          </w:p>
        </w:tc>
        <w:tc>
          <w:tcPr>
            <w:tcW w:w="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63,401</w:t>
            </w:r>
          </w:p>
        </w:tc>
        <w:tc>
          <w:tcPr>
            <w:tcW w:w="100" w:type="dxa"/>
            <w:vAlign w:val="bottom"/>
          </w:tcPr>
          <w:p>
            <w:pPr>
              <w:spacing w:after="0"/>
              <w:rPr>
                <w:sz w:val="20"/>
                <w:szCs w:val="20"/>
                <w:color w:val="auto"/>
              </w:rPr>
            </w:pPr>
          </w:p>
        </w:tc>
      </w:tr>
      <w:tr>
        <w:trPr>
          <w:trHeight w:val="216"/>
        </w:trPr>
        <w:tc>
          <w:tcPr>
            <w:tcW w:w="7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Financing arrangements</w:t>
            </w:r>
          </w:p>
        </w:tc>
        <w:tc>
          <w:tcPr>
            <w:tcW w:w="320" w:type="dxa"/>
            <w:vAlign w:val="bottom"/>
            <w:tcBorders>
              <w:bottom w:val="single" w:sz="8" w:color="auto"/>
            </w:tcBorders>
            <w:shd w:val="clear" w:color="auto" w:fill="CFF0FC"/>
          </w:tcPr>
          <w:p>
            <w:pPr>
              <w:spacing w:after="0"/>
              <w:rPr>
                <w:sz w:val="18"/>
                <w:szCs w:val="18"/>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966</w:t>
            </w:r>
          </w:p>
        </w:tc>
        <w:tc>
          <w:tcPr>
            <w:tcW w:w="2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5,528</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700" w:type="dxa"/>
            <w:vAlign w:val="bottom"/>
          </w:tcPr>
          <w:p>
            <w:pPr>
              <w:ind w:left="20"/>
              <w:spacing w:after="0" w:line="209" w:lineRule="exact"/>
              <w:rPr>
                <w:sz w:val="20"/>
                <w:szCs w:val="20"/>
                <w:color w:val="auto"/>
              </w:rPr>
            </w:pPr>
            <w:r>
              <w:rPr>
                <w:rFonts w:ascii="Times New Roman" w:cs="Times New Roman" w:eastAsia="Times New Roman" w:hAnsi="Times New Roman"/>
                <w:sz w:val="18"/>
                <w:szCs w:val="18"/>
                <w:b w:val="1"/>
                <w:bCs w:val="1"/>
                <w:color w:val="auto"/>
              </w:rPr>
              <w:t xml:space="preserve">Total debt and finance obligations </w:t>
            </w:r>
            <w:r>
              <w:rPr>
                <w:rFonts w:ascii="Times New Roman" w:cs="Times New Roman" w:eastAsia="Times New Roman" w:hAnsi="Times New Roman"/>
                <w:sz w:val="24"/>
                <w:szCs w:val="24"/>
                <w:b w:val="1"/>
                <w:bCs w:val="1"/>
                <w:color w:val="auto"/>
                <w:vertAlign w:val="superscript"/>
              </w:rPr>
              <w:t>(2)(3)</w:t>
            </w:r>
          </w:p>
        </w:tc>
        <w:tc>
          <w:tcPr>
            <w:tcW w:w="3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478,433</w:t>
            </w: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459,380</w:t>
            </w:r>
          </w:p>
        </w:tc>
        <w:tc>
          <w:tcPr>
            <w:tcW w:w="100" w:type="dxa"/>
            <w:vAlign w:val="bottom"/>
          </w:tcPr>
          <w:p>
            <w:pPr>
              <w:spacing w:after="0"/>
              <w:rPr>
                <w:sz w:val="18"/>
                <w:szCs w:val="18"/>
                <w:color w:val="auto"/>
              </w:rPr>
            </w:pPr>
          </w:p>
        </w:tc>
      </w:tr>
      <w:tr>
        <w:trPr>
          <w:trHeight w:val="216"/>
        </w:trPr>
        <w:tc>
          <w:tcPr>
            <w:tcW w:w="7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Current portion</w:t>
            </w:r>
          </w:p>
        </w:tc>
        <w:tc>
          <w:tcPr>
            <w:tcW w:w="320" w:type="dxa"/>
            <w:vAlign w:val="bottom"/>
            <w:shd w:val="clear" w:color="auto" w:fill="CFF0FC"/>
          </w:tcPr>
          <w:p>
            <w:pPr>
              <w:spacing w:after="0"/>
              <w:rPr>
                <w:sz w:val="18"/>
                <w:szCs w:val="18"/>
                <w:color w:val="auto"/>
              </w:rPr>
            </w:pPr>
          </w:p>
        </w:tc>
        <w:tc>
          <w:tcPr>
            <w:tcW w:w="154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(9,144 )</w:t>
            </w:r>
          </w:p>
        </w:tc>
        <w:tc>
          <w:tcPr>
            <w:tcW w:w="24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(12,800 )</w:t>
            </w:r>
          </w:p>
        </w:tc>
      </w:tr>
      <w:tr>
        <w:trPr>
          <w:trHeight w:val="209"/>
        </w:trPr>
        <w:tc>
          <w:tcPr>
            <w:tcW w:w="770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Long-term debt and finance obligations</w:t>
            </w:r>
          </w:p>
        </w:tc>
        <w:tc>
          <w:tcPr>
            <w:tcW w:w="320" w:type="dxa"/>
            <w:vAlign w:val="bottom"/>
            <w:tcBorders>
              <w:top w:val="single" w:sz="8" w:color="auto"/>
              <w:bottom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469,289</w:t>
            </w:r>
          </w:p>
        </w:tc>
        <w:tc>
          <w:tcPr>
            <w:tcW w:w="260" w:type="dxa"/>
            <w:vAlign w:val="bottom"/>
            <w:tcBorders>
              <w:top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446,580</w:t>
            </w:r>
          </w:p>
        </w:tc>
        <w:tc>
          <w:tcPr>
            <w:tcW w:w="100" w:type="dxa"/>
            <w:vAlign w:val="bottom"/>
            <w:tcBorders>
              <w:top w:val="single" w:sz="8" w:color="CFF0FC"/>
            </w:tcBorders>
          </w:tcPr>
          <w:p>
            <w:pPr>
              <w:spacing w:after="0"/>
              <w:rPr>
                <w:sz w:val="18"/>
                <w:szCs w:val="18"/>
                <w:color w:val="auto"/>
              </w:rPr>
            </w:pPr>
          </w:p>
        </w:tc>
      </w:tr>
      <w:tr>
        <w:trPr>
          <w:trHeight w:val="20"/>
        </w:trPr>
        <w:tc>
          <w:tcPr>
            <w:tcW w:w="77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5904230</wp:posOffset>
            </wp:positionH>
            <wp:positionV relativeFrom="paragraph">
              <wp:posOffset>-453390</wp:posOffset>
            </wp:positionV>
            <wp:extent cx="68580" cy="825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-453390</wp:posOffset>
            </wp:positionV>
            <wp:extent cx="68580" cy="825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5904230</wp:posOffset>
            </wp:positionH>
            <wp:positionV relativeFrom="paragraph">
              <wp:posOffset>-170815</wp:posOffset>
            </wp:positionV>
            <wp:extent cx="68580" cy="825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ind w:left="380" w:hanging="372"/>
        <w:spacing w:after="0" w:line="217" w:lineRule="auto"/>
        <w:tabs>
          <w:tab w:leader="none" w:pos="380" w:val="left"/>
        </w:tabs>
        <w:numPr>
          <w:ilvl w:val="0"/>
          <w:numId w:val="6"/>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Represents the weighted-average interest rate in effect at the respective periods, including any applicable margin. The interest rates do not include amortization of debt issuance costs or commitment fees.</w:t>
      </w:r>
    </w:p>
    <w:p>
      <w:pPr>
        <w:spacing w:after="0" w:line="1" w:lineRule="exact"/>
        <w:rPr>
          <w:rFonts w:ascii="Times New Roman" w:cs="Times New Roman" w:eastAsia="Times New Roman" w:hAnsi="Times New Roman"/>
          <w:sz w:val="24"/>
          <w:szCs w:val="24"/>
          <w:color w:val="auto"/>
          <w:vertAlign w:val="superscript"/>
        </w:rPr>
      </w:pPr>
    </w:p>
    <w:p>
      <w:pPr>
        <w:jc w:val="both"/>
        <w:ind w:left="380" w:hanging="372"/>
        <w:spacing w:after="0" w:line="215" w:lineRule="auto"/>
        <w:tabs>
          <w:tab w:leader="none" w:pos="380" w:val="left"/>
        </w:tabs>
        <w:numPr>
          <w:ilvl w:val="0"/>
          <w:numId w:val="6"/>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The estimated fair value of total debt and finance leases was $340.8 million as of June 30, 2022 and $328.9 million as of December 31, 2021. The fair value of debt was estimated by discounting the future cash flows using rates currently available for debt of similar terms and maturity, which is a Level 2 measurement. Refer to Note 13 – Fair Value Measurements.</w:t>
      </w:r>
    </w:p>
    <w:p>
      <w:pPr>
        <w:spacing w:after="0" w:line="2" w:lineRule="exact"/>
        <w:rPr>
          <w:rFonts w:ascii="Times New Roman" w:cs="Times New Roman" w:eastAsia="Times New Roman" w:hAnsi="Times New Roman"/>
          <w:sz w:val="24"/>
          <w:szCs w:val="24"/>
          <w:color w:val="auto"/>
          <w:vertAlign w:val="superscript"/>
        </w:rPr>
      </w:pPr>
    </w:p>
    <w:p>
      <w:pPr>
        <w:ind w:left="380" w:right="20" w:hanging="372"/>
        <w:spacing w:after="0" w:line="206" w:lineRule="auto"/>
        <w:tabs>
          <w:tab w:leader="none" w:pos="380" w:val="left"/>
        </w:tabs>
        <w:numPr>
          <w:ilvl w:val="0"/>
          <w:numId w:val="6"/>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Cash paid for interest on debt was $14.6 million during the six months ended June 30, 2022 and $10.3 million during the six months ended June 30, 2021.</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2021 Credit Facility</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Effective July 30, 2021, we entered into a new $500 million credit facility (the “2021 Credit Facility”). The 2021 Credit Facility provides for a $400 million Term Loan B with a maturity date of July 30, 2028 and a $100 million revolving credit facility with a maturity date of July 30, 2026. The proceeds will be used to provide for financial flexibility to fund future acquisitions and growth initiatives and for general corporate purposes.</w:t>
      </w:r>
    </w:p>
    <w:p>
      <w:pPr>
        <w:spacing w:after="0" w:line="8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March 23, 2022, we entered into an amendment to the 2021 Credit Facility, which modified the revolving credit facility’s financial covenants as detailed below.</w:t>
      </w: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Term Loan B</w:t>
      </w:r>
    </w:p>
    <w:p>
      <w:pPr>
        <w:spacing w:after="0" w:line="11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The $400 million Term Loan B proceeds were offset in part by $14.8 million in related fees. The proceeds from the Term Loan B were used to repay the $327 million outstanding balance under our then outstanding $450 million revolving credit facility. The interest rate on the Term Loan B is London Interbank Offered Rate (“LIBOR”) plus 5.00%, with a LIBOR floor of 0.50%. There are no financial covenants under the Term Loan B.</w:t>
      </w:r>
    </w:p>
    <w:p>
      <w:pPr>
        <w:spacing w:after="0" w:line="1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Revolving Credit Facility</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are significant terms under the revolving credit facility, as amended:</w:t>
      </w:r>
    </w:p>
    <w:p>
      <w:pPr>
        <w:spacing w:after="0" w:line="103" w:lineRule="exact"/>
        <w:rPr>
          <w:sz w:val="20"/>
          <w:szCs w:val="20"/>
          <w:color w:val="auto"/>
        </w:rPr>
      </w:pPr>
    </w:p>
    <w:p>
      <w:pPr>
        <w:ind w:left="1020" w:hanging="504"/>
        <w:spacing w:after="0" w:line="312" w:lineRule="auto"/>
        <w:tabs>
          <w:tab w:leader="none" w:pos="1020"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Maintain minimum liquidity of $75 million until the compliance certificate and financial statements for the quarter ended September 30, 2022 are received by the administrative agent, with liquidity defined as unrestricted cash and available capacity on our revolving credit facility;</w:t>
      </w:r>
    </w:p>
    <w:p>
      <w:pPr>
        <w:spacing w:after="0" w:line="17" w:lineRule="exact"/>
        <w:rPr>
          <w:rFonts w:ascii="Times New Roman" w:cs="Times New Roman" w:eastAsia="Times New Roman" w:hAnsi="Times New Roman"/>
          <w:sz w:val="17"/>
          <w:szCs w:val="17"/>
          <w:color w:val="auto"/>
        </w:rPr>
      </w:pPr>
    </w:p>
    <w:p>
      <w:pPr>
        <w:ind w:left="1020" w:hanging="504"/>
        <w:spacing w:after="0"/>
        <w:tabs>
          <w:tab w:leader="none" w:pos="102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covenants will first be tested as of September 30, 2022 as described below:</w:t>
      </w:r>
    </w:p>
    <w:p>
      <w:pPr>
        <w:spacing w:after="0" w:line="103" w:lineRule="exact"/>
        <w:rPr>
          <w:rFonts w:ascii="Times New Roman" w:cs="Times New Roman" w:eastAsia="Times New Roman" w:hAnsi="Times New Roman"/>
          <w:sz w:val="18"/>
          <w:szCs w:val="18"/>
          <w:color w:val="auto"/>
        </w:rPr>
      </w:pPr>
    </w:p>
    <w:p>
      <w:pPr>
        <w:ind w:left="1540" w:right="20" w:hanging="509"/>
        <w:spacing w:after="0" w:line="266"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oMaintain a total net leverage ratio of not greater than 5.25 to 1.00 at September 30, 2022 with a step-down to 4.75 to 1.00 at December 31, 2022, 4.50 to 1.00 at March 31, 2023, and 4.00 to 1.00 at June 30, 2023 and thereafter; and</w:t>
      </w:r>
    </w:p>
    <w:p>
      <w:pPr>
        <w:spacing w:after="0" w:line="1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20" w:name="page21"/>
    <w:bookmarkEnd w:id="20"/>
    <w:p>
      <w:pPr>
        <w:ind w:left="1540" w:hanging="514"/>
        <w:spacing w:after="0" w:line="281" w:lineRule="auto"/>
        <w:tabs>
          <w:tab w:leader="none" w:pos="1540"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Maintain an interest coverage ratio of not less than 2.00 to 1.00 at September 30, 2022, with a step-up to 2.50 to 1.00 on December 31, 2022 and thereafter.</w:t>
      </w:r>
    </w:p>
    <w:p>
      <w:pPr>
        <w:spacing w:after="0" w:line="41" w:lineRule="exact"/>
        <w:rPr>
          <w:rFonts w:ascii="Times New Roman" w:cs="Times New Roman" w:eastAsia="Times New Roman" w:hAnsi="Times New Roman"/>
          <w:sz w:val="18"/>
          <w:szCs w:val="18"/>
          <w:color w:val="auto"/>
        </w:rPr>
      </w:pPr>
    </w:p>
    <w:p>
      <w:pPr>
        <w:ind w:left="1020" w:hanging="504"/>
        <w:spacing w:after="0"/>
        <w:tabs>
          <w:tab w:leader="none" w:pos="102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rate during minimum liquidity period is LIBOR plus 3.50% and a 0.50% commitment fee; and</w:t>
      </w:r>
    </w:p>
    <w:p>
      <w:pPr>
        <w:spacing w:after="0" w:line="103" w:lineRule="exact"/>
        <w:rPr>
          <w:rFonts w:ascii="Times New Roman" w:cs="Times New Roman" w:eastAsia="Times New Roman" w:hAnsi="Times New Roman"/>
          <w:sz w:val="18"/>
          <w:szCs w:val="18"/>
          <w:color w:val="auto"/>
        </w:rPr>
      </w:pPr>
    </w:p>
    <w:p>
      <w:pPr>
        <w:ind w:left="1020" w:right="20" w:hanging="504"/>
        <w:spacing w:after="0" w:line="281" w:lineRule="auto"/>
        <w:tabs>
          <w:tab w:leader="none" w:pos="102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Interest rates during the leverage test period are based on the net leverage ratio and range from LIBOR plus 2.50% with an undrawn fee of 0.30% to LIBOR plus 3.50% with an undrawn fee of 0.50%.</w:t>
      </w:r>
    </w:p>
    <w:p>
      <w:pPr>
        <w:spacing w:after="0" w:line="9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April 6, 2022, we borrowed $15.0 million from the revolving credit facility to partially fund the Glacier Raft Company acquisition. Refer to Note 4 – Acquisitions for additional information.</w:t>
      </w:r>
    </w:p>
    <w:p>
      <w:pPr>
        <w:spacing w:after="0" w:line="121"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As of June 30, 2022, capacity remaining under the Revolving Credit Facility was $72.3 million, reflecting $100.0 million total facility size, less $15.0 million of borrowings and $12.7 million in outstanding letters of credit.</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12529"/>
        </w:rPr>
        <w:t>Forest Park Hotel Construction Loan Facility</w:t>
      </w:r>
    </w:p>
    <w:p>
      <w:pPr>
        <w:spacing w:after="0" w:line="16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18"/>
          <w:szCs w:val="18"/>
          <w:color w:val="212529"/>
        </w:rPr>
        <w:t xml:space="preserve">Effective May 17, 2022, Pursuit, through a 60% owned subsidiary, entered into a construction loan facility for borrowings up to $17.0 million </w:t>
      </w:r>
      <w:r>
        <w:rPr>
          <w:rFonts w:ascii="Times New Roman" w:cs="Times New Roman" w:eastAsia="Times New Roman" w:hAnsi="Times New Roman"/>
          <w:sz w:val="18"/>
          <w:szCs w:val="18"/>
          <w:color w:val="000000"/>
        </w:rPr>
        <w:t>Canadian</w:t>
      </w:r>
      <w:r>
        <w:rPr>
          <w:rFonts w:ascii="Times New Roman" w:cs="Times New Roman" w:eastAsia="Times New Roman" w:hAnsi="Times New Roman"/>
          <w:sz w:val="18"/>
          <w:szCs w:val="18"/>
          <w:color w:val="212529"/>
        </w:rPr>
        <w:t xml:space="preserve"> </w:t>
      </w:r>
      <w:r>
        <w:rPr>
          <w:rFonts w:ascii="Times New Roman" w:cs="Times New Roman" w:eastAsia="Times New Roman" w:hAnsi="Times New Roman"/>
          <w:sz w:val="18"/>
          <w:szCs w:val="18"/>
          <w:color w:val="000000"/>
        </w:rPr>
        <w:t>dollars (approximately $13.3 million U.S. dollars) for the development and construction of the Forest Park Hotel in Jasper National Park. The construction loan facility requires interest only payments through November 2023 at Canada Prime plus 2.35% per annum. After November 2023, the construction loan will be converted to a term loan and the interest rate will be at Canada Prime plus 1.50% per annum. The construction loan facility matures on May 17, 2027. As of June 30, 2022, funds of $5.9 million Canadian dollars (approximately $4.6 million U.S. dollars) were available. Construction of the Forest Park Hotel is expected to be completed in August 2022.</w:t>
      </w:r>
    </w:p>
    <w:p>
      <w:pPr>
        <w:spacing w:after="0" w:line="1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FlyOver Iceland Credit Facility</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212529"/>
        </w:rPr>
        <w:t>Effective February 15, 2019, FlyOver Iceland ehf., (“FlyOver Iceland”) a wholly-owned subsidiary of Esja, entered into a credit agreement with a €5.0 million (approximately $5.6 million U.S. dollars) credit facility (the “FlyOver Iceland Credit Facility”) with a maturity date of March 1, 2022. The loan proceeds were used to complete the development of the FlyOver Iceland attraction.</w:t>
      </w:r>
    </w:p>
    <w:p>
      <w:pPr>
        <w:spacing w:after="0" w:line="13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212529"/>
        </w:rPr>
        <w:t>We entered into an addendum effective December 1, 2021 wherein the principal payments were deferred for twelve months beginning December 1, 2021, with the first payment due December 1, 2022. The addendum extended the maturity date to March 1, 2025 and provided for a semi-annual waiver of certain covenants through June 30, 2022 with the first testing date as of December 31, 2022. Conditions to the addendum included securing additional capital of ISK 75.0 million (approximately $0.6 million) in January 2022, which was completed, in order to strengthen FlyOver Iceland’s liquidity position. There were no other changes to the terms of the FlyOver Iceland Credit Facility.</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12529"/>
        </w:rPr>
        <w:t>FlyOver Iceland Term Loans</w:t>
      </w:r>
    </w:p>
    <w:p>
      <w:pPr>
        <w:spacing w:after="0" w:line="10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 xml:space="preserve">During 2020, </w:t>
      </w:r>
      <w:r>
        <w:rPr>
          <w:rFonts w:ascii="Times New Roman" w:cs="Times New Roman" w:eastAsia="Times New Roman" w:hAnsi="Times New Roman"/>
          <w:sz w:val="18"/>
          <w:szCs w:val="18"/>
          <w:color w:val="212529"/>
        </w:rPr>
        <w:t>FlyOver Iceland entered into three term loans totaling ISK 90.0 million (approximately $0.7 million U.S. dollars) (the “FlyOver Iceland Term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color w:val="212529"/>
        </w:rPr>
        <w:t>Loans”). The first term loan for ISK 10.0 million was entered into effective October 15, 2020 with a maturity date of April 1, 2023 and bears interest on a seven-day term deposit at the Central Bank of Iceland. The second term loan for ISK 30.0 million was entered into effective October 15, 2020 with a maturity date of October 1, 2024 and bears interest on a seven-day term deposit at the Central Bank of Iceland plus 3.07%. The third term loan for ISK 50.0 million was entered into effective December 29, 2020 with a maturity date of February 1, 2023 and bears interest at one-month Reykjavik InterBank Offered Rate (“REIBOR”) plus 4.99%. The Icelandic State Treasury guarantees supplemental loans provided by credit institutions to companies impacted by the COVID-19 pandemic. Accordingly, the Icelandic State Treasury guaranteed the repayment of up to 85% of the principal and interest on the ISK 10.0 million and ISK 30.0 million term loans and 70% of the principal amount on the ISK 50.0 million term loan. Loan proceeds were used to fund FlyOver Iceland operations.</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212529"/>
        </w:rPr>
        <w:t>Financing arrangements</w:t>
      </w:r>
    </w:p>
    <w:p>
      <w:pPr>
        <w:spacing w:after="0" w:line="121"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212529"/>
        </w:rPr>
        <w:t>We have insurance premium financing arrangements in order to finance certain of our insurance premium payments. The financing arrangements are payable within the next 12 months and bear a weighted average interest rate of 2.7%.</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13. </w:t>
      </w:r>
      <w:r>
        <w:rPr>
          <w:rFonts w:ascii="Times New Roman" w:cs="Times New Roman" w:eastAsia="Times New Roman" w:hAnsi="Times New Roman"/>
          <w:sz w:val="18"/>
          <w:szCs w:val="18"/>
          <w:b w:val="1"/>
          <w:bCs w:val="1"/>
          <w:u w:val="single" w:color="auto"/>
          <w:color w:val="auto"/>
        </w:rPr>
        <w:t>Fair Value Measurements</w:t>
      </w:r>
    </w:p>
    <w:p>
      <w:pPr>
        <w:spacing w:after="0" w:line="12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18"/>
          <w:szCs w:val="18"/>
          <w:color w:val="auto"/>
        </w:rPr>
        <w:t>The fair value of an asset or liability is defined as the price that would be received by selling an asset or paying to transfer a liability in an orderly transaction between market participants at the measurement date. The fair value guidance requires an entity to maximize the use of quoted prices and other observable inputs and minimize the use of unobservable inputs when measuring fair value, and also establishes a fair value hierarchy, which prioritizes the inputs to valuation techniques used to measure fair value as follows:</w:t>
      </w:r>
    </w:p>
    <w:p>
      <w:pPr>
        <w:spacing w:after="0" w:line="1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1 - Quoted prices in active markets for identical assets or liabilities.</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1" w:right="33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color w:val="auto"/>
        </w:rPr>
        <w:t>Level 2 - Observable inputs other than quoted prices included within Level 1 that are observable for the asset or liability, either directly or indirectly.</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3 - Unobservable inputs to the valuation methodology that are significant to the measurement of fair value.</w:t>
      </w:r>
    </w:p>
    <w:p>
      <w:pPr>
        <w:spacing w:after="0" w:line="157"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Money market mutual funds and certain other mutual fund investments are measured at fair value on a recurring basis using Level 1 inputs. The fair value information related to these assets is summarized in the following tables:</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5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3900" w:type="dxa"/>
            <w:vAlign w:val="bottom"/>
            <w:tcBorders>
              <w:bottom w:val="single" w:sz="8" w:color="auto"/>
            </w:tcBorders>
            <w:gridSpan w:val="8"/>
          </w:tcPr>
          <w:p>
            <w:pPr>
              <w:ind w:left="280"/>
              <w:spacing w:after="0"/>
              <w:rPr>
                <w:sz w:val="20"/>
                <w:szCs w:val="20"/>
                <w:color w:val="auto"/>
              </w:rPr>
            </w:pPr>
            <w:r>
              <w:rPr>
                <w:rFonts w:ascii="Times New Roman" w:cs="Times New Roman" w:eastAsia="Times New Roman" w:hAnsi="Times New Roman"/>
                <w:sz w:val="14"/>
                <w:szCs w:val="14"/>
                <w:b w:val="1"/>
                <w:bCs w:val="1"/>
                <w:color w:val="auto"/>
              </w:rPr>
              <w:t>Fair Value Measurements at Reporting Date Using</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5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20" w:type="dxa"/>
            <w:vAlign w:val="bottom"/>
            <w:gridSpan w:val="3"/>
            <w:vMerge w:val="restart"/>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rPr>
              <w:t>Quoted Prices</w:t>
            </w: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jc w:val="center"/>
              <w:ind w:right="81"/>
              <w:spacing w:after="0" w:line="131" w:lineRule="exact"/>
              <w:rPr>
                <w:sz w:val="20"/>
                <w:szCs w:val="20"/>
                <w:color w:val="auto"/>
              </w:rPr>
            </w:pPr>
            <w:r>
              <w:rPr>
                <w:rFonts w:ascii="Times New Roman" w:cs="Times New Roman" w:eastAsia="Times New Roman" w:hAnsi="Times New Roman"/>
                <w:sz w:val="14"/>
                <w:szCs w:val="14"/>
                <w:b w:val="1"/>
                <w:bCs w:val="1"/>
                <w:color w:val="auto"/>
              </w:rPr>
              <w:t>Significant</w:t>
            </w: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5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tcPr>
          <w:p>
            <w:pPr>
              <w:jc w:val="center"/>
              <w:ind w:right="81"/>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in Active</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tcPr>
          <w:p>
            <w:pPr>
              <w:jc w:val="center"/>
              <w:ind w:right="81"/>
              <w:spacing w:after="0" w:line="149"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5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Markets</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tcPr>
          <w:p>
            <w:pPr>
              <w:jc w:val="center"/>
              <w:ind w:right="101"/>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0"/>
        </w:trPr>
        <w:tc>
          <w:tcPr>
            <w:tcW w:w="55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June 30, 2022</w:t>
            </w:r>
          </w:p>
        </w:tc>
        <w:tc>
          <w:tcPr>
            <w:tcW w:w="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2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jc w:val="center"/>
              <w:ind w:right="81"/>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5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Assets:</w:t>
            </w:r>
          </w:p>
        </w:tc>
        <w:tc>
          <w:tcPr>
            <w:tcW w:w="20" w:type="dxa"/>
            <w:vAlign w:val="bottom"/>
            <w:tcBorders>
              <w:top w:val="single" w:sz="8" w:color="auto"/>
            </w:tcBorders>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1080" w:type="dxa"/>
            <w:vAlign w:val="bottom"/>
            <w:tcBorders>
              <w:top w:val="single" w:sz="8" w:color="auto"/>
            </w:tcBorders>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60" w:type="dxa"/>
            <w:vAlign w:val="bottom"/>
            <w:tcBorders>
              <w:top w:val="single" w:sz="8" w:color="auto"/>
            </w:tcBorders>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840" w:type="dxa"/>
            <w:vAlign w:val="bottom"/>
            <w:tcBorders>
              <w:top w:val="single" w:sz="8" w:color="auto"/>
            </w:tcBorders>
            <w:shd w:val="clear" w:color="auto" w:fill="CFF0FC"/>
          </w:tcPr>
          <w:p>
            <w:pPr>
              <w:spacing w:after="0"/>
              <w:rPr>
                <w:sz w:val="18"/>
                <w:szCs w:val="18"/>
                <w:color w:val="auto"/>
              </w:rPr>
            </w:pPr>
          </w:p>
        </w:tc>
        <w:tc>
          <w:tcPr>
            <w:tcW w:w="20" w:type="dxa"/>
            <w:vAlign w:val="bottom"/>
            <w:tcBorders>
              <w:top w:val="single" w:sz="8" w:color="auto"/>
            </w:tcBorders>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120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tcPr>
          <w:p>
            <w:pPr>
              <w:ind w:left="200"/>
              <w:spacing w:after="0" w:line="216" w:lineRule="exact"/>
              <w:rPr>
                <w:sz w:val="20"/>
                <w:szCs w:val="20"/>
                <w:color w:val="auto"/>
              </w:rPr>
            </w:pPr>
            <w:r>
              <w:rPr>
                <w:rFonts w:ascii="Times New Roman" w:cs="Times New Roman" w:eastAsia="Times New Roman" w:hAnsi="Times New Roman"/>
                <w:sz w:val="18"/>
                <w:szCs w:val="18"/>
                <w:color w:val="auto"/>
              </w:rPr>
              <w:t xml:space="preserve">Money market funds </w:t>
            </w:r>
            <w:r>
              <w:rPr>
                <w:rFonts w:ascii="Times New Roman" w:cs="Times New Roman" w:eastAsia="Times New Roman" w:hAnsi="Times New Roman"/>
                <w:sz w:val="24"/>
                <w:szCs w:val="24"/>
                <w:color w:val="auto"/>
                <w:vertAlign w:val="superscript"/>
              </w:rPr>
              <w:t>(1)</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3"/>
          </w:tcPr>
          <w:p>
            <w:pPr>
              <w:ind w:left="8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2"/>
          </w:tcPr>
          <w:p>
            <w:pPr>
              <w:jc w:val="right"/>
              <w:ind w:right="48"/>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4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ind w:left="840"/>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tcBorders>
              <w:bottom w:val="single" w:sz="8" w:color="CFF0FC"/>
            </w:tcBorders>
            <w:shd w:val="clear" w:color="auto" w:fill="CFF0FC"/>
          </w:tcPr>
          <w:p>
            <w:pPr>
              <w:ind w:left="200"/>
              <w:spacing w:after="0" w:line="216" w:lineRule="exact"/>
              <w:rPr>
                <w:sz w:val="20"/>
                <w:szCs w:val="20"/>
                <w:color w:val="auto"/>
              </w:rPr>
            </w:pPr>
            <w:r>
              <w:rPr>
                <w:rFonts w:ascii="Times New Roman" w:cs="Times New Roman" w:eastAsia="Times New Roman" w:hAnsi="Times New Roman"/>
                <w:sz w:val="18"/>
                <w:szCs w:val="18"/>
                <w:color w:val="auto"/>
              </w:rPr>
              <w:t xml:space="preserve">Other mutual funds </w:t>
            </w:r>
            <w:r>
              <w:rPr>
                <w:rFonts w:ascii="Times New Roman" w:cs="Times New Roman" w:eastAsia="Times New Roman" w:hAnsi="Times New Roman"/>
                <w:sz w:val="24"/>
                <w:szCs w:val="24"/>
                <w:color w:val="auto"/>
                <w:vertAlign w:val="superscript"/>
              </w:rPr>
              <w:t>(2)</w:t>
            </w:r>
          </w:p>
        </w:tc>
        <w:tc>
          <w:tcPr>
            <w:tcW w:w="20" w:type="dxa"/>
            <w:vAlign w:val="bottom"/>
            <w:tcBorders>
              <w:bottom w:val="single" w:sz="8" w:color="auto"/>
            </w:tcBorders>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center"/>
              <w:ind w:left="553"/>
              <w:spacing w:after="0"/>
              <w:rPr>
                <w:sz w:val="20"/>
                <w:szCs w:val="20"/>
                <w:color w:val="auto"/>
              </w:rPr>
            </w:pPr>
            <w:r>
              <w:rPr>
                <w:rFonts w:ascii="Times New Roman" w:cs="Times New Roman" w:eastAsia="Times New Roman" w:hAnsi="Times New Roman"/>
                <w:sz w:val="18"/>
                <w:szCs w:val="18"/>
                <w:color w:val="auto"/>
                <w:w w:val="98"/>
              </w:rPr>
              <w:t>3,459</w:t>
            </w:r>
          </w:p>
        </w:tc>
        <w:tc>
          <w:tcPr>
            <w:tcW w:w="4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CFF0FC"/>
            </w:tcBorders>
            <w:shd w:val="clear" w:color="auto" w:fill="CFF0FC"/>
          </w:tcPr>
          <w:p>
            <w:pPr>
              <w:spacing w:after="0"/>
              <w:rPr>
                <w:sz w:val="18"/>
                <w:szCs w:val="18"/>
                <w:color w:val="auto"/>
              </w:rPr>
            </w:pPr>
          </w:p>
        </w:tc>
        <w:tc>
          <w:tcPr>
            <w:tcW w:w="60" w:type="dxa"/>
            <w:vAlign w:val="bottom"/>
            <w:tcBorders>
              <w:bottom w:val="single" w:sz="8" w:color="auto"/>
            </w:tcBorders>
            <w:shd w:val="clear" w:color="auto" w:fill="CFF0FC"/>
          </w:tcPr>
          <w:p>
            <w:pPr>
              <w:spacing w:after="0"/>
              <w:rPr>
                <w:sz w:val="18"/>
                <w:szCs w:val="18"/>
                <w:color w:val="auto"/>
              </w:rPr>
            </w:pPr>
          </w:p>
        </w:tc>
        <w:tc>
          <w:tcPr>
            <w:tcW w:w="16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3,459</w:t>
            </w:r>
          </w:p>
        </w:tc>
        <w:tc>
          <w:tcPr>
            <w:tcW w:w="22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1020" w:type="dxa"/>
            <w:vAlign w:val="bottom"/>
            <w:tcBorders>
              <w:bottom w:val="single" w:sz="8" w:color="auto"/>
            </w:tcBorders>
            <w:shd w:val="clear" w:color="auto" w:fill="CFF0FC"/>
          </w:tcPr>
          <w:p>
            <w:pPr>
              <w:ind w:left="840"/>
              <w:spacing w:after="0"/>
              <w:rPr>
                <w:sz w:val="20"/>
                <w:szCs w:val="20"/>
                <w:color w:val="auto"/>
              </w:rPr>
            </w:pPr>
            <w:r>
              <w:rPr>
                <w:rFonts w:ascii="Times New Roman" w:cs="Times New Roman" w:eastAsia="Times New Roman" w:hAnsi="Times New Roman"/>
                <w:sz w:val="18"/>
                <w:szCs w:val="18"/>
                <w:color w:val="auto"/>
                <w:w w:val="88"/>
              </w:rPr>
              <w:t>—</w:t>
            </w:r>
          </w:p>
        </w:tc>
        <w:tc>
          <w:tcPr>
            <w:tcW w:w="24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1200" w:type="dxa"/>
            <w:vAlign w:val="bottom"/>
            <w:tcBorders>
              <w:bottom w:val="single" w:sz="8" w:color="auto"/>
            </w:tcBorders>
            <w:shd w:val="clear" w:color="auto" w:fill="CFF0FC"/>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5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assets at fair value on a recurring basis</w:t>
            </w:r>
          </w:p>
        </w:tc>
        <w:tc>
          <w:tcPr>
            <w:tcW w:w="16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tcBorders>
              <w:bottom w:val="single" w:sz="8" w:color="auto"/>
            </w:tcBorders>
          </w:tcPr>
          <w:p>
            <w:pPr>
              <w:jc w:val="center"/>
              <w:ind w:left="553"/>
              <w:spacing w:after="0"/>
              <w:rPr>
                <w:sz w:val="20"/>
                <w:szCs w:val="20"/>
                <w:color w:val="auto"/>
              </w:rPr>
            </w:pPr>
            <w:r>
              <w:rPr>
                <w:rFonts w:ascii="Times New Roman" w:cs="Times New Roman" w:eastAsia="Times New Roman" w:hAnsi="Times New Roman"/>
                <w:sz w:val="18"/>
                <w:szCs w:val="18"/>
                <w:color w:val="auto"/>
                <w:w w:val="98"/>
              </w:rPr>
              <w:t>3,459</w:t>
            </w: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Borders>
              <w:bottom w:val="single" w:sz="8" w:color="auto"/>
            </w:tcBorders>
            <w:gridSpan w:val="2"/>
          </w:tcPr>
          <w:p>
            <w:pPr>
              <w:jc w:val="right"/>
              <w:ind w:right="48"/>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3,459</w:t>
            </w:r>
          </w:p>
        </w:tc>
        <w:tc>
          <w:tcPr>
            <w:tcW w:w="22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bottom w:val="single" w:sz="8" w:color="auto"/>
            </w:tcBorders>
          </w:tcPr>
          <w:p>
            <w:pPr>
              <w:ind w:left="840"/>
              <w:spacing w:after="0"/>
              <w:rPr>
                <w:sz w:val="20"/>
                <w:szCs w:val="20"/>
                <w:color w:val="auto"/>
              </w:rPr>
            </w:pPr>
            <w:r>
              <w:rPr>
                <w:rFonts w:ascii="Times New Roman" w:cs="Times New Roman" w:eastAsia="Times New Roman" w:hAnsi="Times New Roman"/>
                <w:sz w:val="18"/>
                <w:szCs w:val="18"/>
                <w:color w:val="auto"/>
                <w:w w:val="88"/>
              </w:rPr>
              <w:t>—</w:t>
            </w:r>
          </w:p>
        </w:tc>
        <w:tc>
          <w:tcPr>
            <w:tcW w:w="24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00" w:type="dxa"/>
            <w:vAlign w:val="bottom"/>
            <w:tcBorders>
              <w:bottom w:val="single" w:sz="8" w:color="auto"/>
            </w:tcBorders>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5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0" w:type="dxa"/>
            <w:vAlign w:val="bottom"/>
            <w:tcBorders>
              <w:bottom w:val="single" w:sz="8" w:color="auto"/>
            </w:tcBorders>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5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900" w:type="dxa"/>
            <w:vAlign w:val="bottom"/>
            <w:tcBorders>
              <w:bottom w:val="single" w:sz="8" w:color="auto"/>
            </w:tcBorders>
            <w:gridSpan w:val="8"/>
          </w:tcPr>
          <w:p>
            <w:pPr>
              <w:ind w:left="320"/>
              <w:spacing w:after="0"/>
              <w:rPr>
                <w:sz w:val="20"/>
                <w:szCs w:val="20"/>
                <w:color w:val="auto"/>
              </w:rPr>
            </w:pPr>
            <w:r>
              <w:rPr>
                <w:rFonts w:ascii="Times New Roman" w:cs="Times New Roman" w:eastAsia="Times New Roman" w:hAnsi="Times New Roman"/>
                <w:sz w:val="14"/>
                <w:szCs w:val="14"/>
                <w:b w:val="1"/>
                <w:bCs w:val="1"/>
                <w:color w:val="auto"/>
              </w:rPr>
              <w:t>Fair Value Measurements at Reporting Date Using</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1"/>
        </w:trPr>
        <w:tc>
          <w:tcPr>
            <w:tcW w:w="5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20" w:type="dxa"/>
            <w:vAlign w:val="bottom"/>
            <w:gridSpan w:val="3"/>
            <w:vMerge w:val="restart"/>
          </w:tcPr>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Quoted Prices</w:t>
            </w: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20" w:type="dxa"/>
            <w:vAlign w:val="bottom"/>
          </w:tcPr>
          <w:p>
            <w:pPr>
              <w:jc w:val="center"/>
              <w:ind w:right="101"/>
              <w:spacing w:after="0" w:line="131" w:lineRule="exact"/>
              <w:rPr>
                <w:sz w:val="20"/>
                <w:szCs w:val="20"/>
                <w:color w:val="auto"/>
              </w:rPr>
            </w:pPr>
            <w:r>
              <w:rPr>
                <w:rFonts w:ascii="Times New Roman" w:cs="Times New Roman" w:eastAsia="Times New Roman" w:hAnsi="Times New Roman"/>
                <w:sz w:val="14"/>
                <w:szCs w:val="14"/>
                <w:b w:val="1"/>
                <w:bCs w:val="1"/>
                <w:color w:val="auto"/>
              </w:rPr>
              <w:t>Significant</w:t>
            </w:r>
          </w:p>
        </w:tc>
        <w:tc>
          <w:tcPr>
            <w:tcW w:w="2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5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tcPr>
          <w:p>
            <w:pPr>
              <w:jc w:val="center"/>
              <w:ind w:right="101"/>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5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in Active</w:t>
            </w: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tcPr>
          <w:p>
            <w:pPr>
              <w:jc w:val="center"/>
              <w:ind w:right="101"/>
              <w:spacing w:after="0"/>
              <w:rPr>
                <w:sz w:val="20"/>
                <w:szCs w:val="20"/>
                <w:color w:val="auto"/>
              </w:rPr>
            </w:pPr>
            <w:r>
              <w:rPr>
                <w:rFonts w:ascii="Times New Roman" w:cs="Times New Roman" w:eastAsia="Times New Roman" w:hAnsi="Times New Roman"/>
                <w:sz w:val="14"/>
                <w:szCs w:val="14"/>
                <w:b w:val="1"/>
                <w:bCs w:val="1"/>
                <w:color w:val="auto"/>
              </w:rPr>
              <w:t>Observable</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Unobservable</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5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Markets</w:t>
            </w: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20" w:type="dxa"/>
            <w:vAlign w:val="bottom"/>
          </w:tcPr>
          <w:p>
            <w:pPr>
              <w:jc w:val="center"/>
              <w:ind w:right="101"/>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7"/>
        </w:trPr>
        <w:tc>
          <w:tcPr>
            <w:tcW w:w="55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0" w:type="dxa"/>
            <w:vAlign w:val="bottom"/>
          </w:tcPr>
          <w:p>
            <w:pPr>
              <w:spacing w:after="0"/>
              <w:rPr>
                <w:sz w:val="16"/>
                <w:szCs w:val="16"/>
                <w:color w:val="auto"/>
              </w:rPr>
            </w:pPr>
          </w:p>
        </w:tc>
        <w:tc>
          <w:tcPr>
            <w:tcW w:w="1460" w:type="dxa"/>
            <w:vAlign w:val="bottom"/>
            <w:gridSpan w:val="4"/>
          </w:tcPr>
          <w:p>
            <w:pPr>
              <w:ind w:left="4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w w:val="98"/>
              </w:rPr>
              <w:t>(Level 1)</w:t>
            </w: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20" w:type="dxa"/>
            <w:vAlign w:val="bottom"/>
          </w:tcPr>
          <w:p>
            <w:pPr>
              <w:jc w:val="center"/>
              <w:ind w:right="81"/>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2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5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Assets:</w:t>
            </w:r>
          </w:p>
        </w:tc>
        <w:tc>
          <w:tcPr>
            <w:tcW w:w="20" w:type="dxa"/>
            <w:vAlign w:val="bottom"/>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spacing w:after="0"/>
              <w:rPr>
                <w:sz w:val="18"/>
                <w:szCs w:val="18"/>
                <w:color w:val="auto"/>
              </w:rPr>
            </w:pPr>
          </w:p>
        </w:tc>
        <w:tc>
          <w:tcPr>
            <w:tcW w:w="1080" w:type="dxa"/>
            <w:vAlign w:val="bottom"/>
            <w:tcBorders>
              <w:top w:val="single" w:sz="8" w:color="auto"/>
            </w:tcBorders>
            <w:shd w:val="clear" w:color="auto" w:fill="CFF0FC"/>
          </w:tcPr>
          <w:p>
            <w:pPr>
              <w:spacing w:after="0"/>
              <w:rPr>
                <w:sz w:val="18"/>
                <w:szCs w:val="18"/>
                <w:color w:val="auto"/>
              </w:rPr>
            </w:pPr>
          </w:p>
        </w:tc>
        <w:tc>
          <w:tcPr>
            <w:tcW w:w="40" w:type="dxa"/>
            <w:vAlign w:val="bottom"/>
            <w:tcBorders>
              <w:top w:val="single" w:sz="8" w:color="auto"/>
            </w:tcBorders>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840" w:type="dxa"/>
            <w:vAlign w:val="bottom"/>
            <w:tcBorders>
              <w:top w:val="single" w:sz="8" w:color="auto"/>
            </w:tcBorders>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spacing w:after="0"/>
              <w:rPr>
                <w:sz w:val="18"/>
                <w:szCs w:val="18"/>
                <w:color w:val="auto"/>
              </w:rPr>
            </w:pPr>
          </w:p>
        </w:tc>
        <w:tc>
          <w:tcPr>
            <w:tcW w:w="1200" w:type="dxa"/>
            <w:vAlign w:val="bottom"/>
            <w:tcBorders>
              <w:top w:val="single" w:sz="8" w:color="auto"/>
            </w:tcBorders>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tcPr>
          <w:p>
            <w:pPr>
              <w:ind w:left="200"/>
              <w:spacing w:after="0" w:line="216" w:lineRule="exact"/>
              <w:rPr>
                <w:sz w:val="20"/>
                <w:szCs w:val="20"/>
                <w:color w:val="auto"/>
              </w:rPr>
            </w:pPr>
            <w:r>
              <w:rPr>
                <w:rFonts w:ascii="Times New Roman" w:cs="Times New Roman" w:eastAsia="Times New Roman" w:hAnsi="Times New Roman"/>
                <w:sz w:val="18"/>
                <w:szCs w:val="18"/>
                <w:color w:val="auto"/>
              </w:rPr>
              <w:t xml:space="preserve">Money market funds </w:t>
            </w:r>
            <w:r>
              <w:rPr>
                <w:rFonts w:ascii="Times New Roman" w:cs="Times New Roman" w:eastAsia="Times New Roman" w:hAnsi="Times New Roman"/>
                <w:sz w:val="24"/>
                <w:szCs w:val="24"/>
                <w:color w:val="auto"/>
                <w:vertAlign w:val="superscript"/>
              </w:rPr>
              <w:t>(1)</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center"/>
              <w:ind w:left="513"/>
              <w:spacing w:after="0"/>
              <w:rPr>
                <w:sz w:val="20"/>
                <w:szCs w:val="20"/>
                <w:color w:val="auto"/>
              </w:rPr>
            </w:pPr>
            <w:r>
              <w:rPr>
                <w:rFonts w:ascii="Times New Roman" w:cs="Times New Roman" w:eastAsia="Times New Roman" w:hAnsi="Times New Roman"/>
                <w:sz w:val="18"/>
                <w:szCs w:val="18"/>
                <w:color w:val="auto"/>
                <w:w w:val="96"/>
              </w:rPr>
              <w:t>11,003</w:t>
            </w:r>
          </w:p>
        </w:tc>
        <w:tc>
          <w:tcPr>
            <w:tcW w:w="2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11,003</w:t>
            </w:r>
          </w:p>
        </w:tc>
        <w:tc>
          <w:tcPr>
            <w:tcW w:w="20" w:type="dxa"/>
            <w:vAlign w:val="bottom"/>
          </w:tcPr>
          <w:p>
            <w:pPr>
              <w:spacing w:after="0"/>
              <w:rPr>
                <w:sz w:val="18"/>
                <w:szCs w:val="18"/>
                <w:color w:val="auto"/>
              </w:rPr>
            </w:pPr>
          </w:p>
        </w:tc>
        <w:tc>
          <w:tcPr>
            <w:tcW w:w="4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ind w:left="840"/>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tcBorders>
              <w:bottom w:val="single" w:sz="8" w:color="CFF0FC"/>
            </w:tcBorders>
            <w:shd w:val="clear" w:color="auto" w:fill="CFF0FC"/>
          </w:tcPr>
          <w:p>
            <w:pPr>
              <w:ind w:left="200"/>
              <w:spacing w:after="0" w:line="216" w:lineRule="exact"/>
              <w:rPr>
                <w:sz w:val="20"/>
                <w:szCs w:val="20"/>
                <w:color w:val="auto"/>
              </w:rPr>
            </w:pPr>
            <w:r>
              <w:rPr>
                <w:rFonts w:ascii="Times New Roman" w:cs="Times New Roman" w:eastAsia="Times New Roman" w:hAnsi="Times New Roman"/>
                <w:sz w:val="18"/>
                <w:szCs w:val="18"/>
                <w:color w:val="auto"/>
              </w:rPr>
              <w:t xml:space="preserve">Other mutual funds </w:t>
            </w:r>
            <w:r>
              <w:rPr>
                <w:rFonts w:ascii="Times New Roman" w:cs="Times New Roman" w:eastAsia="Times New Roman" w:hAnsi="Times New Roman"/>
                <w:sz w:val="24"/>
                <w:szCs w:val="24"/>
                <w:color w:val="auto"/>
                <w:vertAlign w:val="superscript"/>
              </w:rPr>
              <w:t>(2)</w:t>
            </w:r>
          </w:p>
        </w:tc>
        <w:tc>
          <w:tcPr>
            <w:tcW w:w="2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1120" w:type="dxa"/>
            <w:vAlign w:val="bottom"/>
            <w:tcBorders>
              <w:bottom w:val="single" w:sz="8" w:color="auto"/>
            </w:tcBorders>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8"/>
                <w:szCs w:val="18"/>
                <w:color w:val="auto"/>
              </w:rPr>
              <w:t>4,057</w:t>
            </w:r>
          </w:p>
        </w:tc>
        <w:tc>
          <w:tcPr>
            <w:tcW w:w="200" w:type="dxa"/>
            <w:vAlign w:val="bottom"/>
            <w:tcBorders>
              <w:bottom w:val="single" w:sz="8" w:color="CFF0FC"/>
            </w:tcBorders>
            <w:shd w:val="clear" w:color="auto" w:fill="CFF0FC"/>
          </w:tcPr>
          <w:p>
            <w:pPr>
              <w:spacing w:after="0"/>
              <w:rPr>
                <w:sz w:val="18"/>
                <w:szCs w:val="18"/>
                <w:color w:val="auto"/>
              </w:rPr>
            </w:pPr>
          </w:p>
        </w:tc>
        <w:tc>
          <w:tcPr>
            <w:tcW w:w="60" w:type="dxa"/>
            <w:vAlign w:val="bottom"/>
            <w:tcBorders>
              <w:bottom w:val="single" w:sz="8" w:color="CFF0FC"/>
            </w:tcBorders>
            <w:shd w:val="clear" w:color="auto" w:fill="CFF0FC"/>
          </w:tcPr>
          <w:p>
            <w:pPr>
              <w:spacing w:after="0"/>
              <w:rPr>
                <w:sz w:val="18"/>
                <w:szCs w:val="18"/>
                <w:color w:val="auto"/>
              </w:rPr>
            </w:pPr>
          </w:p>
        </w:tc>
        <w:tc>
          <w:tcPr>
            <w:tcW w:w="160" w:type="dxa"/>
            <w:vAlign w:val="bottom"/>
            <w:tcBorders>
              <w:bottom w:val="single" w:sz="8" w:color="auto"/>
            </w:tcBorders>
            <w:shd w:val="clear" w:color="auto" w:fill="CFF0FC"/>
          </w:tcPr>
          <w:p>
            <w:pPr>
              <w:spacing w:after="0"/>
              <w:rPr>
                <w:sz w:val="18"/>
                <w:szCs w:val="18"/>
                <w:color w:val="auto"/>
              </w:rPr>
            </w:pP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4,057</w:t>
            </w:r>
          </w:p>
        </w:tc>
        <w:tc>
          <w:tcPr>
            <w:tcW w:w="2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1020" w:type="dxa"/>
            <w:vAlign w:val="bottom"/>
            <w:tcBorders>
              <w:bottom w:val="single" w:sz="8" w:color="auto"/>
            </w:tcBorders>
            <w:shd w:val="clear" w:color="auto" w:fill="CFF0FC"/>
          </w:tcPr>
          <w:p>
            <w:pPr>
              <w:ind w:left="840"/>
              <w:spacing w:after="0"/>
              <w:rPr>
                <w:sz w:val="20"/>
                <w:szCs w:val="20"/>
                <w:color w:val="auto"/>
              </w:rPr>
            </w:pPr>
            <w:r>
              <w:rPr>
                <w:rFonts w:ascii="Times New Roman" w:cs="Times New Roman" w:eastAsia="Times New Roman" w:hAnsi="Times New Roman"/>
                <w:sz w:val="18"/>
                <w:szCs w:val="18"/>
                <w:color w:val="auto"/>
                <w:w w:val="88"/>
              </w:rPr>
              <w:t>—</w:t>
            </w:r>
          </w:p>
        </w:tc>
        <w:tc>
          <w:tcPr>
            <w:tcW w:w="24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1200" w:type="dxa"/>
            <w:vAlign w:val="bottom"/>
            <w:tcBorders>
              <w:bottom w:val="single" w:sz="8" w:color="auto"/>
            </w:tcBorders>
            <w:shd w:val="clear" w:color="auto" w:fill="CFF0FC"/>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5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Total assets at fair value on a recurring basis</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center"/>
              <w:ind w:left="493"/>
              <w:spacing w:after="0"/>
              <w:rPr>
                <w:sz w:val="20"/>
                <w:szCs w:val="20"/>
                <w:color w:val="auto"/>
              </w:rPr>
            </w:pPr>
            <w:r>
              <w:rPr>
                <w:rFonts w:ascii="Times New Roman" w:cs="Times New Roman" w:eastAsia="Times New Roman" w:hAnsi="Times New Roman"/>
                <w:sz w:val="18"/>
                <w:szCs w:val="18"/>
                <w:color w:val="auto"/>
              </w:rPr>
              <w:t>15,060</w:t>
            </w:r>
          </w:p>
        </w:tc>
        <w:tc>
          <w:tcPr>
            <w:tcW w:w="2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15,060</w:t>
            </w:r>
          </w:p>
        </w:tc>
        <w:tc>
          <w:tcPr>
            <w:tcW w:w="20" w:type="dxa"/>
            <w:vAlign w:val="bottom"/>
          </w:tcPr>
          <w:p>
            <w:pPr>
              <w:spacing w:after="0"/>
              <w:rPr>
                <w:sz w:val="18"/>
                <w:szCs w:val="18"/>
                <w:color w:val="auto"/>
              </w:rPr>
            </w:pPr>
          </w:p>
        </w:tc>
        <w:tc>
          <w:tcPr>
            <w:tcW w:w="4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Pr>
          <w:p>
            <w:pPr>
              <w:ind w:left="840"/>
              <w:spacing w:after="0"/>
              <w:rPr>
                <w:sz w:val="20"/>
                <w:szCs w:val="20"/>
                <w:color w:val="auto"/>
              </w:rPr>
            </w:pPr>
            <w:r>
              <w:rPr>
                <w:rFonts w:ascii="Times New Roman" w:cs="Times New Roman" w:eastAsia="Times New Roman" w:hAnsi="Times New Roman"/>
                <w:sz w:val="18"/>
                <w:szCs w:val="18"/>
                <w:color w:val="auto"/>
                <w:w w:val="88"/>
              </w:rPr>
              <w:t>—</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tcPr>
          <w:p>
            <w:pPr>
              <w:ind w:left="100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4303395</wp:posOffset>
            </wp:positionH>
            <wp:positionV relativeFrom="paragraph">
              <wp:posOffset>-1523365</wp:posOffset>
            </wp:positionV>
            <wp:extent cx="76835" cy="825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5142230</wp:posOffset>
            </wp:positionH>
            <wp:positionV relativeFrom="paragraph">
              <wp:posOffset>-1523365</wp:posOffset>
            </wp:positionV>
            <wp:extent cx="68580" cy="825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6050280</wp:posOffset>
            </wp:positionH>
            <wp:positionV relativeFrom="paragraph">
              <wp:posOffset>-1523365</wp:posOffset>
            </wp:positionV>
            <wp:extent cx="68580" cy="825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-1523365</wp:posOffset>
            </wp:positionV>
            <wp:extent cx="68580" cy="825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-170815</wp:posOffset>
            </wp:positionV>
            <wp:extent cx="76835" cy="825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5133975</wp:posOffset>
            </wp:positionH>
            <wp:positionV relativeFrom="paragraph">
              <wp:posOffset>-170815</wp:posOffset>
            </wp:positionV>
            <wp:extent cx="68580" cy="825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6050280</wp:posOffset>
            </wp:positionH>
            <wp:positionV relativeFrom="paragraph">
              <wp:posOffset>-170815</wp:posOffset>
            </wp:positionV>
            <wp:extent cx="68580" cy="825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7" w:lineRule="exact"/>
        <w:rPr>
          <w:sz w:val="20"/>
          <w:szCs w:val="20"/>
          <w:color w:val="auto"/>
        </w:rPr>
      </w:pPr>
    </w:p>
    <w:p>
      <w:pPr>
        <w:jc w:val="both"/>
        <w:ind w:left="380" w:hanging="372"/>
        <w:spacing w:after="0" w:line="218" w:lineRule="auto"/>
        <w:tabs>
          <w:tab w:leader="none" w:pos="380" w:val="left"/>
        </w:tabs>
        <w:numPr>
          <w:ilvl w:val="0"/>
          <w:numId w:val="9"/>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We include money market funds in “Cash and cash equivalents” in the Condensed Consolidated Balance Sheets. We classify these investments as available-for-sale and record them at fair value. There have been no realized gains or losses related to these investments and we have not experienced any redemption restrictions with respect to any of the money market mutual funds.</w:t>
      </w:r>
    </w:p>
    <w:p>
      <w:pPr>
        <w:ind w:left="380" w:hanging="372"/>
        <w:spacing w:after="0" w:line="186" w:lineRule="auto"/>
        <w:tabs>
          <w:tab w:leader="none" w:pos="380" w:val="left"/>
        </w:tabs>
        <w:numPr>
          <w:ilvl w:val="0"/>
          <w:numId w:val="9"/>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We include other mutual funds in “Other investments and assets” in the Condensed Consolidated Balance Sheets.</w:t>
      </w:r>
    </w:p>
    <w:p>
      <w:pPr>
        <w:spacing w:after="0" w:line="144"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 xml:space="preserve">The carrying values of cash and cash equivalents, receivables, and accounts payable approximate fair value due to the short-term nature of these instruments. Refer to Note 12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Debt and Finance Obligations for the estimated fair value of debt obligations.</w:t>
      </w:r>
    </w:p>
    <w:p>
      <w:pPr>
        <w:spacing w:after="0" w:line="1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b w:val="1"/>
          <w:bCs w:val="1"/>
          <w:color w:val="auto"/>
        </w:rPr>
        <w:t xml:space="preserve">Note 14. </w:t>
      </w:r>
      <w:r>
        <w:rPr>
          <w:rFonts w:ascii="Times New Roman" w:cs="Times New Roman" w:eastAsia="Times New Roman" w:hAnsi="Times New Roman"/>
          <w:sz w:val="18"/>
          <w:szCs w:val="18"/>
          <w:b w:val="1"/>
          <w:bCs w:val="1"/>
          <w:u w:val="single" w:color="auto"/>
          <w:color w:val="auto"/>
        </w:rPr>
        <w:t>Income (Loss) Per Share</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basic and diluted loss per share are as follows:</w:t>
      </w: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7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600" w:type="dxa"/>
            <w:vAlign w:val="bottom"/>
            <w:gridSpan w:val="5"/>
          </w:tcPr>
          <w:p>
            <w:pPr>
              <w:jc w:val="right"/>
              <w:ind w:right="81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6"/>
                <w:szCs w:val="16"/>
                <w:color w:val="auto"/>
              </w:rPr>
            </w:pPr>
          </w:p>
        </w:tc>
        <w:tc>
          <w:tcPr>
            <w:tcW w:w="2440" w:type="dxa"/>
            <w:vAlign w:val="bottom"/>
            <w:gridSpan w:val="5"/>
          </w:tcPr>
          <w:p>
            <w:pPr>
              <w:jc w:val="right"/>
              <w:ind w:right="741"/>
              <w:spacing w:after="0"/>
              <w:rPr>
                <w:sz w:val="20"/>
                <w:szCs w:val="20"/>
                <w:color w:val="auto"/>
              </w:rPr>
            </w:pPr>
            <w:r>
              <w:rPr>
                <w:rFonts w:ascii="Times New Roman" w:cs="Times New Roman" w:eastAsia="Times New Roman" w:hAnsi="Times New Roman"/>
                <w:sz w:val="14"/>
                <w:szCs w:val="14"/>
                <w:b w:val="1"/>
                <w:bCs w:val="1"/>
                <w:color w:val="auto"/>
              </w:rPr>
              <w:t>Six Months Ended</w:t>
            </w:r>
          </w:p>
        </w:tc>
      </w:tr>
      <w:tr>
        <w:trPr>
          <w:trHeight w:val="201"/>
        </w:trPr>
        <w:tc>
          <w:tcPr>
            <w:tcW w:w="570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460" w:type="dxa"/>
            <w:vAlign w:val="bottom"/>
            <w:tcBorders>
              <w:bottom w:val="single" w:sz="8" w:color="auto"/>
            </w:tcBorders>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169"/>
        </w:trPr>
        <w:tc>
          <w:tcPr>
            <w:tcW w:w="57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 except per share data)</w:t>
            </w: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31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attributable to Viad</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19,839</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(42,026</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(9,162</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(85,178</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Less: Allocation to participating securities</w:t>
            </w:r>
          </w:p>
        </w:tc>
        <w:tc>
          <w:tcPr>
            <w:tcW w:w="26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(4,293 )</w:t>
            </w:r>
          </w:p>
        </w:tc>
        <w:tc>
          <w:tcPr>
            <w:tcW w:w="340" w:type="dxa"/>
            <w:vAlign w:val="bottom"/>
          </w:tcPr>
          <w:p>
            <w:pPr>
              <w:spacing w:after="0"/>
              <w:rPr>
                <w:sz w:val="18"/>
                <w:szCs w:val="18"/>
                <w:color w:val="auto"/>
              </w:rPr>
            </w:pPr>
          </w:p>
        </w:tc>
        <w:tc>
          <w:tcPr>
            <w:tcW w:w="114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108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8"/>
                <w:szCs w:val="18"/>
                <w:color w:val="auto"/>
              </w:rPr>
            </w:pPr>
          </w:p>
        </w:tc>
        <w:tc>
          <w:tcPr>
            <w:tcW w:w="100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Convertible preferred stock dividends paid in cash</w:t>
            </w:r>
          </w:p>
        </w:tc>
        <w:tc>
          <w:tcPr>
            <w:tcW w:w="26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(1,950 )</w:t>
            </w: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(3,900 )</w:t>
            </w: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Convertible preferred stock dividends paid in kind</w:t>
            </w:r>
          </w:p>
        </w:tc>
        <w:tc>
          <w:tcPr>
            <w:tcW w:w="26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8"/>
                <w:szCs w:val="18"/>
                <w:color w:val="auto"/>
              </w:rPr>
            </w:pP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(1,923 )</w:t>
            </w:r>
          </w:p>
        </w:tc>
        <w:tc>
          <w:tcPr>
            <w:tcW w:w="240" w:type="dxa"/>
            <w:vAlign w:val="bottom"/>
          </w:tcPr>
          <w:p>
            <w:pPr>
              <w:spacing w:after="0"/>
              <w:rPr>
                <w:sz w:val="18"/>
                <w:szCs w:val="18"/>
                <w:color w:val="auto"/>
              </w:rPr>
            </w:pPr>
          </w:p>
        </w:tc>
        <w:tc>
          <w:tcPr>
            <w:tcW w:w="108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(3,821 )</w:t>
            </w: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Adjustment to the redemption value of redeemable noncontrolling interest</w:t>
            </w:r>
          </w:p>
        </w:tc>
        <w:tc>
          <w:tcPr>
            <w:tcW w:w="26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(412 )</w:t>
            </w: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(547 )</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(763 )</w:t>
            </w: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(603 )</w:t>
            </w:r>
          </w:p>
        </w:tc>
      </w:tr>
      <w:tr>
        <w:trPr>
          <w:trHeight w:val="20"/>
        </w:trPr>
        <w:tc>
          <w:tcPr>
            <w:tcW w:w="570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09"/>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allocated to Viad common stockholders (basic)</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13,184</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(44,496 )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(13,825 )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(89,602 )</w:t>
            </w:r>
          </w:p>
        </w:tc>
      </w:tr>
      <w:tr>
        <w:trPr>
          <w:trHeight w:val="20"/>
        </w:trPr>
        <w:tc>
          <w:tcPr>
            <w:tcW w:w="57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700" w:type="dxa"/>
            <w:vAlign w:val="bottom"/>
            <w:tcBorders>
              <w:bottom w:val="single" w:sz="8" w:color="CFF0FC"/>
            </w:tcBorders>
            <w:shd w:val="clear" w:color="auto" w:fill="CFF0FC"/>
          </w:tcPr>
          <w:p>
            <w:pPr>
              <w:ind w:left="120"/>
              <w:spacing w:after="0" w:line="196" w:lineRule="exact"/>
              <w:rPr>
                <w:sz w:val="20"/>
                <w:szCs w:val="20"/>
                <w:color w:val="auto"/>
              </w:rPr>
            </w:pPr>
            <w:r>
              <w:rPr>
                <w:rFonts w:ascii="Times New Roman" w:cs="Times New Roman" w:eastAsia="Times New Roman" w:hAnsi="Times New Roman"/>
                <w:sz w:val="18"/>
                <w:szCs w:val="18"/>
                <w:color w:val="auto"/>
              </w:rPr>
              <w:t>Add: Allocation to participating securities</w:t>
            </w:r>
          </w:p>
        </w:tc>
        <w:tc>
          <w:tcPr>
            <w:tcW w:w="260" w:type="dxa"/>
            <w:vAlign w:val="bottom"/>
            <w:tcBorders>
              <w:bottom w:val="single" w:sz="8" w:color="auto"/>
            </w:tcBorders>
            <w:shd w:val="clear" w:color="auto" w:fill="CFF0FC"/>
          </w:tcPr>
          <w:p>
            <w:pPr>
              <w:spacing w:after="0"/>
              <w:rPr>
                <w:sz w:val="17"/>
                <w:szCs w:val="17"/>
                <w:color w:val="auto"/>
              </w:rPr>
            </w:pPr>
          </w:p>
        </w:tc>
        <w:tc>
          <w:tcPr>
            <w:tcW w:w="8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25</w:t>
            </w:r>
          </w:p>
        </w:tc>
        <w:tc>
          <w:tcPr>
            <w:tcW w:w="260" w:type="dxa"/>
            <w:vAlign w:val="bottom"/>
            <w:tcBorders>
              <w:bottom w:val="single" w:sz="8" w:color="CFF0FC"/>
            </w:tcBorders>
            <w:shd w:val="clear" w:color="auto" w:fill="CFF0FC"/>
          </w:tcPr>
          <w:p>
            <w:pPr>
              <w:spacing w:after="0"/>
              <w:rPr>
                <w:sz w:val="17"/>
                <w:szCs w:val="17"/>
                <w:color w:val="auto"/>
              </w:rPr>
            </w:pPr>
          </w:p>
        </w:tc>
        <w:tc>
          <w:tcPr>
            <w:tcW w:w="340" w:type="dxa"/>
            <w:vAlign w:val="bottom"/>
            <w:tcBorders>
              <w:bottom w:val="single" w:sz="8" w:color="auto"/>
            </w:tcBorders>
            <w:shd w:val="clear" w:color="auto" w:fill="CFF0FC"/>
          </w:tcPr>
          <w:p>
            <w:pPr>
              <w:spacing w:after="0"/>
              <w:rPr>
                <w:sz w:val="17"/>
                <w:szCs w:val="17"/>
                <w:color w:val="auto"/>
              </w:rPr>
            </w:pPr>
          </w:p>
        </w:tc>
        <w:tc>
          <w:tcPr>
            <w:tcW w:w="90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CFF0FC"/>
            </w:tcBorders>
            <w:shd w:val="clear" w:color="auto" w:fill="CFF0FC"/>
          </w:tcPr>
          <w:p>
            <w:pPr>
              <w:spacing w:after="0"/>
              <w:rPr>
                <w:sz w:val="17"/>
                <w:szCs w:val="17"/>
                <w:color w:val="auto"/>
              </w:rPr>
            </w:pPr>
          </w:p>
        </w:tc>
        <w:tc>
          <w:tcPr>
            <w:tcW w:w="240" w:type="dxa"/>
            <w:vAlign w:val="bottom"/>
            <w:tcBorders>
              <w:bottom w:val="single" w:sz="8" w:color="auto"/>
            </w:tcBorders>
            <w:shd w:val="clear" w:color="auto" w:fill="CFF0FC"/>
          </w:tcPr>
          <w:p>
            <w:pPr>
              <w:spacing w:after="0"/>
              <w:rPr>
                <w:sz w:val="17"/>
                <w:szCs w:val="17"/>
                <w:color w:val="auto"/>
              </w:rPr>
            </w:pPr>
          </w:p>
        </w:tc>
        <w:tc>
          <w:tcPr>
            <w:tcW w:w="84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CFF0FC"/>
            </w:tcBorders>
            <w:shd w:val="clear" w:color="auto" w:fill="CFF0FC"/>
          </w:tcPr>
          <w:p>
            <w:pPr>
              <w:spacing w:after="0"/>
              <w:rPr>
                <w:sz w:val="17"/>
                <w:szCs w:val="17"/>
                <w:color w:val="auto"/>
              </w:rPr>
            </w:pPr>
          </w:p>
        </w:tc>
        <w:tc>
          <w:tcPr>
            <w:tcW w:w="360" w:type="dxa"/>
            <w:vAlign w:val="bottom"/>
            <w:tcBorders>
              <w:bottom w:val="single" w:sz="8" w:color="auto"/>
            </w:tcBorders>
            <w:shd w:val="clear" w:color="auto" w:fill="CFF0FC"/>
          </w:tcPr>
          <w:p>
            <w:pPr>
              <w:spacing w:after="0"/>
              <w:rPr>
                <w:sz w:val="17"/>
                <w:szCs w:val="17"/>
                <w:color w:val="auto"/>
              </w:rPr>
            </w:pPr>
          </w:p>
        </w:tc>
        <w:tc>
          <w:tcPr>
            <w:tcW w:w="90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209"/>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income (loss) allocated to Viad common stockholders (diluted)</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13,209</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(44,496 )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(13,825 )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(89,602 )</w:t>
            </w:r>
          </w:p>
        </w:tc>
      </w:tr>
      <w:tr>
        <w:trPr>
          <w:trHeight w:val="20"/>
        </w:trPr>
        <w:tc>
          <w:tcPr>
            <w:tcW w:w="57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70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8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Basic weighted-average outstanding common shares</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20,571</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20,397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20,544</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20,384</w:t>
            </w:r>
          </w:p>
        </w:tc>
        <w:tc>
          <w:tcPr>
            <w:tcW w:w="100" w:type="dxa"/>
            <w:vAlign w:val="bottom"/>
          </w:tcPr>
          <w:p>
            <w:pPr>
              <w:spacing w:after="0"/>
              <w:rPr>
                <w:sz w:val="18"/>
                <w:szCs w:val="18"/>
                <w:color w:val="auto"/>
              </w:rPr>
            </w:pP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Additional dilutive shares related to share-based compensation</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160</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09"/>
        </w:trPr>
        <w:tc>
          <w:tcPr>
            <w:tcW w:w="570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Diluted weighted-average outstanding shares</w:t>
            </w:r>
          </w:p>
        </w:tc>
        <w:tc>
          <w:tcPr>
            <w:tcW w:w="26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20,731</w:t>
            </w:r>
          </w:p>
        </w:tc>
        <w:tc>
          <w:tcPr>
            <w:tcW w:w="260" w:type="dxa"/>
            <w:vAlign w:val="bottom"/>
            <w:tcBorders>
              <w:top w:val="single" w:sz="8" w:color="CFF0FC"/>
            </w:tcBorders>
          </w:tcPr>
          <w:p>
            <w:pPr>
              <w:spacing w:after="0"/>
              <w:rPr>
                <w:sz w:val="18"/>
                <w:szCs w:val="18"/>
                <w:color w:val="auto"/>
              </w:rPr>
            </w:pPr>
          </w:p>
        </w:tc>
        <w:tc>
          <w:tcPr>
            <w:tcW w:w="3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20,397</w:t>
            </w:r>
          </w:p>
        </w:tc>
        <w:tc>
          <w:tcPr>
            <w:tcW w:w="240" w:type="dxa"/>
            <w:vAlign w:val="bottom"/>
            <w:tcBorders>
              <w:top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20,544</w:t>
            </w:r>
          </w:p>
        </w:tc>
        <w:tc>
          <w:tcPr>
            <w:tcW w:w="240" w:type="dxa"/>
            <w:vAlign w:val="bottom"/>
            <w:tcBorders>
              <w:top w:val="single" w:sz="8" w:color="CFF0FC"/>
            </w:tcBorders>
          </w:tcPr>
          <w:p>
            <w:pPr>
              <w:spacing w:after="0"/>
              <w:rPr>
                <w:sz w:val="18"/>
                <w:szCs w:val="18"/>
                <w:color w:val="auto"/>
              </w:rPr>
            </w:pPr>
          </w:p>
        </w:tc>
        <w:tc>
          <w:tcPr>
            <w:tcW w:w="36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20,384</w:t>
            </w:r>
          </w:p>
        </w:tc>
        <w:tc>
          <w:tcPr>
            <w:tcW w:w="100" w:type="dxa"/>
            <w:vAlign w:val="bottom"/>
            <w:tcBorders>
              <w:top w:val="single" w:sz="8" w:color="CFF0FC"/>
            </w:tcBorders>
          </w:tcPr>
          <w:p>
            <w:pPr>
              <w:spacing w:after="0"/>
              <w:rPr>
                <w:sz w:val="18"/>
                <w:szCs w:val="18"/>
                <w:color w:val="auto"/>
              </w:rPr>
            </w:pPr>
          </w:p>
        </w:tc>
      </w:tr>
      <w:tr>
        <w:trPr>
          <w:trHeight w:val="20"/>
        </w:trPr>
        <w:tc>
          <w:tcPr>
            <w:tcW w:w="57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70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b w:val="1"/>
                <w:bCs w:val="1"/>
                <w:color w:val="auto"/>
              </w:rPr>
              <w:t>Income (loss) per share:</w:t>
            </w:r>
          </w:p>
        </w:tc>
        <w:tc>
          <w:tcPr>
            <w:tcW w:w="26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8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9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Basic income (loss) attributable to Viad common stockholders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0.64</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(2.18 )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(0.67 )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(4.40 )</w:t>
            </w:r>
          </w:p>
        </w:tc>
      </w:tr>
      <w:tr>
        <w:trPr>
          <w:trHeight w:val="216"/>
        </w:trPr>
        <w:tc>
          <w:tcPr>
            <w:tcW w:w="5700" w:type="dxa"/>
            <w:vAlign w:val="bottom"/>
            <w:shd w:val="clear" w:color="auto" w:fill="CFF0FC"/>
          </w:tcPr>
          <w:p>
            <w:pPr>
              <w:ind w:left="20"/>
              <w:spacing w:after="0" w:line="216" w:lineRule="exact"/>
              <w:rPr>
                <w:sz w:val="20"/>
                <w:szCs w:val="20"/>
                <w:color w:val="auto"/>
              </w:rPr>
            </w:pPr>
            <w:r>
              <w:rPr>
                <w:rFonts w:ascii="Times New Roman" w:cs="Times New Roman" w:eastAsia="Times New Roman" w:hAnsi="Times New Roman"/>
                <w:sz w:val="18"/>
                <w:szCs w:val="18"/>
                <w:color w:val="auto"/>
              </w:rPr>
              <w:t>Diluted income (loss) attributable to Viad common stockholders</w:t>
            </w:r>
            <w:r>
              <w:rPr>
                <w:rFonts w:ascii="Times New Roman" w:cs="Times New Roman" w:eastAsia="Times New Roman" w:hAnsi="Times New Roman"/>
                <w:sz w:val="24"/>
                <w:szCs w:val="24"/>
                <w:color w:val="auto"/>
                <w:vertAlign w:val="superscript"/>
              </w:rPr>
              <w:t>(1)</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0.64</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(2.18 )</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(0.67 )</w:t>
            </w: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(4.40 )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4328795</wp:posOffset>
            </wp:positionH>
            <wp:positionV relativeFrom="paragraph">
              <wp:posOffset>-1471930</wp:posOffset>
            </wp:positionV>
            <wp:extent cx="76835" cy="825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-1471930</wp:posOffset>
            </wp:positionV>
            <wp:extent cx="68580" cy="825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-1471930</wp:posOffset>
            </wp:positionV>
            <wp:extent cx="68580" cy="825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-1471930</wp:posOffset>
            </wp:positionV>
            <wp:extent cx="68580" cy="825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-1163955</wp:posOffset>
            </wp:positionV>
            <wp:extent cx="76835" cy="825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-1163955</wp:posOffset>
            </wp:positionV>
            <wp:extent cx="68580" cy="825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-1163955</wp:posOffset>
            </wp:positionV>
            <wp:extent cx="68580" cy="825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-1163955</wp:posOffset>
            </wp:positionV>
            <wp:extent cx="68580" cy="825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-581660</wp:posOffset>
            </wp:positionV>
            <wp:extent cx="76835" cy="825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-581660</wp:posOffset>
            </wp:positionV>
            <wp:extent cx="68580" cy="825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-581660</wp:posOffset>
            </wp:positionV>
            <wp:extent cx="68580" cy="825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-581660</wp:posOffset>
            </wp:positionV>
            <wp:extent cx="68580" cy="825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36" w:lineRule="exact"/>
        <w:rPr>
          <w:sz w:val="20"/>
          <w:szCs w:val="20"/>
          <w:color w:val="auto"/>
        </w:rPr>
      </w:pPr>
    </w:p>
    <w:p>
      <w:pPr>
        <w:spacing w:after="0"/>
        <w:tabs>
          <w:tab w:leader="none" w:pos="360" w:val="left"/>
        </w:tabs>
        <w:rPr>
          <w:sz w:val="20"/>
          <w:szCs w:val="20"/>
          <w:color w:val="auto"/>
        </w:rPr>
      </w:pPr>
      <w:r>
        <w:rPr>
          <w:rFonts w:ascii="Times New Roman" w:cs="Times New Roman" w:eastAsia="Times New Roman" w:hAnsi="Times New Roman"/>
          <w:sz w:val="24"/>
          <w:szCs w:val="24"/>
          <w:color w:val="auto"/>
          <w:vertAlign w:val="superscript"/>
        </w:rPr>
        <w:t>(1)</w:t>
      </w:r>
      <w:r>
        <w:rPr>
          <w:sz w:val="20"/>
          <w:szCs w:val="20"/>
          <w:color w:val="auto"/>
        </w:rPr>
        <w:tab/>
      </w:r>
      <w:r>
        <w:rPr>
          <w:rFonts w:ascii="Times New Roman" w:cs="Times New Roman" w:eastAsia="Times New Roman" w:hAnsi="Times New Roman"/>
          <w:sz w:val="18"/>
          <w:szCs w:val="18"/>
          <w:color w:val="auto"/>
        </w:rPr>
        <w:t>Diluted loss per share amount cannot exceed basic loss per share.</w:t>
      </w:r>
    </w:p>
    <w:p>
      <w:pPr>
        <w:spacing w:after="0" w:line="130"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Diluted loss per common share is calculated using the more dilutive of the two-class method or if-converted method. The two-class method uses net income (loss) available to common stockholders and assumes conversion of all potential shares other than the participating securities. The if-converted method uses net income (loss) available to common stockholders and assumes conversion of all potential shares including the participating securities. Dilutive potential common shares include outstanding stock options, unvested restricted share units and convertible preferred stock. We apply the two-class method in calculating income (loss) per common share as unvested share-based payment awards that contain nonforfeitable rights to dividends and preferred stock are considered participating securities. Accordingly, such securities are included in the earnings allocation in calculating income (loss) per share. The adjustment to the carrying value of the redeemable noncontrolling interest is reflected in income (loss) per common share.</w:t>
      </w:r>
    </w:p>
    <w:p>
      <w:pPr>
        <w:spacing w:after="0" w:line="13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excluded the following weighted-average potential common shares from the calculations of diluted net income (loss) per common share during the applicable periods because their inclusion would have been anti-dilutive:</w:t>
      </w:r>
    </w:p>
    <w:p>
      <w:pPr>
        <w:spacing w:after="0" w:line="330"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432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2680" w:type="dxa"/>
            <w:vAlign w:val="bottom"/>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20" w:type="dxa"/>
            <w:vAlign w:val="bottom"/>
          </w:tcPr>
          <w:p>
            <w:pPr>
              <w:spacing w:after="0"/>
              <w:rPr>
                <w:sz w:val="16"/>
                <w:szCs w:val="16"/>
                <w:color w:val="auto"/>
              </w:rPr>
            </w:pPr>
          </w:p>
        </w:tc>
        <w:tc>
          <w:tcPr>
            <w:tcW w:w="2520" w:type="dxa"/>
            <w:vAlign w:val="bottom"/>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0" w:type="dxa"/>
            <w:vAlign w:val="bottom"/>
          </w:tcPr>
          <w:p>
            <w:pPr>
              <w:spacing w:after="0"/>
              <w:rPr>
                <w:sz w:val="16"/>
                <w:szCs w:val="16"/>
                <w:color w:val="auto"/>
              </w:rPr>
            </w:pPr>
          </w:p>
        </w:tc>
      </w:tr>
      <w:tr>
        <w:trPr>
          <w:trHeight w:val="214"/>
        </w:trPr>
        <w:tc>
          <w:tcPr>
            <w:tcW w:w="43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760" w:type="dxa"/>
            <w:vAlign w:val="bottom"/>
            <w:tcBorders>
              <w:bottom w:val="single" w:sz="8" w:color="auto"/>
            </w:tcBorders>
            <w:gridSpan w:val="3"/>
          </w:tcPr>
          <w:p>
            <w:pPr>
              <w:jc w:val="center"/>
              <w:ind w:left="824"/>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2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640" w:type="dxa"/>
            <w:vAlign w:val="bottom"/>
            <w:tcBorders>
              <w:bottom w:val="single" w:sz="8" w:color="auto"/>
            </w:tcBorders>
            <w:gridSpan w:val="3"/>
          </w:tcPr>
          <w:p>
            <w:pPr>
              <w:jc w:val="center"/>
              <w:ind w:left="804"/>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169"/>
        </w:trPr>
        <w:tc>
          <w:tcPr>
            <w:tcW w:w="43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400" w:type="dxa"/>
            <w:vAlign w:val="bottom"/>
          </w:tcPr>
          <w:p>
            <w:pPr>
              <w:spacing w:after="0"/>
              <w:rPr>
                <w:sz w:val="14"/>
                <w:szCs w:val="14"/>
                <w:color w:val="auto"/>
              </w:rPr>
            </w:pPr>
          </w:p>
        </w:tc>
        <w:tc>
          <w:tcPr>
            <w:tcW w:w="1220" w:type="dxa"/>
            <w:vAlign w:val="bottom"/>
            <w:tcBorders>
              <w:bottom w:val="single" w:sz="8" w:color="auto"/>
            </w:tcBorders>
          </w:tcPr>
          <w:p>
            <w:pPr>
              <w:jc w:val="right"/>
              <w:ind w:right="40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1200" w:type="dxa"/>
            <w:vAlign w:val="bottom"/>
            <w:tcBorders>
              <w:bottom w:val="single" w:sz="8" w:color="auto"/>
            </w:tcBorders>
          </w:tcPr>
          <w:p>
            <w:pPr>
              <w:jc w:val="right"/>
              <w:ind w:right="384"/>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39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43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Convertible preferred stock</w:t>
            </w:r>
          </w:p>
        </w:tc>
        <w:tc>
          <w:tcPr>
            <w:tcW w:w="1400" w:type="dxa"/>
            <w:vAlign w:val="bottom"/>
            <w:shd w:val="clear" w:color="auto" w:fill="CFF0FC"/>
          </w:tcPr>
          <w:p>
            <w:pPr>
              <w:spacing w:after="0"/>
              <w:rPr>
                <w:sz w:val="18"/>
                <w:szCs w:val="18"/>
                <w:color w:val="auto"/>
              </w:rPr>
            </w:pPr>
          </w:p>
        </w:tc>
        <w:tc>
          <w:tcPr>
            <w:tcW w:w="1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6,583</w:t>
            </w:r>
          </w:p>
        </w:tc>
        <w:tc>
          <w:tcPr>
            <w:tcW w:w="220" w:type="dxa"/>
            <w:vAlign w:val="bottom"/>
            <w:shd w:val="clear" w:color="auto" w:fill="CFF0FC"/>
          </w:tcPr>
          <w:p>
            <w:pPr>
              <w:spacing w:after="0"/>
              <w:rPr>
                <w:sz w:val="18"/>
                <w:szCs w:val="18"/>
                <w:color w:val="auto"/>
              </w:rPr>
            </w:pP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6,674</w:t>
            </w:r>
          </w:p>
        </w:tc>
        <w:tc>
          <w:tcPr>
            <w:tcW w:w="10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6,539</w:t>
            </w:r>
          </w:p>
        </w:tc>
        <w:tc>
          <w:tcPr>
            <w:tcW w:w="100" w:type="dxa"/>
            <w:vAlign w:val="bottom"/>
            <w:shd w:val="clear" w:color="auto" w:fill="CFF0FC"/>
          </w:tcPr>
          <w:p>
            <w:pPr>
              <w:spacing w:after="0"/>
              <w:rPr>
                <w:sz w:val="18"/>
                <w:szCs w:val="18"/>
                <w:color w:val="auto"/>
              </w:rPr>
            </w:pPr>
          </w:p>
        </w:tc>
      </w:tr>
      <w:tr>
        <w:trPr>
          <w:trHeight w:val="216"/>
        </w:trPr>
        <w:tc>
          <w:tcPr>
            <w:tcW w:w="4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Unvested restricted share-based awards</w:t>
            </w:r>
          </w:p>
        </w:tc>
        <w:tc>
          <w:tcPr>
            <w:tcW w:w="26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w:t>
            </w: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168</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172</w:t>
            </w:r>
          </w:p>
        </w:tc>
        <w:tc>
          <w:tcPr>
            <w:tcW w:w="100" w:type="dxa"/>
            <w:vAlign w:val="bottom"/>
          </w:tcPr>
          <w:p>
            <w:pPr>
              <w:spacing w:after="0"/>
              <w:rPr>
                <w:sz w:val="18"/>
                <w:szCs w:val="18"/>
                <w:color w:val="auto"/>
              </w:rPr>
            </w:pPr>
          </w:p>
        </w:tc>
      </w:tr>
      <w:tr>
        <w:trPr>
          <w:trHeight w:val="216"/>
        </w:trPr>
        <w:tc>
          <w:tcPr>
            <w:tcW w:w="43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Unvested performance share-based awards</w:t>
            </w:r>
          </w:p>
        </w:tc>
        <w:tc>
          <w:tcPr>
            <w:tcW w:w="26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120" w:type="dxa"/>
            <w:vAlign w:val="bottom"/>
            <w:shd w:val="clear" w:color="auto" w:fill="CFF0FC"/>
          </w:tcPr>
          <w:p>
            <w:pPr>
              <w:spacing w:after="0"/>
              <w:rPr>
                <w:sz w:val="18"/>
                <w:szCs w:val="18"/>
                <w:color w:val="auto"/>
              </w:rPr>
            </w:pPr>
          </w:p>
        </w:tc>
        <w:tc>
          <w:tcPr>
            <w:tcW w:w="42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w:t>
            </w:r>
          </w:p>
        </w:tc>
        <w:tc>
          <w:tcPr>
            <w:tcW w:w="142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10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100" w:type="dxa"/>
            <w:vAlign w:val="bottom"/>
            <w:shd w:val="clear" w:color="auto" w:fill="CFF0FC"/>
          </w:tcPr>
          <w:p>
            <w:pPr>
              <w:spacing w:after="0"/>
              <w:rPr>
                <w:sz w:val="18"/>
                <w:szCs w:val="18"/>
                <w:color w:val="auto"/>
              </w:rPr>
            </w:pPr>
          </w:p>
        </w:tc>
      </w:tr>
      <w:tr>
        <w:trPr>
          <w:trHeight w:val="234"/>
        </w:trPr>
        <w:tc>
          <w:tcPr>
            <w:tcW w:w="43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Stock options</w:t>
            </w:r>
          </w:p>
        </w:tc>
        <w:tc>
          <w:tcPr>
            <w:tcW w:w="26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372</w:t>
            </w:r>
          </w:p>
        </w:tc>
        <w:tc>
          <w:tcPr>
            <w:tcW w:w="1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250</w:t>
            </w: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277</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204</w:t>
            </w:r>
          </w:p>
        </w:tc>
        <w:tc>
          <w:tcPr>
            <w:tcW w:w="100" w:type="dxa"/>
            <w:vAlign w:val="bottom"/>
          </w:tcPr>
          <w:p>
            <w:pPr>
              <w:spacing w:after="0"/>
              <w:rPr>
                <w:sz w:val="20"/>
                <w:szCs w:val="20"/>
                <w:color w:val="auto"/>
              </w:rPr>
            </w:pPr>
          </w:p>
        </w:tc>
      </w:tr>
      <w:tr>
        <w:trPr>
          <w:trHeight w:val="615"/>
        </w:trPr>
        <w:tc>
          <w:tcPr>
            <w:tcW w:w="4320" w:type="dxa"/>
            <w:vAlign w:val="bottom"/>
          </w:tcPr>
          <w:p>
            <w:pPr>
              <w:spacing w:after="0"/>
              <w:rPr>
                <w:sz w:val="24"/>
                <w:szCs w:val="24"/>
                <w:color w:val="auto"/>
              </w:rPr>
            </w:pPr>
          </w:p>
        </w:tc>
        <w:tc>
          <w:tcPr>
            <w:tcW w:w="2620" w:type="dxa"/>
            <w:vAlign w:val="bottom"/>
            <w:gridSpan w:val="2"/>
          </w:tcPr>
          <w:p>
            <w:pPr>
              <w:jc w:val="right"/>
              <w:ind w:right="1144"/>
              <w:spacing w:after="0"/>
              <w:rPr>
                <w:sz w:val="20"/>
                <w:szCs w:val="20"/>
                <w:color w:val="auto"/>
              </w:rPr>
            </w:pPr>
            <w:r>
              <w:rPr>
                <w:rFonts w:ascii="Times New Roman" w:cs="Times New Roman" w:eastAsia="Times New Roman" w:hAnsi="Times New Roman"/>
                <w:sz w:val="18"/>
                <w:szCs w:val="18"/>
                <w:color w:val="auto"/>
              </w:rPr>
              <w:t>21</w:t>
            </w: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115"/>
        </w:trPr>
        <w:tc>
          <w:tcPr>
            <w:tcW w:w="4320" w:type="dxa"/>
            <w:vAlign w:val="bottom"/>
            <w:tcBorders>
              <w:bottom w:val="single" w:sz="8" w:color="9A9A9A"/>
            </w:tcBorders>
          </w:tcPr>
          <w:p>
            <w:pPr>
              <w:spacing w:after="0"/>
              <w:rPr>
                <w:sz w:val="9"/>
                <w:szCs w:val="9"/>
                <w:color w:val="auto"/>
              </w:rPr>
            </w:pPr>
          </w:p>
        </w:tc>
        <w:tc>
          <w:tcPr>
            <w:tcW w:w="1400" w:type="dxa"/>
            <w:vAlign w:val="bottom"/>
            <w:tcBorders>
              <w:bottom w:val="single" w:sz="8" w:color="9A9A9A"/>
            </w:tcBorders>
          </w:tcPr>
          <w:p>
            <w:pPr>
              <w:spacing w:after="0"/>
              <w:rPr>
                <w:sz w:val="9"/>
                <w:szCs w:val="9"/>
                <w:color w:val="auto"/>
              </w:rPr>
            </w:pPr>
          </w:p>
        </w:tc>
        <w:tc>
          <w:tcPr>
            <w:tcW w:w="12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420" w:type="dxa"/>
            <w:vAlign w:val="bottom"/>
            <w:tcBorders>
              <w:bottom w:val="single" w:sz="8" w:color="9A9A9A"/>
            </w:tcBorders>
          </w:tcPr>
          <w:p>
            <w:pPr>
              <w:spacing w:after="0"/>
              <w:rPr>
                <w:sz w:val="9"/>
                <w:szCs w:val="9"/>
                <w:color w:val="auto"/>
              </w:rPr>
            </w:pPr>
          </w:p>
        </w:tc>
        <w:tc>
          <w:tcPr>
            <w:tcW w:w="92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120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340" w:type="dxa"/>
            <w:vAlign w:val="bottom"/>
            <w:tcBorders>
              <w:bottom w:val="single" w:sz="8" w:color="9A9A9A"/>
            </w:tcBorders>
          </w:tcPr>
          <w:p>
            <w:pPr>
              <w:spacing w:after="0"/>
              <w:rPr>
                <w:sz w:val="9"/>
                <w:szCs w:val="9"/>
                <w:color w:val="auto"/>
              </w:rPr>
            </w:pPr>
          </w:p>
        </w:tc>
        <w:tc>
          <w:tcPr>
            <w:tcW w:w="8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color w:val="auto"/>
        </w:rPr>
        <w:t xml:space="preserve">Note 15. </w:t>
      </w:r>
      <w:r>
        <w:rPr>
          <w:rFonts w:ascii="Times New Roman" w:cs="Times New Roman" w:eastAsia="Times New Roman" w:hAnsi="Times New Roman"/>
          <w:sz w:val="18"/>
          <w:szCs w:val="18"/>
          <w:b w:val="1"/>
          <w:bCs w:val="1"/>
          <w:u w:val="single" w:color="auto"/>
          <w:color w:val="auto"/>
        </w:rPr>
        <w:t>Common and Preferred Stock</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Convertible Series A Preferred Stock</w:t>
      </w:r>
    </w:p>
    <w:p>
      <w:pPr>
        <w:spacing w:after="0" w:line="10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On August 5, 2020, we entered into an investment agreement with funds managed by private equity firm Crestview Partners (the “Investment Agreement”), relating to the issuance of 135,000 shares of newly issued Convertible Series A Preferred Stock, par value $0.01 per share (the “Convertible Preferred Stock”), for an aggregate purchase price of $135 million or $1,000 per share. The $135 million issuance was offset in part by $9.2 million of expenses related to the capital raise. We have classified the Convertible Preferred Stock as mezzanine equity in the Condensed Consolidated Balance Sheet due to the existence of certain change in control provisions that are not solely within our control.</w:t>
      </w:r>
    </w:p>
    <w:p>
      <w:pPr>
        <w:spacing w:after="0" w:line="139"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The Convertible Series A Preferred Stock carries a 5.5% cumulative quarterly dividend, which is payable in cash or in-kind at Viad’s option and is convertible at the option of the holders into shares of our common stock at a conversion price of $21.25 per share. Dividends paid-in-kind increase the redemption value of the preferred stock. The redemption value of the preferred stock was $141.8 million as of June 30, 2022 and June 30, 2021. Upon the occurrence of a change in control event, the holders have a right to require Viad to repurchase such preferred stock. During the six months ended June 30, 2022, $3.9 million of dividends were declared, all of which were paid in cash. We intend to pay preferred stock dividends in cash for the foreseeable future.</w:t>
      </w:r>
    </w:p>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Holders of the Convertible Series A Preferred Stock are entitled to vote with holders of Viad’s common stock on an as-converted basis.</w:t>
      </w:r>
    </w:p>
    <w:p>
      <w:pPr>
        <w:spacing w:after="0" w:line="3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Common Stock Repurchases</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Our Board of Directors previously authorized us to repurchase shares of our common stock from time to time at prevailing market prices. Effective February 7, 2019, our Board of Directors authorized the repurchase of an additional 500,000 shares. In March 2020, our Board of Directors suspended our share repurchase program. As of June 30, 2022, 546,283 shares remain available for repurchase. Additionally, we repurchase shares related to tax withholding requirements on vested restricted stock awards. Refer to Note 3 – Share-Based Compensation.</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16. </w:t>
      </w:r>
      <w:r>
        <w:rPr>
          <w:rFonts w:ascii="Times New Roman" w:cs="Times New Roman" w:eastAsia="Times New Roman" w:hAnsi="Times New Roman"/>
          <w:sz w:val="18"/>
          <w:szCs w:val="18"/>
          <w:b w:val="1"/>
          <w:bCs w:val="1"/>
          <w:u w:val="single" w:color="auto"/>
          <w:color w:val="auto"/>
        </w:rPr>
        <w:t>Accumulated Other Comprehensive Income (Loss)</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in accumulated other comprehensive income (loss) (“AOCI”) by component are as follows:</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80" w:type="dxa"/>
            <w:vAlign w:val="bottom"/>
            <w:gridSpan w:val="3"/>
          </w:tcPr>
          <w:p>
            <w:pPr>
              <w:jc w:val="center"/>
              <w:ind w:right="250"/>
              <w:spacing w:after="0"/>
              <w:rPr>
                <w:sz w:val="20"/>
                <w:szCs w:val="20"/>
                <w:color w:val="auto"/>
              </w:rPr>
            </w:pPr>
            <w:r>
              <w:rPr>
                <w:rFonts w:ascii="Times New Roman" w:cs="Times New Roman" w:eastAsia="Times New Roman" w:hAnsi="Times New Roman"/>
                <w:sz w:val="14"/>
                <w:szCs w:val="14"/>
                <w:b w:val="1"/>
                <w:bCs w:val="1"/>
                <w:color w:val="auto"/>
              </w:rPr>
              <w:t>Cumulative</w:t>
            </w: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0" w:type="dxa"/>
            <w:vAlign w:val="bottom"/>
            <w:gridSpan w:val="4"/>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Unrecognized Net</w:t>
            </w:r>
          </w:p>
        </w:tc>
        <w:tc>
          <w:tcPr>
            <w:tcW w:w="180" w:type="dxa"/>
            <w:vAlign w:val="bottom"/>
          </w:tcPr>
          <w:p>
            <w:pPr>
              <w:spacing w:after="0"/>
              <w:rPr>
                <w:sz w:val="13"/>
                <w:szCs w:val="13"/>
                <w:color w:val="auto"/>
              </w:rPr>
            </w:pPr>
          </w:p>
        </w:tc>
        <w:tc>
          <w:tcPr>
            <w:tcW w:w="1420" w:type="dxa"/>
            <w:vAlign w:val="bottom"/>
            <w:gridSpan w:val="2"/>
          </w:tcPr>
          <w:p>
            <w:pPr>
              <w:jc w:val="center"/>
              <w:ind w:right="201"/>
              <w:spacing w:after="0"/>
              <w:rPr>
                <w:sz w:val="20"/>
                <w:szCs w:val="20"/>
                <w:color w:val="auto"/>
              </w:rPr>
            </w:pPr>
            <w:r>
              <w:rPr>
                <w:rFonts w:ascii="Times New Roman" w:cs="Times New Roman" w:eastAsia="Times New Roman" w:hAnsi="Times New Roman"/>
                <w:sz w:val="14"/>
                <w:szCs w:val="14"/>
                <w:b w:val="1"/>
                <w:bCs w:val="1"/>
                <w:color w:val="auto"/>
              </w:rPr>
              <w:t>Accumulated</w:t>
            </w:r>
          </w:p>
        </w:tc>
      </w:tr>
      <w:tr>
        <w:trPr>
          <w:trHeight w:val="162"/>
        </w:trPr>
        <w:tc>
          <w:tcPr>
            <w:tcW w:w="6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80" w:type="dxa"/>
            <w:vAlign w:val="bottom"/>
            <w:gridSpan w:val="3"/>
          </w:tcPr>
          <w:p>
            <w:pPr>
              <w:jc w:val="center"/>
              <w:ind w:right="270"/>
              <w:spacing w:after="0"/>
              <w:rPr>
                <w:sz w:val="20"/>
                <w:szCs w:val="20"/>
                <w:color w:val="auto"/>
              </w:rPr>
            </w:pPr>
            <w:r>
              <w:rPr>
                <w:rFonts w:ascii="Times New Roman" w:cs="Times New Roman" w:eastAsia="Times New Roman" w:hAnsi="Times New Roman"/>
                <w:sz w:val="14"/>
                <w:szCs w:val="14"/>
                <w:b w:val="1"/>
                <w:bCs w:val="1"/>
                <w:color w:val="auto"/>
              </w:rPr>
              <w:t>Foreign Currency</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0" w:type="dxa"/>
            <w:vAlign w:val="bottom"/>
            <w:gridSpan w:val="4"/>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Actuarial Loss and</w:t>
            </w:r>
          </w:p>
        </w:tc>
        <w:tc>
          <w:tcPr>
            <w:tcW w:w="180" w:type="dxa"/>
            <w:vAlign w:val="bottom"/>
          </w:tcPr>
          <w:p>
            <w:pPr>
              <w:spacing w:after="0"/>
              <w:rPr>
                <w:sz w:val="14"/>
                <w:szCs w:val="14"/>
                <w:color w:val="auto"/>
              </w:rPr>
            </w:pPr>
          </w:p>
        </w:tc>
        <w:tc>
          <w:tcPr>
            <w:tcW w:w="1420" w:type="dxa"/>
            <w:vAlign w:val="bottom"/>
            <w:gridSpan w:val="2"/>
          </w:tcPr>
          <w:p>
            <w:pPr>
              <w:jc w:val="center"/>
              <w:ind w:right="221"/>
              <w:spacing w:after="0"/>
              <w:rPr>
                <w:sz w:val="20"/>
                <w:szCs w:val="20"/>
                <w:color w:val="auto"/>
              </w:rPr>
            </w:pPr>
            <w:r>
              <w:rPr>
                <w:rFonts w:ascii="Times New Roman" w:cs="Times New Roman" w:eastAsia="Times New Roman" w:hAnsi="Times New Roman"/>
                <w:sz w:val="14"/>
                <w:szCs w:val="14"/>
                <w:b w:val="1"/>
                <w:bCs w:val="1"/>
                <w:color w:val="auto"/>
              </w:rPr>
              <w:t>Other</w:t>
            </w:r>
          </w:p>
        </w:tc>
      </w:tr>
      <w:tr>
        <w:trPr>
          <w:trHeight w:val="148"/>
        </w:trPr>
        <w:tc>
          <w:tcPr>
            <w:tcW w:w="6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3"/>
          </w:tcPr>
          <w:p>
            <w:pPr>
              <w:jc w:val="center"/>
              <w:ind w:right="290"/>
              <w:spacing w:after="0" w:line="149" w:lineRule="exact"/>
              <w:rPr>
                <w:sz w:val="20"/>
                <w:szCs w:val="20"/>
                <w:color w:val="auto"/>
              </w:rPr>
            </w:pPr>
            <w:r>
              <w:rPr>
                <w:rFonts w:ascii="Times New Roman" w:cs="Times New Roman" w:eastAsia="Times New Roman" w:hAnsi="Times New Roman"/>
                <w:sz w:val="14"/>
                <w:szCs w:val="14"/>
                <w:b w:val="1"/>
                <w:bCs w:val="1"/>
                <w:color w:val="auto"/>
              </w:rPr>
              <w:t>Translation</w:t>
            </w:r>
          </w:p>
        </w:tc>
        <w:tc>
          <w:tcPr>
            <w:tcW w:w="20" w:type="dxa"/>
            <w:vAlign w:val="bottom"/>
          </w:tcPr>
          <w:p>
            <w:pPr>
              <w:spacing w:after="0"/>
              <w:rPr>
                <w:sz w:val="12"/>
                <w:szCs w:val="12"/>
                <w:color w:val="auto"/>
              </w:rPr>
            </w:pPr>
          </w:p>
        </w:tc>
        <w:tc>
          <w:tcPr>
            <w:tcW w:w="1720" w:type="dxa"/>
            <w:vAlign w:val="bottom"/>
            <w:gridSpan w:val="5"/>
          </w:tcPr>
          <w:p>
            <w:pPr>
              <w:jc w:val="center"/>
              <w:ind w:right="280"/>
              <w:spacing w:after="0" w:line="149" w:lineRule="exact"/>
              <w:rPr>
                <w:sz w:val="20"/>
                <w:szCs w:val="20"/>
                <w:color w:val="auto"/>
              </w:rPr>
            </w:pPr>
            <w:r>
              <w:rPr>
                <w:rFonts w:ascii="Times New Roman" w:cs="Times New Roman" w:eastAsia="Times New Roman" w:hAnsi="Times New Roman"/>
                <w:sz w:val="14"/>
                <w:szCs w:val="14"/>
                <w:b w:val="1"/>
                <w:bCs w:val="1"/>
                <w:color w:val="auto"/>
              </w:rPr>
              <w:t>Prior Service Credit,</w:t>
            </w:r>
          </w:p>
        </w:tc>
        <w:tc>
          <w:tcPr>
            <w:tcW w:w="180" w:type="dxa"/>
            <w:vAlign w:val="bottom"/>
          </w:tcPr>
          <w:p>
            <w:pPr>
              <w:spacing w:after="0"/>
              <w:rPr>
                <w:sz w:val="12"/>
                <w:szCs w:val="12"/>
                <w:color w:val="auto"/>
              </w:rPr>
            </w:pPr>
          </w:p>
        </w:tc>
        <w:tc>
          <w:tcPr>
            <w:tcW w:w="1420" w:type="dxa"/>
            <w:vAlign w:val="bottom"/>
            <w:gridSpan w:val="2"/>
          </w:tcPr>
          <w:p>
            <w:pPr>
              <w:jc w:val="center"/>
              <w:ind w:right="221"/>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r>
      <w:tr>
        <w:trPr>
          <w:trHeight w:val="187"/>
        </w:trPr>
        <w:tc>
          <w:tcPr>
            <w:tcW w:w="61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80" w:type="dxa"/>
            <w:vAlign w:val="bottom"/>
            <w:gridSpan w:val="3"/>
          </w:tcPr>
          <w:p>
            <w:pPr>
              <w:jc w:val="center"/>
              <w:ind w:right="270"/>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0" w:type="dxa"/>
            <w:vAlign w:val="bottom"/>
            <w:gridSpan w:val="4"/>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w w:val="95"/>
              </w:rPr>
              <w:t>Net</w:t>
            </w:r>
          </w:p>
        </w:tc>
        <w:tc>
          <w:tcPr>
            <w:tcW w:w="180" w:type="dxa"/>
            <w:vAlign w:val="bottom"/>
          </w:tcPr>
          <w:p>
            <w:pPr>
              <w:spacing w:after="0"/>
              <w:rPr>
                <w:sz w:val="16"/>
                <w:szCs w:val="16"/>
                <w:color w:val="auto"/>
              </w:rPr>
            </w:pPr>
          </w:p>
        </w:tc>
        <w:tc>
          <w:tcPr>
            <w:tcW w:w="1420" w:type="dxa"/>
            <w:vAlign w:val="bottom"/>
            <w:gridSpan w:val="2"/>
          </w:tcPr>
          <w:p>
            <w:pPr>
              <w:jc w:val="center"/>
              <w:ind w:right="201"/>
              <w:spacing w:after="0"/>
              <w:rPr>
                <w:sz w:val="20"/>
                <w:szCs w:val="20"/>
                <w:color w:val="auto"/>
              </w:rPr>
            </w:pPr>
            <w:r>
              <w:rPr>
                <w:rFonts w:ascii="Times New Roman" w:cs="Times New Roman" w:eastAsia="Times New Roman" w:hAnsi="Times New Roman"/>
                <w:sz w:val="14"/>
                <w:szCs w:val="14"/>
                <w:b w:val="1"/>
                <w:bCs w:val="1"/>
                <w:color w:val="auto"/>
              </w:rPr>
              <w:t>Income (Loss)</w:t>
            </w:r>
          </w:p>
        </w:tc>
      </w:tr>
      <w:tr>
        <w:trPr>
          <w:trHeight w:val="209"/>
        </w:trPr>
        <w:tc>
          <w:tcPr>
            <w:tcW w:w="6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6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(16,162</w:t>
            </w:r>
          </w:p>
        </w:tc>
        <w:tc>
          <w:tcPr>
            <w:tcW w:w="22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2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(11,267</w:t>
            </w:r>
          </w:p>
        </w:tc>
        <w:tc>
          <w:tcPr>
            <w:tcW w:w="220" w:type="dxa"/>
            <w:vAlign w:val="bottom"/>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0" w:type="dxa"/>
            <w:vAlign w:val="bottom"/>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(27,429</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61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comprehensive income before reclassifications</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(8,131 )</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0" w:type="dxa"/>
            <w:vAlign w:val="bottom"/>
            <w:gridSpan w:val="4"/>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(8,131 )</w:t>
            </w:r>
          </w:p>
        </w:tc>
      </w:tr>
      <w:tr>
        <w:trPr>
          <w:trHeight w:val="216"/>
        </w:trPr>
        <w:tc>
          <w:tcPr>
            <w:tcW w:w="614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Amounts reclassified from AOCI, net of tax</w:t>
            </w:r>
          </w:p>
        </w:tc>
        <w:tc>
          <w:tcPr>
            <w:tcW w:w="6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auto"/>
            </w:tcBorders>
            <w:shd w:val="clear" w:color="auto" w:fill="CFF0FC"/>
          </w:tcPr>
          <w:p>
            <w:pPr>
              <w:spacing w:after="0"/>
              <w:rPr>
                <w:sz w:val="18"/>
                <w:szCs w:val="18"/>
                <w:color w:val="auto"/>
              </w:rPr>
            </w:pPr>
          </w:p>
        </w:tc>
        <w:tc>
          <w:tcPr>
            <w:tcW w:w="136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220" w:type="dxa"/>
            <w:vAlign w:val="bottom"/>
            <w:tcBorders>
              <w:bottom w:val="single" w:sz="8" w:color="CFF0FC"/>
            </w:tcBorders>
            <w:shd w:val="clear" w:color="auto" w:fill="CFF0FC"/>
          </w:tcPr>
          <w:p>
            <w:pPr>
              <w:spacing w:after="0"/>
              <w:rPr>
                <w:sz w:val="18"/>
                <w:szCs w:val="18"/>
                <w:color w:val="auto"/>
              </w:rPr>
            </w:pPr>
          </w:p>
        </w:tc>
        <w:tc>
          <w:tcPr>
            <w:tcW w:w="2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61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Net other comprehensive income (loss)</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(8,131 )</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466</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(7,665 )</w:t>
            </w:r>
          </w:p>
        </w:tc>
      </w:tr>
      <w:tr>
        <w:trPr>
          <w:trHeight w:val="249"/>
        </w:trPr>
        <w:tc>
          <w:tcPr>
            <w:tcW w:w="61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June 30, 2022</w:t>
            </w:r>
          </w:p>
        </w:tc>
        <w:tc>
          <w:tcPr>
            <w:tcW w:w="6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(24,293</w:t>
            </w:r>
          </w:p>
        </w:tc>
        <w:tc>
          <w:tcPr>
            <w:tcW w:w="220" w:type="dxa"/>
            <w:vAlign w:val="bottom"/>
            <w:tcBorders>
              <w:bottom w:val="single" w:sz="8" w:color="CFF0FC"/>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2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60" w:type="dxa"/>
            <w:vAlign w:val="bottom"/>
            <w:tcBorders>
              <w:top w:val="single" w:sz="8" w:color="auto"/>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(10,801</w:t>
            </w:r>
          </w:p>
        </w:tc>
        <w:tc>
          <w:tcPr>
            <w:tcW w:w="220" w:type="dxa"/>
            <w:vAlign w:val="bottom"/>
            <w:tcBorders>
              <w:bottom w:val="single" w:sz="8" w:color="CFF0FC"/>
            </w:tcBorders>
            <w:shd w:val="clear" w:color="auto" w:fill="CFF0FC"/>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(35,094</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333"/>
        </w:trPr>
        <w:tc>
          <w:tcPr>
            <w:tcW w:w="6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gridSpan w:val="3"/>
          </w:tcPr>
          <w:p>
            <w:pPr>
              <w:jc w:val="center"/>
              <w:ind w:right="330"/>
              <w:spacing w:after="0"/>
              <w:rPr>
                <w:sz w:val="20"/>
                <w:szCs w:val="20"/>
                <w:color w:val="auto"/>
              </w:rPr>
            </w:pPr>
            <w:r>
              <w:rPr>
                <w:rFonts w:ascii="Times New Roman" w:cs="Times New Roman" w:eastAsia="Times New Roman" w:hAnsi="Times New Roman"/>
                <w:sz w:val="14"/>
                <w:szCs w:val="14"/>
                <w:b w:val="1"/>
                <w:bCs w:val="1"/>
                <w:color w:val="auto"/>
              </w:rPr>
              <w:t>Cumulative</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0" w:type="dxa"/>
            <w:vAlign w:val="bottom"/>
            <w:gridSpan w:val="4"/>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Unrecognized Net</w:t>
            </w:r>
          </w:p>
        </w:tc>
        <w:tc>
          <w:tcPr>
            <w:tcW w:w="180" w:type="dxa"/>
            <w:vAlign w:val="bottom"/>
          </w:tcPr>
          <w:p>
            <w:pPr>
              <w:spacing w:after="0"/>
              <w:rPr>
                <w:sz w:val="24"/>
                <w:szCs w:val="24"/>
                <w:color w:val="auto"/>
              </w:rPr>
            </w:pPr>
          </w:p>
        </w:tc>
        <w:tc>
          <w:tcPr>
            <w:tcW w:w="1420" w:type="dxa"/>
            <w:vAlign w:val="bottom"/>
            <w:gridSpan w:val="2"/>
          </w:tcPr>
          <w:p>
            <w:pPr>
              <w:jc w:val="center"/>
              <w:ind w:right="221"/>
              <w:spacing w:after="0"/>
              <w:rPr>
                <w:sz w:val="20"/>
                <w:szCs w:val="20"/>
                <w:color w:val="auto"/>
              </w:rPr>
            </w:pPr>
            <w:r>
              <w:rPr>
                <w:rFonts w:ascii="Times New Roman" w:cs="Times New Roman" w:eastAsia="Times New Roman" w:hAnsi="Times New Roman"/>
                <w:sz w:val="14"/>
                <w:szCs w:val="14"/>
                <w:b w:val="1"/>
                <w:bCs w:val="1"/>
                <w:color w:val="auto"/>
              </w:rPr>
              <w:t>Accumulated</w:t>
            </w:r>
          </w:p>
        </w:tc>
      </w:tr>
      <w:tr>
        <w:trPr>
          <w:trHeight w:val="148"/>
        </w:trPr>
        <w:tc>
          <w:tcPr>
            <w:tcW w:w="6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3"/>
          </w:tcPr>
          <w:p>
            <w:pPr>
              <w:jc w:val="center"/>
              <w:ind w:right="390"/>
              <w:spacing w:after="0" w:line="149" w:lineRule="exact"/>
              <w:rPr>
                <w:sz w:val="20"/>
                <w:szCs w:val="20"/>
                <w:color w:val="auto"/>
              </w:rPr>
            </w:pPr>
            <w:r>
              <w:rPr>
                <w:rFonts w:ascii="Times New Roman" w:cs="Times New Roman" w:eastAsia="Times New Roman" w:hAnsi="Times New Roman"/>
                <w:sz w:val="14"/>
                <w:szCs w:val="14"/>
                <w:b w:val="1"/>
                <w:bCs w:val="1"/>
                <w:color w:val="auto"/>
              </w:rPr>
              <w:t>Foreign Currency</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0" w:type="dxa"/>
            <w:vAlign w:val="bottom"/>
            <w:gridSpan w:val="4"/>
          </w:tcPr>
          <w:p>
            <w:pPr>
              <w:jc w:val="center"/>
              <w:ind w:right="440"/>
              <w:spacing w:after="0" w:line="149" w:lineRule="exact"/>
              <w:rPr>
                <w:sz w:val="20"/>
                <w:szCs w:val="20"/>
                <w:color w:val="auto"/>
              </w:rPr>
            </w:pPr>
            <w:r>
              <w:rPr>
                <w:rFonts w:ascii="Times New Roman" w:cs="Times New Roman" w:eastAsia="Times New Roman" w:hAnsi="Times New Roman"/>
                <w:sz w:val="14"/>
                <w:szCs w:val="14"/>
                <w:b w:val="1"/>
                <w:bCs w:val="1"/>
                <w:color w:val="auto"/>
              </w:rPr>
              <w:t>Actuarial Loss and</w:t>
            </w:r>
          </w:p>
        </w:tc>
        <w:tc>
          <w:tcPr>
            <w:tcW w:w="180" w:type="dxa"/>
            <w:vAlign w:val="bottom"/>
          </w:tcPr>
          <w:p>
            <w:pPr>
              <w:spacing w:after="0"/>
              <w:rPr>
                <w:sz w:val="12"/>
                <w:szCs w:val="12"/>
                <w:color w:val="auto"/>
              </w:rPr>
            </w:pPr>
          </w:p>
        </w:tc>
        <w:tc>
          <w:tcPr>
            <w:tcW w:w="1420" w:type="dxa"/>
            <w:vAlign w:val="bottom"/>
            <w:gridSpan w:val="2"/>
          </w:tcPr>
          <w:p>
            <w:pPr>
              <w:jc w:val="center"/>
              <w:ind w:right="221"/>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r>
      <w:tr>
        <w:trPr>
          <w:trHeight w:val="148"/>
        </w:trPr>
        <w:tc>
          <w:tcPr>
            <w:tcW w:w="6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80" w:type="dxa"/>
            <w:vAlign w:val="bottom"/>
            <w:gridSpan w:val="3"/>
          </w:tcPr>
          <w:p>
            <w:pPr>
              <w:jc w:val="center"/>
              <w:ind w:right="390"/>
              <w:spacing w:after="0" w:line="149" w:lineRule="exact"/>
              <w:rPr>
                <w:sz w:val="20"/>
                <w:szCs w:val="20"/>
                <w:color w:val="auto"/>
              </w:rPr>
            </w:pPr>
            <w:r>
              <w:rPr>
                <w:rFonts w:ascii="Times New Roman" w:cs="Times New Roman" w:eastAsia="Times New Roman" w:hAnsi="Times New Roman"/>
                <w:sz w:val="14"/>
                <w:szCs w:val="14"/>
                <w:b w:val="1"/>
                <w:bCs w:val="1"/>
                <w:color w:val="auto"/>
                <w:w w:val="99"/>
              </w:rPr>
              <w:t>Translation</w:t>
            </w:r>
          </w:p>
        </w:tc>
        <w:tc>
          <w:tcPr>
            <w:tcW w:w="20" w:type="dxa"/>
            <w:vAlign w:val="bottom"/>
          </w:tcPr>
          <w:p>
            <w:pPr>
              <w:spacing w:after="0"/>
              <w:rPr>
                <w:sz w:val="12"/>
                <w:szCs w:val="12"/>
                <w:color w:val="auto"/>
              </w:rPr>
            </w:pPr>
          </w:p>
        </w:tc>
        <w:tc>
          <w:tcPr>
            <w:tcW w:w="1720" w:type="dxa"/>
            <w:vAlign w:val="bottom"/>
            <w:gridSpan w:val="5"/>
          </w:tcPr>
          <w:p>
            <w:pPr>
              <w:jc w:val="center"/>
              <w:ind w:right="320"/>
              <w:spacing w:after="0" w:line="149" w:lineRule="exact"/>
              <w:rPr>
                <w:sz w:val="20"/>
                <w:szCs w:val="20"/>
                <w:color w:val="auto"/>
              </w:rPr>
            </w:pPr>
            <w:r>
              <w:rPr>
                <w:rFonts w:ascii="Times New Roman" w:cs="Times New Roman" w:eastAsia="Times New Roman" w:hAnsi="Times New Roman"/>
                <w:sz w:val="14"/>
                <w:szCs w:val="14"/>
                <w:b w:val="1"/>
                <w:bCs w:val="1"/>
                <w:color w:val="auto"/>
              </w:rPr>
              <w:t>Prior Service Credit,</w:t>
            </w:r>
          </w:p>
        </w:tc>
        <w:tc>
          <w:tcPr>
            <w:tcW w:w="180" w:type="dxa"/>
            <w:vAlign w:val="bottom"/>
          </w:tcPr>
          <w:p>
            <w:pPr>
              <w:spacing w:after="0"/>
              <w:rPr>
                <w:sz w:val="12"/>
                <w:szCs w:val="12"/>
                <w:color w:val="auto"/>
              </w:rPr>
            </w:pPr>
          </w:p>
        </w:tc>
        <w:tc>
          <w:tcPr>
            <w:tcW w:w="1420" w:type="dxa"/>
            <w:vAlign w:val="bottom"/>
            <w:gridSpan w:val="2"/>
          </w:tcPr>
          <w:p>
            <w:pPr>
              <w:jc w:val="center"/>
              <w:ind w:right="221"/>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r>
      <w:tr>
        <w:trPr>
          <w:trHeight w:val="200"/>
        </w:trPr>
        <w:tc>
          <w:tcPr>
            <w:tcW w:w="61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80" w:type="dxa"/>
            <w:vAlign w:val="bottom"/>
            <w:gridSpan w:val="3"/>
          </w:tcPr>
          <w:p>
            <w:pPr>
              <w:jc w:val="center"/>
              <w:ind w:right="350"/>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0" w:type="dxa"/>
            <w:vAlign w:val="bottom"/>
            <w:gridSpan w:val="4"/>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w w:val="95"/>
              </w:rPr>
              <w:t>Net</w:t>
            </w:r>
          </w:p>
        </w:tc>
        <w:tc>
          <w:tcPr>
            <w:tcW w:w="180" w:type="dxa"/>
            <w:vAlign w:val="bottom"/>
          </w:tcPr>
          <w:p>
            <w:pPr>
              <w:spacing w:after="0"/>
              <w:rPr>
                <w:sz w:val="17"/>
                <w:szCs w:val="17"/>
                <w:color w:val="auto"/>
              </w:rPr>
            </w:pPr>
          </w:p>
        </w:tc>
        <w:tc>
          <w:tcPr>
            <w:tcW w:w="1420" w:type="dxa"/>
            <w:vAlign w:val="bottom"/>
            <w:gridSpan w:val="2"/>
          </w:tcPr>
          <w:p>
            <w:pPr>
              <w:jc w:val="center"/>
              <w:ind w:right="221"/>
              <w:spacing w:after="0"/>
              <w:rPr>
                <w:sz w:val="20"/>
                <w:szCs w:val="20"/>
                <w:color w:val="auto"/>
              </w:rPr>
            </w:pPr>
            <w:r>
              <w:rPr>
                <w:rFonts w:ascii="Times New Roman" w:cs="Times New Roman" w:eastAsia="Times New Roman" w:hAnsi="Times New Roman"/>
                <w:sz w:val="14"/>
                <w:szCs w:val="14"/>
                <w:b w:val="1"/>
                <w:bCs w:val="1"/>
                <w:color w:val="auto"/>
              </w:rPr>
              <w:t>Income (Loss)</w:t>
            </w:r>
          </w:p>
        </w:tc>
      </w:tr>
      <w:tr>
        <w:trPr>
          <w:trHeight w:val="209"/>
        </w:trPr>
        <w:tc>
          <w:tcPr>
            <w:tcW w:w="6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2020</w:t>
            </w:r>
          </w:p>
        </w:tc>
        <w:tc>
          <w:tcPr>
            <w:tcW w:w="18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(16,686</w:t>
            </w:r>
          </w:p>
        </w:tc>
        <w:tc>
          <w:tcPr>
            <w:tcW w:w="260" w:type="dxa"/>
            <w:vAlign w:val="bottom"/>
            <w:gridSpan w:val="2"/>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tcBorders>
              <w:top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(13,955</w:t>
            </w:r>
          </w:p>
        </w:tc>
        <w:tc>
          <w:tcPr>
            <w:tcW w:w="240" w:type="dxa"/>
            <w:vAlign w:val="bottom"/>
            <w:gridSpan w:val="2"/>
            <w:shd w:val="clear" w:color="auto" w:fill="CFF0FC"/>
          </w:tcPr>
          <w:p>
            <w:pPr>
              <w:jc w:val="right"/>
              <w:ind w:right="81"/>
              <w:spacing w:after="0"/>
              <w:rPr>
                <w:sz w:val="20"/>
                <w:szCs w:val="20"/>
                <w:color w:val="auto"/>
              </w:rPr>
            </w:pPr>
            <w:r>
              <w:rPr>
                <w:rFonts w:ascii="Times New Roman" w:cs="Times New Roman" w:eastAsia="Times New Roman" w:hAnsi="Times New Roman"/>
                <w:sz w:val="18"/>
                <w:szCs w:val="18"/>
                <w:color w:val="auto"/>
                <w:w w:val="99"/>
              </w:rPr>
              <w:t>)</w:t>
            </w:r>
          </w:p>
        </w:tc>
        <w:tc>
          <w:tcPr>
            <w:tcW w:w="20" w:type="dxa"/>
            <w:vAlign w:val="bottom"/>
            <w:tcBorders>
              <w:top w:val="single" w:sz="8" w:color="auto"/>
            </w:tcBorders>
            <w:shd w:val="clear" w:color="auto" w:fill="CFF0FC"/>
          </w:tcPr>
          <w:p>
            <w:pPr>
              <w:spacing w:after="0"/>
              <w:rPr>
                <w:sz w:val="18"/>
                <w:szCs w:val="18"/>
                <w:color w:val="auto"/>
              </w:rPr>
            </w:pPr>
          </w:p>
        </w:tc>
        <w:tc>
          <w:tcPr>
            <w:tcW w:w="180" w:type="dxa"/>
            <w:vAlign w:val="bottom"/>
            <w:tcBorders>
              <w:top w:val="single" w:sz="8" w:color="auto"/>
            </w:tcBorders>
            <w:shd w:val="clear" w:color="auto" w:fill="CFF0FC"/>
          </w:tcPr>
          <w:p>
            <w:pPr>
              <w:jc w:val="right"/>
              <w:ind w:right="13"/>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(30,641</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614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comprehensive loss before reclassifications</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7,654</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0" w:type="dxa"/>
            <w:vAlign w:val="bottom"/>
            <w:gridSpan w:val="4"/>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7,654</w:t>
            </w:r>
          </w:p>
        </w:tc>
        <w:tc>
          <w:tcPr>
            <w:tcW w:w="100" w:type="dxa"/>
            <w:vAlign w:val="bottom"/>
          </w:tcPr>
          <w:p>
            <w:pPr>
              <w:spacing w:after="0"/>
              <w:rPr>
                <w:sz w:val="18"/>
                <w:szCs w:val="18"/>
                <w:color w:val="auto"/>
              </w:rPr>
            </w:pPr>
          </w:p>
        </w:tc>
      </w:tr>
      <w:tr>
        <w:trPr>
          <w:trHeight w:val="216"/>
        </w:trPr>
        <w:tc>
          <w:tcPr>
            <w:tcW w:w="614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Amounts reclassified from AOCI, net of tax</w:t>
            </w:r>
          </w:p>
        </w:tc>
        <w:tc>
          <w:tcPr>
            <w:tcW w:w="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580" w:type="dxa"/>
            <w:vAlign w:val="bottom"/>
            <w:gridSpan w:val="3"/>
            <w:shd w:val="clear" w:color="auto" w:fill="CFF0FC"/>
          </w:tcPr>
          <w:p>
            <w:pPr>
              <w:jc w:val="right"/>
              <w:ind w:right="19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100" w:type="dxa"/>
            <w:vAlign w:val="bottom"/>
            <w:shd w:val="clear" w:color="auto" w:fill="CFF0FC"/>
          </w:tcPr>
          <w:p>
            <w:pPr>
              <w:spacing w:after="0"/>
              <w:rPr>
                <w:sz w:val="18"/>
                <w:szCs w:val="18"/>
                <w:color w:val="auto"/>
              </w:rPr>
            </w:pPr>
          </w:p>
        </w:tc>
      </w:tr>
      <w:tr>
        <w:trPr>
          <w:trHeight w:val="209"/>
        </w:trPr>
        <w:tc>
          <w:tcPr>
            <w:tcW w:w="614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Net other comprehensive income</w:t>
            </w:r>
          </w:p>
        </w:tc>
        <w:tc>
          <w:tcPr>
            <w:tcW w:w="60" w:type="dxa"/>
            <w:vAlign w:val="bottom"/>
            <w:tcBorders>
              <w:top w:val="single" w:sz="8" w:color="auto"/>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7,654</w:t>
            </w:r>
          </w:p>
        </w:tc>
        <w:tc>
          <w:tcPr>
            <w:tcW w:w="40" w:type="dxa"/>
            <w:vAlign w:val="bottom"/>
            <w:tcBorders>
              <w:top w:val="single" w:sz="8" w:color="CFF0FC"/>
            </w:tcBorders>
          </w:tcPr>
          <w:p>
            <w:pPr>
              <w:spacing w:after="0"/>
              <w:rPr>
                <w:sz w:val="18"/>
                <w:szCs w:val="18"/>
                <w:color w:val="auto"/>
              </w:rPr>
            </w:pPr>
          </w:p>
        </w:tc>
        <w:tc>
          <w:tcPr>
            <w:tcW w:w="220" w:type="dxa"/>
            <w:vAlign w:val="bottom"/>
            <w:tcBorders>
              <w:top w:val="single" w:sz="8" w:color="CFF0FC"/>
            </w:tcBorders>
          </w:tcPr>
          <w:p>
            <w:pPr>
              <w:spacing w:after="0"/>
              <w:rPr>
                <w:sz w:val="18"/>
                <w:szCs w:val="18"/>
                <w:color w:val="auto"/>
              </w:rPr>
            </w:pPr>
          </w:p>
        </w:tc>
        <w:tc>
          <w:tcPr>
            <w:tcW w:w="20" w:type="dxa"/>
            <w:vAlign w:val="bottom"/>
            <w:tcBorders>
              <w:top w:val="single" w:sz="8" w:color="auto"/>
              <w:bottom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20" w:type="dxa"/>
            <w:vAlign w:val="bottom"/>
            <w:tcBorders>
              <w:top w:val="single" w:sz="8" w:color="CFF0FC"/>
            </w:tcBorders>
          </w:tcPr>
          <w:p>
            <w:pPr>
              <w:spacing w:after="0"/>
              <w:rPr>
                <w:sz w:val="18"/>
                <w:szCs w:val="18"/>
                <w:color w:val="auto"/>
              </w:rPr>
            </w:pPr>
          </w:p>
        </w:tc>
        <w:tc>
          <w:tcPr>
            <w:tcW w:w="220" w:type="dxa"/>
            <w:vAlign w:val="bottom"/>
            <w:tcBorders>
              <w:top w:val="single" w:sz="8" w:color="CFF0FC"/>
            </w:tcBorders>
          </w:tcPr>
          <w:p>
            <w:pPr>
              <w:spacing w:after="0"/>
              <w:rPr>
                <w:sz w:val="18"/>
                <w:szCs w:val="18"/>
                <w:color w:val="auto"/>
              </w:rPr>
            </w:pPr>
          </w:p>
        </w:tc>
        <w:tc>
          <w:tcPr>
            <w:tcW w:w="20" w:type="dxa"/>
            <w:vAlign w:val="bottom"/>
            <w:tcBorders>
              <w:top w:val="single" w:sz="8" w:color="auto"/>
              <w:bottom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7,776</w:t>
            </w:r>
          </w:p>
        </w:tc>
        <w:tc>
          <w:tcPr>
            <w:tcW w:w="100" w:type="dxa"/>
            <w:vAlign w:val="bottom"/>
            <w:tcBorders>
              <w:top w:val="single" w:sz="8" w:color="CFF0FC"/>
            </w:tcBorders>
          </w:tcPr>
          <w:p>
            <w:pPr>
              <w:spacing w:after="0"/>
              <w:rPr>
                <w:sz w:val="18"/>
                <w:szCs w:val="18"/>
                <w:color w:val="auto"/>
              </w:rPr>
            </w:pPr>
          </w:p>
        </w:tc>
      </w:tr>
      <w:tr>
        <w:trPr>
          <w:trHeight w:val="249"/>
        </w:trPr>
        <w:tc>
          <w:tcPr>
            <w:tcW w:w="61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June 30, 2021</w:t>
            </w:r>
          </w:p>
        </w:tc>
        <w:tc>
          <w:tcPr>
            <w:tcW w:w="18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(9,032</w:t>
            </w:r>
          </w:p>
        </w:tc>
        <w:tc>
          <w:tcPr>
            <w:tcW w:w="260" w:type="dxa"/>
            <w:vAlign w:val="bottom"/>
            <w:tcBorders>
              <w:bottom w:val="single" w:sz="8" w:color="CFF0FC"/>
            </w:tcBorders>
            <w:gridSpan w:val="2"/>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tcBorders>
              <w:bottom w:val="single" w:sz="8" w:color="auto"/>
            </w:tcBorders>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(13,833</w:t>
            </w:r>
          </w:p>
        </w:tc>
        <w:tc>
          <w:tcPr>
            <w:tcW w:w="240" w:type="dxa"/>
            <w:vAlign w:val="bottom"/>
            <w:tcBorders>
              <w:bottom w:val="single" w:sz="8" w:color="CFF0FC"/>
            </w:tcBorders>
            <w:gridSpan w:val="2"/>
            <w:shd w:val="clear" w:color="auto" w:fill="CFF0FC"/>
          </w:tcPr>
          <w:p>
            <w:pPr>
              <w:jc w:val="right"/>
              <w:ind w:right="81"/>
              <w:spacing w:after="0"/>
              <w:rPr>
                <w:sz w:val="20"/>
                <w:szCs w:val="20"/>
                <w:color w:val="auto"/>
              </w:rPr>
            </w:pPr>
            <w:r>
              <w:rPr>
                <w:rFonts w:ascii="Times New Roman" w:cs="Times New Roman" w:eastAsia="Times New Roman" w:hAnsi="Times New Roman"/>
                <w:sz w:val="18"/>
                <w:szCs w:val="18"/>
                <w:color w:val="auto"/>
                <w:w w:val="99"/>
              </w:rPr>
              <w:t>)</w:t>
            </w:r>
          </w:p>
        </w:tc>
        <w:tc>
          <w:tcPr>
            <w:tcW w:w="20" w:type="dxa"/>
            <w:vAlign w:val="bottom"/>
            <w:tcBorders>
              <w:bottom w:val="single" w:sz="8" w:color="auto"/>
            </w:tcBorders>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jc w:val="right"/>
              <w:ind w:right="13"/>
              <w:spacing w:after="0"/>
              <w:rPr>
                <w:sz w:val="20"/>
                <w:szCs w:val="20"/>
                <w:color w:val="auto"/>
              </w:rPr>
            </w:pPr>
            <w:r>
              <w:rPr>
                <w:rFonts w:ascii="Times New Roman" w:cs="Times New Roman" w:eastAsia="Times New Roman" w:hAnsi="Times New Roman"/>
                <w:sz w:val="17"/>
                <w:szCs w:val="17"/>
                <w:color w:val="auto"/>
                <w:w w:val="70"/>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(22,865</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4876800</wp:posOffset>
            </wp:positionH>
            <wp:positionV relativeFrom="paragraph">
              <wp:posOffset>-1591945</wp:posOffset>
            </wp:positionV>
            <wp:extent cx="68580" cy="825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5964555</wp:posOffset>
            </wp:positionH>
            <wp:positionV relativeFrom="paragraph">
              <wp:posOffset>-1591945</wp:posOffset>
            </wp:positionV>
            <wp:extent cx="68580" cy="825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-1591945</wp:posOffset>
            </wp:positionV>
            <wp:extent cx="68580" cy="825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4876800</wp:posOffset>
            </wp:positionH>
            <wp:positionV relativeFrom="paragraph">
              <wp:posOffset>-1301115</wp:posOffset>
            </wp:positionV>
            <wp:extent cx="68580" cy="825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4876800</wp:posOffset>
            </wp:positionH>
            <wp:positionV relativeFrom="paragraph">
              <wp:posOffset>-1283970</wp:posOffset>
            </wp:positionV>
            <wp:extent cx="68580" cy="825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5964555</wp:posOffset>
            </wp:positionH>
            <wp:positionV relativeFrom="paragraph">
              <wp:posOffset>-1301115</wp:posOffset>
            </wp:positionV>
            <wp:extent cx="68580" cy="825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5964555</wp:posOffset>
            </wp:positionH>
            <wp:positionV relativeFrom="paragraph">
              <wp:posOffset>-1283970</wp:posOffset>
            </wp:positionV>
            <wp:extent cx="68580" cy="825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-1301115</wp:posOffset>
            </wp:positionV>
            <wp:extent cx="68580" cy="825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-1283970</wp:posOffset>
            </wp:positionV>
            <wp:extent cx="68580" cy="825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4851400</wp:posOffset>
            </wp:positionH>
            <wp:positionV relativeFrom="paragraph">
              <wp:posOffset>-316230</wp:posOffset>
            </wp:positionV>
            <wp:extent cx="76835" cy="825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5955665</wp:posOffset>
            </wp:positionH>
            <wp:positionV relativeFrom="paragraph">
              <wp:posOffset>-316230</wp:posOffset>
            </wp:positionV>
            <wp:extent cx="68580" cy="825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-316230</wp:posOffset>
            </wp:positionV>
            <wp:extent cx="68580" cy="825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4851400</wp:posOffset>
            </wp:positionH>
            <wp:positionV relativeFrom="paragraph">
              <wp:posOffset>-24765</wp:posOffset>
            </wp:positionV>
            <wp:extent cx="76835" cy="825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4851400</wp:posOffset>
            </wp:positionH>
            <wp:positionV relativeFrom="paragraph">
              <wp:posOffset>-7620</wp:posOffset>
            </wp:positionV>
            <wp:extent cx="76835" cy="825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5955665</wp:posOffset>
            </wp:positionH>
            <wp:positionV relativeFrom="paragraph">
              <wp:posOffset>-24765</wp:posOffset>
            </wp:positionV>
            <wp:extent cx="68580" cy="825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5955665</wp:posOffset>
            </wp:positionH>
            <wp:positionV relativeFrom="paragraph">
              <wp:posOffset>-7620</wp:posOffset>
            </wp:positionV>
            <wp:extent cx="68580" cy="825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64"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Amounts reclassified that relate to our defined benefit pension and postretirement plans include the amortization of prior service costs and actuarial net losses recognized during each period presented. We recorded these costs as components of net periodic cost for each period presented. Refer to Note 18 – Pension and Postretirement Benefits for additional information.</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17. </w:t>
      </w:r>
      <w:r>
        <w:rPr>
          <w:rFonts w:ascii="Times New Roman" w:cs="Times New Roman" w:eastAsia="Times New Roman" w:hAnsi="Times New Roman"/>
          <w:sz w:val="18"/>
          <w:szCs w:val="18"/>
          <w:b w:val="1"/>
          <w:bCs w:val="1"/>
          <w:u w:val="single" w:color="auto"/>
          <w:color w:val="auto"/>
        </w:rPr>
        <w:t>Income Taxes</w:t>
      </w:r>
    </w:p>
    <w:p>
      <w:pPr>
        <w:spacing w:after="0" w:line="1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effective tax rate was 14.3% for the three months ended June 30, 2022 and a negative 8.0% for the six months ended June 30, 2022. The effective tax rate was 4.8% for the three months ended June 30, 2021 and 5.6% for the six months ended June 30, 2021.</w:t>
      </w:r>
    </w:p>
    <w:p>
      <w:pPr>
        <w:spacing w:after="0" w:line="1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24" w:name="page25"/>
    <w:bookmarkEnd w:id="24"/>
    <w:p>
      <w:pPr>
        <w:jc w:val="both"/>
        <w:spacing w:after="0" w:line="250" w:lineRule="auto"/>
        <w:rPr>
          <w:sz w:val="20"/>
          <w:szCs w:val="20"/>
          <w:color w:val="auto"/>
        </w:rPr>
      </w:pPr>
      <w:r>
        <w:rPr>
          <w:rFonts w:ascii="Times New Roman" w:cs="Times New Roman" w:eastAsia="Times New Roman" w:hAnsi="Times New Roman"/>
          <w:sz w:val="18"/>
          <w:szCs w:val="18"/>
          <w:color w:val="auto"/>
        </w:rPr>
        <w:t>The income tax provision was computed based on our estimated annualized effective tax rate and the full-year forecasted income or loss plus the tax impact of unusual, infrequent, or nonrecurring significant items during the period. The effective tax rates for the three and six months ended June 30, 2022 and 2021 were less than the federal statutory rate of 21% primarily as a result of excluding the tax benefits on losses recognized in the United States, United Kingdom, and other European countries where we have a valuation allowance. The six months ended June 30, 2022 was also impacted by a change in income or loss between jurisdictions.</w:t>
      </w:r>
    </w:p>
    <w:p>
      <w:pPr>
        <w:spacing w:after="0" w:line="12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212529"/>
        </w:rPr>
        <w:t xml:space="preserve">We received net cash refunds </w:t>
      </w:r>
      <w:r>
        <w:rPr>
          <w:rFonts w:ascii="Times New Roman" w:cs="Times New Roman" w:eastAsia="Times New Roman" w:hAnsi="Times New Roman"/>
          <w:sz w:val="18"/>
          <w:szCs w:val="18"/>
          <w:color w:val="000000"/>
        </w:rPr>
        <w:t>of</w:t>
      </w:r>
      <w:r>
        <w:rPr>
          <w:rFonts w:ascii="Times New Roman" w:cs="Times New Roman" w:eastAsia="Times New Roman" w:hAnsi="Times New Roman"/>
          <w:sz w:val="18"/>
          <w:szCs w:val="18"/>
          <w:color w:val="212529"/>
        </w:rPr>
        <w:t xml:space="preserve"> $0.6 million during the three months ended June 30, 2022 and made cash payments for income taxes of $0.8 million during the six months ended June 30, 2022. We received cash refunds of $0.3 million during the three months ended June 30, 2021 and made cash payments for income taxes of $0.4 million </w:t>
      </w:r>
      <w:r>
        <w:rPr>
          <w:rFonts w:ascii="Times New Roman" w:cs="Times New Roman" w:eastAsia="Times New Roman" w:hAnsi="Times New Roman"/>
          <w:sz w:val="18"/>
          <w:szCs w:val="18"/>
          <w:color w:val="000000"/>
        </w:rPr>
        <w:t>during the six months ended June 30, 2021.</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18. </w:t>
      </w:r>
      <w:r>
        <w:rPr>
          <w:rFonts w:ascii="Times New Roman" w:cs="Times New Roman" w:eastAsia="Times New Roman" w:hAnsi="Times New Roman"/>
          <w:sz w:val="18"/>
          <w:szCs w:val="18"/>
          <w:b w:val="1"/>
          <w:bCs w:val="1"/>
          <w:u w:val="single" w:color="auto"/>
          <w:color w:val="auto"/>
        </w:rPr>
        <w:t>Pension and Postretirement Benefits</w:t>
      </w:r>
    </w:p>
    <w:p>
      <w:pPr>
        <w:spacing w:after="0" w:line="1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components of net periodic benefit cost of our pension and postretirement benefit plans for the three months ended June 30, 2022 and 2021 consist of the following:</w:t>
      </w:r>
    </w:p>
    <w:p>
      <w:pPr>
        <w:spacing w:after="0" w:line="303"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58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4"/>
          </w:tcPr>
          <w:p>
            <w:pPr>
              <w:jc w:val="right"/>
              <w:ind w:right="394"/>
              <w:spacing w:after="0"/>
              <w:rPr>
                <w:sz w:val="20"/>
                <w:szCs w:val="20"/>
                <w:color w:val="auto"/>
              </w:rPr>
            </w:pPr>
            <w:r>
              <w:rPr>
                <w:rFonts w:ascii="Times New Roman" w:cs="Times New Roman" w:eastAsia="Times New Roman" w:hAnsi="Times New Roman"/>
                <w:sz w:val="14"/>
                <w:szCs w:val="14"/>
                <w:b w:val="1"/>
                <w:bCs w:val="1"/>
                <w:color w:val="auto"/>
              </w:rPr>
              <w:t>Domestic Plans</w:t>
            </w:r>
          </w:p>
        </w:tc>
        <w:tc>
          <w:tcPr>
            <w:tcW w:w="2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196"/>
        </w:trPr>
        <w:tc>
          <w:tcPr>
            <w:tcW w:w="4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20" w:type="dxa"/>
            <w:vAlign w:val="bottom"/>
            <w:gridSpan w:val="3"/>
          </w:tcPr>
          <w:p>
            <w:pPr>
              <w:jc w:val="right"/>
              <w:ind w:right="190"/>
              <w:spacing w:after="0"/>
              <w:rPr>
                <w:sz w:val="20"/>
                <w:szCs w:val="20"/>
                <w:color w:val="auto"/>
              </w:rPr>
            </w:pPr>
            <w:r>
              <w:rPr>
                <w:rFonts w:ascii="Times New Roman" w:cs="Times New Roman" w:eastAsia="Times New Roman" w:hAnsi="Times New Roman"/>
                <w:sz w:val="14"/>
                <w:szCs w:val="14"/>
                <w:b w:val="1"/>
                <w:bCs w:val="1"/>
                <w:color w:val="auto"/>
              </w:rPr>
              <w:t>Pension Plans</w:t>
            </w:r>
          </w:p>
        </w:tc>
        <w:tc>
          <w:tcPr>
            <w:tcW w:w="3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0" w:type="dxa"/>
            <w:vAlign w:val="bottom"/>
            <w:gridSpan w:val="5"/>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Postretirement Benefit Plans</w:t>
            </w:r>
          </w:p>
        </w:tc>
        <w:tc>
          <w:tcPr>
            <w:tcW w:w="200" w:type="dxa"/>
            <w:vAlign w:val="bottom"/>
          </w:tcPr>
          <w:p>
            <w:pPr>
              <w:spacing w:after="0"/>
              <w:rPr>
                <w:sz w:val="17"/>
                <w:szCs w:val="17"/>
                <w:color w:val="auto"/>
              </w:rPr>
            </w:pPr>
          </w:p>
        </w:tc>
        <w:tc>
          <w:tcPr>
            <w:tcW w:w="1900" w:type="dxa"/>
            <w:vAlign w:val="bottom"/>
            <w:gridSpan w:val="5"/>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Foreign Pension Plans</w:t>
            </w:r>
          </w:p>
        </w:tc>
      </w:tr>
      <w:tr>
        <w:trPr>
          <w:trHeight w:val="169"/>
        </w:trPr>
        <w:tc>
          <w:tcPr>
            <w:tcW w:w="45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80" w:type="dxa"/>
            <w:vAlign w:val="bottom"/>
            <w:tcBorders>
              <w:top w:val="single" w:sz="8" w:color="auto"/>
            </w:tcBorders>
          </w:tcPr>
          <w:p>
            <w:pPr>
              <w:spacing w:after="0"/>
              <w:rPr>
                <w:sz w:val="14"/>
                <w:szCs w:val="14"/>
                <w:color w:val="auto"/>
              </w:rPr>
            </w:pPr>
          </w:p>
        </w:tc>
        <w:tc>
          <w:tcPr>
            <w:tcW w:w="640" w:type="dxa"/>
            <w:vAlign w:val="bottom"/>
            <w:tcBorders>
              <w:top w:val="single" w:sz="8" w:color="auto"/>
            </w:tcBorders>
          </w:tcPr>
          <w:p>
            <w:pPr>
              <w:jc w:val="right"/>
              <w:ind w:right="1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8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300" w:type="dxa"/>
            <w:vAlign w:val="bottom"/>
            <w:tcBorders>
              <w:top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680" w:type="dxa"/>
            <w:vAlign w:val="bottom"/>
            <w:tcBorders>
              <w:top w:val="single" w:sz="8" w:color="auto"/>
            </w:tcBorders>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45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Service cost</w:t>
            </w:r>
          </w:p>
        </w:tc>
        <w:tc>
          <w:tcPr>
            <w:tcW w:w="1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640" w:type="dxa"/>
            <w:vAlign w:val="bottom"/>
            <w:tcBorders>
              <w:top w:val="single" w:sz="8" w:color="auto"/>
            </w:tcBorders>
            <w:shd w:val="clear" w:color="auto" w:fill="CFF0FC"/>
          </w:tcPr>
          <w:p>
            <w:pPr>
              <w:jc w:val="right"/>
              <w:ind w:right="450"/>
              <w:spacing w:after="0"/>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220" w:type="dxa"/>
            <w:vAlign w:val="bottom"/>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22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22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117</w:t>
            </w:r>
          </w:p>
        </w:tc>
        <w:tc>
          <w:tcPr>
            <w:tcW w:w="100" w:type="dxa"/>
            <w:vAlign w:val="bottom"/>
            <w:shd w:val="clear" w:color="auto" w:fill="CFF0FC"/>
          </w:tcPr>
          <w:p>
            <w:pPr>
              <w:spacing w:after="0"/>
              <w:rPr>
                <w:sz w:val="18"/>
                <w:szCs w:val="18"/>
                <w:color w:val="auto"/>
              </w:rPr>
            </w:pPr>
          </w:p>
        </w:tc>
      </w:tr>
      <w:tr>
        <w:trPr>
          <w:trHeight w:val="216"/>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cost</w:t>
            </w: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w:t>
            </w: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100" w:type="dxa"/>
            <w:vAlign w:val="bottom"/>
          </w:tcPr>
          <w:p>
            <w:pPr>
              <w:spacing w:after="0"/>
              <w:rPr>
                <w:sz w:val="18"/>
                <w:szCs w:val="18"/>
                <w:color w:val="auto"/>
              </w:rPr>
            </w:pPr>
          </w:p>
        </w:tc>
      </w:tr>
      <w:tr>
        <w:trPr>
          <w:trHeight w:val="216"/>
        </w:trPr>
        <w:tc>
          <w:tcPr>
            <w:tcW w:w="45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Expected return on plan assets</w:t>
            </w:r>
          </w:p>
        </w:tc>
        <w:tc>
          <w:tcPr>
            <w:tcW w:w="180" w:type="dxa"/>
            <w:vAlign w:val="bottom"/>
            <w:shd w:val="clear" w:color="auto" w:fill="CFF0FC"/>
          </w:tcPr>
          <w:p>
            <w:pPr>
              <w:spacing w:after="0"/>
              <w:rPr>
                <w:sz w:val="18"/>
                <w:szCs w:val="18"/>
                <w:color w:val="auto"/>
              </w:rPr>
            </w:pPr>
          </w:p>
        </w:tc>
        <w:tc>
          <w:tcPr>
            <w:tcW w:w="6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240" w:type="dxa"/>
            <w:vAlign w:val="bottom"/>
            <w:shd w:val="clear" w:color="auto" w:fill="CFF0FC"/>
          </w:tcPr>
          <w:p>
            <w:pPr>
              <w:spacing w:after="0"/>
              <w:rPr>
                <w:sz w:val="18"/>
                <w:szCs w:val="18"/>
                <w:color w:val="auto"/>
              </w:rPr>
            </w:pPr>
          </w:p>
        </w:tc>
        <w:tc>
          <w:tcPr>
            <w:tcW w:w="640" w:type="dxa"/>
            <w:vAlign w:val="bottom"/>
            <w:shd w:val="clear" w:color="auto" w:fill="CFF0FC"/>
          </w:tcPr>
          <w:p>
            <w:pPr>
              <w:spacing w:after="0"/>
              <w:rPr>
                <w:sz w:val="18"/>
                <w:szCs w:val="18"/>
                <w:color w:val="auto"/>
              </w:rPr>
            </w:pPr>
          </w:p>
        </w:tc>
        <w:tc>
          <w:tcPr>
            <w:tcW w:w="3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9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(98 )</w:t>
            </w:r>
          </w:p>
        </w:tc>
        <w:tc>
          <w:tcPr>
            <w:tcW w:w="200" w:type="dxa"/>
            <w:vAlign w:val="bottom"/>
            <w:shd w:val="clear" w:color="auto" w:fill="CFF0FC"/>
          </w:tcPr>
          <w:p>
            <w:pPr>
              <w:spacing w:after="0"/>
              <w:rPr>
                <w:sz w:val="18"/>
                <w:szCs w:val="18"/>
                <w:color w:val="auto"/>
              </w:rPr>
            </w:pPr>
          </w:p>
        </w:tc>
        <w:tc>
          <w:tcPr>
            <w:tcW w:w="80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(130 )</w:t>
            </w:r>
          </w:p>
        </w:tc>
      </w:tr>
      <w:tr>
        <w:trPr>
          <w:trHeight w:val="216"/>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Amortization of prior service credit</w:t>
            </w: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(2 )</w:t>
            </w:r>
          </w:p>
        </w:tc>
        <w:tc>
          <w:tcPr>
            <w:tcW w:w="20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5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Recognized net actuarial loss</w:t>
            </w:r>
          </w:p>
        </w:tc>
        <w:tc>
          <w:tcPr>
            <w:tcW w:w="180" w:type="dxa"/>
            <w:vAlign w:val="bottom"/>
            <w:tcBorders>
              <w:bottom w:val="single" w:sz="8" w:color="auto"/>
            </w:tcBorders>
            <w:shd w:val="clear" w:color="auto" w:fill="CFF0FC"/>
          </w:tcPr>
          <w:p>
            <w:pPr>
              <w:spacing w:after="0"/>
              <w:rPr>
                <w:sz w:val="18"/>
                <w:szCs w:val="18"/>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134</w:t>
            </w:r>
          </w:p>
        </w:tc>
        <w:tc>
          <w:tcPr>
            <w:tcW w:w="240" w:type="dxa"/>
            <w:vAlign w:val="bottom"/>
            <w:tcBorders>
              <w:bottom w:val="single" w:sz="8" w:color="CFF0FC"/>
            </w:tcBorders>
            <w:shd w:val="clear" w:color="auto" w:fill="CFF0FC"/>
          </w:tcPr>
          <w:p>
            <w:pPr>
              <w:spacing w:after="0"/>
              <w:rPr>
                <w:sz w:val="18"/>
                <w:szCs w:val="18"/>
                <w:color w:val="auto"/>
              </w:rPr>
            </w:pPr>
          </w:p>
        </w:tc>
        <w:tc>
          <w:tcPr>
            <w:tcW w:w="640" w:type="dxa"/>
            <w:vAlign w:val="bottom"/>
            <w:tcBorders>
              <w:bottom w:val="single" w:sz="8" w:color="auto"/>
            </w:tcBorders>
            <w:shd w:val="clear" w:color="auto" w:fill="CFF0FC"/>
          </w:tcPr>
          <w:p>
            <w:pPr>
              <w:spacing w:after="0"/>
              <w:rPr>
                <w:sz w:val="18"/>
                <w:szCs w:val="18"/>
                <w:color w:val="auto"/>
              </w:rPr>
            </w:pPr>
          </w:p>
        </w:tc>
        <w:tc>
          <w:tcPr>
            <w:tcW w:w="3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159</w:t>
            </w:r>
          </w:p>
        </w:tc>
        <w:tc>
          <w:tcPr>
            <w:tcW w:w="22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2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22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w:t>
            </w:r>
          </w:p>
        </w:tc>
        <w:tc>
          <w:tcPr>
            <w:tcW w:w="22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4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periodic benefit cost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310</w:t>
            </w:r>
          </w:p>
        </w:tc>
        <w:tc>
          <w:tcPr>
            <w:tcW w:w="880" w:type="dxa"/>
            <w:vAlign w:val="bottom"/>
            <w:gridSpan w:val="2"/>
          </w:tcPr>
          <w:p>
            <w:pPr>
              <w:jc w:val="right"/>
              <w:ind w:right="45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262</w:t>
            </w:r>
          </w:p>
        </w:tc>
        <w:tc>
          <w:tcPr>
            <w:tcW w:w="3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w:t>
            </w:r>
          </w:p>
        </w:tc>
        <w:tc>
          <w:tcPr>
            <w:tcW w:w="46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w:t>
            </w:r>
          </w:p>
        </w:tc>
        <w:tc>
          <w:tcPr>
            <w:tcW w:w="22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w:t>
            </w:r>
          </w:p>
        </w:tc>
        <w:tc>
          <w:tcPr>
            <w:tcW w:w="22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w:t>
            </w:r>
          </w:p>
        </w:tc>
        <w:tc>
          <w:tcPr>
            <w:tcW w:w="100" w:type="dxa"/>
            <w:vAlign w:val="bottom"/>
          </w:tcPr>
          <w:p>
            <w:pPr>
              <w:spacing w:after="0"/>
              <w:rPr>
                <w:sz w:val="18"/>
                <w:szCs w:val="18"/>
                <w:color w:val="auto"/>
              </w:rPr>
            </w:pPr>
          </w:p>
        </w:tc>
      </w:tr>
      <w:tr>
        <w:trPr>
          <w:trHeight w:val="20"/>
        </w:trPr>
        <w:tc>
          <w:tcPr>
            <w:tcW w:w="45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6"/>
        </w:trPr>
        <w:tc>
          <w:tcPr>
            <w:tcW w:w="4580" w:type="dxa"/>
            <w:vAlign w:val="bottom"/>
            <w:tcBorders>
              <w:bottom w:val="single" w:sz="8" w:color="CFF0FC"/>
            </w:tcBorders>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color w:val="auto"/>
              </w:rPr>
              <w:t>Settlement cost</w:t>
            </w:r>
          </w:p>
        </w:tc>
        <w:tc>
          <w:tcPr>
            <w:tcW w:w="1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bottom w:val="single" w:sz="8" w:color="CFF0FC"/>
            </w:tcBorders>
            <w:shd w:val="clear" w:color="auto" w:fill="CFF0FC"/>
          </w:tcPr>
          <w:p>
            <w:pPr>
              <w:spacing w:after="0"/>
              <w:rPr>
                <w:sz w:val="20"/>
                <w:szCs w:val="20"/>
                <w:color w:val="auto"/>
              </w:rPr>
            </w:pPr>
          </w:p>
        </w:tc>
        <w:tc>
          <w:tcPr>
            <w:tcW w:w="640" w:type="dxa"/>
            <w:vAlign w:val="bottom"/>
            <w:tcBorders>
              <w:bottom w:val="single" w:sz="8" w:color="auto"/>
            </w:tcBorders>
            <w:shd w:val="clear" w:color="auto" w:fill="CFF0FC"/>
          </w:tcPr>
          <w:p>
            <w:pPr>
              <w:jc w:val="right"/>
              <w:ind w:right="45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30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20"/>
                <w:szCs w:val="20"/>
                <w:color w:val="auto"/>
              </w:rPr>
            </w:pPr>
          </w:p>
        </w:tc>
        <w:tc>
          <w:tcPr>
            <w:tcW w:w="14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20"/>
                <w:szCs w:val="20"/>
                <w:color w:val="auto"/>
              </w:rPr>
            </w:pPr>
          </w:p>
        </w:tc>
        <w:tc>
          <w:tcPr>
            <w:tcW w:w="20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20"/>
                <w:szCs w:val="20"/>
                <w:color w:val="auto"/>
              </w:rPr>
            </w:pPr>
          </w:p>
        </w:tc>
        <w:tc>
          <w:tcPr>
            <w:tcW w:w="20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20"/>
                <w:szCs w:val="20"/>
                <w:color w:val="auto"/>
              </w:rPr>
            </w:pPr>
          </w:p>
        </w:tc>
      </w:tr>
      <w:tr>
        <w:trPr>
          <w:trHeight w:val="196"/>
        </w:trPr>
        <w:tc>
          <w:tcPr>
            <w:tcW w:w="458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color w:val="auto"/>
              </w:rPr>
              <w:t>Total expenses</w:t>
            </w:r>
          </w:p>
        </w:tc>
        <w:tc>
          <w:tcPr>
            <w:tcW w:w="1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310</w:t>
            </w:r>
          </w:p>
        </w:tc>
        <w:tc>
          <w:tcPr>
            <w:tcW w:w="880" w:type="dxa"/>
            <w:vAlign w:val="bottom"/>
            <w:gridSpan w:val="2"/>
          </w:tcPr>
          <w:p>
            <w:pPr>
              <w:jc w:val="right"/>
              <w:ind w:right="450"/>
              <w:spacing w:after="0" w:line="196" w:lineRule="exact"/>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262</w:t>
            </w:r>
          </w:p>
        </w:tc>
        <w:tc>
          <w:tcPr>
            <w:tcW w:w="360" w:type="dxa"/>
            <w:vAlign w:val="bottom"/>
            <w:gridSpan w:val="2"/>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109</w:t>
            </w:r>
          </w:p>
        </w:tc>
        <w:tc>
          <w:tcPr>
            <w:tcW w:w="460" w:type="dxa"/>
            <w:vAlign w:val="bottom"/>
            <w:gridSpan w:val="2"/>
          </w:tcPr>
          <w:p>
            <w:pPr>
              <w:jc w:val="right"/>
              <w:ind w:right="50"/>
              <w:spacing w:after="0" w:line="196" w:lineRule="exact"/>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95</w:t>
            </w:r>
          </w:p>
        </w:tc>
        <w:tc>
          <w:tcPr>
            <w:tcW w:w="220" w:type="dxa"/>
            <w:vAlign w:val="bottom"/>
          </w:tcPr>
          <w:p>
            <w:pPr>
              <w:spacing w:after="0"/>
              <w:rPr>
                <w:sz w:val="17"/>
                <w:szCs w:val="17"/>
                <w:color w:val="auto"/>
              </w:rPr>
            </w:pPr>
          </w:p>
        </w:tc>
        <w:tc>
          <w:tcPr>
            <w:tcW w:w="200" w:type="dxa"/>
            <w:vAlign w:val="bottom"/>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93</w:t>
            </w:r>
          </w:p>
        </w:tc>
        <w:tc>
          <w:tcPr>
            <w:tcW w:w="220" w:type="dxa"/>
            <w:vAlign w:val="bottom"/>
          </w:tcPr>
          <w:p>
            <w:pPr>
              <w:spacing w:after="0"/>
              <w:rPr>
                <w:sz w:val="17"/>
                <w:szCs w:val="17"/>
                <w:color w:val="auto"/>
              </w:rPr>
            </w:pPr>
          </w:p>
        </w:tc>
        <w:tc>
          <w:tcPr>
            <w:tcW w:w="200" w:type="dxa"/>
            <w:vAlign w:val="bottom"/>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117</w:t>
            </w:r>
          </w:p>
        </w:tc>
        <w:tc>
          <w:tcPr>
            <w:tcW w:w="100" w:type="dxa"/>
            <w:vAlign w:val="bottom"/>
          </w:tcPr>
          <w:p>
            <w:pPr>
              <w:spacing w:after="0"/>
              <w:rPr>
                <w:sz w:val="17"/>
                <w:szCs w:val="17"/>
                <w:color w:val="auto"/>
              </w:rPr>
            </w:pPr>
          </w:p>
        </w:tc>
      </w:tr>
      <w:tr>
        <w:trPr>
          <w:trHeight w:val="20"/>
        </w:trPr>
        <w:tc>
          <w:tcPr>
            <w:tcW w:w="45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3430270</wp:posOffset>
            </wp:positionH>
            <wp:positionV relativeFrom="paragraph">
              <wp:posOffset>-495935</wp:posOffset>
            </wp:positionV>
            <wp:extent cx="76835" cy="825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4183380</wp:posOffset>
            </wp:positionH>
            <wp:positionV relativeFrom="paragraph">
              <wp:posOffset>-495935</wp:posOffset>
            </wp:positionV>
            <wp:extent cx="68580" cy="825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4893945</wp:posOffset>
            </wp:positionH>
            <wp:positionV relativeFrom="paragraph">
              <wp:posOffset>-495935</wp:posOffset>
            </wp:positionV>
            <wp:extent cx="68580" cy="825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5664835</wp:posOffset>
            </wp:positionH>
            <wp:positionV relativeFrom="paragraph">
              <wp:posOffset>-495935</wp:posOffset>
            </wp:positionV>
            <wp:extent cx="68580" cy="825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6367145</wp:posOffset>
            </wp:positionH>
            <wp:positionV relativeFrom="paragraph">
              <wp:posOffset>-495935</wp:posOffset>
            </wp:positionV>
            <wp:extent cx="68580" cy="825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-495935</wp:posOffset>
            </wp:positionV>
            <wp:extent cx="68580" cy="825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3430270</wp:posOffset>
            </wp:positionH>
            <wp:positionV relativeFrom="paragraph">
              <wp:posOffset>-187960</wp:posOffset>
            </wp:positionV>
            <wp:extent cx="76835" cy="825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3430270</wp:posOffset>
            </wp:positionH>
            <wp:positionV relativeFrom="paragraph">
              <wp:posOffset>-170815</wp:posOffset>
            </wp:positionV>
            <wp:extent cx="76835" cy="825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4183380</wp:posOffset>
            </wp:positionH>
            <wp:positionV relativeFrom="paragraph">
              <wp:posOffset>-187960</wp:posOffset>
            </wp:positionV>
            <wp:extent cx="68580" cy="825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4183380</wp:posOffset>
            </wp:positionH>
            <wp:positionV relativeFrom="paragraph">
              <wp:posOffset>-170815</wp:posOffset>
            </wp:positionV>
            <wp:extent cx="68580" cy="825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4893945</wp:posOffset>
            </wp:positionH>
            <wp:positionV relativeFrom="paragraph">
              <wp:posOffset>-187960</wp:posOffset>
            </wp:positionV>
            <wp:extent cx="68580" cy="825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4893945</wp:posOffset>
            </wp:positionH>
            <wp:positionV relativeFrom="paragraph">
              <wp:posOffset>-170815</wp:posOffset>
            </wp:positionV>
            <wp:extent cx="68580" cy="825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5664835</wp:posOffset>
            </wp:positionH>
            <wp:positionV relativeFrom="paragraph">
              <wp:posOffset>-187960</wp:posOffset>
            </wp:positionV>
            <wp:extent cx="68580" cy="825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5664835</wp:posOffset>
            </wp:positionH>
            <wp:positionV relativeFrom="paragraph">
              <wp:posOffset>-170815</wp:posOffset>
            </wp:positionV>
            <wp:extent cx="68580" cy="825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6367145</wp:posOffset>
            </wp:positionH>
            <wp:positionV relativeFrom="paragraph">
              <wp:posOffset>-187960</wp:posOffset>
            </wp:positionV>
            <wp:extent cx="68580" cy="825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6367145</wp:posOffset>
            </wp:positionH>
            <wp:positionV relativeFrom="paragraph">
              <wp:posOffset>-170815</wp:posOffset>
            </wp:positionV>
            <wp:extent cx="68580" cy="825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-187960</wp:posOffset>
            </wp:positionV>
            <wp:extent cx="68580" cy="825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components of net periodic benefit cost of our pension and postretirement benefit plans for the six months ended June 30, 2022 and 2021 consist of the following:</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5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4"/>
          </w:tcPr>
          <w:p>
            <w:pPr>
              <w:jc w:val="right"/>
              <w:ind w:right="394"/>
              <w:spacing w:after="0"/>
              <w:rPr>
                <w:sz w:val="20"/>
                <w:szCs w:val="20"/>
                <w:color w:val="auto"/>
              </w:rPr>
            </w:pPr>
            <w:r>
              <w:rPr>
                <w:rFonts w:ascii="Times New Roman" w:cs="Times New Roman" w:eastAsia="Times New Roman" w:hAnsi="Times New Roman"/>
                <w:sz w:val="14"/>
                <w:szCs w:val="14"/>
                <w:b w:val="1"/>
                <w:bCs w:val="1"/>
                <w:color w:val="auto"/>
              </w:rPr>
              <w:t>Domestic Plans</w:t>
            </w:r>
          </w:p>
        </w:tc>
        <w:tc>
          <w:tcPr>
            <w:tcW w:w="2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09"/>
        </w:trPr>
        <w:tc>
          <w:tcPr>
            <w:tcW w:w="4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520" w:type="dxa"/>
            <w:vAlign w:val="bottom"/>
            <w:gridSpan w:val="3"/>
          </w:tcPr>
          <w:p>
            <w:pPr>
              <w:jc w:val="right"/>
              <w:ind w:right="170"/>
              <w:spacing w:after="0"/>
              <w:rPr>
                <w:sz w:val="20"/>
                <w:szCs w:val="20"/>
                <w:color w:val="auto"/>
              </w:rPr>
            </w:pPr>
            <w:r>
              <w:rPr>
                <w:rFonts w:ascii="Times New Roman" w:cs="Times New Roman" w:eastAsia="Times New Roman" w:hAnsi="Times New Roman"/>
                <w:sz w:val="14"/>
                <w:szCs w:val="14"/>
                <w:b w:val="1"/>
                <w:bCs w:val="1"/>
                <w:color w:val="auto"/>
              </w:rPr>
              <w:t>Pension Plans</w:t>
            </w:r>
          </w:p>
        </w:tc>
        <w:tc>
          <w:tcPr>
            <w:tcW w:w="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200" w:type="dxa"/>
            <w:vAlign w:val="bottom"/>
            <w:gridSpan w:val="5"/>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Postretirement Benefit Plans</w:t>
            </w:r>
          </w:p>
        </w:tc>
        <w:tc>
          <w:tcPr>
            <w:tcW w:w="200" w:type="dxa"/>
            <w:vAlign w:val="bottom"/>
          </w:tcPr>
          <w:p>
            <w:pPr>
              <w:spacing w:after="0"/>
              <w:rPr>
                <w:sz w:val="18"/>
                <w:szCs w:val="18"/>
                <w:color w:val="auto"/>
              </w:rPr>
            </w:pPr>
          </w:p>
        </w:tc>
        <w:tc>
          <w:tcPr>
            <w:tcW w:w="1900" w:type="dxa"/>
            <w:vAlign w:val="bottom"/>
            <w:gridSpan w:val="5"/>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Foreign Pension Plans</w:t>
            </w:r>
          </w:p>
        </w:tc>
      </w:tr>
      <w:tr>
        <w:trPr>
          <w:trHeight w:val="209"/>
        </w:trPr>
        <w:tc>
          <w:tcPr>
            <w:tcW w:w="456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8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ind w:right="174"/>
              <w:spacing w:after="0"/>
              <w:rPr>
                <w:sz w:val="20"/>
                <w:szCs w:val="20"/>
                <w:color w:val="auto"/>
              </w:rPr>
            </w:pPr>
            <w:r>
              <w:rPr>
                <w:rFonts w:ascii="Times New Roman" w:cs="Times New Roman" w:eastAsia="Times New Roman" w:hAnsi="Times New Roman"/>
                <w:sz w:val="14"/>
                <w:szCs w:val="14"/>
                <w:b w:val="1"/>
                <w:bCs w:val="1"/>
                <w:color w:val="auto"/>
              </w:rPr>
              <w:t>2022</w:t>
            </w:r>
          </w:p>
        </w:tc>
        <w:tc>
          <w:tcPr>
            <w:tcW w:w="8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2021</w:t>
            </w:r>
          </w:p>
        </w:tc>
        <w:tc>
          <w:tcPr>
            <w:tcW w:w="3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8"/>
                <w:szCs w:val="18"/>
                <w:color w:val="auto"/>
              </w:rPr>
            </w:pPr>
          </w:p>
        </w:tc>
      </w:tr>
      <w:tr>
        <w:trPr>
          <w:trHeight w:val="209"/>
        </w:trPr>
        <w:tc>
          <w:tcPr>
            <w:tcW w:w="45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Service cost</w:t>
            </w:r>
          </w:p>
        </w:tc>
        <w:tc>
          <w:tcPr>
            <w:tcW w:w="1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640" w:type="dxa"/>
            <w:vAlign w:val="bottom"/>
            <w:tcBorders>
              <w:top w:val="single" w:sz="8" w:color="auto"/>
            </w:tcBorders>
            <w:shd w:val="clear" w:color="auto" w:fill="CFF0FC"/>
          </w:tcPr>
          <w:p>
            <w:pPr>
              <w:jc w:val="right"/>
              <w:ind w:right="450"/>
              <w:spacing w:after="0"/>
              <w:rPr>
                <w:sz w:val="20"/>
                <w:szCs w:val="20"/>
                <w:color w:val="auto"/>
              </w:rPr>
            </w:pPr>
            <w:r>
              <w:rPr>
                <w:rFonts w:ascii="Times New Roman" w:cs="Times New Roman" w:eastAsia="Times New Roman" w:hAnsi="Times New Roman"/>
                <w:sz w:val="18"/>
                <w:szCs w:val="18"/>
                <w:color w:val="auto"/>
                <w:w w:val="88"/>
              </w:rPr>
              <w:t>$</w:t>
            </w:r>
          </w:p>
        </w:tc>
        <w:tc>
          <w:tcPr>
            <w:tcW w:w="3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220" w:type="dxa"/>
            <w:vAlign w:val="bottom"/>
            <w:shd w:val="clear" w:color="auto" w:fill="CFF0FC"/>
          </w:tcPr>
          <w:p>
            <w:pPr>
              <w:spacing w:after="0"/>
              <w:rPr>
                <w:sz w:val="18"/>
                <w:szCs w:val="18"/>
                <w:color w:val="auto"/>
              </w:rPr>
            </w:pPr>
          </w:p>
        </w:tc>
        <w:tc>
          <w:tcPr>
            <w:tcW w:w="240" w:type="dxa"/>
            <w:vAlign w:val="bottom"/>
            <w:tcBorders>
              <w:top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22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w:t>
            </w:r>
          </w:p>
        </w:tc>
        <w:tc>
          <w:tcPr>
            <w:tcW w:w="22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100" w:type="dxa"/>
            <w:vAlign w:val="bottom"/>
            <w:shd w:val="clear" w:color="auto" w:fill="CFF0FC"/>
          </w:tcPr>
          <w:p>
            <w:pPr>
              <w:spacing w:after="0"/>
              <w:rPr>
                <w:sz w:val="18"/>
                <w:szCs w:val="18"/>
                <w:color w:val="auto"/>
              </w:rPr>
            </w:pPr>
          </w:p>
        </w:tc>
      </w:tr>
      <w:tr>
        <w:trPr>
          <w:trHeight w:val="216"/>
        </w:trPr>
        <w:tc>
          <w:tcPr>
            <w:tcW w:w="4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cost</w:t>
            </w: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250</w:t>
            </w: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205</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108</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w:t>
            </w:r>
          </w:p>
        </w:tc>
        <w:tc>
          <w:tcPr>
            <w:tcW w:w="100" w:type="dxa"/>
            <w:vAlign w:val="bottom"/>
          </w:tcPr>
          <w:p>
            <w:pPr>
              <w:spacing w:after="0"/>
              <w:rPr>
                <w:sz w:val="18"/>
                <w:szCs w:val="18"/>
                <w:color w:val="auto"/>
              </w:rPr>
            </w:pPr>
          </w:p>
        </w:tc>
      </w:tr>
      <w:tr>
        <w:trPr>
          <w:trHeight w:val="216"/>
        </w:trPr>
        <w:tc>
          <w:tcPr>
            <w:tcW w:w="45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Expected return on plan assets</w:t>
            </w:r>
          </w:p>
        </w:tc>
        <w:tc>
          <w:tcPr>
            <w:tcW w:w="180" w:type="dxa"/>
            <w:vAlign w:val="bottom"/>
            <w:shd w:val="clear" w:color="auto" w:fill="CFF0FC"/>
          </w:tcPr>
          <w:p>
            <w:pPr>
              <w:spacing w:after="0"/>
              <w:rPr>
                <w:sz w:val="18"/>
                <w:szCs w:val="18"/>
                <w:color w:val="auto"/>
              </w:rPr>
            </w:pPr>
          </w:p>
        </w:tc>
        <w:tc>
          <w:tcPr>
            <w:tcW w:w="6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240" w:type="dxa"/>
            <w:vAlign w:val="bottom"/>
            <w:shd w:val="clear" w:color="auto" w:fill="CFF0FC"/>
          </w:tcPr>
          <w:p>
            <w:pPr>
              <w:spacing w:after="0"/>
              <w:rPr>
                <w:sz w:val="18"/>
                <w:szCs w:val="18"/>
                <w:color w:val="auto"/>
              </w:rPr>
            </w:pPr>
          </w:p>
        </w:tc>
        <w:tc>
          <w:tcPr>
            <w:tcW w:w="640" w:type="dxa"/>
            <w:vAlign w:val="bottom"/>
            <w:shd w:val="clear" w:color="auto" w:fill="CFF0FC"/>
          </w:tcPr>
          <w:p>
            <w:pPr>
              <w:spacing w:after="0"/>
              <w:rPr>
                <w:sz w:val="18"/>
                <w:szCs w:val="18"/>
                <w:color w:val="auto"/>
              </w:rPr>
            </w:pPr>
          </w:p>
        </w:tc>
        <w:tc>
          <w:tcPr>
            <w:tcW w:w="54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(15 )</w:t>
            </w:r>
          </w:p>
        </w:tc>
        <w:tc>
          <w:tcPr>
            <w:tcW w:w="140" w:type="dxa"/>
            <w:vAlign w:val="bottom"/>
            <w:shd w:val="clear" w:color="auto" w:fill="CFF0FC"/>
          </w:tcPr>
          <w:p>
            <w:pPr>
              <w:spacing w:after="0"/>
              <w:rPr>
                <w:sz w:val="18"/>
                <w:szCs w:val="18"/>
                <w:color w:val="auto"/>
              </w:rPr>
            </w:pPr>
          </w:p>
        </w:tc>
        <w:tc>
          <w:tcPr>
            <w:tcW w:w="7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9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(223 )</w:t>
            </w:r>
          </w:p>
        </w:tc>
        <w:tc>
          <w:tcPr>
            <w:tcW w:w="200" w:type="dxa"/>
            <w:vAlign w:val="bottom"/>
            <w:shd w:val="clear" w:color="auto" w:fill="CFF0FC"/>
          </w:tcPr>
          <w:p>
            <w:pPr>
              <w:spacing w:after="0"/>
              <w:rPr>
                <w:sz w:val="18"/>
                <w:szCs w:val="18"/>
                <w:color w:val="auto"/>
              </w:rPr>
            </w:pPr>
          </w:p>
        </w:tc>
        <w:tc>
          <w:tcPr>
            <w:tcW w:w="80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(255 )</w:t>
            </w:r>
          </w:p>
        </w:tc>
      </w:tr>
      <w:tr>
        <w:trPr>
          <w:trHeight w:val="216"/>
        </w:trPr>
        <w:tc>
          <w:tcPr>
            <w:tcW w:w="4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Amortization of prior service credit</w:t>
            </w: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(3 )</w:t>
            </w:r>
          </w:p>
        </w:tc>
        <w:tc>
          <w:tcPr>
            <w:tcW w:w="20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56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Recognized net actuarial loss</w:t>
            </w:r>
          </w:p>
        </w:tc>
        <w:tc>
          <w:tcPr>
            <w:tcW w:w="180" w:type="dxa"/>
            <w:vAlign w:val="bottom"/>
            <w:tcBorders>
              <w:bottom w:val="single" w:sz="8" w:color="auto"/>
            </w:tcBorders>
            <w:shd w:val="clear" w:color="auto" w:fill="CFF0FC"/>
          </w:tcPr>
          <w:p>
            <w:pPr>
              <w:spacing w:after="0"/>
              <w:rPr>
                <w:sz w:val="18"/>
                <w:szCs w:val="18"/>
                <w:color w:val="auto"/>
              </w:rPr>
            </w:pPr>
          </w:p>
        </w:tc>
        <w:tc>
          <w:tcPr>
            <w:tcW w:w="6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268</w:t>
            </w:r>
          </w:p>
        </w:tc>
        <w:tc>
          <w:tcPr>
            <w:tcW w:w="240" w:type="dxa"/>
            <w:vAlign w:val="bottom"/>
            <w:tcBorders>
              <w:bottom w:val="single" w:sz="8" w:color="CFF0FC"/>
            </w:tcBorders>
            <w:shd w:val="clear" w:color="auto" w:fill="CFF0FC"/>
          </w:tcPr>
          <w:p>
            <w:pPr>
              <w:spacing w:after="0"/>
              <w:rPr>
                <w:sz w:val="18"/>
                <w:szCs w:val="18"/>
                <w:color w:val="auto"/>
              </w:rPr>
            </w:pPr>
          </w:p>
        </w:tc>
        <w:tc>
          <w:tcPr>
            <w:tcW w:w="640" w:type="dxa"/>
            <w:vAlign w:val="bottom"/>
            <w:tcBorders>
              <w:bottom w:val="single" w:sz="8" w:color="auto"/>
            </w:tcBorders>
            <w:shd w:val="clear" w:color="auto" w:fill="CFF0FC"/>
          </w:tcPr>
          <w:p>
            <w:pPr>
              <w:spacing w:after="0"/>
              <w:rPr>
                <w:sz w:val="18"/>
                <w:szCs w:val="18"/>
                <w:color w:val="auto"/>
              </w:rPr>
            </w:pPr>
          </w:p>
        </w:tc>
        <w:tc>
          <w:tcPr>
            <w:tcW w:w="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310</w:t>
            </w:r>
          </w:p>
        </w:tc>
        <w:tc>
          <w:tcPr>
            <w:tcW w:w="220" w:type="dxa"/>
            <w:vAlign w:val="bottom"/>
            <w:tcBorders>
              <w:bottom w:val="single" w:sz="8" w:color="CFF0FC"/>
            </w:tcBorders>
            <w:shd w:val="clear" w:color="auto" w:fill="CFF0FC"/>
          </w:tcPr>
          <w:p>
            <w:pPr>
              <w:spacing w:after="0"/>
              <w:rPr>
                <w:sz w:val="18"/>
                <w:szCs w:val="18"/>
                <w:color w:val="auto"/>
              </w:rPr>
            </w:pPr>
          </w:p>
        </w:tc>
        <w:tc>
          <w:tcPr>
            <w:tcW w:w="14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22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7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98</w:t>
            </w:r>
          </w:p>
        </w:tc>
        <w:tc>
          <w:tcPr>
            <w:tcW w:w="22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6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71</w:t>
            </w:r>
          </w:p>
        </w:tc>
        <w:tc>
          <w:tcPr>
            <w:tcW w:w="22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auto"/>
            </w:tcBorders>
            <w:shd w:val="clear" w:color="auto" w:fill="CFF0FC"/>
          </w:tcPr>
          <w:p>
            <w:pPr>
              <w:spacing w:after="0"/>
              <w:rPr>
                <w:sz w:val="18"/>
                <w:szCs w:val="18"/>
                <w:color w:val="auto"/>
              </w:rPr>
            </w:pPr>
          </w:p>
        </w:tc>
        <w:tc>
          <w:tcPr>
            <w:tcW w:w="7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99</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4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periodic benefit cost</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567</w:t>
            </w:r>
          </w:p>
        </w:tc>
        <w:tc>
          <w:tcPr>
            <w:tcW w:w="880" w:type="dxa"/>
            <w:vAlign w:val="bottom"/>
            <w:gridSpan w:val="2"/>
          </w:tcPr>
          <w:p>
            <w:pPr>
              <w:jc w:val="right"/>
              <w:ind w:right="45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w:t>
            </w:r>
          </w:p>
        </w:tc>
        <w:tc>
          <w:tcPr>
            <w:tcW w:w="46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w:t>
            </w:r>
          </w:p>
        </w:tc>
        <w:tc>
          <w:tcPr>
            <w:tcW w:w="22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176</w:t>
            </w:r>
          </w:p>
        </w:tc>
        <w:tc>
          <w:tcPr>
            <w:tcW w:w="22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100" w:type="dxa"/>
            <w:vAlign w:val="bottom"/>
          </w:tcPr>
          <w:p>
            <w:pPr>
              <w:spacing w:after="0"/>
              <w:rPr>
                <w:sz w:val="18"/>
                <w:szCs w:val="18"/>
                <w:color w:val="auto"/>
              </w:rPr>
            </w:pPr>
          </w:p>
        </w:tc>
      </w:tr>
      <w:tr>
        <w:trPr>
          <w:trHeight w:val="20"/>
        </w:trPr>
        <w:tc>
          <w:tcPr>
            <w:tcW w:w="4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560" w:type="dxa"/>
            <w:vAlign w:val="bottom"/>
            <w:tcBorders>
              <w:bottom w:val="single" w:sz="8" w:color="CFF0FC"/>
            </w:tcBorders>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color w:val="auto"/>
              </w:rPr>
              <w:t>Settlement cost</w:t>
            </w:r>
          </w:p>
        </w:tc>
        <w:tc>
          <w:tcPr>
            <w:tcW w:w="1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115</w:t>
            </w:r>
          </w:p>
        </w:tc>
        <w:tc>
          <w:tcPr>
            <w:tcW w:w="240" w:type="dxa"/>
            <w:vAlign w:val="bottom"/>
            <w:tcBorders>
              <w:bottom w:val="single" w:sz="8" w:color="CFF0FC"/>
            </w:tcBorders>
            <w:shd w:val="clear" w:color="auto" w:fill="CFF0FC"/>
          </w:tcPr>
          <w:p>
            <w:pPr>
              <w:spacing w:after="0"/>
              <w:rPr>
                <w:sz w:val="17"/>
                <w:szCs w:val="17"/>
                <w:color w:val="auto"/>
              </w:rPr>
            </w:pPr>
          </w:p>
        </w:tc>
        <w:tc>
          <w:tcPr>
            <w:tcW w:w="640" w:type="dxa"/>
            <w:vAlign w:val="bottom"/>
            <w:tcBorders>
              <w:bottom w:val="single" w:sz="8" w:color="auto"/>
            </w:tcBorders>
            <w:shd w:val="clear" w:color="auto" w:fill="CFF0FC"/>
          </w:tcPr>
          <w:p>
            <w:pPr>
              <w:jc w:val="right"/>
              <w:ind w:right="45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32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17"/>
                <w:szCs w:val="17"/>
                <w:color w:val="auto"/>
              </w:rPr>
            </w:pPr>
          </w:p>
        </w:tc>
        <w:tc>
          <w:tcPr>
            <w:tcW w:w="14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17"/>
                <w:szCs w:val="17"/>
                <w:color w:val="auto"/>
              </w:rPr>
            </w:pPr>
          </w:p>
        </w:tc>
        <w:tc>
          <w:tcPr>
            <w:tcW w:w="240" w:type="dxa"/>
            <w:vAlign w:val="bottom"/>
            <w:tcBorders>
              <w:bottom w:val="single" w:sz="8" w:color="auto"/>
            </w:tcBorders>
            <w:shd w:val="clear" w:color="auto" w:fill="CFF0FC"/>
          </w:tcPr>
          <w:p>
            <w:pPr>
              <w:jc w:val="right"/>
              <w:ind w:right="5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CFF0FC"/>
            </w:tcBorders>
            <w:shd w:val="clear" w:color="auto" w:fill="CFF0FC"/>
          </w:tcPr>
          <w:p>
            <w:pPr>
              <w:spacing w:after="0"/>
              <w:rPr>
                <w:sz w:val="17"/>
                <w:szCs w:val="17"/>
                <w:color w:val="auto"/>
              </w:rPr>
            </w:pPr>
          </w:p>
        </w:tc>
        <w:tc>
          <w:tcPr>
            <w:tcW w:w="20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533</w:t>
            </w:r>
          </w:p>
        </w:tc>
        <w:tc>
          <w:tcPr>
            <w:tcW w:w="220" w:type="dxa"/>
            <w:vAlign w:val="bottom"/>
            <w:tcBorders>
              <w:bottom w:val="single" w:sz="8" w:color="CFF0FC"/>
            </w:tcBorders>
            <w:shd w:val="clear" w:color="auto" w:fill="CFF0FC"/>
          </w:tcPr>
          <w:p>
            <w:pPr>
              <w:spacing w:after="0"/>
              <w:rPr>
                <w:sz w:val="17"/>
                <w:szCs w:val="17"/>
                <w:color w:val="auto"/>
              </w:rPr>
            </w:pPr>
          </w:p>
        </w:tc>
        <w:tc>
          <w:tcPr>
            <w:tcW w:w="200" w:type="dxa"/>
            <w:vAlign w:val="bottom"/>
            <w:tcBorders>
              <w:bottom w:val="single" w:sz="8" w:color="auto"/>
            </w:tcBorders>
            <w:shd w:val="clear" w:color="auto" w:fill="CFF0FC"/>
          </w:tcPr>
          <w:p>
            <w:pPr>
              <w:jc w:val="right"/>
              <w:ind w:right="10"/>
              <w:spacing w:after="0" w:line="196" w:lineRule="exact"/>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bottom w:val="single" w:sz="8" w:color="auto"/>
            </w:tcBorders>
            <w:shd w:val="clear" w:color="auto" w:fill="CFF0FC"/>
          </w:tcPr>
          <w:p>
            <w:pPr>
              <w:jc w:val="right"/>
              <w:spacing w:after="0" w:line="196"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209"/>
        </w:trPr>
        <w:tc>
          <w:tcPr>
            <w:tcW w:w="4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expenses</w:t>
            </w:r>
          </w:p>
        </w:tc>
        <w:tc>
          <w:tcPr>
            <w:tcW w:w="1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682</w:t>
            </w:r>
          </w:p>
        </w:tc>
        <w:tc>
          <w:tcPr>
            <w:tcW w:w="880" w:type="dxa"/>
            <w:vAlign w:val="bottom"/>
            <w:gridSpan w:val="2"/>
          </w:tcPr>
          <w:p>
            <w:pPr>
              <w:jc w:val="right"/>
              <w:ind w:right="450"/>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500</w:t>
            </w:r>
          </w:p>
        </w:tc>
        <w:tc>
          <w:tcPr>
            <w:tcW w:w="2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w:t>
            </w:r>
          </w:p>
        </w:tc>
        <w:tc>
          <w:tcPr>
            <w:tcW w:w="46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w:t>
            </w:r>
          </w:p>
        </w:tc>
        <w:tc>
          <w:tcPr>
            <w:tcW w:w="22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709</w:t>
            </w:r>
          </w:p>
        </w:tc>
        <w:tc>
          <w:tcPr>
            <w:tcW w:w="220" w:type="dxa"/>
            <w:vAlign w:val="bottom"/>
          </w:tcPr>
          <w:p>
            <w:pPr>
              <w:spacing w:after="0"/>
              <w:rPr>
                <w:sz w:val="18"/>
                <w:szCs w:val="18"/>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230</w:t>
            </w:r>
          </w:p>
        </w:tc>
        <w:tc>
          <w:tcPr>
            <w:tcW w:w="100" w:type="dxa"/>
            <w:vAlign w:val="bottom"/>
          </w:tcPr>
          <w:p>
            <w:pPr>
              <w:spacing w:after="0"/>
              <w:rPr>
                <w:sz w:val="18"/>
                <w:szCs w:val="18"/>
                <w:color w:val="auto"/>
              </w:rPr>
            </w:pPr>
          </w:p>
        </w:tc>
      </w:tr>
      <w:tr>
        <w:trPr>
          <w:trHeight w:val="20"/>
        </w:trPr>
        <w:tc>
          <w:tcPr>
            <w:tcW w:w="4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3413125</wp:posOffset>
            </wp:positionH>
            <wp:positionV relativeFrom="paragraph">
              <wp:posOffset>-478790</wp:posOffset>
            </wp:positionV>
            <wp:extent cx="76835" cy="825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4183380</wp:posOffset>
            </wp:positionH>
            <wp:positionV relativeFrom="paragraph">
              <wp:posOffset>-478790</wp:posOffset>
            </wp:positionV>
            <wp:extent cx="68580" cy="825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4893945</wp:posOffset>
            </wp:positionH>
            <wp:positionV relativeFrom="paragraph">
              <wp:posOffset>-478790</wp:posOffset>
            </wp:positionV>
            <wp:extent cx="68580" cy="825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5664835</wp:posOffset>
            </wp:positionH>
            <wp:positionV relativeFrom="paragraph">
              <wp:posOffset>-478790</wp:posOffset>
            </wp:positionV>
            <wp:extent cx="68580" cy="825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6367145</wp:posOffset>
            </wp:positionH>
            <wp:positionV relativeFrom="paragraph">
              <wp:posOffset>-478790</wp:posOffset>
            </wp:positionV>
            <wp:extent cx="68580" cy="825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-478790</wp:posOffset>
            </wp:positionV>
            <wp:extent cx="68580" cy="825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3413125</wp:posOffset>
            </wp:positionH>
            <wp:positionV relativeFrom="paragraph">
              <wp:posOffset>-170815</wp:posOffset>
            </wp:positionV>
            <wp:extent cx="76835" cy="825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4183380</wp:posOffset>
            </wp:positionH>
            <wp:positionV relativeFrom="paragraph">
              <wp:posOffset>-170815</wp:posOffset>
            </wp:positionV>
            <wp:extent cx="68580" cy="825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4893945</wp:posOffset>
            </wp:positionH>
            <wp:positionV relativeFrom="paragraph">
              <wp:posOffset>-170815</wp:posOffset>
            </wp:positionV>
            <wp:extent cx="68580" cy="825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5664835</wp:posOffset>
            </wp:positionH>
            <wp:positionV relativeFrom="paragraph">
              <wp:posOffset>-170815</wp:posOffset>
            </wp:positionV>
            <wp:extent cx="68580" cy="825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6367145</wp:posOffset>
            </wp:positionH>
            <wp:positionV relativeFrom="paragraph">
              <wp:posOffset>-170815</wp:posOffset>
            </wp:positionV>
            <wp:extent cx="68580" cy="825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7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expect to contribute $0.9 million to our funded pension plans, $0.9 million to our unfunded pension plans, and $0.8 million to our postretirement benefit plans in 2022. During the six months ended June 30, 2022, we contributed $0.4 million to our funded pension plans, $0.3 million to our unfunded pension plans, and $0.3 million to our postretirement benefit plans.</w:t>
      </w:r>
    </w:p>
    <w:p>
      <w:pPr>
        <w:spacing w:after="0" w:line="3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color w:val="auto"/>
        </w:rPr>
        <w:t xml:space="preserve">Note 19. </w:t>
      </w:r>
      <w:r>
        <w:rPr>
          <w:rFonts w:ascii="Times New Roman" w:cs="Times New Roman" w:eastAsia="Times New Roman" w:hAnsi="Times New Roman"/>
          <w:sz w:val="18"/>
          <w:szCs w:val="18"/>
          <w:b w:val="1"/>
          <w:bCs w:val="1"/>
          <w:u w:val="single" w:color="auto"/>
          <w:color w:val="auto"/>
        </w:rPr>
        <w:t>Restructuring Charges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As part of our efforts to drive efficiencies and simplify our business operations, we took certain restructuring actions designed to simplify and transform GES for greater profitability. In response to the COVID-19 pandemic, in 2020, we accelerated our transformation and streamlining efforts at GES to significantly reduce costs and create a lower and more flexible cost structure focused on servicing our more profitable market segments. These initiatives resulted in restructuring charges related to the elimination of certain positions and continuing to reduce our facility footprint at GES.</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Restructurings</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recorded restructuring charges in connection with the consolidation of certain support functions at our corporate headquarters and certain reorganization activities within Pursuit. These charges primarily consist of severance and related benefits due to headcount reductions.</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to the restructuring liability by major restructuring activity are as follows:</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5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60" w:type="dxa"/>
            <w:vAlign w:val="bottom"/>
            <w:gridSpan w:val="3"/>
          </w:tcPr>
          <w:p>
            <w:pPr>
              <w:jc w:val="right"/>
              <w:ind w:right="90"/>
              <w:spacing w:after="0"/>
              <w:rPr>
                <w:sz w:val="20"/>
                <w:szCs w:val="20"/>
                <w:color w:val="auto"/>
              </w:rPr>
            </w:pPr>
            <w:r>
              <w:rPr>
                <w:rFonts w:ascii="Times New Roman" w:cs="Times New Roman" w:eastAsia="Times New Roman" w:hAnsi="Times New Roman"/>
                <w:sz w:val="14"/>
                <w:szCs w:val="14"/>
                <w:b w:val="1"/>
                <w:bCs w:val="1"/>
                <w:color w:val="auto"/>
              </w:rPr>
              <w:t>GES</w:t>
            </w:r>
          </w:p>
        </w:tc>
        <w:tc>
          <w:tcPr>
            <w:tcW w:w="9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0" w:type="dxa"/>
            <w:vAlign w:val="bottom"/>
            <w:gridSpan w:val="3"/>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Other Restructurings</w:t>
            </w:r>
          </w:p>
        </w:tc>
        <w:tc>
          <w:tcPr>
            <w:tcW w:w="2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131"/>
        </w:trPr>
        <w:tc>
          <w:tcPr>
            <w:tcW w:w="56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40" w:type="dxa"/>
            <w:vAlign w:val="bottom"/>
            <w:tcBorders>
              <w:top w:val="single" w:sz="8" w:color="auto"/>
            </w:tcBorders>
            <w:gridSpan w:val="2"/>
          </w:tcPr>
          <w:p>
            <w:pPr>
              <w:jc w:val="center"/>
              <w:ind w:right="380"/>
              <w:spacing w:after="0" w:line="131" w:lineRule="exact"/>
              <w:rPr>
                <w:sz w:val="20"/>
                <w:szCs w:val="20"/>
                <w:color w:val="auto"/>
              </w:rPr>
            </w:pPr>
            <w:r>
              <w:rPr>
                <w:rFonts w:ascii="Times New Roman" w:cs="Times New Roman" w:eastAsia="Times New Roman" w:hAnsi="Times New Roman"/>
                <w:sz w:val="14"/>
                <w:szCs w:val="14"/>
                <w:b w:val="1"/>
                <w:bCs w:val="1"/>
                <w:color w:val="auto"/>
              </w:rPr>
              <w:t>Severance &amp;</w:t>
            </w:r>
          </w:p>
        </w:tc>
        <w:tc>
          <w:tcPr>
            <w:tcW w:w="2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ind w:right="116"/>
              <w:spacing w:after="0" w:line="131" w:lineRule="exact"/>
              <w:rPr>
                <w:sz w:val="20"/>
                <w:szCs w:val="20"/>
                <w:color w:val="auto"/>
              </w:rPr>
            </w:pPr>
            <w:r>
              <w:rPr>
                <w:rFonts w:ascii="Times New Roman" w:cs="Times New Roman" w:eastAsia="Times New Roman" w:hAnsi="Times New Roman"/>
                <w:sz w:val="14"/>
                <w:szCs w:val="14"/>
                <w:b w:val="1"/>
                <w:bCs w:val="1"/>
                <w:color w:val="auto"/>
              </w:rPr>
              <w:t>Severance &amp;</w:t>
            </w:r>
          </w:p>
        </w:tc>
        <w:tc>
          <w:tcPr>
            <w:tcW w:w="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8"/>
        </w:trPr>
        <w:tc>
          <w:tcPr>
            <w:tcW w:w="5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40" w:type="dxa"/>
            <w:vAlign w:val="bottom"/>
            <w:gridSpan w:val="2"/>
          </w:tcPr>
          <w:p>
            <w:pPr>
              <w:jc w:val="center"/>
              <w:ind w:right="400"/>
              <w:spacing w:after="0" w:line="149" w:lineRule="exact"/>
              <w:rPr>
                <w:sz w:val="20"/>
                <w:szCs w:val="20"/>
                <w:color w:val="auto"/>
              </w:rPr>
            </w:pPr>
            <w:r>
              <w:rPr>
                <w:rFonts w:ascii="Times New Roman" w:cs="Times New Roman" w:eastAsia="Times New Roman" w:hAnsi="Times New Roman"/>
                <w:sz w:val="14"/>
                <w:szCs w:val="14"/>
                <w:b w:val="1"/>
                <w:bCs w:val="1"/>
                <w:color w:val="auto"/>
              </w:rPr>
              <w:t>Employee</w:t>
            </w:r>
          </w:p>
        </w:tc>
        <w:tc>
          <w:tcPr>
            <w:tcW w:w="2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0" w:type="dxa"/>
            <w:vAlign w:val="bottom"/>
            <w:gridSpan w:val="2"/>
          </w:tcPr>
          <w:p>
            <w:pPr>
              <w:jc w:val="center"/>
              <w:ind w:right="400"/>
              <w:spacing w:after="0" w:line="149" w:lineRule="exact"/>
              <w:rPr>
                <w:sz w:val="20"/>
                <w:szCs w:val="20"/>
                <w:color w:val="auto"/>
              </w:rPr>
            </w:pPr>
            <w:r>
              <w:rPr>
                <w:rFonts w:ascii="Times New Roman" w:cs="Times New Roman" w:eastAsia="Times New Roman" w:hAnsi="Times New Roman"/>
                <w:sz w:val="14"/>
                <w:szCs w:val="14"/>
                <w:b w:val="1"/>
                <w:bCs w:val="1"/>
                <w:color w:val="auto"/>
              </w:rPr>
              <w:t>Employee</w:t>
            </w:r>
          </w:p>
        </w:tc>
        <w:tc>
          <w:tcPr>
            <w:tcW w:w="2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200"/>
        </w:trPr>
        <w:tc>
          <w:tcPr>
            <w:tcW w:w="56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60" w:type="dxa"/>
            <w:vAlign w:val="bottom"/>
          </w:tcPr>
          <w:p>
            <w:pPr>
              <w:spacing w:after="0"/>
              <w:rPr>
                <w:sz w:val="17"/>
                <w:szCs w:val="17"/>
                <w:color w:val="auto"/>
              </w:rPr>
            </w:pPr>
          </w:p>
        </w:tc>
        <w:tc>
          <w:tcPr>
            <w:tcW w:w="124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Benefits</w:t>
            </w:r>
          </w:p>
        </w:tc>
        <w:tc>
          <w:tcPr>
            <w:tcW w:w="220" w:type="dxa"/>
            <w:vAlign w:val="bottom"/>
          </w:tcPr>
          <w:p>
            <w:pPr>
              <w:spacing w:after="0"/>
              <w:rPr>
                <w:sz w:val="17"/>
                <w:szCs w:val="17"/>
                <w:color w:val="auto"/>
              </w:rPr>
            </w:pPr>
          </w:p>
        </w:tc>
        <w:tc>
          <w:tcPr>
            <w:tcW w:w="1180" w:type="dxa"/>
            <w:vAlign w:val="bottom"/>
            <w:gridSpan w:val="2"/>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Facilities</w:t>
            </w:r>
          </w:p>
        </w:tc>
        <w:tc>
          <w:tcPr>
            <w:tcW w:w="200" w:type="dxa"/>
            <w:vAlign w:val="bottom"/>
          </w:tcPr>
          <w:p>
            <w:pPr>
              <w:spacing w:after="0"/>
              <w:rPr>
                <w:sz w:val="17"/>
                <w:szCs w:val="17"/>
                <w:color w:val="auto"/>
              </w:rPr>
            </w:pPr>
          </w:p>
        </w:tc>
        <w:tc>
          <w:tcPr>
            <w:tcW w:w="1400" w:type="dxa"/>
            <w:vAlign w:val="bottom"/>
            <w:gridSpan w:val="2"/>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Benefits</w:t>
            </w:r>
          </w:p>
        </w:tc>
        <w:tc>
          <w:tcPr>
            <w:tcW w:w="260" w:type="dxa"/>
            <w:vAlign w:val="bottom"/>
          </w:tcPr>
          <w:p>
            <w:pPr>
              <w:spacing w:after="0"/>
              <w:rPr>
                <w:sz w:val="17"/>
                <w:szCs w:val="17"/>
                <w:color w:val="auto"/>
              </w:rPr>
            </w:pPr>
          </w:p>
        </w:tc>
        <w:tc>
          <w:tcPr>
            <w:tcW w:w="980" w:type="dxa"/>
            <w:vAlign w:val="bottom"/>
            <w:gridSpan w:val="2"/>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209"/>
        </w:trPr>
        <w:tc>
          <w:tcPr>
            <w:tcW w:w="56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1,976</w:t>
            </w:r>
          </w:p>
        </w:tc>
        <w:tc>
          <w:tcPr>
            <w:tcW w:w="240" w:type="dxa"/>
            <w:vAlign w:val="bottom"/>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1,433</w:t>
            </w:r>
          </w:p>
        </w:tc>
        <w:tc>
          <w:tcPr>
            <w:tcW w:w="20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220" w:type="dxa"/>
            <w:vAlign w:val="bottom"/>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3,435</w:t>
            </w:r>
          </w:p>
        </w:tc>
        <w:tc>
          <w:tcPr>
            <w:tcW w:w="100" w:type="dxa"/>
            <w:vAlign w:val="bottom"/>
            <w:shd w:val="clear" w:color="auto" w:fill="CFF0FC"/>
          </w:tcPr>
          <w:p>
            <w:pPr>
              <w:spacing w:after="0"/>
              <w:rPr>
                <w:sz w:val="18"/>
                <w:szCs w:val="18"/>
                <w:color w:val="auto"/>
              </w:rPr>
            </w:pPr>
          </w:p>
        </w:tc>
      </w:tr>
      <w:tr>
        <w:trPr>
          <w:trHeight w:val="216"/>
        </w:trPr>
        <w:tc>
          <w:tcPr>
            <w:tcW w:w="5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Restructuring charges</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377</w:t>
            </w: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1,673</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2,080</w:t>
            </w:r>
          </w:p>
        </w:tc>
        <w:tc>
          <w:tcPr>
            <w:tcW w:w="100" w:type="dxa"/>
            <w:vAlign w:val="bottom"/>
          </w:tcPr>
          <w:p>
            <w:pPr>
              <w:spacing w:after="0"/>
              <w:rPr>
                <w:sz w:val="18"/>
                <w:szCs w:val="18"/>
                <w:color w:val="auto"/>
              </w:rPr>
            </w:pPr>
          </w:p>
        </w:tc>
      </w:tr>
      <w:tr>
        <w:trPr>
          <w:trHeight w:val="216"/>
        </w:trPr>
        <w:tc>
          <w:tcPr>
            <w:tcW w:w="56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Cash payments</w:t>
            </w:r>
          </w:p>
        </w:tc>
        <w:tc>
          <w:tcPr>
            <w:tcW w:w="160" w:type="dxa"/>
            <w:vAlign w:val="bottom"/>
            <w:shd w:val="clear" w:color="auto" w:fill="CFF0FC"/>
          </w:tcPr>
          <w:p>
            <w:pPr>
              <w:spacing w:after="0"/>
              <w:rPr>
                <w:sz w:val="18"/>
                <w:szCs w:val="18"/>
                <w:color w:val="auto"/>
              </w:rPr>
            </w:pPr>
          </w:p>
        </w:tc>
        <w:tc>
          <w:tcPr>
            <w:tcW w:w="124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(316 )</w:t>
            </w:r>
          </w:p>
        </w:tc>
        <w:tc>
          <w:tcPr>
            <w:tcW w:w="22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(719 )</w:t>
            </w:r>
          </w:p>
        </w:tc>
        <w:tc>
          <w:tcPr>
            <w:tcW w:w="200" w:type="dxa"/>
            <w:vAlign w:val="bottom"/>
            <w:shd w:val="clear" w:color="auto" w:fill="CFF0FC"/>
          </w:tcPr>
          <w:p>
            <w:pPr>
              <w:spacing w:after="0"/>
              <w:rPr>
                <w:sz w:val="18"/>
                <w:szCs w:val="18"/>
                <w:color w:val="auto"/>
              </w:rPr>
            </w:pPr>
          </w:p>
        </w:tc>
        <w:tc>
          <w:tcPr>
            <w:tcW w:w="140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(83 )</w:t>
            </w:r>
          </w:p>
        </w:tc>
        <w:tc>
          <w:tcPr>
            <w:tcW w:w="260" w:type="dxa"/>
            <w:vAlign w:val="bottom"/>
            <w:shd w:val="clear" w:color="auto" w:fill="CFF0FC"/>
          </w:tcPr>
          <w:p>
            <w:pPr>
              <w:spacing w:after="0"/>
              <w:rPr>
                <w:sz w:val="18"/>
                <w:szCs w:val="18"/>
                <w:color w:val="auto"/>
              </w:rPr>
            </w:pPr>
          </w:p>
        </w:tc>
        <w:tc>
          <w:tcPr>
            <w:tcW w:w="98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(1,118 )</w:t>
            </w:r>
          </w:p>
        </w:tc>
      </w:tr>
      <w:tr>
        <w:trPr>
          <w:trHeight w:val="216"/>
        </w:trPr>
        <w:tc>
          <w:tcPr>
            <w:tcW w:w="5600" w:type="dxa"/>
            <w:vAlign w:val="bottom"/>
          </w:tcPr>
          <w:p>
            <w:pPr>
              <w:ind w:left="20"/>
              <w:spacing w:after="0" w:line="216" w:lineRule="exact"/>
              <w:rPr>
                <w:sz w:val="20"/>
                <w:szCs w:val="20"/>
                <w:color w:val="auto"/>
              </w:rPr>
            </w:pPr>
            <w:r>
              <w:rPr>
                <w:rFonts w:ascii="Times New Roman" w:cs="Times New Roman" w:eastAsia="Times New Roman" w:hAnsi="Times New Roman"/>
                <w:sz w:val="18"/>
                <w:szCs w:val="18"/>
                <w:color w:val="auto"/>
              </w:rPr>
              <w:t>Non-cash items</w:t>
            </w:r>
            <w:r>
              <w:rPr>
                <w:rFonts w:ascii="Times New Roman" w:cs="Times New Roman" w:eastAsia="Times New Roman" w:hAnsi="Times New Roman"/>
                <w:sz w:val="21"/>
                <w:szCs w:val="21"/>
                <w:color w:val="auto"/>
                <w:vertAlign w:val="superscript"/>
              </w:rPr>
              <w:t>(1)</w:t>
            </w:r>
          </w:p>
        </w:tc>
        <w:tc>
          <w:tcPr>
            <w:tcW w:w="16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(355 )</w:t>
            </w:r>
          </w:p>
        </w:tc>
        <w:tc>
          <w:tcPr>
            <w:tcW w:w="22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(812 )</w:t>
            </w:r>
          </w:p>
        </w:tc>
        <w:tc>
          <w:tcPr>
            <w:tcW w:w="200" w:type="dxa"/>
            <w:vAlign w:val="bottom"/>
          </w:tcPr>
          <w:p>
            <w:pPr>
              <w:spacing w:after="0"/>
              <w:rPr>
                <w:sz w:val="18"/>
                <w:szCs w:val="18"/>
                <w:color w:val="auto"/>
              </w:rPr>
            </w:pPr>
          </w:p>
        </w:tc>
        <w:tc>
          <w:tcPr>
            <w:tcW w:w="14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(1,167 )</w:t>
            </w:r>
          </w:p>
        </w:tc>
      </w:tr>
      <w:tr>
        <w:trPr>
          <w:trHeight w:val="216"/>
        </w:trPr>
        <w:tc>
          <w:tcPr>
            <w:tcW w:w="56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Adjustment to liability</w:t>
            </w:r>
          </w:p>
        </w:tc>
        <w:tc>
          <w:tcPr>
            <w:tcW w:w="160" w:type="dxa"/>
            <w:vAlign w:val="bottom"/>
            <w:shd w:val="clear" w:color="auto" w:fill="CFF0FC"/>
          </w:tcPr>
          <w:p>
            <w:pPr>
              <w:spacing w:after="0"/>
              <w:rPr>
                <w:sz w:val="18"/>
                <w:szCs w:val="18"/>
                <w:color w:val="auto"/>
              </w:rPr>
            </w:pPr>
          </w:p>
        </w:tc>
        <w:tc>
          <w:tcPr>
            <w:tcW w:w="124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(2 )</w:t>
            </w:r>
          </w:p>
        </w:tc>
        <w:tc>
          <w:tcPr>
            <w:tcW w:w="22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(10 )</w:t>
            </w:r>
          </w:p>
        </w:tc>
        <w:tc>
          <w:tcPr>
            <w:tcW w:w="20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100" w:type="dxa"/>
            <w:vAlign w:val="bottom"/>
            <w:shd w:val="clear" w:color="auto" w:fill="CFF0FC"/>
          </w:tcPr>
          <w:p>
            <w:pPr>
              <w:spacing w:after="0"/>
              <w:rPr>
                <w:sz w:val="18"/>
                <w:szCs w:val="18"/>
                <w:color w:val="auto"/>
              </w:rPr>
            </w:pPr>
          </w:p>
        </w:tc>
      </w:tr>
      <w:tr>
        <w:trPr>
          <w:trHeight w:val="209"/>
        </w:trPr>
        <w:tc>
          <w:tcPr>
            <w:tcW w:w="560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June 30, 2022</w:t>
            </w: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1,680</w:t>
            </w:r>
          </w:p>
        </w:tc>
        <w:tc>
          <w:tcPr>
            <w:tcW w:w="240" w:type="dxa"/>
            <w:vAlign w:val="bottom"/>
            <w:tcBorders>
              <w:top w:val="single" w:sz="8" w:color="CFF0FC"/>
            </w:tcBorders>
          </w:tcPr>
          <w:p>
            <w:pPr>
              <w:spacing w:after="0"/>
              <w:rPr>
                <w:sz w:val="18"/>
                <w:szCs w:val="18"/>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1,565</w:t>
            </w:r>
          </w:p>
        </w:tc>
        <w:tc>
          <w:tcPr>
            <w:tcW w:w="200" w:type="dxa"/>
            <w:vAlign w:val="bottom"/>
            <w:tcBorders>
              <w:top w:val="single" w:sz="8" w:color="CFF0FC"/>
            </w:tcBorders>
          </w:tcPr>
          <w:p>
            <w:pPr>
              <w:spacing w:after="0"/>
              <w:rPr>
                <w:sz w:val="18"/>
                <w:szCs w:val="18"/>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20" w:type="dxa"/>
            <w:vAlign w:val="bottom"/>
            <w:tcBorders>
              <w:top w:val="single" w:sz="8" w:color="CFF0FC"/>
            </w:tcBorders>
          </w:tcPr>
          <w:p>
            <w:pPr>
              <w:spacing w:after="0"/>
              <w:rPr>
                <w:sz w:val="18"/>
                <w:szCs w:val="18"/>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3,257</w:t>
            </w:r>
          </w:p>
        </w:tc>
        <w:tc>
          <w:tcPr>
            <w:tcW w:w="100" w:type="dxa"/>
            <w:vAlign w:val="bottom"/>
            <w:tcBorders>
              <w:top w:val="single" w:sz="8" w:color="CFF0FC"/>
            </w:tcBorders>
          </w:tcPr>
          <w:p>
            <w:pPr>
              <w:spacing w:after="0"/>
              <w:rPr>
                <w:sz w:val="18"/>
                <w:szCs w:val="18"/>
                <w:color w:val="auto"/>
              </w:rPr>
            </w:pPr>
          </w:p>
        </w:tc>
      </w:tr>
      <w:tr>
        <w:trPr>
          <w:trHeight w:val="20"/>
        </w:trPr>
        <w:tc>
          <w:tcPr>
            <w:tcW w:w="56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4294505</wp:posOffset>
            </wp:positionH>
            <wp:positionV relativeFrom="paragraph">
              <wp:posOffset>-170815</wp:posOffset>
            </wp:positionV>
            <wp:extent cx="76835" cy="825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5202555</wp:posOffset>
            </wp:positionH>
            <wp:positionV relativeFrom="paragraph">
              <wp:posOffset>-170815</wp:posOffset>
            </wp:positionV>
            <wp:extent cx="68580" cy="825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6212840</wp:posOffset>
            </wp:positionH>
            <wp:positionV relativeFrom="paragraph">
              <wp:posOffset>-170815</wp:posOffset>
            </wp:positionV>
            <wp:extent cx="68580" cy="825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64" w:lineRule="exact"/>
        <w:rPr>
          <w:sz w:val="20"/>
          <w:szCs w:val="20"/>
          <w:color w:val="auto"/>
        </w:rPr>
      </w:pPr>
    </w:p>
    <w:p>
      <w:pPr>
        <w:ind w:left="380" w:right="20" w:hanging="372"/>
        <w:spacing w:after="0" w:line="216" w:lineRule="auto"/>
        <w:tabs>
          <w:tab w:leader="none" w:pos="380" w:val="left"/>
        </w:tabs>
        <w:numPr>
          <w:ilvl w:val="0"/>
          <w:numId w:val="10"/>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Represents non-cash adjustments related to a write-down of certain ROU assets and leasehold improvements as a result of vacating certain facilities during the first quarter of 2022 prior to the lease term.</w:t>
      </w:r>
    </w:p>
    <w:p>
      <w:pPr>
        <w:spacing w:after="0" w:line="19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 xml:space="preserve">As of June 30, 2022, $1.5 million of the liabilities related to severance and employee benefits will remain unpaid by the end of 2022. The liabilities related to facilities primarily include non-lease expenses that will be paid over the remaining lease terms. Refer to Note 23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Segment Information for information regarding restructuring charges by segment.</w:t>
      </w: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20. </w:t>
      </w:r>
      <w:r>
        <w:rPr>
          <w:rFonts w:ascii="Times New Roman" w:cs="Times New Roman" w:eastAsia="Times New Roman" w:hAnsi="Times New Roman"/>
          <w:sz w:val="18"/>
          <w:szCs w:val="18"/>
          <w:b w:val="1"/>
          <w:bCs w:val="1"/>
          <w:u w:val="single" w:color="auto"/>
          <w:color w:val="auto"/>
        </w:rPr>
        <w:t>Leases and Other</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balance sheet presentation of our operating and finance leases is as follows: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4100" w:type="dxa"/>
            <w:vAlign w:val="bottom"/>
          </w:tcPr>
          <w:p>
            <w:pPr>
              <w:spacing w:after="0"/>
              <w:rPr>
                <w:sz w:val="14"/>
                <w:szCs w:val="14"/>
                <w:color w:val="auto"/>
              </w:rPr>
            </w:pPr>
          </w:p>
        </w:tc>
        <w:tc>
          <w:tcPr>
            <w:tcW w:w="4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jc w:val="right"/>
              <w:ind w:right="174"/>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260" w:type="dxa"/>
            <w:vAlign w:val="bottom"/>
          </w:tcPr>
          <w:p>
            <w:pPr>
              <w:spacing w:after="0"/>
              <w:rPr>
                <w:sz w:val="14"/>
                <w:szCs w:val="14"/>
                <w:color w:val="auto"/>
              </w:rPr>
            </w:pPr>
          </w:p>
        </w:tc>
        <w:tc>
          <w:tcPr>
            <w:tcW w:w="1020" w:type="dxa"/>
            <w:vAlign w:val="bottom"/>
            <w:gridSpan w:val="2"/>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Pr>
          <w:p>
            <w:pPr>
              <w:spacing w:after="0"/>
              <w:rPr>
                <w:sz w:val="14"/>
                <w:szCs w:val="14"/>
                <w:color w:val="auto"/>
              </w:rPr>
            </w:pPr>
          </w:p>
        </w:tc>
      </w:tr>
      <w:tr>
        <w:trPr>
          <w:trHeight w:val="187"/>
        </w:trPr>
        <w:tc>
          <w:tcPr>
            <w:tcW w:w="41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4560" w:type="dxa"/>
            <w:vAlign w:val="bottom"/>
            <w:tcBorders>
              <w:bottom w:val="single" w:sz="8" w:color="auto"/>
            </w:tcBorders>
          </w:tcPr>
          <w:p>
            <w:pPr>
              <w:ind w:left="420"/>
              <w:spacing w:after="0"/>
              <w:rPr>
                <w:sz w:val="20"/>
                <w:szCs w:val="20"/>
                <w:color w:val="auto"/>
              </w:rPr>
            </w:pPr>
            <w:r>
              <w:rPr>
                <w:rFonts w:ascii="Times New Roman" w:cs="Times New Roman" w:eastAsia="Times New Roman" w:hAnsi="Times New Roman"/>
                <w:sz w:val="14"/>
                <w:szCs w:val="14"/>
                <w:b w:val="1"/>
                <w:bCs w:val="1"/>
                <w:color w:val="auto"/>
              </w:rPr>
              <w:t>Classification on the Condensed Consolidated Balance Sheet</w:t>
            </w:r>
          </w:p>
        </w:tc>
        <w:tc>
          <w:tcPr>
            <w:tcW w:w="1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29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ind w:right="27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6"/>
                <w:szCs w:val="16"/>
                <w:color w:val="auto"/>
              </w:rPr>
            </w:pPr>
          </w:p>
        </w:tc>
      </w:tr>
      <w:tr>
        <w:trPr>
          <w:trHeight w:val="209"/>
        </w:trPr>
        <w:tc>
          <w:tcPr>
            <w:tcW w:w="4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45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 assets</w:t>
            </w:r>
          </w:p>
        </w:tc>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Operating lease ROU assets</w:t>
            </w: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99,644</w:t>
            </w:r>
          </w:p>
        </w:tc>
        <w:tc>
          <w:tcPr>
            <w:tcW w:w="500" w:type="dxa"/>
            <w:vAlign w:val="bottom"/>
            <w:gridSpan w:val="2"/>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95,915</w:t>
            </w:r>
          </w:p>
        </w:tc>
        <w:tc>
          <w:tcPr>
            <w:tcW w:w="100" w:type="dxa"/>
            <w:vAlign w:val="bottom"/>
          </w:tcPr>
          <w:p>
            <w:pPr>
              <w:spacing w:after="0"/>
              <w:rPr>
                <w:sz w:val="18"/>
                <w:szCs w:val="18"/>
                <w:color w:val="auto"/>
              </w:rPr>
            </w:pPr>
          </w:p>
        </w:tc>
      </w:tr>
      <w:tr>
        <w:trPr>
          <w:trHeight w:val="216"/>
        </w:trPr>
        <w:tc>
          <w:tcPr>
            <w:tcW w:w="410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Finance lease assets</w:t>
            </w:r>
          </w:p>
        </w:tc>
        <w:tc>
          <w:tcPr>
            <w:tcW w:w="4560" w:type="dxa"/>
            <w:vAlign w:val="bottom"/>
            <w:tcBorders>
              <w:bottom w:val="single" w:sz="8" w:color="CFF0FC"/>
            </w:tcBorders>
            <w:shd w:val="clear" w:color="auto" w:fill="CFF0FC"/>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60" w:type="dxa"/>
            <w:vAlign w:val="bottom"/>
            <w:tcBorders>
              <w:bottom w:val="single" w:sz="8" w:color="CFF0FC"/>
            </w:tcBorders>
            <w:shd w:val="clear" w:color="auto" w:fill="CFF0FC"/>
          </w:tcPr>
          <w:p>
            <w:pPr>
              <w:spacing w:after="0"/>
              <w:rPr>
                <w:sz w:val="18"/>
                <w:szCs w:val="18"/>
                <w:color w:val="auto"/>
              </w:rPr>
            </w:pPr>
          </w:p>
        </w:tc>
        <w:tc>
          <w:tcPr>
            <w:tcW w:w="18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62,101</w:t>
            </w:r>
          </w:p>
        </w:tc>
        <w:tc>
          <w:tcPr>
            <w:tcW w:w="260" w:type="dxa"/>
            <w:vAlign w:val="bottom"/>
            <w:tcBorders>
              <w:bottom w:val="single" w:sz="8" w:color="CFF0FC"/>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spacing w:after="0"/>
              <w:rPr>
                <w:sz w:val="18"/>
                <w:szCs w:val="18"/>
                <w:color w:val="auto"/>
              </w:rPr>
            </w:pP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61,022</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410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Total lease assets</w:t>
            </w:r>
          </w:p>
        </w:tc>
        <w:tc>
          <w:tcPr>
            <w:tcW w:w="4560" w:type="dxa"/>
            <w:vAlign w:val="bottom"/>
          </w:tcPr>
          <w:p>
            <w:pPr>
              <w:spacing w:after="0"/>
              <w:rPr>
                <w:sz w:val="18"/>
                <w:szCs w:val="18"/>
                <w:color w:val="auto"/>
              </w:rPr>
            </w:pP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161,745</w:t>
            </w:r>
          </w:p>
        </w:tc>
        <w:tc>
          <w:tcPr>
            <w:tcW w:w="500" w:type="dxa"/>
            <w:vAlign w:val="bottom"/>
            <w:gridSpan w:val="2"/>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156,937</w:t>
            </w:r>
          </w:p>
        </w:tc>
        <w:tc>
          <w:tcPr>
            <w:tcW w:w="100" w:type="dxa"/>
            <w:vAlign w:val="bottom"/>
          </w:tcPr>
          <w:p>
            <w:pPr>
              <w:spacing w:after="0"/>
              <w:rPr>
                <w:sz w:val="18"/>
                <w:szCs w:val="18"/>
                <w:color w:val="auto"/>
              </w:rPr>
            </w:pPr>
          </w:p>
        </w:tc>
      </w:tr>
      <w:tr>
        <w:trPr>
          <w:trHeight w:val="20"/>
        </w:trPr>
        <w:tc>
          <w:tcPr>
            <w:tcW w:w="4100" w:type="dxa"/>
            <w:vAlign w:val="bottom"/>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4100" w:type="dxa"/>
            <w:vAlign w:val="bottom"/>
            <w:shd w:val="clear" w:color="auto" w:fill="CFF0FC"/>
          </w:tcPr>
          <w:p>
            <w:pPr>
              <w:spacing w:after="0"/>
              <w:rPr>
                <w:sz w:val="17"/>
                <w:szCs w:val="17"/>
                <w:color w:val="auto"/>
              </w:rPr>
            </w:pPr>
          </w:p>
        </w:tc>
        <w:tc>
          <w:tcPr>
            <w:tcW w:w="456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8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7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41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Liabilities:</w:t>
            </w:r>
          </w:p>
        </w:tc>
        <w:tc>
          <w:tcPr>
            <w:tcW w:w="4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1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Current:</w:t>
            </w:r>
          </w:p>
        </w:tc>
        <w:tc>
          <w:tcPr>
            <w:tcW w:w="456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 obligations</w:t>
            </w:r>
          </w:p>
        </w:tc>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Operating lease obligations</w:t>
            </w:r>
          </w:p>
        </w:tc>
        <w:tc>
          <w:tcPr>
            <w:tcW w:w="3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13,285</w:t>
            </w:r>
          </w:p>
        </w:tc>
        <w:tc>
          <w:tcPr>
            <w:tcW w:w="500" w:type="dxa"/>
            <w:vAlign w:val="bottom"/>
            <w:gridSpan w:val="2"/>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12,451</w:t>
            </w:r>
          </w:p>
        </w:tc>
        <w:tc>
          <w:tcPr>
            <w:tcW w:w="100" w:type="dxa"/>
            <w:vAlign w:val="bottom"/>
          </w:tcPr>
          <w:p>
            <w:pPr>
              <w:spacing w:after="0"/>
              <w:rPr>
                <w:sz w:val="18"/>
                <w:szCs w:val="18"/>
                <w:color w:val="auto"/>
              </w:rPr>
            </w:pPr>
          </w:p>
        </w:tc>
      </w:tr>
      <w:tr>
        <w:trPr>
          <w:trHeight w:val="216"/>
        </w:trPr>
        <w:tc>
          <w:tcPr>
            <w:tcW w:w="41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Finance lease obligations</w:t>
            </w:r>
          </w:p>
        </w:tc>
        <w:tc>
          <w:tcPr>
            <w:tcW w:w="456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Current portion of debt and finance obligations</w:t>
            </w:r>
          </w:p>
        </w:tc>
        <w:tc>
          <w:tcPr>
            <w:tcW w:w="1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2,899</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2,928</w:t>
            </w: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Noncurrent:</w:t>
            </w:r>
          </w:p>
        </w:tc>
        <w:tc>
          <w:tcPr>
            <w:tcW w:w="4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1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Operating lease obligations</w:t>
            </w:r>
          </w:p>
        </w:tc>
        <w:tc>
          <w:tcPr>
            <w:tcW w:w="4560" w:type="dxa"/>
            <w:vAlign w:val="bottom"/>
            <w:shd w:val="clear" w:color="auto" w:fill="CFF0FC"/>
          </w:tcPr>
          <w:p>
            <w:pPr>
              <w:spacing w:after="0"/>
              <w:rPr>
                <w:sz w:val="20"/>
                <w:szCs w:val="20"/>
                <w:color w:val="auto"/>
              </w:rPr>
            </w:pPr>
            <w:r>
              <w:rPr>
                <w:rFonts w:ascii="Times New Roman" w:cs="Times New Roman" w:eastAsia="Times New Roman" w:hAnsi="Times New Roman"/>
                <w:sz w:val="18"/>
                <w:szCs w:val="18"/>
                <w:color w:val="auto"/>
              </w:rPr>
              <w:t>Long-term operating lease obligations</w:t>
            </w:r>
          </w:p>
        </w:tc>
        <w:tc>
          <w:tcPr>
            <w:tcW w:w="16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97,277</w:t>
            </w:r>
          </w:p>
        </w:tc>
        <w:tc>
          <w:tcPr>
            <w:tcW w:w="26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93,406</w:t>
            </w:r>
          </w:p>
        </w:tc>
        <w:tc>
          <w:tcPr>
            <w:tcW w:w="100" w:type="dxa"/>
            <w:vAlign w:val="bottom"/>
            <w:shd w:val="clear" w:color="auto" w:fill="CFF0FC"/>
          </w:tcPr>
          <w:p>
            <w:pPr>
              <w:spacing w:after="0"/>
              <w:rPr>
                <w:sz w:val="18"/>
                <w:szCs w:val="18"/>
                <w:color w:val="auto"/>
              </w:rPr>
            </w:pPr>
          </w:p>
        </w:tc>
      </w:tr>
      <w:tr>
        <w:trPr>
          <w:trHeight w:val="216"/>
        </w:trPr>
        <w:tc>
          <w:tcPr>
            <w:tcW w:w="41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Finance lease obligations</w:t>
            </w:r>
          </w:p>
        </w:tc>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Long-term debt and finance obligations</w:t>
            </w:r>
          </w:p>
        </w:tc>
        <w:tc>
          <w:tcPr>
            <w:tcW w:w="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61,996</w:t>
            </w:r>
          </w:p>
        </w:tc>
        <w:tc>
          <w:tcPr>
            <w:tcW w:w="2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60,473</w:t>
            </w:r>
          </w:p>
        </w:tc>
        <w:tc>
          <w:tcPr>
            <w:tcW w:w="100" w:type="dxa"/>
            <w:vAlign w:val="bottom"/>
          </w:tcPr>
          <w:p>
            <w:pPr>
              <w:spacing w:after="0"/>
              <w:rPr>
                <w:sz w:val="18"/>
                <w:szCs w:val="18"/>
                <w:color w:val="auto"/>
              </w:rPr>
            </w:pPr>
          </w:p>
        </w:tc>
      </w:tr>
      <w:tr>
        <w:trPr>
          <w:trHeight w:val="249"/>
        </w:trPr>
        <w:tc>
          <w:tcPr>
            <w:tcW w:w="410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Total lease liabilities</w:t>
            </w:r>
          </w:p>
        </w:tc>
        <w:tc>
          <w:tcPr>
            <w:tcW w:w="456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CFF0FC"/>
            </w:tcBorders>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175,457</w:t>
            </w:r>
          </w:p>
        </w:tc>
        <w:tc>
          <w:tcPr>
            <w:tcW w:w="26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9"/>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169,258</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14"/>
        </w:trPr>
        <w:tc>
          <w:tcPr>
            <w:tcW w:w="4100" w:type="dxa"/>
            <w:vAlign w:val="bottom"/>
          </w:tcPr>
          <w:p>
            <w:pPr>
              <w:spacing w:after="0"/>
              <w:rPr>
                <w:sz w:val="24"/>
                <w:szCs w:val="24"/>
                <w:color w:val="auto"/>
              </w:rPr>
            </w:pPr>
          </w:p>
        </w:tc>
        <w:tc>
          <w:tcPr>
            <w:tcW w:w="4560" w:type="dxa"/>
            <w:vAlign w:val="bottom"/>
          </w:tcPr>
          <w:p>
            <w:pPr>
              <w:ind w:left="1440"/>
              <w:spacing w:after="0"/>
              <w:rPr>
                <w:sz w:val="20"/>
                <w:szCs w:val="20"/>
                <w:color w:val="auto"/>
              </w:rPr>
            </w:pPr>
            <w:r>
              <w:rPr>
                <w:rFonts w:ascii="Times New Roman" w:cs="Times New Roman" w:eastAsia="Times New Roman" w:hAnsi="Times New Roman"/>
                <w:sz w:val="18"/>
                <w:szCs w:val="18"/>
                <w:color w:val="auto"/>
              </w:rPr>
              <w:t>24</w:t>
            </w: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88"/>
        </w:trPr>
        <w:tc>
          <w:tcPr>
            <w:tcW w:w="4100" w:type="dxa"/>
            <w:vAlign w:val="bottom"/>
            <w:tcBorders>
              <w:bottom w:val="single" w:sz="8" w:color="9A9A9A"/>
            </w:tcBorders>
          </w:tcPr>
          <w:p>
            <w:pPr>
              <w:spacing w:after="0"/>
              <w:rPr>
                <w:sz w:val="7"/>
                <w:szCs w:val="7"/>
                <w:color w:val="auto"/>
              </w:rPr>
            </w:pPr>
          </w:p>
        </w:tc>
        <w:tc>
          <w:tcPr>
            <w:tcW w:w="456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8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78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6255385</wp:posOffset>
            </wp:positionH>
            <wp:positionV relativeFrom="paragraph">
              <wp:posOffset>-1908810</wp:posOffset>
            </wp:positionV>
            <wp:extent cx="68580" cy="825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-1908810</wp:posOffset>
            </wp:positionV>
            <wp:extent cx="68580" cy="825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6255385</wp:posOffset>
            </wp:positionH>
            <wp:positionV relativeFrom="paragraph">
              <wp:posOffset>-495935</wp:posOffset>
            </wp:positionV>
            <wp:extent cx="68580" cy="825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6255385</wp:posOffset>
            </wp:positionH>
            <wp:positionV relativeFrom="paragraph">
              <wp:posOffset>-478790</wp:posOffset>
            </wp:positionV>
            <wp:extent cx="68580" cy="825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-495935</wp:posOffset>
            </wp:positionV>
            <wp:extent cx="68580" cy="825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-478790</wp:posOffset>
            </wp:positionV>
            <wp:extent cx="68580" cy="825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color w:val="auto"/>
        </w:rPr>
        <w:t>The components of lease expense consisted of the following:</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640" w:type="dxa"/>
            <w:vAlign w:val="bottom"/>
            <w:gridSpan w:val="8"/>
          </w:tcPr>
          <w:p>
            <w:pPr>
              <w:ind w:left="36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460" w:type="dxa"/>
            <w:vAlign w:val="bottom"/>
            <w:gridSpan w:val="8"/>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Six Months Ended</w:t>
            </w:r>
          </w:p>
        </w:tc>
      </w:tr>
      <w:tr>
        <w:trPr>
          <w:trHeight w:val="187"/>
        </w:trPr>
        <w:tc>
          <w:tcPr>
            <w:tcW w:w="5700" w:type="dxa"/>
            <w:vAlign w:val="bottom"/>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5"/>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5"/>
          </w:tcPr>
          <w:p>
            <w:pPr>
              <w:jc w:val="center"/>
              <w:ind w:left="676"/>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0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r>
      <w:tr>
        <w:trPr>
          <w:trHeight w:val="169"/>
        </w:trPr>
        <w:tc>
          <w:tcPr>
            <w:tcW w:w="57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316"/>
              <w:spacing w:after="0"/>
              <w:rPr>
                <w:sz w:val="20"/>
                <w:szCs w:val="20"/>
                <w:color w:val="auto"/>
              </w:rPr>
            </w:pPr>
            <w:r>
              <w:rPr>
                <w:rFonts w:ascii="Times New Roman" w:cs="Times New Roman" w:eastAsia="Times New Roman" w:hAnsi="Times New Roman"/>
                <w:sz w:val="14"/>
                <w:szCs w:val="14"/>
                <w:b w:val="1"/>
                <w:bCs w:val="1"/>
                <w:color w:val="auto"/>
              </w:rPr>
              <w:t>2022</w:t>
            </w:r>
          </w:p>
        </w:tc>
        <w:tc>
          <w:tcPr>
            <w:tcW w:w="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9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right"/>
              <w:ind w:right="41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Finance lease cost:</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Amortization of ROU assets</w:t>
            </w:r>
          </w:p>
        </w:tc>
        <w:tc>
          <w:tcPr>
            <w:tcW w:w="2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1,045</w:t>
            </w:r>
          </w:p>
        </w:tc>
        <w:tc>
          <w:tcPr>
            <w:tcW w:w="60" w:type="dxa"/>
            <w:vAlign w:val="bottom"/>
          </w:tcPr>
          <w:p>
            <w:pPr>
              <w:spacing w:after="0"/>
              <w:rPr>
                <w:sz w:val="18"/>
                <w:szCs w:val="18"/>
                <w:color w:val="auto"/>
              </w:rPr>
            </w:pPr>
          </w:p>
        </w:tc>
        <w:tc>
          <w:tcPr>
            <w:tcW w:w="600" w:type="dxa"/>
            <w:vAlign w:val="bottom"/>
            <w:gridSpan w:val="3"/>
          </w:tcPr>
          <w:p>
            <w:pPr>
              <w:jc w:val="center"/>
              <w:ind w:right="6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1,068</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2,138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Interest on lease liabilities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1,467</w:t>
            </w:r>
          </w:p>
        </w:tc>
        <w:tc>
          <w:tcPr>
            <w:tcW w:w="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1,473</w:t>
            </w: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2,902</w:t>
            </w: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2,788</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Operating lease cost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6,204</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5,893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12,026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12,163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Short-term lease cost</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749</w:t>
            </w:r>
          </w:p>
        </w:tc>
        <w:tc>
          <w:tcPr>
            <w:tcW w:w="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198</w:t>
            </w: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1,113</w:t>
            </w: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459</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Variable lease cost</w:t>
            </w:r>
          </w:p>
        </w:tc>
        <w:tc>
          <w:tcPr>
            <w:tcW w:w="6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1,532</w:t>
            </w: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1,092</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2,546</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2,034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49"/>
        </w:trPr>
        <w:tc>
          <w:tcPr>
            <w:tcW w:w="570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Total lease cost, net</w:t>
            </w:r>
          </w:p>
        </w:tc>
        <w:tc>
          <w:tcPr>
            <w:tcW w:w="280" w:type="dxa"/>
            <w:vAlign w:val="bottom"/>
            <w:tcBorders>
              <w:bottom w:val="single" w:sz="8" w:color="auto"/>
            </w:tcBorders>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10,997</w:t>
            </w:r>
          </w:p>
        </w:tc>
        <w:tc>
          <w:tcPr>
            <w:tcW w:w="60" w:type="dxa"/>
            <w:vAlign w:val="bottom"/>
            <w:tcBorders>
              <w:bottom w:val="single" w:sz="8" w:color="CFF0FC"/>
            </w:tcBorders>
            <w:shd w:val="clear" w:color="auto" w:fill="CFF0FC"/>
          </w:tcPr>
          <w:p>
            <w:pPr>
              <w:spacing w:after="0"/>
              <w:rPr>
                <w:sz w:val="21"/>
                <w:szCs w:val="21"/>
                <w:color w:val="auto"/>
              </w:rPr>
            </w:pPr>
          </w:p>
        </w:tc>
        <w:tc>
          <w:tcPr>
            <w:tcW w:w="200" w:type="dxa"/>
            <w:vAlign w:val="bottom"/>
            <w:tcBorders>
              <w:bottom w:val="single" w:sz="8" w:color="CFF0FC"/>
            </w:tcBorders>
            <w:shd w:val="clear" w:color="auto" w:fill="CFF0FC"/>
          </w:tcPr>
          <w:p>
            <w:pPr>
              <w:spacing w:after="0"/>
              <w:rPr>
                <w:sz w:val="21"/>
                <w:szCs w:val="21"/>
                <w:color w:val="auto"/>
              </w:rPr>
            </w:pPr>
          </w:p>
        </w:tc>
        <w:tc>
          <w:tcPr>
            <w:tcW w:w="400" w:type="dxa"/>
            <w:vAlign w:val="bottom"/>
            <w:tcBorders>
              <w:bottom w:val="single" w:sz="8" w:color="auto"/>
            </w:tcBorders>
            <w:gridSpan w:val="2"/>
            <w:shd w:val="clear" w:color="auto" w:fill="CFF0FC"/>
          </w:tcPr>
          <w:p>
            <w:pPr>
              <w:jc w:val="center"/>
              <w:ind w:right="26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9,724</w:t>
            </w:r>
          </w:p>
        </w:tc>
        <w:tc>
          <w:tcPr>
            <w:tcW w:w="10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CFF0FC"/>
            </w:tcBorders>
            <w:shd w:val="clear" w:color="auto" w:fill="CFF0FC"/>
          </w:tcPr>
          <w:p>
            <w:pPr>
              <w:spacing w:after="0"/>
              <w:rPr>
                <w:sz w:val="21"/>
                <w:szCs w:val="21"/>
                <w:color w:val="auto"/>
              </w:rPr>
            </w:pPr>
          </w:p>
        </w:tc>
        <w:tc>
          <w:tcPr>
            <w:tcW w:w="220" w:type="dxa"/>
            <w:vAlign w:val="bottom"/>
            <w:tcBorders>
              <w:bottom w:val="single" w:sz="8" w:color="auto"/>
            </w:tcBorders>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20,683</w:t>
            </w:r>
          </w:p>
        </w:tc>
        <w:tc>
          <w:tcPr>
            <w:tcW w:w="8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19,582</w:t>
            </w:r>
          </w:p>
        </w:tc>
        <w:tc>
          <w:tcPr>
            <w:tcW w:w="100" w:type="dxa"/>
            <w:vAlign w:val="bottom"/>
            <w:tcBorders>
              <w:bottom w:val="single" w:sz="8" w:color="CFF0FC"/>
            </w:tcBorders>
            <w:shd w:val="clear" w:color="auto" w:fill="CFF0FC"/>
          </w:tcPr>
          <w:p>
            <w:pPr>
              <w:spacing w:after="0"/>
              <w:rPr>
                <w:sz w:val="21"/>
                <w:szCs w:val="21"/>
                <w:color w:val="auto"/>
              </w:rPr>
            </w:pPr>
          </w:p>
        </w:tc>
        <w:tc>
          <w:tcPr>
            <w:tcW w:w="60" w:type="dxa"/>
            <w:vAlign w:val="bottom"/>
          </w:tcPr>
          <w:p>
            <w:pPr>
              <w:spacing w:after="0"/>
              <w:rPr>
                <w:sz w:val="21"/>
                <w:szCs w:val="21"/>
                <w:color w:val="auto"/>
              </w:rPr>
            </w:pPr>
          </w:p>
        </w:tc>
      </w:tr>
      <w:tr>
        <w:trPr>
          <w:trHeight w:val="412"/>
        </w:trPr>
        <w:tc>
          <w:tcPr>
            <w:tcW w:w="5700" w:type="dxa"/>
            <w:vAlign w:val="bottom"/>
          </w:tcPr>
          <w:p>
            <w:pPr>
              <w:spacing w:after="0"/>
              <w:rPr>
                <w:sz w:val="20"/>
                <w:szCs w:val="20"/>
                <w:color w:val="auto"/>
              </w:rPr>
            </w:pPr>
            <w:r>
              <w:rPr>
                <w:rFonts w:ascii="Times New Roman" w:cs="Times New Roman" w:eastAsia="Times New Roman" w:hAnsi="Times New Roman"/>
                <w:sz w:val="18"/>
                <w:szCs w:val="18"/>
                <w:color w:val="auto"/>
              </w:rPr>
              <w:t>Other information related to operating and finance leases are as follows:</w:t>
            </w: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407"/>
        </w:trPr>
        <w:tc>
          <w:tcPr>
            <w:tcW w:w="5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40" w:type="dxa"/>
            <w:vAlign w:val="bottom"/>
            <w:gridSpan w:val="8"/>
          </w:tcPr>
          <w:p>
            <w:pPr>
              <w:jc w:val="center"/>
              <w:ind w:right="42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460" w:type="dxa"/>
            <w:vAlign w:val="bottom"/>
            <w:gridSpan w:val="8"/>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Six Months Ended</w:t>
            </w:r>
          </w:p>
        </w:tc>
      </w:tr>
      <w:tr>
        <w:trPr>
          <w:trHeight w:val="187"/>
        </w:trPr>
        <w:tc>
          <w:tcPr>
            <w:tcW w:w="5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0" w:type="dxa"/>
            <w:vAlign w:val="bottom"/>
            <w:gridSpan w:val="3"/>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60" w:type="dxa"/>
            <w:vAlign w:val="bottom"/>
            <w:gridSpan w:val="8"/>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June 30,</w:t>
            </w:r>
          </w:p>
        </w:tc>
      </w:tr>
      <w:tr>
        <w:trPr>
          <w:trHeight w:val="169"/>
        </w:trPr>
        <w:tc>
          <w:tcPr>
            <w:tcW w:w="57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60" w:type="dxa"/>
            <w:vAlign w:val="bottom"/>
          </w:tcPr>
          <w:p>
            <w:pPr>
              <w:spacing w:after="0"/>
              <w:rPr>
                <w:sz w:val="14"/>
                <w:szCs w:val="14"/>
                <w:color w:val="auto"/>
              </w:rPr>
            </w:pPr>
          </w:p>
        </w:tc>
        <w:tc>
          <w:tcPr>
            <w:tcW w:w="220" w:type="dxa"/>
            <w:vAlign w:val="bottom"/>
            <w:tcBorders>
              <w:top w:val="single" w:sz="8" w:color="auto"/>
              <w:bottom w:val="single" w:sz="8" w:color="auto"/>
            </w:tcBorders>
          </w:tcPr>
          <w:p>
            <w:pPr>
              <w:spacing w:after="0"/>
              <w:rPr>
                <w:sz w:val="14"/>
                <w:szCs w:val="14"/>
                <w:color w:val="auto"/>
              </w:rPr>
            </w:pPr>
          </w:p>
        </w:tc>
        <w:tc>
          <w:tcPr>
            <w:tcW w:w="800" w:type="dxa"/>
            <w:vAlign w:val="bottom"/>
            <w:tcBorders>
              <w:top w:val="single" w:sz="8" w:color="auto"/>
              <w:bottom w:val="single" w:sz="8" w:color="auto"/>
            </w:tcBorders>
          </w:tcPr>
          <w:p>
            <w:pPr>
              <w:jc w:val="right"/>
              <w:ind w:right="256"/>
              <w:spacing w:after="0"/>
              <w:rPr>
                <w:sz w:val="20"/>
                <w:szCs w:val="20"/>
                <w:color w:val="auto"/>
              </w:rPr>
            </w:pPr>
            <w:r>
              <w:rPr>
                <w:rFonts w:ascii="Times New Roman" w:cs="Times New Roman" w:eastAsia="Times New Roman" w:hAnsi="Times New Roman"/>
                <w:sz w:val="14"/>
                <w:szCs w:val="14"/>
                <w:b w:val="1"/>
                <w:bCs w:val="1"/>
                <w:color w:val="auto"/>
              </w:rPr>
              <w:t>2022</w:t>
            </w:r>
          </w:p>
        </w:tc>
        <w:tc>
          <w:tcPr>
            <w:tcW w:w="60" w:type="dxa"/>
            <w:vAlign w:val="bottom"/>
            <w:tcBorders>
              <w:top w:val="single" w:sz="8" w:color="auto"/>
              <w:bottom w:val="single" w:sz="8" w:color="auto"/>
            </w:tcBorders>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320" w:type="dxa"/>
            <w:vAlign w:val="bottom"/>
            <w:tcBorders>
              <w:top w:val="single" w:sz="8" w:color="auto"/>
              <w:bottom w:val="single" w:sz="8" w:color="auto"/>
            </w:tcBorders>
          </w:tcPr>
          <w:p>
            <w:pPr>
              <w:spacing w:after="0"/>
              <w:rPr>
                <w:sz w:val="14"/>
                <w:szCs w:val="14"/>
                <w:color w:val="auto"/>
              </w:rPr>
            </w:pPr>
          </w:p>
        </w:tc>
        <w:tc>
          <w:tcPr>
            <w:tcW w:w="860" w:type="dxa"/>
            <w:vAlign w:val="bottom"/>
            <w:tcBorders>
              <w:top w:val="single" w:sz="8" w:color="auto"/>
              <w:bottom w:val="single" w:sz="8" w:color="auto"/>
            </w:tcBorders>
          </w:tcPr>
          <w:p>
            <w:pPr>
              <w:jc w:val="right"/>
              <w:ind w:right="313"/>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Borders>
              <w:top w:val="single" w:sz="8" w:color="auto"/>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80" w:type="dxa"/>
            <w:vAlign w:val="bottom"/>
            <w:tcBorders>
              <w:top w:val="single" w:sz="8" w:color="auto"/>
              <w:bottom w:val="single" w:sz="8" w:color="auto"/>
            </w:tcBorders>
          </w:tcPr>
          <w:p>
            <w:pPr>
              <w:spacing w:after="0"/>
              <w:rPr>
                <w:sz w:val="14"/>
                <w:szCs w:val="14"/>
                <w:color w:val="auto"/>
              </w:rPr>
            </w:pPr>
          </w:p>
        </w:tc>
        <w:tc>
          <w:tcPr>
            <w:tcW w:w="820" w:type="dxa"/>
            <w:vAlign w:val="bottom"/>
            <w:tcBorders>
              <w:top w:val="single" w:sz="8" w:color="auto"/>
              <w:bottom w:val="single" w:sz="8" w:color="auto"/>
            </w:tcBorders>
          </w:tcPr>
          <w:p>
            <w:pPr>
              <w:jc w:val="right"/>
              <w:ind w:right="2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Borders>
              <w:top w:val="single" w:sz="8" w:color="auto"/>
              <w:bottom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60" w:type="dxa"/>
            <w:vAlign w:val="bottom"/>
            <w:tcBorders>
              <w:top w:val="single" w:sz="8" w:color="auto"/>
              <w:bottom w:val="single" w:sz="8" w:color="auto"/>
            </w:tcBorders>
          </w:tcPr>
          <w:p>
            <w:pPr>
              <w:spacing w:after="0"/>
              <w:rPr>
                <w:sz w:val="14"/>
                <w:szCs w:val="14"/>
                <w:color w:val="auto"/>
              </w:rPr>
            </w:pPr>
          </w:p>
        </w:tc>
        <w:tc>
          <w:tcPr>
            <w:tcW w:w="1000" w:type="dxa"/>
            <w:vAlign w:val="bottom"/>
            <w:tcBorders>
              <w:top w:val="single" w:sz="8" w:color="auto"/>
              <w:bottom w:val="single" w:sz="8" w:color="auto"/>
            </w:tcBorders>
          </w:tcPr>
          <w:p>
            <w:pPr>
              <w:jc w:val="right"/>
              <w:ind w:right="35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Cash paid for amounts included in the measurement of lease liabilities: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cash flows from operating leases</w:t>
            </w:r>
          </w:p>
        </w:tc>
        <w:tc>
          <w:tcPr>
            <w:tcW w:w="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6,069</w:t>
            </w:r>
          </w:p>
        </w:tc>
        <w:tc>
          <w:tcPr>
            <w:tcW w:w="60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6,460</w:t>
            </w:r>
          </w:p>
        </w:tc>
        <w:tc>
          <w:tcPr>
            <w:tcW w:w="220" w:type="dxa"/>
            <w:vAlign w:val="bottom"/>
          </w:tcPr>
          <w:p>
            <w:pPr>
              <w:spacing w:after="0"/>
              <w:rPr>
                <w:sz w:val="18"/>
                <w:szCs w:val="18"/>
                <w:color w:val="auto"/>
              </w:rPr>
            </w:pPr>
          </w:p>
        </w:tc>
        <w:tc>
          <w:tcPr>
            <w:tcW w:w="2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11,867</w:t>
            </w:r>
          </w:p>
        </w:tc>
        <w:tc>
          <w:tcPr>
            <w:tcW w:w="140" w:type="dxa"/>
            <w:vAlign w:val="bottom"/>
          </w:tcPr>
          <w:p>
            <w:pPr>
              <w:spacing w:after="0"/>
              <w:rPr>
                <w:sz w:val="18"/>
                <w:szCs w:val="18"/>
                <w:color w:val="auto"/>
              </w:rPr>
            </w:pPr>
          </w:p>
        </w:tc>
        <w:tc>
          <w:tcPr>
            <w:tcW w:w="2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12,613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Operating cash flows from finance leases</w:t>
            </w:r>
          </w:p>
        </w:tc>
        <w:tc>
          <w:tcPr>
            <w:tcW w:w="28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1,499</w:t>
            </w:r>
          </w:p>
        </w:tc>
        <w:tc>
          <w:tcPr>
            <w:tcW w:w="600" w:type="dxa"/>
            <w:vAlign w:val="bottom"/>
            <w:gridSpan w:val="3"/>
            <w:shd w:val="clear" w:color="auto" w:fill="CFF0FC"/>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933</w:t>
            </w:r>
          </w:p>
        </w:tc>
        <w:tc>
          <w:tcPr>
            <w:tcW w:w="220" w:type="dxa"/>
            <w:vAlign w:val="bottom"/>
            <w:shd w:val="clear" w:color="auto" w:fill="CFF0FC"/>
          </w:tcPr>
          <w:p>
            <w:pPr>
              <w:spacing w:after="0"/>
              <w:rPr>
                <w:sz w:val="18"/>
                <w:szCs w:val="18"/>
                <w:color w:val="auto"/>
              </w:rPr>
            </w:pPr>
          </w:p>
        </w:tc>
        <w:tc>
          <w:tcPr>
            <w:tcW w:w="220" w:type="dxa"/>
            <w:vAlign w:val="bottom"/>
            <w:gridSpan w:val="2"/>
            <w:shd w:val="clear" w:color="auto" w:fill="CFF0FC"/>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2,966</w:t>
            </w:r>
          </w:p>
        </w:tc>
        <w:tc>
          <w:tcPr>
            <w:tcW w:w="140" w:type="dxa"/>
            <w:vAlign w:val="bottom"/>
            <w:shd w:val="clear" w:color="auto" w:fill="CFF0FC"/>
          </w:tcPr>
          <w:p>
            <w:pPr>
              <w:spacing w:after="0"/>
              <w:rPr>
                <w:sz w:val="18"/>
                <w:szCs w:val="18"/>
                <w:color w:val="auto"/>
              </w:rPr>
            </w:pPr>
          </w:p>
        </w:tc>
        <w:tc>
          <w:tcPr>
            <w:tcW w:w="260" w:type="dxa"/>
            <w:vAlign w:val="bottom"/>
            <w:gridSpan w:val="2"/>
            <w:shd w:val="clear" w:color="auto" w:fill="CFF0FC"/>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1,207</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Financing cash flows from finance leases</w:t>
            </w:r>
          </w:p>
        </w:tc>
        <w:tc>
          <w:tcPr>
            <w:tcW w:w="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873</w:t>
            </w:r>
          </w:p>
        </w:tc>
        <w:tc>
          <w:tcPr>
            <w:tcW w:w="60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684</w:t>
            </w:r>
          </w:p>
        </w:tc>
        <w:tc>
          <w:tcPr>
            <w:tcW w:w="220" w:type="dxa"/>
            <w:vAlign w:val="bottom"/>
          </w:tcPr>
          <w:p>
            <w:pPr>
              <w:spacing w:after="0"/>
              <w:rPr>
                <w:sz w:val="18"/>
                <w:szCs w:val="18"/>
                <w:color w:val="auto"/>
              </w:rPr>
            </w:pPr>
          </w:p>
        </w:tc>
        <w:tc>
          <w:tcPr>
            <w:tcW w:w="2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1,597</w:t>
            </w:r>
          </w:p>
        </w:tc>
        <w:tc>
          <w:tcPr>
            <w:tcW w:w="140" w:type="dxa"/>
            <w:vAlign w:val="bottom"/>
          </w:tcPr>
          <w:p>
            <w:pPr>
              <w:spacing w:after="0"/>
              <w:rPr>
                <w:sz w:val="18"/>
                <w:szCs w:val="18"/>
                <w:color w:val="auto"/>
              </w:rPr>
            </w:pPr>
          </w:p>
        </w:tc>
        <w:tc>
          <w:tcPr>
            <w:tcW w:w="2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ROU assets obtained in exchange for lease obligations: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leases</w:t>
            </w:r>
          </w:p>
        </w:tc>
        <w:tc>
          <w:tcPr>
            <w:tcW w:w="28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1,380</w:t>
            </w:r>
          </w:p>
        </w:tc>
        <w:tc>
          <w:tcPr>
            <w:tcW w:w="60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12,636</w:t>
            </w:r>
          </w:p>
        </w:tc>
        <w:tc>
          <w:tcPr>
            <w:tcW w:w="220" w:type="dxa"/>
            <w:vAlign w:val="bottom"/>
          </w:tcPr>
          <w:p>
            <w:pPr>
              <w:spacing w:after="0"/>
              <w:rPr>
                <w:sz w:val="18"/>
                <w:szCs w:val="18"/>
                <w:color w:val="auto"/>
              </w:rPr>
            </w:pPr>
          </w:p>
        </w:tc>
        <w:tc>
          <w:tcPr>
            <w:tcW w:w="2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10,711</w:t>
            </w:r>
          </w:p>
        </w:tc>
        <w:tc>
          <w:tcPr>
            <w:tcW w:w="140" w:type="dxa"/>
            <w:vAlign w:val="bottom"/>
          </w:tcPr>
          <w:p>
            <w:pPr>
              <w:spacing w:after="0"/>
              <w:rPr>
                <w:sz w:val="18"/>
                <w:szCs w:val="18"/>
                <w:color w:val="auto"/>
              </w:rPr>
            </w:pPr>
          </w:p>
        </w:tc>
        <w:tc>
          <w:tcPr>
            <w:tcW w:w="2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18,935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Finance leases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6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1,217</w:t>
            </w: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1180" w:type="dxa"/>
            <w:vAlign w:val="bottom"/>
            <w:gridSpan w:val="3"/>
            <w:shd w:val="clear" w:color="auto" w:fill="CFF0FC"/>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2"/>
            <w:shd w:val="clear" w:color="auto" w:fill="CFF0FC"/>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4,324</w:t>
            </w:r>
          </w:p>
        </w:tc>
        <w:tc>
          <w:tcPr>
            <w:tcW w:w="140" w:type="dxa"/>
            <w:vAlign w:val="bottom"/>
            <w:shd w:val="clear" w:color="auto" w:fill="CFF0FC"/>
          </w:tcPr>
          <w:p>
            <w:pPr>
              <w:spacing w:after="0"/>
              <w:rPr>
                <w:sz w:val="18"/>
                <w:szCs w:val="18"/>
                <w:color w:val="auto"/>
              </w:rPr>
            </w:pPr>
          </w:p>
        </w:tc>
        <w:tc>
          <w:tcPr>
            <w:tcW w:w="260" w:type="dxa"/>
            <w:vAlign w:val="bottom"/>
            <w:gridSpan w:val="2"/>
            <w:shd w:val="clear" w:color="auto" w:fill="CFF0FC"/>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41,709</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433"/>
        </w:trPr>
        <w:tc>
          <w:tcPr>
            <w:tcW w:w="5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gridSpan w:val="3"/>
          </w:tcPr>
          <w:p>
            <w:pPr>
              <w:ind w:left="10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gridSpan w:val="3"/>
          </w:tcPr>
          <w:p>
            <w:pPr>
              <w:jc w:val="right"/>
              <w:ind w:right="320"/>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201"/>
        </w:trPr>
        <w:tc>
          <w:tcPr>
            <w:tcW w:w="57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2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Borders>
              <w:bottom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35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Weighted-average remaining lease term (years):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leases</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8.60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8.54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Finance leases</w:t>
            </w:r>
          </w:p>
        </w:tc>
        <w:tc>
          <w:tcPr>
            <w:tcW w:w="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6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9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33.76</w:t>
            </w:r>
          </w:p>
        </w:tc>
        <w:tc>
          <w:tcPr>
            <w:tcW w:w="1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0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34.95</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Weighted-average discount rate:</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Operating leases</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7.00 %</w:t>
            </w:r>
          </w:p>
        </w:tc>
        <w:tc>
          <w:tcPr>
            <w:tcW w:w="160" w:type="dxa"/>
            <w:vAlign w:val="bottom"/>
          </w:tcPr>
          <w:p>
            <w:pPr>
              <w:spacing w:after="0"/>
              <w:rPr>
                <w:sz w:val="18"/>
                <w:szCs w:val="18"/>
                <w:color w:val="auto"/>
              </w:rPr>
            </w:pPr>
          </w:p>
        </w:tc>
        <w:tc>
          <w:tcPr>
            <w:tcW w:w="116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6.86 %</w:t>
            </w:r>
          </w:p>
        </w:tc>
      </w:tr>
      <w:tr>
        <w:trPr>
          <w:trHeight w:val="234"/>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Finance leases</w:t>
            </w: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4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9.08 %</w:t>
            </w:r>
          </w:p>
        </w:tc>
        <w:tc>
          <w:tcPr>
            <w:tcW w:w="160" w:type="dxa"/>
            <w:vAlign w:val="bottom"/>
          </w:tcPr>
          <w:p>
            <w:pPr>
              <w:spacing w:after="0"/>
              <w:rPr>
                <w:sz w:val="20"/>
                <w:szCs w:val="20"/>
                <w:color w:val="auto"/>
              </w:rPr>
            </w:pPr>
          </w:p>
        </w:tc>
        <w:tc>
          <w:tcPr>
            <w:tcW w:w="116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9.06 %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4303395</wp:posOffset>
            </wp:positionH>
            <wp:positionV relativeFrom="paragraph">
              <wp:posOffset>-3007995</wp:posOffset>
            </wp:positionV>
            <wp:extent cx="76835" cy="825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4303395</wp:posOffset>
            </wp:positionH>
            <wp:positionV relativeFrom="paragraph">
              <wp:posOffset>-2990850</wp:posOffset>
            </wp:positionV>
            <wp:extent cx="76835" cy="8255"/>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5271135</wp:posOffset>
            </wp:positionH>
            <wp:positionV relativeFrom="paragraph">
              <wp:posOffset>-3007995</wp:posOffset>
            </wp:positionV>
            <wp:extent cx="68580" cy="825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5271135</wp:posOffset>
            </wp:positionH>
            <wp:positionV relativeFrom="paragraph">
              <wp:posOffset>-2990850</wp:posOffset>
            </wp:positionV>
            <wp:extent cx="68580" cy="825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-3007995</wp:posOffset>
            </wp:positionV>
            <wp:extent cx="68580" cy="825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6135370</wp:posOffset>
            </wp:positionH>
            <wp:positionV relativeFrom="paragraph">
              <wp:posOffset>-2990850</wp:posOffset>
            </wp:positionV>
            <wp:extent cx="68580" cy="825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6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-3007995</wp:posOffset>
            </wp:positionV>
            <wp:extent cx="68580" cy="8255"/>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6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-2990850</wp:posOffset>
            </wp:positionV>
            <wp:extent cx="68580" cy="825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6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-285115</wp:posOffset>
            </wp:positionV>
            <wp:extent cx="7132320" cy="13716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61"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As of June 30, 2022, the estimated future minimum lease payments under non-cancellable leases, excluding variable leases and variable non-lease components, are as follows: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3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80" w:type="dxa"/>
            <w:vAlign w:val="bottom"/>
            <w:gridSpan w:val="2"/>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Operating Leases</w:t>
            </w:r>
          </w:p>
        </w:tc>
        <w:tc>
          <w:tcPr>
            <w:tcW w:w="160" w:type="dxa"/>
            <w:vAlign w:val="bottom"/>
          </w:tcPr>
          <w:p>
            <w:pPr>
              <w:spacing w:after="0"/>
              <w:rPr>
                <w:sz w:val="16"/>
                <w:szCs w:val="16"/>
                <w:color w:val="auto"/>
              </w:rPr>
            </w:pPr>
          </w:p>
        </w:tc>
        <w:tc>
          <w:tcPr>
            <w:tcW w:w="1420" w:type="dxa"/>
            <w:vAlign w:val="bottom"/>
            <w:gridSpan w:val="2"/>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Finance Leases</w:t>
            </w:r>
          </w:p>
        </w:tc>
        <w:tc>
          <w:tcPr>
            <w:tcW w:w="300" w:type="dxa"/>
            <w:vAlign w:val="bottom"/>
          </w:tcPr>
          <w:p>
            <w:pPr>
              <w:spacing w:after="0"/>
              <w:rPr>
                <w:sz w:val="16"/>
                <w:szCs w:val="16"/>
                <w:color w:val="auto"/>
              </w:rPr>
            </w:pPr>
          </w:p>
        </w:tc>
        <w:tc>
          <w:tcPr>
            <w:tcW w:w="1120" w:type="dxa"/>
            <w:vAlign w:val="bottom"/>
            <w:gridSpan w:val="2"/>
          </w:tcPr>
          <w:p>
            <w:pPr>
              <w:jc w:val="right"/>
              <w:ind w:right="620"/>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209"/>
        </w:trPr>
        <w:tc>
          <w:tcPr>
            <w:tcW w:w="43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Remainder of 2022</w:t>
            </w:r>
          </w:p>
        </w:tc>
        <w:tc>
          <w:tcPr>
            <w:tcW w:w="226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11,029</w:t>
            </w:r>
          </w:p>
        </w:tc>
        <w:tc>
          <w:tcPr>
            <w:tcW w:w="24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4,759</w:t>
            </w:r>
          </w:p>
        </w:tc>
        <w:tc>
          <w:tcPr>
            <w:tcW w:w="260" w:type="dxa"/>
            <w:vAlign w:val="bottom"/>
            <w:shd w:val="clear" w:color="auto" w:fill="CFF0FC"/>
          </w:tcPr>
          <w:p>
            <w:pPr>
              <w:spacing w:after="0"/>
              <w:rPr>
                <w:sz w:val="18"/>
                <w:szCs w:val="18"/>
                <w:color w:val="auto"/>
              </w:rPr>
            </w:pPr>
          </w:p>
        </w:tc>
        <w:tc>
          <w:tcPr>
            <w:tcW w:w="300" w:type="dxa"/>
            <w:vAlign w:val="bottom"/>
            <w:tcBorders>
              <w:top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15,788</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2023</w:t>
            </w:r>
          </w:p>
        </w:tc>
        <w:tc>
          <w:tcPr>
            <w:tcW w:w="2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20,921</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8,630</w:t>
            </w: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29,551</w:t>
            </w:r>
          </w:p>
        </w:tc>
        <w:tc>
          <w:tcPr>
            <w:tcW w:w="100" w:type="dxa"/>
            <w:vAlign w:val="bottom"/>
          </w:tcPr>
          <w:p>
            <w:pPr>
              <w:spacing w:after="0"/>
              <w:rPr>
                <w:sz w:val="18"/>
                <w:szCs w:val="18"/>
                <w:color w:val="auto"/>
              </w:rPr>
            </w:pPr>
          </w:p>
        </w:tc>
      </w:tr>
      <w:tr>
        <w:trPr>
          <w:trHeight w:val="216"/>
        </w:trPr>
        <w:tc>
          <w:tcPr>
            <w:tcW w:w="43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2024</w:t>
            </w:r>
          </w:p>
        </w:tc>
        <w:tc>
          <w:tcPr>
            <w:tcW w:w="22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18,894</w:t>
            </w:r>
          </w:p>
        </w:tc>
        <w:tc>
          <w:tcPr>
            <w:tcW w:w="2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7,554</w:t>
            </w: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26,448</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2025</w:t>
            </w:r>
          </w:p>
        </w:tc>
        <w:tc>
          <w:tcPr>
            <w:tcW w:w="2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17,636</w:t>
            </w: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6,785</w:t>
            </w:r>
          </w:p>
        </w:tc>
        <w:tc>
          <w:tcPr>
            <w:tcW w:w="2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24,421</w:t>
            </w:r>
          </w:p>
        </w:tc>
        <w:tc>
          <w:tcPr>
            <w:tcW w:w="100" w:type="dxa"/>
            <w:vAlign w:val="bottom"/>
          </w:tcPr>
          <w:p>
            <w:pPr>
              <w:spacing w:after="0"/>
              <w:rPr>
                <w:sz w:val="18"/>
                <w:szCs w:val="18"/>
                <w:color w:val="auto"/>
              </w:rPr>
            </w:pPr>
          </w:p>
        </w:tc>
      </w:tr>
      <w:tr>
        <w:trPr>
          <w:trHeight w:val="216"/>
        </w:trPr>
        <w:tc>
          <w:tcPr>
            <w:tcW w:w="438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2026</w:t>
            </w:r>
          </w:p>
        </w:tc>
        <w:tc>
          <w:tcPr>
            <w:tcW w:w="22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17,266</w:t>
            </w:r>
          </w:p>
        </w:tc>
        <w:tc>
          <w:tcPr>
            <w:tcW w:w="2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6,527</w:t>
            </w: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23,793</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Thereafter</w:t>
            </w:r>
          </w:p>
        </w:tc>
        <w:tc>
          <w:tcPr>
            <w:tcW w:w="22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69,123</w:t>
            </w:r>
          </w:p>
        </w:tc>
        <w:tc>
          <w:tcPr>
            <w:tcW w:w="2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185,673</w:t>
            </w:r>
          </w:p>
        </w:tc>
        <w:tc>
          <w:tcPr>
            <w:tcW w:w="26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254,796</w:t>
            </w:r>
          </w:p>
        </w:tc>
        <w:tc>
          <w:tcPr>
            <w:tcW w:w="100" w:type="dxa"/>
            <w:vAlign w:val="bottom"/>
          </w:tcPr>
          <w:p>
            <w:pPr>
              <w:spacing w:after="0"/>
              <w:rPr>
                <w:sz w:val="18"/>
                <w:szCs w:val="18"/>
                <w:color w:val="auto"/>
              </w:rPr>
            </w:pPr>
          </w:p>
        </w:tc>
      </w:tr>
      <w:tr>
        <w:trPr>
          <w:trHeight w:val="209"/>
        </w:trPr>
        <w:tc>
          <w:tcPr>
            <w:tcW w:w="4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future lease payments</w:t>
            </w:r>
          </w:p>
        </w:tc>
        <w:tc>
          <w:tcPr>
            <w:tcW w:w="226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154,869</w:t>
            </w:r>
          </w:p>
        </w:tc>
        <w:tc>
          <w:tcPr>
            <w:tcW w:w="24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11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219,928</w:t>
            </w:r>
          </w:p>
        </w:tc>
        <w:tc>
          <w:tcPr>
            <w:tcW w:w="2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0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374,797</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Less: Amount representing interest</w:t>
            </w:r>
          </w:p>
        </w:tc>
        <w:tc>
          <w:tcPr>
            <w:tcW w:w="2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8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(44,307 )</w:t>
            </w:r>
          </w:p>
        </w:tc>
        <w:tc>
          <w:tcPr>
            <w:tcW w:w="160" w:type="dxa"/>
            <w:vAlign w:val="bottom"/>
          </w:tcPr>
          <w:p>
            <w:pPr>
              <w:spacing w:after="0"/>
              <w:rPr>
                <w:sz w:val="18"/>
                <w:szCs w:val="18"/>
                <w:color w:val="auto"/>
              </w:rPr>
            </w:pPr>
          </w:p>
        </w:tc>
        <w:tc>
          <w:tcPr>
            <w:tcW w:w="14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(155,033 )</w:t>
            </w:r>
          </w:p>
        </w:tc>
        <w:tc>
          <w:tcPr>
            <w:tcW w:w="30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(199,340 )</w:t>
            </w:r>
          </w:p>
        </w:tc>
      </w:tr>
      <w:tr>
        <w:trPr>
          <w:trHeight w:val="209"/>
        </w:trPr>
        <w:tc>
          <w:tcPr>
            <w:tcW w:w="43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Present value of minimum lease payments</w:t>
            </w:r>
          </w:p>
        </w:tc>
        <w:tc>
          <w:tcPr>
            <w:tcW w:w="2260" w:type="dxa"/>
            <w:vAlign w:val="bottom"/>
            <w:shd w:val="clear" w:color="auto" w:fill="CFF0FC"/>
          </w:tcPr>
          <w:p>
            <w:pPr>
              <w:spacing w:after="0"/>
              <w:rPr>
                <w:sz w:val="18"/>
                <w:szCs w:val="18"/>
                <w:color w:val="auto"/>
              </w:rPr>
            </w:pPr>
          </w:p>
        </w:tc>
        <w:tc>
          <w:tcPr>
            <w:tcW w:w="120" w:type="dxa"/>
            <w:vAlign w:val="bottom"/>
            <w:tcBorders>
              <w:top w:val="single" w:sz="8" w:color="auto"/>
            </w:tcBorders>
            <w:shd w:val="clear" w:color="auto" w:fill="CFF0FC"/>
          </w:tcPr>
          <w:p>
            <w:pPr>
              <w:spacing w:after="0"/>
              <w:rPr>
                <w:sz w:val="18"/>
                <w:szCs w:val="18"/>
                <w:color w:val="auto"/>
              </w:rPr>
            </w:pPr>
          </w:p>
        </w:tc>
        <w:tc>
          <w:tcPr>
            <w:tcW w:w="12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110,562</w:t>
            </w:r>
          </w:p>
        </w:tc>
        <w:tc>
          <w:tcPr>
            <w:tcW w:w="24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spacing w:after="0"/>
              <w:rPr>
                <w:sz w:val="18"/>
                <w:szCs w:val="18"/>
                <w:color w:val="auto"/>
              </w:rPr>
            </w:pPr>
          </w:p>
        </w:tc>
        <w:tc>
          <w:tcPr>
            <w:tcW w:w="1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64,895</w:t>
            </w:r>
          </w:p>
        </w:tc>
        <w:tc>
          <w:tcPr>
            <w:tcW w:w="260" w:type="dxa"/>
            <w:vAlign w:val="bottom"/>
            <w:shd w:val="clear" w:color="auto" w:fill="CFF0FC"/>
          </w:tcPr>
          <w:p>
            <w:pPr>
              <w:spacing w:after="0"/>
              <w:rPr>
                <w:sz w:val="18"/>
                <w:szCs w:val="18"/>
                <w:color w:val="auto"/>
              </w:rPr>
            </w:pPr>
          </w:p>
        </w:tc>
        <w:tc>
          <w:tcPr>
            <w:tcW w:w="300" w:type="dxa"/>
            <w:vAlign w:val="bottom"/>
            <w:tcBorders>
              <w:top w:val="single" w:sz="8" w:color="auto"/>
            </w:tcBorders>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175,457</w:t>
            </w:r>
          </w:p>
        </w:tc>
        <w:tc>
          <w:tcPr>
            <w:tcW w:w="100" w:type="dxa"/>
            <w:vAlign w:val="bottom"/>
            <w:shd w:val="clear" w:color="auto" w:fill="CFF0FC"/>
          </w:tcPr>
          <w:p>
            <w:pPr>
              <w:spacing w:after="0"/>
              <w:rPr>
                <w:sz w:val="18"/>
                <w:szCs w:val="18"/>
                <w:color w:val="auto"/>
              </w:rPr>
            </w:pPr>
          </w:p>
        </w:tc>
      </w:tr>
      <w:tr>
        <w:trPr>
          <w:trHeight w:val="216"/>
        </w:trPr>
        <w:tc>
          <w:tcPr>
            <w:tcW w:w="43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Current portion</w:t>
            </w:r>
          </w:p>
        </w:tc>
        <w:tc>
          <w:tcPr>
            <w:tcW w:w="226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13,285</w:t>
            </w:r>
          </w:p>
        </w:tc>
        <w:tc>
          <w:tcPr>
            <w:tcW w:w="2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2,899</w:t>
            </w:r>
          </w:p>
        </w:tc>
        <w:tc>
          <w:tcPr>
            <w:tcW w:w="26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16,184</w:t>
            </w:r>
          </w:p>
        </w:tc>
        <w:tc>
          <w:tcPr>
            <w:tcW w:w="100" w:type="dxa"/>
            <w:vAlign w:val="bottom"/>
          </w:tcPr>
          <w:p>
            <w:pPr>
              <w:spacing w:after="0"/>
              <w:rPr>
                <w:sz w:val="18"/>
                <w:szCs w:val="18"/>
                <w:color w:val="auto"/>
              </w:rPr>
            </w:pPr>
          </w:p>
        </w:tc>
      </w:tr>
      <w:tr>
        <w:trPr>
          <w:trHeight w:val="249"/>
        </w:trPr>
        <w:tc>
          <w:tcPr>
            <w:tcW w:w="43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Long-term portion</w:t>
            </w:r>
          </w:p>
        </w:tc>
        <w:tc>
          <w:tcPr>
            <w:tcW w:w="2260" w:type="dxa"/>
            <w:vAlign w:val="bottom"/>
            <w:tcBorders>
              <w:bottom w:val="single" w:sz="8" w:color="CFF0FC"/>
            </w:tcBorders>
            <w:shd w:val="clear" w:color="auto" w:fill="CFF0FC"/>
          </w:tcPr>
          <w:p>
            <w:pPr>
              <w:spacing w:after="0"/>
              <w:rPr>
                <w:sz w:val="21"/>
                <w:szCs w:val="21"/>
                <w:color w:val="auto"/>
              </w:rPr>
            </w:pPr>
          </w:p>
        </w:tc>
        <w:tc>
          <w:tcPr>
            <w:tcW w:w="1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97,277</w:t>
            </w:r>
          </w:p>
        </w:tc>
        <w:tc>
          <w:tcPr>
            <w:tcW w:w="24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61,996</w:t>
            </w:r>
          </w:p>
        </w:tc>
        <w:tc>
          <w:tcPr>
            <w:tcW w:w="260" w:type="dxa"/>
            <w:vAlign w:val="bottom"/>
            <w:tcBorders>
              <w:bottom w:val="single" w:sz="8" w:color="CFF0FC"/>
            </w:tcBorders>
            <w:shd w:val="clear" w:color="auto" w:fill="CFF0FC"/>
          </w:tcPr>
          <w:p>
            <w:pPr>
              <w:spacing w:after="0"/>
              <w:rPr>
                <w:sz w:val="21"/>
                <w:szCs w:val="21"/>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159,273</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614"/>
        </w:trPr>
        <w:tc>
          <w:tcPr>
            <w:tcW w:w="4380" w:type="dxa"/>
            <w:vAlign w:val="bottom"/>
          </w:tcPr>
          <w:p>
            <w:pPr>
              <w:spacing w:after="0"/>
              <w:rPr>
                <w:sz w:val="24"/>
                <w:szCs w:val="24"/>
                <w:color w:val="auto"/>
              </w:rPr>
            </w:pPr>
          </w:p>
        </w:tc>
        <w:tc>
          <w:tcPr>
            <w:tcW w:w="2260" w:type="dxa"/>
            <w:vAlign w:val="bottom"/>
          </w:tcPr>
          <w:p>
            <w:pPr>
              <w:jc w:val="right"/>
              <w:ind w:right="830"/>
              <w:spacing w:after="0"/>
              <w:rPr>
                <w:sz w:val="20"/>
                <w:szCs w:val="20"/>
                <w:color w:val="auto"/>
              </w:rPr>
            </w:pPr>
            <w:r>
              <w:rPr>
                <w:rFonts w:ascii="Times New Roman" w:cs="Times New Roman" w:eastAsia="Times New Roman" w:hAnsi="Times New Roman"/>
                <w:sz w:val="18"/>
                <w:szCs w:val="18"/>
                <w:color w:val="auto"/>
              </w:rPr>
              <w:t>25</w:t>
            </w:r>
          </w:p>
        </w:tc>
        <w:tc>
          <w:tcPr>
            <w:tcW w:w="1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88"/>
        </w:trPr>
        <w:tc>
          <w:tcPr>
            <w:tcW w:w="4380" w:type="dxa"/>
            <w:vAlign w:val="bottom"/>
            <w:tcBorders>
              <w:bottom w:val="single" w:sz="8" w:color="9A9A9A"/>
            </w:tcBorders>
          </w:tcPr>
          <w:p>
            <w:pPr>
              <w:spacing w:after="0"/>
              <w:rPr>
                <w:sz w:val="7"/>
                <w:szCs w:val="7"/>
                <w:color w:val="auto"/>
              </w:rPr>
            </w:pPr>
          </w:p>
        </w:tc>
        <w:tc>
          <w:tcPr>
            <w:tcW w:w="226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24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16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102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5073650</wp:posOffset>
            </wp:positionH>
            <wp:positionV relativeFrom="paragraph">
              <wp:posOffset>-495935</wp:posOffset>
            </wp:positionV>
            <wp:extent cx="76835" cy="8255"/>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1">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5073650</wp:posOffset>
            </wp:positionH>
            <wp:positionV relativeFrom="paragraph">
              <wp:posOffset>-478790</wp:posOffset>
            </wp:positionV>
            <wp:extent cx="76835" cy="825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2">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6075680</wp:posOffset>
            </wp:positionH>
            <wp:positionV relativeFrom="paragraph">
              <wp:posOffset>-495935</wp:posOffset>
            </wp:positionV>
            <wp:extent cx="68580" cy="8255"/>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6075680</wp:posOffset>
            </wp:positionH>
            <wp:positionV relativeFrom="paragraph">
              <wp:posOffset>-478790</wp:posOffset>
            </wp:positionV>
            <wp:extent cx="68580" cy="825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7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-495935</wp:posOffset>
            </wp:positionV>
            <wp:extent cx="68580" cy="8255"/>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7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-478790</wp:posOffset>
            </wp:positionV>
            <wp:extent cx="68580" cy="825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7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8">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300"/>
          </w:cols>
          <w:pgMar w:left="320" w:top="701" w:right="279" w:bottom="1440" w:gutter="0" w:footer="0" w:header="0"/>
        </w:sectPr>
      </w:pPr>
    </w:p>
    <w:bookmarkStart w:id="27" w:name="page28"/>
    <w:bookmarkEnd w:id="27"/>
    <w:p>
      <w:pPr>
        <w:jc w:val="both"/>
        <w:spacing w:after="0" w:line="266" w:lineRule="auto"/>
        <w:rPr>
          <w:sz w:val="20"/>
          <w:szCs w:val="20"/>
          <w:color w:val="auto"/>
        </w:rPr>
      </w:pPr>
      <w:r>
        <w:rPr>
          <w:rFonts w:ascii="Times New Roman" w:cs="Times New Roman" w:eastAsia="Times New Roman" w:hAnsi="Times New Roman"/>
          <w:sz w:val="18"/>
          <w:szCs w:val="18"/>
          <w:color w:val="auto"/>
        </w:rPr>
        <w:t>As of June 30, 2022, the estimated future minimum rental income under non-cancellable leases, which includes rental income from facilities that we own, are as follows: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92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9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Remainder of 2022</w:t>
            </w:r>
          </w:p>
        </w:tc>
        <w:tc>
          <w:tcPr>
            <w:tcW w:w="800" w:type="dxa"/>
            <w:vAlign w:val="bottom"/>
            <w:shd w:val="clear" w:color="auto" w:fill="CFF0FC"/>
          </w:tcPr>
          <w:p>
            <w:pPr>
              <w:jc w:val="right"/>
              <w:ind w:right="61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748</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2023</w:t>
            </w:r>
          </w:p>
        </w:tc>
        <w:tc>
          <w:tcPr>
            <w:tcW w:w="8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1,229</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2024</w:t>
            </w:r>
          </w:p>
        </w:tc>
        <w:tc>
          <w:tcPr>
            <w:tcW w:w="800" w:type="dxa"/>
            <w:vAlign w:val="bottom"/>
            <w:shd w:val="clear" w:color="auto" w:fill="CFF0FC"/>
          </w:tcPr>
          <w:p>
            <w:pPr>
              <w:spacing w:after="0"/>
              <w:rPr>
                <w:sz w:val="18"/>
                <w:szCs w:val="18"/>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990</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2025</w:t>
            </w:r>
          </w:p>
        </w:tc>
        <w:tc>
          <w:tcPr>
            <w:tcW w:w="8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836</w:t>
            </w:r>
          </w:p>
        </w:tc>
        <w:tc>
          <w:tcPr>
            <w:tcW w:w="100" w:type="dxa"/>
            <w:vAlign w:val="bottom"/>
          </w:tcPr>
          <w:p>
            <w:pPr>
              <w:spacing w:after="0"/>
              <w:rPr>
                <w:sz w:val="18"/>
                <w:szCs w:val="18"/>
                <w:color w:val="auto"/>
              </w:rPr>
            </w:pPr>
          </w:p>
        </w:tc>
      </w:tr>
      <w:tr>
        <w:trPr>
          <w:trHeight w:val="216"/>
        </w:trPr>
        <w:tc>
          <w:tcPr>
            <w:tcW w:w="9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2026</w:t>
            </w:r>
          </w:p>
        </w:tc>
        <w:tc>
          <w:tcPr>
            <w:tcW w:w="800" w:type="dxa"/>
            <w:vAlign w:val="bottom"/>
            <w:shd w:val="clear" w:color="auto" w:fill="CFF0FC"/>
          </w:tcPr>
          <w:p>
            <w:pPr>
              <w:spacing w:after="0"/>
              <w:rPr>
                <w:sz w:val="18"/>
                <w:szCs w:val="18"/>
                <w:color w:val="auto"/>
              </w:rPr>
            </w:pPr>
          </w:p>
        </w:tc>
        <w:tc>
          <w:tcPr>
            <w:tcW w:w="1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682</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Thereafter</w:t>
            </w:r>
          </w:p>
        </w:tc>
        <w:tc>
          <w:tcPr>
            <w:tcW w:w="8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936</w:t>
            </w:r>
          </w:p>
        </w:tc>
        <w:tc>
          <w:tcPr>
            <w:tcW w:w="100" w:type="dxa"/>
            <w:vAlign w:val="bottom"/>
          </w:tcPr>
          <w:p>
            <w:pPr>
              <w:spacing w:after="0"/>
              <w:rPr>
                <w:sz w:val="18"/>
                <w:szCs w:val="18"/>
                <w:color w:val="auto"/>
              </w:rPr>
            </w:pPr>
          </w:p>
        </w:tc>
      </w:tr>
      <w:tr>
        <w:trPr>
          <w:trHeight w:val="249"/>
        </w:trPr>
        <w:tc>
          <w:tcPr>
            <w:tcW w:w="92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minimum rents</w:t>
            </w:r>
          </w:p>
        </w:tc>
        <w:tc>
          <w:tcPr>
            <w:tcW w:w="800" w:type="dxa"/>
            <w:vAlign w:val="bottom"/>
            <w:tcBorders>
              <w:bottom w:val="single" w:sz="8" w:color="auto"/>
            </w:tcBorders>
            <w:shd w:val="clear" w:color="auto" w:fill="CFF0FC"/>
          </w:tcPr>
          <w:p>
            <w:pPr>
              <w:jc w:val="right"/>
              <w:ind w:right="61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5,421</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0">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 Not Yet Commenced</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of June 30, 2022, we had executed three facility leases for which we did not have control of the underlying assets. Accordingly, we did not record the lease liabilities and ROU assets on our Condensed Consolidated Balance Sheets. One of these leases is for the new FlyOver attraction, FlyOver Canada Toronto. We expect the lease commencement date for FlyOver Canada Toronto to begin in early 2023 with a lease term of 20 years.</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21. </w:t>
      </w:r>
      <w:r>
        <w:rPr>
          <w:rFonts w:ascii="Times New Roman" w:cs="Times New Roman" w:eastAsia="Times New Roman" w:hAnsi="Times New Roman"/>
          <w:sz w:val="18"/>
          <w:szCs w:val="18"/>
          <w:b w:val="1"/>
          <w:bCs w:val="1"/>
          <w:u w:val="single" w:color="auto"/>
          <w:color w:val="auto"/>
        </w:rPr>
        <w:t>Litigation, Claims, Contingencies, and Other</w:t>
      </w:r>
    </w:p>
    <w:p>
      <w:pPr>
        <w:spacing w:after="0" w:line="107"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8"/>
          <w:szCs w:val="18"/>
          <w:color w:val="auto"/>
        </w:rPr>
        <w:t>We are plaintiffs or defendants in various actions, proceedings, and pending claims, some of which involve, or may involve, compensatory, punitive, or other damages. Litigation is subject to many uncertainties and it is possible that some of the legal actions, proceedings, or claims could be decided against us. Although the amount of liability as of June 30, 2022 with respect to unresolved legal matters is not ascertainable, we believe that any resulting liability, after taking into consideration amounts already provided for and insurance coverage, will not have a material effect on our business, financial position, or results of operations.</w:t>
      </w:r>
    </w:p>
    <w:p>
      <w:pPr>
        <w:spacing w:after="0" w:line="133"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8"/>
          <w:szCs w:val="18"/>
          <w:color w:val="auto"/>
        </w:rPr>
        <w:t>On July 18, 2020, an off-road Ice Explorer operated by our Pursuit business was involved in an accident while enroute to the Athabasca Glacier, resulting in three fatalities and multiple other serious injuries. We continue to support the victims and their families. We immediately reported the accident to our relevant insurance carriers, who are also supporting the investigation and subsequent claims. In May 2022, we received charges from the Canadian office of Occupational Health and Safety in relation to this accident. As we review these charges, we continue to cooperate fully with regulatory agencies regarding this accident. In addition, we believe that our reserves and, subject to customary deductibles, our insurance coverage is sufficient to cover potential claims and regulatory fines related to this accident.</w:t>
      </w:r>
    </w:p>
    <w:p>
      <w:pPr>
        <w:spacing w:after="0" w:line="132"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8"/>
          <w:szCs w:val="18"/>
          <w:color w:val="auto"/>
        </w:rPr>
        <w:t>We are subject to various United States federal, state, and foreign laws and regulations governing the prevention of pollution and the protection of the environment in the jurisdictions in which we have or had operations. If we fail to comply with these environmental laws and regulations, civil and criminal penalties could be imposed, and we could become subject to regulatory enforcement actions in the form of injunctions and cease and desist orders. As is the case with many companies, we also face exposure to actual or potential claims and lawsuits involving environmental matters relating to our past operations. As of June 30, 2022, we had recorded environmental remediation liabilities of $2.2 million related to previously sold operations. Although we are a party to certain environmental disputes, we believe that any resulting liabilities, after taking into consideration amounts already provided for and insurance coverage, will not have a material effect on our financial position or results of operations.</w:t>
      </w:r>
    </w:p>
    <w:p>
      <w:pPr>
        <w:spacing w:after="0" w:line="132"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18"/>
          <w:szCs w:val="18"/>
          <w:color w:val="auto"/>
        </w:rPr>
        <w:t>As of June 30, 2022, on behalf of our subsidiaries, we had certain obligations under guarantees to third parties. These guarantees are not subject to liability recognition in the condensed consolidated financial statements and relate to leased facilities and equipment leases entered into by our subsidiary operations. We would generally be required to make payments to the respective third parties under these guarantees in the event that the related subsidiary could not meet its own payment obligations. The maximum potential amount of future payments that we would be required to make under all guarantees existing as of June 30, 2022 would be $95.9 million. These guarantees relate to our leased equipment and facilities through January 2040. There are no recourse provisions that would enable us to recover from third parties any payments made under the guarantees. Furthermore, there are no collateral or similar arrangements pursuant to which we could recover payments.</w:t>
      </w:r>
    </w:p>
    <w:p>
      <w:pPr>
        <w:spacing w:after="0" w:line="14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A significant number of our employees are unionized and we are a party to approximately 100 collective-bargaining agreements, with approximately one-third requiring renegotiation each year. If we are unable to reach an agreement with a union during the collective-bargaining process, the union may call for a strike or work stoppage, which may, under certain circumstances, adversely impact our business and results of operations. We believe that relations with our employees are satisfactory and that collective-bargaining agreements expiring in 2022 will be renegotiated in the ordinary course of business. Although our labor relations are currently stable, disruptions could occur, with the possibility of an adverse impact on the operating results of GES.</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9" w:right="339" w:bottom="1440" w:gutter="0" w:footer="0" w:header="0"/>
        </w:sectPr>
      </w:pPr>
    </w:p>
    <w:bookmarkStart w:id="28" w:name="page29"/>
    <w:bookmarkEnd w:id="28"/>
    <w:p>
      <w:pPr>
        <w:jc w:val="both"/>
        <w:spacing w:after="0" w:line="242" w:lineRule="auto"/>
        <w:rPr>
          <w:sz w:val="20"/>
          <w:szCs w:val="20"/>
          <w:color w:val="auto"/>
        </w:rPr>
      </w:pPr>
      <w:r>
        <w:rPr>
          <w:rFonts w:ascii="Times New Roman" w:cs="Times New Roman" w:eastAsia="Times New Roman" w:hAnsi="Times New Roman"/>
          <w:sz w:val="18"/>
          <w:szCs w:val="18"/>
          <w:color w:val="auto"/>
        </w:rPr>
        <w:t>We are self-insured up to certain limits for workers’ compensation and general liabilities, which includes automobile, product general liability, and client property loss claims. The aggregate amount of insurance liabilities (up to our retention limit) related to our continuing operations was $10.4 million as of June 30, 2022, which includes $5.9 million related to workers’ compensation liabilities, and $4.5 million related to general liability claims. We have also retained and provided for certain workers’ compensation insurance liabilities in conjunction with previously sold businesses of $1.8 million as of June 30, 2022. We are also self-insured for certain employee health benefits and the estimated employee health benefit claims incurred but not yet reported was $1.2 million as of June 30, 2022. Provisions for losses for claims incurred, including actuarially derived estimated claims incurred but not yet reported, are made based on our historical experience, claims frequency, and other factors. A change in the assumptions used could result in an adjustment to recorded liabilities. We have purchased insurance for amounts in excess of the self-insured levels, which generally range from $0.2 million to $0.5 million on a per claim basis. We do not maintain a self-insured retention pool fund as claims are paid from current cash resources at the time of settlement. Our net cash payments in connection with these insurance liabilities were $1.0 million for the three months ended June 30, 2022 and $2.6 million for the six months ended June 30, 2022 and $0.9 million for the three months ended June 30, 2021 and $1.1 million for the six months ended June 30, 2021.</w:t>
      </w:r>
    </w:p>
    <w:p>
      <w:pPr>
        <w:spacing w:after="0" w:line="145"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In addition, as of June 30, 2022, we have recorded insurance liabilities of $6.8 million related to continuing operations, which represents the amount for which we remain the primary obligor after self-insured insurance limits, without taking into consideration the above-referenced insurance coverage. Of this total, $6.7 million is related to workers’ compensation liabilities and $0.1 million is related to general/auto liability claims, which is recorded in “Other deferred items and liabilities” in the Condensed Consolidated Balance Sheets with a corresponding receivable in “Other investments and assets.”</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Note 22. </w:t>
      </w:r>
      <w:r>
        <w:rPr>
          <w:rFonts w:ascii="Times New Roman" w:cs="Times New Roman" w:eastAsia="Times New Roman" w:hAnsi="Times New Roman"/>
          <w:sz w:val="18"/>
          <w:szCs w:val="18"/>
          <w:b w:val="1"/>
          <w:bCs w:val="1"/>
          <w:u w:val="single" w:color="auto"/>
          <w:color w:val="auto"/>
        </w:rPr>
        <w:t>Noncontrolling Interests – Redeemable and Non-redeemable</w:t>
      </w:r>
    </w:p>
    <w:p>
      <w:pPr>
        <w:spacing w:after="0" w:line="1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Redeemable noncontrolling interest</w:t>
      </w:r>
    </w:p>
    <w:p>
      <w:pPr>
        <w:spacing w:after="0" w:line="11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On November 3, 2017, we acquired the controlling interest (54.5% of the common stock) in Esja, a private corporation in Reykjavik, Iceland. Subsequent to additional capital contributions, our equity ownership increased to 56.4% as of June 30, 2022. Through Esja and its wholly-owned subsidiary, we are operating the FlyOver Iceland attraction.</w:t>
      </w:r>
    </w:p>
    <w:p>
      <w:pPr>
        <w:spacing w:after="0" w:line="135"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The minority Esja shareholders have the right to sell (or “put”) their Esja shares to us based on a multiple of 5.0x EBITDA as calculated on the trailing 12 months from the most recently completed quarter before the put option exercise. The put option is only exercisable after August 2022 (the “Reference Date”), and in the event the FlyOver Iceland attraction has earned a minimum of €3.25 million in unadjusted EBITDA during the most recent fiscal year and during the trailing 12-month period prior to exercise (the “Put Option Condition”). The put option is exercisable during a period of 12 months following the Reference Date (the “Option Period”) if the Put Option Condition has been met. If the Put Option Condition has not been met during the first Option Period, the Reference Date will be extended for an additional 12 months up to three times. If after 72 months, the FlyOver Iceland attraction has not achieved the Put Option Condition, the put option expires. If the Put Option Condition is met during any of the Option Periods, yet the shares are not exercised prior to the end of the 12-month Option Period, the put option will expire.</w:t>
      </w:r>
    </w:p>
    <w:p>
      <w:pPr>
        <w:spacing w:after="0" w:line="130"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The noncontrolling interest’s carrying value is determined by the fair value of the noncontrolling interest as of the acquisition date and the noncontrolling interest’s share of the subsequent net income or loss. This value is benchmarked against the redemption value of the sellers’ put option. The carrying value is adjusted to the redemption value, provided that it does not fall below the initial carrying value, as determined by the purchase price allocation. We have made a policy election to reflect any changes caused by such an adjustment to retained earnings (accumulated deficit), rather than to current earnings (loss).</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Changes in the redeemable noncontrolling interest are as follows: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92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78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216"/>
        </w:trPr>
        <w:tc>
          <w:tcPr>
            <w:tcW w:w="9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780" w:type="dxa"/>
            <w:vAlign w:val="bottom"/>
            <w:shd w:val="clear" w:color="auto" w:fill="CFF0FC"/>
          </w:tcPr>
          <w:p>
            <w:pPr>
              <w:jc w:val="right"/>
              <w:ind w:right="59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5,444</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Net loss attributable to redeemable noncontrolling interest</w:t>
            </w:r>
          </w:p>
        </w:tc>
        <w:tc>
          <w:tcPr>
            <w:tcW w:w="78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(266 )</w:t>
            </w:r>
          </w:p>
        </w:tc>
      </w:tr>
      <w:tr>
        <w:trPr>
          <w:trHeight w:val="216"/>
        </w:trPr>
        <w:tc>
          <w:tcPr>
            <w:tcW w:w="9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Adjustment to the redemption value</w:t>
            </w:r>
          </w:p>
        </w:tc>
        <w:tc>
          <w:tcPr>
            <w:tcW w:w="780" w:type="dxa"/>
            <w:vAlign w:val="bottom"/>
            <w:shd w:val="clear" w:color="auto" w:fill="CFF0FC"/>
          </w:tcPr>
          <w:p>
            <w:pPr>
              <w:spacing w:after="0"/>
              <w:rPr>
                <w:sz w:val="18"/>
                <w:szCs w:val="18"/>
                <w:color w:val="auto"/>
              </w:rPr>
            </w:pPr>
          </w:p>
        </w:tc>
        <w:tc>
          <w:tcPr>
            <w:tcW w:w="11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763</w:t>
            </w:r>
          </w:p>
        </w:tc>
        <w:tc>
          <w:tcPr>
            <w:tcW w:w="100" w:type="dxa"/>
            <w:vAlign w:val="bottom"/>
            <w:shd w:val="clear" w:color="auto" w:fill="CFF0FC"/>
          </w:tcPr>
          <w:p>
            <w:pPr>
              <w:spacing w:after="0"/>
              <w:rPr>
                <w:sz w:val="18"/>
                <w:szCs w:val="18"/>
                <w:color w:val="auto"/>
              </w:rPr>
            </w:pPr>
          </w:p>
        </w:tc>
      </w:tr>
      <w:tr>
        <w:trPr>
          <w:trHeight w:val="216"/>
        </w:trPr>
        <w:tc>
          <w:tcPr>
            <w:tcW w:w="9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Foreign currency translation adjustment</w:t>
            </w:r>
          </w:p>
        </w:tc>
        <w:tc>
          <w:tcPr>
            <w:tcW w:w="78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(118 )</w:t>
            </w:r>
          </w:p>
        </w:tc>
      </w:tr>
      <w:tr>
        <w:trPr>
          <w:trHeight w:val="249"/>
        </w:trPr>
        <w:tc>
          <w:tcPr>
            <w:tcW w:w="92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June 30, 2022</w:t>
            </w:r>
          </w:p>
        </w:tc>
        <w:tc>
          <w:tcPr>
            <w:tcW w:w="780" w:type="dxa"/>
            <w:vAlign w:val="bottom"/>
            <w:tcBorders>
              <w:top w:val="single" w:sz="8" w:color="auto"/>
              <w:bottom w:val="single" w:sz="8" w:color="auto"/>
            </w:tcBorders>
            <w:shd w:val="clear" w:color="auto" w:fill="CFF0FC"/>
          </w:tcPr>
          <w:p>
            <w:pPr>
              <w:jc w:val="right"/>
              <w:ind w:right="59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5,823</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83">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Non-redeemable noncontrolling interest</w:t>
      </w:r>
    </w:p>
    <w:p>
      <w:pPr>
        <w:spacing w:after="0" w:line="10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Non-redeemable noncontrolling interest represents the portion of equity in a subsidiary that is not attributable, directly or indirectly, to us. Our non-redeemable noncontrolling interest relates to the equity ownership interest that we do not own.</w:t>
      </w:r>
    </w:p>
    <w:p>
      <w:pPr>
        <w:spacing w:after="0" w:line="1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color w:val="auto"/>
        </w:rPr>
        <w:t>Changes in the non-redeemable noncontrolling interest are as follows: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58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1400" w:type="dxa"/>
            <w:vAlign w:val="bottom"/>
            <w:gridSpan w:val="3"/>
          </w:tcPr>
          <w:p>
            <w:pPr>
              <w:jc w:val="right"/>
              <w:ind w:right="280"/>
              <w:spacing w:after="0"/>
              <w:rPr>
                <w:sz w:val="20"/>
                <w:szCs w:val="20"/>
                <w:color w:val="auto"/>
              </w:rPr>
            </w:pPr>
            <w:r>
              <w:rPr>
                <w:rFonts w:ascii="Times New Roman" w:cs="Times New Roman" w:eastAsia="Times New Roman" w:hAnsi="Times New Roman"/>
                <w:sz w:val="14"/>
                <w:szCs w:val="14"/>
                <w:b w:val="1"/>
                <w:bCs w:val="1"/>
                <w:color w:val="auto"/>
              </w:rPr>
              <w:t>Glacier Park Inc.</w:t>
            </w:r>
          </w:p>
        </w:tc>
        <w:tc>
          <w:tcPr>
            <w:tcW w:w="160" w:type="dxa"/>
            <w:vAlign w:val="bottom"/>
          </w:tcPr>
          <w:p>
            <w:pPr>
              <w:spacing w:after="0"/>
              <w:rPr>
                <w:sz w:val="18"/>
                <w:szCs w:val="18"/>
                <w:color w:val="auto"/>
              </w:rPr>
            </w:pPr>
          </w:p>
        </w:tc>
        <w:tc>
          <w:tcPr>
            <w:tcW w:w="1220" w:type="dxa"/>
            <w:vAlign w:val="bottom"/>
            <w:gridSpan w:val="2"/>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 xml:space="preserve">Brewster </w:t>
            </w:r>
            <w:r>
              <w:rPr>
                <w:rFonts w:ascii="Times New Roman" w:cs="Times New Roman" w:eastAsia="Times New Roman" w:hAnsi="Times New Roman"/>
                <w:sz w:val="19"/>
                <w:szCs w:val="19"/>
                <w:b w:val="1"/>
                <w:bCs w:val="1"/>
                <w:color w:val="auto"/>
                <w:vertAlign w:val="superscript"/>
              </w:rPr>
              <w:t>(1)</w:t>
            </w:r>
          </w:p>
        </w:tc>
        <w:tc>
          <w:tcPr>
            <w:tcW w:w="140" w:type="dxa"/>
            <w:vAlign w:val="bottom"/>
          </w:tcPr>
          <w:p>
            <w:pPr>
              <w:spacing w:after="0"/>
              <w:rPr>
                <w:sz w:val="18"/>
                <w:szCs w:val="18"/>
                <w:color w:val="auto"/>
              </w:rPr>
            </w:pPr>
          </w:p>
        </w:tc>
        <w:tc>
          <w:tcPr>
            <w:tcW w:w="1200" w:type="dxa"/>
            <w:vAlign w:val="bottom"/>
            <w:gridSpan w:val="2"/>
          </w:tcPr>
          <w:p>
            <w:pPr>
              <w:jc w:val="right"/>
              <w:ind w:right="420"/>
              <w:spacing w:after="0"/>
              <w:rPr>
                <w:sz w:val="20"/>
                <w:szCs w:val="20"/>
                <w:color w:val="auto"/>
              </w:rPr>
            </w:pPr>
            <w:r>
              <w:rPr>
                <w:rFonts w:ascii="Times New Roman" w:cs="Times New Roman" w:eastAsia="Times New Roman" w:hAnsi="Times New Roman"/>
                <w:sz w:val="14"/>
                <w:szCs w:val="14"/>
                <w:b w:val="1"/>
                <w:bCs w:val="1"/>
                <w:color w:val="auto"/>
              </w:rPr>
              <w:t>Sky Lagoon</w:t>
            </w:r>
          </w:p>
        </w:tc>
        <w:tc>
          <w:tcPr>
            <w:tcW w:w="260" w:type="dxa"/>
            <w:vAlign w:val="bottom"/>
          </w:tcPr>
          <w:p>
            <w:pPr>
              <w:spacing w:after="0"/>
              <w:rPr>
                <w:sz w:val="18"/>
                <w:szCs w:val="18"/>
                <w:color w:val="auto"/>
              </w:rPr>
            </w:pPr>
          </w:p>
        </w:tc>
        <w:tc>
          <w:tcPr>
            <w:tcW w:w="980" w:type="dxa"/>
            <w:vAlign w:val="bottom"/>
            <w:gridSpan w:val="2"/>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Total</w:t>
            </w:r>
          </w:p>
        </w:tc>
      </w:tr>
      <w:tr>
        <w:trPr>
          <w:trHeight w:val="209"/>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December 31, 2021</w:t>
            </w:r>
          </w:p>
        </w:tc>
        <w:tc>
          <w:tcPr>
            <w:tcW w:w="380" w:type="dxa"/>
            <w:vAlign w:val="bottom"/>
            <w:tcBorders>
              <w:top w:val="single" w:sz="8" w:color="auto"/>
            </w:tcBorders>
            <w:shd w:val="clear" w:color="auto" w:fill="CFF0FC"/>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15,315</w:t>
            </w:r>
          </w:p>
        </w:tc>
        <w:tc>
          <w:tcPr>
            <w:tcW w:w="240" w:type="dxa"/>
            <w:vAlign w:val="bottom"/>
            <w:shd w:val="clear" w:color="auto" w:fill="CFF0FC"/>
          </w:tcPr>
          <w:p>
            <w:pPr>
              <w:spacing w:after="0"/>
              <w:rPr>
                <w:sz w:val="18"/>
                <w:szCs w:val="18"/>
                <w:color w:val="auto"/>
              </w:rPr>
            </w:pPr>
          </w:p>
        </w:tc>
        <w:tc>
          <w:tcPr>
            <w:tcW w:w="1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58,601</w:t>
            </w:r>
          </w:p>
        </w:tc>
        <w:tc>
          <w:tcPr>
            <w:tcW w:w="240" w:type="dxa"/>
            <w:vAlign w:val="bottom"/>
            <w:shd w:val="clear" w:color="auto" w:fill="CFF0FC"/>
          </w:tcPr>
          <w:p>
            <w:pPr>
              <w:spacing w:after="0"/>
              <w:rPr>
                <w:sz w:val="18"/>
                <w:szCs w:val="18"/>
                <w:color w:val="auto"/>
              </w:rPr>
            </w:pPr>
          </w:p>
        </w:tc>
        <w:tc>
          <w:tcPr>
            <w:tcW w:w="1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11,640</w:t>
            </w:r>
          </w:p>
        </w:tc>
        <w:tc>
          <w:tcPr>
            <w:tcW w:w="220" w:type="dxa"/>
            <w:vAlign w:val="bottom"/>
            <w:shd w:val="clear" w:color="auto" w:fill="CFF0FC"/>
          </w:tcPr>
          <w:p>
            <w:pPr>
              <w:spacing w:after="0"/>
              <w:rPr>
                <w:sz w:val="18"/>
                <w:szCs w:val="18"/>
                <w:color w:val="auto"/>
              </w:rPr>
            </w:pPr>
          </w:p>
        </w:tc>
        <w:tc>
          <w:tcPr>
            <w:tcW w:w="260" w:type="dxa"/>
            <w:vAlign w:val="bottom"/>
            <w:tcBorders>
              <w:top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85,556</w:t>
            </w:r>
          </w:p>
        </w:tc>
        <w:tc>
          <w:tcPr>
            <w:tcW w:w="100" w:type="dxa"/>
            <w:vAlign w:val="bottom"/>
            <w:shd w:val="clear" w:color="auto" w:fill="CFF0FC"/>
          </w:tcPr>
          <w:p>
            <w:pPr>
              <w:spacing w:after="0"/>
              <w:rPr>
                <w:sz w:val="18"/>
                <w:szCs w:val="18"/>
                <w:color w:val="auto"/>
              </w:rPr>
            </w:pP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income (loss) attributable to non-redeemable noncontrolling interest</w:t>
            </w:r>
          </w:p>
        </w:tc>
        <w:tc>
          <w:tcPr>
            <w:tcW w:w="380" w:type="dxa"/>
            <w:vAlign w:val="bottom"/>
          </w:tcPr>
          <w:p>
            <w:pPr>
              <w:spacing w:after="0"/>
              <w:rPr>
                <w:sz w:val="18"/>
                <w:szCs w:val="18"/>
                <w:color w:val="auto"/>
              </w:rPr>
            </w:pPr>
          </w:p>
        </w:tc>
        <w:tc>
          <w:tcPr>
            <w:tcW w:w="10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(721 )</w:t>
            </w:r>
          </w:p>
        </w:tc>
        <w:tc>
          <w:tcPr>
            <w:tcW w:w="16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2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(100 )</w:t>
            </w:r>
          </w:p>
        </w:tc>
        <w:tc>
          <w:tcPr>
            <w:tcW w:w="26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(753 )</w:t>
            </w:r>
          </w:p>
        </w:tc>
      </w:tr>
      <w:tr>
        <w:trPr>
          <w:trHeight w:val="216"/>
        </w:trPr>
        <w:tc>
          <w:tcPr>
            <w:tcW w:w="58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Distributions to non-controlling interests</w:t>
            </w:r>
          </w:p>
        </w:tc>
        <w:tc>
          <w:tcPr>
            <w:tcW w:w="380" w:type="dxa"/>
            <w:vAlign w:val="bottom"/>
            <w:shd w:val="clear" w:color="auto" w:fill="CFF0FC"/>
          </w:tcPr>
          <w:p>
            <w:pPr>
              <w:spacing w:after="0"/>
              <w:rPr>
                <w:sz w:val="18"/>
                <w:szCs w:val="18"/>
                <w:color w:val="auto"/>
              </w:rPr>
            </w:pPr>
          </w:p>
        </w:tc>
        <w:tc>
          <w:tcPr>
            <w:tcW w:w="1020" w:type="dxa"/>
            <w:vAlign w:val="bottom"/>
            <w:gridSpan w:val="2"/>
            <w:shd w:val="clear" w:color="auto" w:fill="CFF0FC"/>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FF0FC"/>
          </w:tcPr>
          <w:p>
            <w:pPr>
              <w:spacing w:after="0"/>
              <w:rPr>
                <w:sz w:val="18"/>
                <w:szCs w:val="18"/>
                <w:color w:val="auto"/>
              </w:rPr>
            </w:pPr>
          </w:p>
        </w:tc>
        <w:tc>
          <w:tcPr>
            <w:tcW w:w="122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(570 )</w:t>
            </w:r>
          </w:p>
        </w:tc>
        <w:tc>
          <w:tcPr>
            <w:tcW w:w="140" w:type="dxa"/>
            <w:vAlign w:val="bottom"/>
            <w:shd w:val="clear" w:color="auto" w:fill="CFF0FC"/>
          </w:tcPr>
          <w:p>
            <w:pPr>
              <w:spacing w:after="0"/>
              <w:rPr>
                <w:sz w:val="18"/>
                <w:szCs w:val="18"/>
                <w:color w:val="auto"/>
              </w:rPr>
            </w:pPr>
          </w:p>
        </w:tc>
        <w:tc>
          <w:tcPr>
            <w:tcW w:w="120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FF0FC"/>
          </w:tcPr>
          <w:p>
            <w:pPr>
              <w:spacing w:after="0"/>
              <w:rPr>
                <w:sz w:val="18"/>
                <w:szCs w:val="18"/>
                <w:color w:val="auto"/>
              </w:rPr>
            </w:pPr>
          </w:p>
        </w:tc>
        <w:tc>
          <w:tcPr>
            <w:tcW w:w="98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(570 )</w:t>
            </w:r>
          </w:p>
        </w:tc>
      </w:tr>
      <w:tr>
        <w:trPr>
          <w:trHeight w:val="216"/>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Foreign currency translation adjustments</w:t>
            </w:r>
          </w:p>
        </w:tc>
        <w:tc>
          <w:tcPr>
            <w:tcW w:w="380" w:type="dxa"/>
            <w:vAlign w:val="bottom"/>
          </w:tcPr>
          <w:p>
            <w:pPr>
              <w:spacing w:after="0"/>
              <w:rPr>
                <w:sz w:val="18"/>
                <w:szCs w:val="18"/>
                <w:color w:val="auto"/>
              </w:rPr>
            </w:pPr>
          </w:p>
        </w:tc>
        <w:tc>
          <w:tcPr>
            <w:tcW w:w="10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(3 )</w:t>
            </w:r>
          </w:p>
        </w:tc>
        <w:tc>
          <w:tcPr>
            <w:tcW w:w="16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(1,050 )</w:t>
            </w:r>
          </w:p>
        </w:tc>
        <w:tc>
          <w:tcPr>
            <w:tcW w:w="14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(224 )</w:t>
            </w:r>
          </w:p>
        </w:tc>
        <w:tc>
          <w:tcPr>
            <w:tcW w:w="260" w:type="dxa"/>
            <w:vAlign w:val="bottom"/>
          </w:tcPr>
          <w:p>
            <w:pPr>
              <w:spacing w:after="0"/>
              <w:rPr>
                <w:sz w:val="18"/>
                <w:szCs w:val="18"/>
                <w:color w:val="auto"/>
              </w:rPr>
            </w:pPr>
          </w:p>
        </w:tc>
        <w:tc>
          <w:tcPr>
            <w:tcW w:w="9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(1,277 )</w:t>
            </w:r>
          </w:p>
        </w:tc>
      </w:tr>
      <w:tr>
        <w:trPr>
          <w:trHeight w:val="249"/>
        </w:trPr>
        <w:tc>
          <w:tcPr>
            <w:tcW w:w="588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Balance at June 30, 2022</w:t>
            </w:r>
          </w:p>
        </w:tc>
        <w:tc>
          <w:tcPr>
            <w:tcW w:w="380" w:type="dxa"/>
            <w:vAlign w:val="bottom"/>
            <w:tcBorders>
              <w:top w:val="single" w:sz="8" w:color="auto"/>
              <w:bottom w:val="single" w:sz="8" w:color="auto"/>
            </w:tcBorders>
            <w:shd w:val="clear" w:color="auto" w:fill="CFF0FC"/>
          </w:tcPr>
          <w:p>
            <w:pPr>
              <w:jc w:val="right"/>
              <w:ind w:right="176"/>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14,591</w:t>
            </w:r>
          </w:p>
        </w:tc>
        <w:tc>
          <w:tcPr>
            <w:tcW w:w="240" w:type="dxa"/>
            <w:vAlign w:val="bottom"/>
            <w:tcBorders>
              <w:bottom w:val="single" w:sz="8" w:color="CFF0FC"/>
            </w:tcBorders>
            <w:shd w:val="clear" w:color="auto" w:fill="CFF0FC"/>
          </w:tcPr>
          <w:p>
            <w:pPr>
              <w:spacing w:after="0"/>
              <w:rPr>
                <w:sz w:val="21"/>
                <w:szCs w:val="21"/>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57,049</w:t>
            </w:r>
          </w:p>
        </w:tc>
        <w:tc>
          <w:tcPr>
            <w:tcW w:w="240" w:type="dxa"/>
            <w:vAlign w:val="bottom"/>
            <w:tcBorders>
              <w:bottom w:val="single" w:sz="8" w:color="CFF0FC"/>
            </w:tcBorders>
            <w:shd w:val="clear" w:color="auto" w:fill="CFF0FC"/>
          </w:tcPr>
          <w:p>
            <w:pPr>
              <w:spacing w:after="0"/>
              <w:rPr>
                <w:sz w:val="21"/>
                <w:szCs w:val="21"/>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11,316</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82,956</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215"/>
        </w:trPr>
        <w:tc>
          <w:tcPr>
            <w:tcW w:w="58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Equity ownership interest that we do not own</w:t>
            </w:r>
          </w:p>
        </w:tc>
        <w:tc>
          <w:tcPr>
            <w:tcW w:w="380" w:type="dxa"/>
            <w:vAlign w:val="bottom"/>
          </w:tcPr>
          <w:p>
            <w:pPr>
              <w:spacing w:after="0"/>
              <w:rPr>
                <w:sz w:val="18"/>
                <w:szCs w:val="18"/>
                <w:color w:val="auto"/>
              </w:rPr>
            </w:pPr>
          </w:p>
        </w:tc>
        <w:tc>
          <w:tcPr>
            <w:tcW w:w="10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20 %</w:t>
            </w:r>
          </w:p>
        </w:tc>
        <w:tc>
          <w:tcPr>
            <w:tcW w:w="160" w:type="dxa"/>
            <w:vAlign w:val="bottom"/>
          </w:tcPr>
          <w:p>
            <w:pPr>
              <w:spacing w:after="0"/>
              <w:rPr>
                <w:sz w:val="18"/>
                <w:szCs w:val="18"/>
                <w:color w:val="auto"/>
              </w:rPr>
            </w:pPr>
          </w:p>
        </w:tc>
        <w:tc>
          <w:tcPr>
            <w:tcW w:w="12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40 %</w:t>
            </w:r>
          </w:p>
        </w:tc>
        <w:tc>
          <w:tcPr>
            <w:tcW w:w="140" w:type="dxa"/>
            <w:vAlign w:val="bottom"/>
          </w:tcPr>
          <w:p>
            <w:pPr>
              <w:spacing w:after="0"/>
              <w:rPr>
                <w:sz w:val="18"/>
                <w:szCs w:val="18"/>
                <w:color w:val="auto"/>
              </w:rPr>
            </w:pPr>
          </w:p>
        </w:tc>
        <w:tc>
          <w:tcPr>
            <w:tcW w:w="12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49 %</w:t>
            </w: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0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4465955</wp:posOffset>
            </wp:positionH>
            <wp:positionV relativeFrom="paragraph">
              <wp:posOffset>-173990</wp:posOffset>
            </wp:positionV>
            <wp:extent cx="76835" cy="8255"/>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85">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4465955</wp:posOffset>
            </wp:positionH>
            <wp:positionV relativeFrom="paragraph">
              <wp:posOffset>-156845</wp:posOffset>
            </wp:positionV>
            <wp:extent cx="76835" cy="825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8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5347970</wp:posOffset>
            </wp:positionH>
            <wp:positionV relativeFrom="paragraph">
              <wp:posOffset>-173990</wp:posOffset>
            </wp:positionV>
            <wp:extent cx="68580" cy="825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5347970</wp:posOffset>
            </wp:positionH>
            <wp:positionV relativeFrom="paragraph">
              <wp:posOffset>-156845</wp:posOffset>
            </wp:positionV>
            <wp:extent cx="68580" cy="8255"/>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8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-173990</wp:posOffset>
            </wp:positionV>
            <wp:extent cx="68580" cy="8255"/>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8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6203950</wp:posOffset>
            </wp:positionH>
            <wp:positionV relativeFrom="paragraph">
              <wp:posOffset>-156845</wp:posOffset>
            </wp:positionV>
            <wp:extent cx="68580" cy="825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-173990</wp:posOffset>
            </wp:positionV>
            <wp:extent cx="68580" cy="8255"/>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-156845</wp:posOffset>
            </wp:positionV>
            <wp:extent cx="68580" cy="825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2">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46" w:lineRule="exact"/>
        <w:rPr>
          <w:sz w:val="20"/>
          <w:szCs w:val="20"/>
          <w:color w:val="auto"/>
        </w:rPr>
      </w:pPr>
    </w:p>
    <w:p>
      <w:pPr>
        <w:ind w:left="5540" w:right="1860" w:hanging="5532"/>
        <w:spacing w:after="0" w:line="920" w:lineRule="auto"/>
        <w:tabs>
          <w:tab w:leader="none" w:pos="388" w:val="left"/>
        </w:tabs>
        <w:numPr>
          <w:ilvl w:val="0"/>
          <w:numId w:val="1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Includes Mountain Park Lodges and our recently acquired Golden Skybridge at Brewster, part of the Banff Jasper Collection. 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-439420</wp:posOffset>
            </wp:positionV>
            <wp:extent cx="7157720" cy="4254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30" w:name="page31"/>
    <w:bookmarkEnd w:id="30"/>
    <w:p>
      <w:pPr>
        <w:spacing w:after="0"/>
        <w:rPr>
          <w:sz w:val="20"/>
          <w:szCs w:val="20"/>
          <w:color w:val="auto"/>
        </w:rPr>
      </w:pPr>
      <w:r>
        <w:rPr>
          <w:rFonts w:ascii="Times New Roman" w:cs="Times New Roman" w:eastAsia="Times New Roman" w:hAnsi="Times New Roman"/>
          <w:sz w:val="18"/>
          <w:szCs w:val="18"/>
          <w:b w:val="1"/>
          <w:bCs w:val="1"/>
          <w:color w:val="auto"/>
        </w:rPr>
        <w:t xml:space="preserve">Note 23. </w:t>
      </w:r>
      <w:r>
        <w:rPr>
          <w:rFonts w:ascii="Times New Roman" w:cs="Times New Roman" w:eastAsia="Times New Roman" w:hAnsi="Times New Roman"/>
          <w:sz w:val="18"/>
          <w:szCs w:val="18"/>
          <w:b w:val="1"/>
          <w:bCs w:val="1"/>
          <w:u w:val="single" w:color="auto"/>
          <w:color w:val="auto"/>
        </w:rPr>
        <w:t>Segment Information</w:t>
      </w:r>
    </w:p>
    <w:p>
      <w:pPr>
        <w:spacing w:after="0" w:line="1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An operating segment is defined as a component of an enterprise that engages in business activities for which discrete financial information is available and regularly reviewed by the CODM in deciding how to allocate resources and assess performance. Our CODM is our Chief Executive Officer.</w:t>
      </w:r>
    </w:p>
    <w:p>
      <w:pPr>
        <w:spacing w:after="0" w:line="121"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During the first quarter of 2022, we changed our segment reporting as a result of operational changes and how our CODM reviews the financial performance of GES and makes decisions regarding the allocation of resources. Accordingly, GES’ new reportable segments are Spiro and GES Exhibitions. We made no changes to the Pursuit reportable segment.</w:t>
      </w:r>
    </w:p>
    <w:p>
      <w:pPr>
        <w:spacing w:after="0" w:line="135" w:lineRule="exact"/>
        <w:rPr>
          <w:sz w:val="20"/>
          <w:szCs w:val="20"/>
          <w:color w:val="auto"/>
        </w:rPr>
      </w:pPr>
    </w:p>
    <w:p>
      <w:pPr>
        <w:jc w:val="both"/>
        <w:spacing w:after="0" w:line="272" w:lineRule="auto"/>
        <w:rPr>
          <w:sz w:val="20"/>
          <w:szCs w:val="20"/>
          <w:color w:val="auto"/>
        </w:rPr>
      </w:pPr>
      <w:r>
        <w:rPr>
          <w:rFonts w:ascii="Times New Roman" w:cs="Times New Roman" w:eastAsia="Times New Roman" w:hAnsi="Times New Roman"/>
          <w:sz w:val="17"/>
          <w:szCs w:val="17"/>
          <w:color w:val="auto"/>
        </w:rPr>
        <w:t>We measure the profit and performance of our operations on the basis of segment operating income (loss) which excludes restructuring charges, impairment charges, multi-employer pension plan withdrawal, and certain other corporate expenses that are not allocated to the reportable segments. Intersegment sales are eliminated in consolidation and intersegment transfers are not significant. Corporate activities include expenses not allocated to operations.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reportable segments, with reconciliations to consolidated totals, are as follows:</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57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600" w:type="dxa"/>
            <w:vAlign w:val="bottom"/>
            <w:gridSpan w:val="5"/>
          </w:tcPr>
          <w:p>
            <w:pPr>
              <w:jc w:val="right"/>
              <w:ind w:right="81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40" w:type="dxa"/>
            <w:vAlign w:val="bottom"/>
          </w:tcPr>
          <w:p>
            <w:pPr>
              <w:spacing w:after="0"/>
              <w:rPr>
                <w:sz w:val="15"/>
                <w:szCs w:val="15"/>
                <w:color w:val="auto"/>
              </w:rPr>
            </w:pPr>
          </w:p>
        </w:tc>
        <w:tc>
          <w:tcPr>
            <w:tcW w:w="2440" w:type="dxa"/>
            <w:vAlign w:val="bottom"/>
            <w:gridSpan w:val="5"/>
          </w:tcPr>
          <w:p>
            <w:pPr>
              <w:jc w:val="right"/>
              <w:ind w:right="741"/>
              <w:spacing w:after="0"/>
              <w:rPr>
                <w:sz w:val="20"/>
                <w:szCs w:val="20"/>
                <w:color w:val="auto"/>
              </w:rPr>
            </w:pPr>
            <w:r>
              <w:rPr>
                <w:rFonts w:ascii="Times New Roman" w:cs="Times New Roman" w:eastAsia="Times New Roman" w:hAnsi="Times New Roman"/>
                <w:sz w:val="14"/>
                <w:szCs w:val="14"/>
                <w:b w:val="1"/>
                <w:bCs w:val="1"/>
                <w:color w:val="auto"/>
              </w:rPr>
              <w:t>Six Months Ended</w:t>
            </w:r>
          </w:p>
        </w:tc>
      </w:tr>
      <w:tr>
        <w:trPr>
          <w:trHeight w:val="187"/>
        </w:trPr>
        <w:tc>
          <w:tcPr>
            <w:tcW w:w="57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gridSpan w:val="3"/>
          </w:tcPr>
          <w:p>
            <w:pPr>
              <w:jc w:val="right"/>
              <w:ind w:right="7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570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39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4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77,599</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36,313</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101,383</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46,103</w:t>
            </w: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w:t>
            </w: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89,425</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11,944</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132,241</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24,003</w:t>
            </w: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154,600</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13,057</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266,431</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20,209</w:t>
            </w:r>
          </w:p>
        </w:tc>
        <w:tc>
          <w:tcPr>
            <w:tcW w:w="100" w:type="dxa"/>
            <w:vAlign w:val="bottom"/>
          </w:tcPr>
          <w:p>
            <w:pPr>
              <w:spacing w:after="0"/>
              <w:rPr>
                <w:sz w:val="18"/>
                <w:szCs w:val="18"/>
                <w:color w:val="auto"/>
              </w:rPr>
            </w:pP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GES intersegment eliminations</w:t>
            </w:r>
          </w:p>
        </w:tc>
        <w:tc>
          <w:tcPr>
            <w:tcW w:w="26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(2,421 )</w:t>
            </w: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(81 )</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(3,492 )</w:t>
            </w: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(147 )</w:t>
            </w:r>
          </w:p>
        </w:tc>
      </w:tr>
      <w:tr>
        <w:trPr>
          <w:trHeight w:val="209"/>
        </w:trPr>
        <w:tc>
          <w:tcPr>
            <w:tcW w:w="5700" w:type="dxa"/>
            <w:vAlign w:val="bottom"/>
            <w:tcBorders>
              <w:top w:val="single" w:sz="8" w:color="CFF0FC"/>
            </w:tcBorders>
          </w:tcPr>
          <w:p>
            <w:pPr>
              <w:ind w:left="120"/>
              <w:spacing w:after="0"/>
              <w:rPr>
                <w:sz w:val="20"/>
                <w:szCs w:val="20"/>
                <w:color w:val="auto"/>
              </w:rPr>
            </w:pPr>
            <w:r>
              <w:rPr>
                <w:rFonts w:ascii="Times New Roman" w:cs="Times New Roman" w:eastAsia="Times New Roman" w:hAnsi="Times New Roman"/>
                <w:sz w:val="18"/>
                <w:szCs w:val="18"/>
                <w:color w:val="auto"/>
              </w:rPr>
              <w:t>Total GES</w:t>
            </w:r>
          </w:p>
        </w:tc>
        <w:tc>
          <w:tcPr>
            <w:tcW w:w="26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241,604</w:t>
            </w:r>
          </w:p>
        </w:tc>
        <w:tc>
          <w:tcPr>
            <w:tcW w:w="260" w:type="dxa"/>
            <w:vAlign w:val="bottom"/>
            <w:tcBorders>
              <w:top w:val="single" w:sz="8" w:color="CFF0FC"/>
            </w:tcBorders>
          </w:tcPr>
          <w:p>
            <w:pPr>
              <w:spacing w:after="0"/>
              <w:rPr>
                <w:sz w:val="18"/>
                <w:szCs w:val="18"/>
                <w:color w:val="auto"/>
              </w:rPr>
            </w:pPr>
          </w:p>
        </w:tc>
        <w:tc>
          <w:tcPr>
            <w:tcW w:w="3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24,920</w:t>
            </w:r>
          </w:p>
        </w:tc>
        <w:tc>
          <w:tcPr>
            <w:tcW w:w="240" w:type="dxa"/>
            <w:vAlign w:val="bottom"/>
            <w:tcBorders>
              <w:top w:val="single" w:sz="8" w:color="CFF0FC"/>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395,180</w:t>
            </w:r>
          </w:p>
        </w:tc>
        <w:tc>
          <w:tcPr>
            <w:tcW w:w="240" w:type="dxa"/>
            <w:vAlign w:val="bottom"/>
            <w:tcBorders>
              <w:top w:val="single" w:sz="8" w:color="CFF0FC"/>
            </w:tcBorders>
          </w:tcPr>
          <w:p>
            <w:pPr>
              <w:spacing w:after="0"/>
              <w:rPr>
                <w:sz w:val="18"/>
                <w:szCs w:val="18"/>
                <w:color w:val="auto"/>
              </w:rPr>
            </w:pPr>
          </w:p>
        </w:tc>
        <w:tc>
          <w:tcPr>
            <w:tcW w:w="36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44,065</w:t>
            </w:r>
          </w:p>
        </w:tc>
        <w:tc>
          <w:tcPr>
            <w:tcW w:w="100" w:type="dxa"/>
            <w:vAlign w:val="bottom"/>
            <w:tcBorders>
              <w:top w:val="single" w:sz="8" w:color="CFF0FC"/>
            </w:tcBorders>
          </w:tcPr>
          <w:p>
            <w:pPr>
              <w:spacing w:after="0"/>
              <w:rPr>
                <w:sz w:val="18"/>
                <w:szCs w:val="18"/>
                <w:color w:val="auto"/>
              </w:rPr>
            </w:pPr>
          </w:p>
        </w:tc>
      </w:tr>
      <w:tr>
        <w:trPr>
          <w:trHeight w:val="249"/>
        </w:trPr>
        <w:tc>
          <w:tcPr>
            <w:tcW w:w="570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Total revenue</w:t>
            </w: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319,203</w:t>
            </w:r>
          </w:p>
        </w:tc>
        <w:tc>
          <w:tcPr>
            <w:tcW w:w="26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61,233</w:t>
            </w:r>
          </w:p>
        </w:tc>
        <w:tc>
          <w:tcPr>
            <w:tcW w:w="24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496,563</w:t>
            </w:r>
          </w:p>
        </w:tc>
        <w:tc>
          <w:tcPr>
            <w:tcW w:w="24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90,168</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6"/>
        </w:trPr>
        <w:tc>
          <w:tcPr>
            <w:tcW w:w="57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Segment operating income (loss):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5,571</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(8,097 )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(15,627 )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(26,418 )</w:t>
            </w:r>
          </w:p>
        </w:tc>
      </w:tr>
      <w:tr>
        <w:trPr>
          <w:trHeight w:val="216"/>
        </w:trPr>
        <w:tc>
          <w:tcPr>
            <w:tcW w:w="570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GES: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14,847</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(7,211 )</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14,608</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(14,380 )</w:t>
            </w: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16,273</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(19,686 )</w:t>
            </w: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14,918</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(32,421 )</w:t>
            </w:r>
          </w:p>
        </w:tc>
      </w:tr>
      <w:tr>
        <w:trPr>
          <w:trHeight w:val="20"/>
        </w:trPr>
        <w:tc>
          <w:tcPr>
            <w:tcW w:w="570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09"/>
        </w:trPr>
        <w:tc>
          <w:tcPr>
            <w:tcW w:w="57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Total GES</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31,120</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(26,897 )</w:t>
            </w: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29,526</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(46,801 )</w:t>
            </w:r>
          </w:p>
        </w:tc>
      </w:tr>
      <w:tr>
        <w:trPr>
          <w:trHeight w:val="209"/>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Segment operating income (loss)</w:t>
            </w:r>
          </w:p>
        </w:tc>
        <w:tc>
          <w:tcPr>
            <w:tcW w:w="260" w:type="dxa"/>
            <w:vAlign w:val="bottom"/>
            <w:tcBorders>
              <w:top w:val="single" w:sz="8" w:color="auto"/>
            </w:tcBorders>
            <w:shd w:val="clear" w:color="auto" w:fill="CFF0FC"/>
          </w:tcPr>
          <w:p>
            <w:pPr>
              <w:spacing w:after="0"/>
              <w:rPr>
                <w:sz w:val="18"/>
                <w:szCs w:val="18"/>
                <w:color w:val="auto"/>
              </w:rPr>
            </w:pPr>
          </w:p>
        </w:tc>
        <w:tc>
          <w:tcPr>
            <w:tcW w:w="8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36,691</w:t>
            </w:r>
          </w:p>
        </w:tc>
        <w:tc>
          <w:tcPr>
            <w:tcW w:w="260" w:type="dxa"/>
            <w:vAlign w:val="bottom"/>
            <w:shd w:val="clear" w:color="auto" w:fill="CFF0FC"/>
          </w:tcPr>
          <w:p>
            <w:pPr>
              <w:spacing w:after="0"/>
              <w:rPr>
                <w:sz w:val="18"/>
                <w:szCs w:val="18"/>
                <w:color w:val="auto"/>
              </w:rPr>
            </w:pPr>
          </w:p>
        </w:tc>
        <w:tc>
          <w:tcPr>
            <w:tcW w:w="34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(34,994</w:t>
            </w:r>
          </w:p>
        </w:tc>
        <w:tc>
          <w:tcPr>
            <w:tcW w:w="24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99"/>
              </w:rPr>
              <w:t>)</w:t>
            </w:r>
          </w:p>
        </w:tc>
        <w:tc>
          <w:tcPr>
            <w:tcW w:w="240" w:type="dxa"/>
            <w:vAlign w:val="bottom"/>
            <w:tcBorders>
              <w:top w:val="single" w:sz="8" w:color="auto"/>
            </w:tcBorders>
            <w:shd w:val="clear" w:color="auto" w:fill="CFF0FC"/>
          </w:tcPr>
          <w:p>
            <w:pPr>
              <w:spacing w:after="0"/>
              <w:rPr>
                <w:sz w:val="18"/>
                <w:szCs w:val="18"/>
                <w:color w:val="auto"/>
              </w:rPr>
            </w:pPr>
          </w:p>
        </w:tc>
        <w:tc>
          <w:tcPr>
            <w:tcW w:w="8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13,899</w:t>
            </w:r>
          </w:p>
        </w:tc>
        <w:tc>
          <w:tcPr>
            <w:tcW w:w="240" w:type="dxa"/>
            <w:vAlign w:val="bottom"/>
            <w:shd w:val="clear" w:color="auto" w:fill="CFF0FC"/>
          </w:tcPr>
          <w:p>
            <w:pPr>
              <w:spacing w:after="0"/>
              <w:rPr>
                <w:sz w:val="18"/>
                <w:szCs w:val="18"/>
                <w:color w:val="auto"/>
              </w:rPr>
            </w:pPr>
          </w:p>
        </w:tc>
        <w:tc>
          <w:tcPr>
            <w:tcW w:w="360" w:type="dxa"/>
            <w:vAlign w:val="bottom"/>
            <w:tcBorders>
              <w:top w:val="single" w:sz="8" w:color="auto"/>
            </w:tcBorders>
            <w:shd w:val="clear" w:color="auto" w:fill="CFF0FC"/>
          </w:tcPr>
          <w:p>
            <w:pPr>
              <w:spacing w:after="0"/>
              <w:rPr>
                <w:sz w:val="18"/>
                <w:szCs w:val="18"/>
                <w:color w:val="auto"/>
              </w:rPr>
            </w:pPr>
          </w:p>
        </w:tc>
        <w:tc>
          <w:tcPr>
            <w:tcW w:w="9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(73,219</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5700" w:type="dxa"/>
            <w:vAlign w:val="bottom"/>
          </w:tcPr>
          <w:p>
            <w:pPr>
              <w:ind w:left="200"/>
              <w:spacing w:after="0" w:line="216" w:lineRule="exact"/>
              <w:rPr>
                <w:sz w:val="20"/>
                <w:szCs w:val="20"/>
                <w:color w:val="auto"/>
              </w:rPr>
            </w:pPr>
            <w:r>
              <w:rPr>
                <w:rFonts w:ascii="Times New Roman" w:cs="Times New Roman" w:eastAsia="Times New Roman" w:hAnsi="Times New Roman"/>
                <w:sz w:val="18"/>
                <w:szCs w:val="18"/>
                <w:color w:val="auto"/>
              </w:rPr>
              <w:t xml:space="preserve">Corporate eliminations </w:t>
            </w:r>
            <w:r>
              <w:rPr>
                <w:rFonts w:ascii="Times New Roman" w:cs="Times New Roman" w:eastAsia="Times New Roman" w:hAnsi="Times New Roman"/>
                <w:sz w:val="24"/>
                <w:szCs w:val="24"/>
                <w:color w:val="auto"/>
                <w:vertAlign w:val="superscript"/>
              </w:rPr>
              <w:t>(1)</w:t>
            </w:r>
          </w:p>
        </w:tc>
        <w:tc>
          <w:tcPr>
            <w:tcW w:w="2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100" w:type="dxa"/>
            <w:vAlign w:val="bottom"/>
          </w:tcPr>
          <w:p>
            <w:pPr>
              <w:spacing w:after="0"/>
              <w:rPr>
                <w:sz w:val="18"/>
                <w:szCs w:val="18"/>
                <w:color w:val="auto"/>
              </w:rPr>
            </w:pP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Corporate activities</w:t>
            </w:r>
          </w:p>
        </w:tc>
        <w:tc>
          <w:tcPr>
            <w:tcW w:w="26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(3,440 )</w:t>
            </w: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(3,006 )</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(6,113 )</w:t>
            </w: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(5,011 )</w:t>
            </w: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Interest expense, net</w:t>
            </w:r>
          </w:p>
        </w:tc>
        <w:tc>
          <w:tcPr>
            <w:tcW w:w="26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(7,761 )</w:t>
            </w:r>
          </w:p>
        </w:tc>
        <w:tc>
          <w:tcPr>
            <w:tcW w:w="340" w:type="dxa"/>
            <w:vAlign w:val="bottom"/>
          </w:tcPr>
          <w:p>
            <w:pPr>
              <w:spacing w:after="0"/>
              <w:rPr>
                <w:sz w:val="18"/>
                <w:szCs w:val="18"/>
                <w:color w:val="auto"/>
              </w:rPr>
            </w:pP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(5,565 )</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(13,638 )</w:t>
            </w:r>
          </w:p>
        </w:tc>
        <w:tc>
          <w:tcPr>
            <w:tcW w:w="3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(10,650 )</w:t>
            </w: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Multi-employer pension plan withdrawal</w:t>
            </w:r>
          </w:p>
        </w:tc>
        <w:tc>
          <w:tcPr>
            <w:tcW w:w="26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(57 )</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(57 )</w:t>
            </w: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 expense, net</w:t>
            </w:r>
          </w:p>
        </w:tc>
        <w:tc>
          <w:tcPr>
            <w:tcW w:w="26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(612 )</w:t>
            </w:r>
          </w:p>
        </w:tc>
        <w:tc>
          <w:tcPr>
            <w:tcW w:w="340" w:type="dxa"/>
            <w:vAlign w:val="bottom"/>
          </w:tcPr>
          <w:p>
            <w:pPr>
              <w:spacing w:after="0"/>
              <w:rPr>
                <w:sz w:val="18"/>
                <w:szCs w:val="18"/>
                <w:color w:val="auto"/>
              </w:rPr>
            </w:pP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(680 )</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(1,250 )</w:t>
            </w:r>
          </w:p>
        </w:tc>
        <w:tc>
          <w:tcPr>
            <w:tcW w:w="3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(1,040 )</w:t>
            </w:r>
          </w:p>
        </w:tc>
      </w:tr>
      <w:tr>
        <w:trPr>
          <w:trHeight w:val="216"/>
        </w:trPr>
        <w:tc>
          <w:tcPr>
            <w:tcW w:w="57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Restructuring charges: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8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Pursuit</w:t>
            </w:r>
          </w:p>
        </w:tc>
        <w:tc>
          <w:tcPr>
            <w:tcW w:w="260" w:type="dxa"/>
            <w:vAlign w:val="bottom"/>
          </w:tcPr>
          <w:p>
            <w:pPr>
              <w:spacing w:after="0"/>
              <w:rPr>
                <w:sz w:val="18"/>
                <w:szCs w:val="18"/>
                <w:color w:val="auto"/>
              </w:rPr>
            </w:pPr>
          </w:p>
        </w:tc>
        <w:tc>
          <w:tcPr>
            <w:tcW w:w="112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tcPr>
          <w:p>
            <w:pPr>
              <w:spacing w:after="0"/>
              <w:rPr>
                <w:sz w:val="18"/>
                <w:szCs w:val="18"/>
                <w:color w:val="auto"/>
              </w:rPr>
            </w:pPr>
          </w:p>
        </w:tc>
        <w:tc>
          <w:tcPr>
            <w:tcW w:w="114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3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(23 )</w:t>
            </w: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Spiro</w:t>
            </w:r>
          </w:p>
        </w:tc>
        <w:tc>
          <w:tcPr>
            <w:tcW w:w="26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(808 )</w:t>
            </w: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(126 )</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(1,226 )</w:t>
            </w: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(176 )</w:t>
            </w:r>
          </w:p>
        </w:tc>
      </w:tr>
      <w:tr>
        <w:trPr>
          <w:trHeight w:val="216"/>
        </w:trPr>
        <w:tc>
          <w:tcPr>
            <w:tcW w:w="570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(588 )</w:t>
            </w:r>
          </w:p>
        </w:tc>
        <w:tc>
          <w:tcPr>
            <w:tcW w:w="340" w:type="dxa"/>
            <w:vAlign w:val="bottom"/>
          </w:tcPr>
          <w:p>
            <w:pPr>
              <w:spacing w:after="0"/>
              <w:rPr>
                <w:sz w:val="18"/>
                <w:szCs w:val="18"/>
                <w:color w:val="auto"/>
              </w:rPr>
            </w:pP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(661 )</w:t>
            </w:r>
          </w:p>
        </w:tc>
        <w:tc>
          <w:tcPr>
            <w:tcW w:w="24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(824 )</w:t>
            </w:r>
          </w:p>
        </w:tc>
        <w:tc>
          <w:tcPr>
            <w:tcW w:w="360" w:type="dxa"/>
            <w:vAlign w:val="bottom"/>
          </w:tcPr>
          <w:p>
            <w:pPr>
              <w:spacing w:after="0"/>
              <w:rPr>
                <w:sz w:val="18"/>
                <w:szCs w:val="18"/>
                <w:color w:val="auto"/>
              </w:rPr>
            </w:pP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(3,394 )</w:t>
            </w: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Corporate</w:t>
            </w:r>
          </w:p>
        </w:tc>
        <w:tc>
          <w:tcPr>
            <w:tcW w:w="260" w:type="dxa"/>
            <w:vAlign w:val="bottom"/>
            <w:shd w:val="clear" w:color="auto" w:fill="CFF0FC"/>
          </w:tcPr>
          <w:p>
            <w:pPr>
              <w:spacing w:after="0"/>
              <w:rPr>
                <w:sz w:val="18"/>
                <w:szCs w:val="18"/>
                <w:color w:val="auto"/>
              </w:rPr>
            </w:pPr>
          </w:p>
        </w:tc>
        <w:tc>
          <w:tcPr>
            <w:tcW w:w="112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18"/>
                <w:szCs w:val="18"/>
                <w:color w:val="auto"/>
              </w:rPr>
              <w:t>(30 )</w:t>
            </w:r>
          </w:p>
        </w:tc>
        <w:tc>
          <w:tcPr>
            <w:tcW w:w="340" w:type="dxa"/>
            <w:vAlign w:val="bottom"/>
            <w:shd w:val="clear" w:color="auto" w:fill="CFF0FC"/>
          </w:tcPr>
          <w:p>
            <w:pPr>
              <w:spacing w:after="0"/>
              <w:rPr>
                <w:sz w:val="18"/>
                <w:szCs w:val="18"/>
                <w:color w:val="auto"/>
              </w:rPr>
            </w:pPr>
          </w:p>
        </w:tc>
        <w:tc>
          <w:tcPr>
            <w:tcW w:w="1140" w:type="dxa"/>
            <w:vAlign w:val="bottom"/>
            <w:gridSpan w:val="2"/>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(30 )</w:t>
            </w: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(20 )</w:t>
            </w:r>
          </w:p>
        </w:tc>
      </w:tr>
      <w:tr>
        <w:trPr>
          <w:trHeight w:val="216"/>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Impairment charges:</w:t>
            </w: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700" w:type="dxa"/>
            <w:vAlign w:val="bottom"/>
            <w:shd w:val="clear" w:color="auto" w:fill="CFF0FC"/>
          </w:tcPr>
          <w:p>
            <w:pPr>
              <w:ind w:left="200"/>
              <w:spacing w:after="0"/>
              <w:rPr>
                <w:sz w:val="20"/>
                <w:szCs w:val="20"/>
                <w:color w:val="auto"/>
              </w:rPr>
            </w:pPr>
            <w:r>
              <w:rPr>
                <w:rFonts w:ascii="Times New Roman" w:cs="Times New Roman" w:eastAsia="Times New Roman" w:hAnsi="Times New Roman"/>
                <w:sz w:val="18"/>
                <w:szCs w:val="18"/>
                <w:color w:val="auto"/>
              </w:rPr>
              <w:t>GES Exhibitions</w:t>
            </w:r>
          </w:p>
        </w:tc>
        <w:tc>
          <w:tcPr>
            <w:tcW w:w="26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9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(583 )</w:t>
            </w:r>
          </w:p>
        </w:tc>
        <w:tc>
          <w:tcPr>
            <w:tcW w:w="360" w:type="dxa"/>
            <w:vAlign w:val="bottom"/>
            <w:shd w:val="clear" w:color="auto" w:fill="CFF0FC"/>
          </w:tcPr>
          <w:p>
            <w:pPr>
              <w:spacing w:after="0"/>
              <w:rPr>
                <w:sz w:val="18"/>
                <w:szCs w:val="18"/>
                <w:color w:val="auto"/>
              </w:rPr>
            </w:pPr>
          </w:p>
        </w:tc>
        <w:tc>
          <w:tcPr>
            <w:tcW w:w="1000" w:type="dxa"/>
            <w:vAlign w:val="bottom"/>
            <w:gridSpan w:val="2"/>
            <w:shd w:val="clear" w:color="auto" w:fill="CFF0FC"/>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570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6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r>
      <w:tr>
        <w:trPr>
          <w:trHeight w:val="209"/>
        </w:trPr>
        <w:tc>
          <w:tcPr>
            <w:tcW w:w="57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Income (loss) from continuing operations before income taxes</w:t>
            </w: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23,469</w:t>
            </w:r>
          </w:p>
        </w:tc>
        <w:tc>
          <w:tcPr>
            <w:tcW w:w="260" w:type="dxa"/>
            <w:vAlign w:val="bottom"/>
          </w:tcPr>
          <w:p>
            <w:pPr>
              <w:spacing w:after="0"/>
              <w:rPr>
                <w:sz w:val="18"/>
                <w:szCs w:val="18"/>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(45,071 )</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(9,731 )</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(93,555 )</w:t>
            </w:r>
          </w:p>
        </w:tc>
      </w:tr>
      <w:tr>
        <w:trPr>
          <w:trHeight w:val="20"/>
        </w:trPr>
        <w:tc>
          <w:tcPr>
            <w:tcW w:w="57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4328795</wp:posOffset>
            </wp:positionH>
            <wp:positionV relativeFrom="paragraph">
              <wp:posOffset>-3244215</wp:posOffset>
            </wp:positionV>
            <wp:extent cx="76835" cy="8255"/>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4">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-3244215</wp:posOffset>
            </wp:positionV>
            <wp:extent cx="68580" cy="8255"/>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9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-3244215</wp:posOffset>
            </wp:positionV>
            <wp:extent cx="68580" cy="825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9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-3244215</wp:posOffset>
            </wp:positionV>
            <wp:extent cx="68580" cy="825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9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-2953385</wp:posOffset>
            </wp:positionV>
            <wp:extent cx="76835" cy="8255"/>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98">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-2936240</wp:posOffset>
            </wp:positionV>
            <wp:extent cx="76835" cy="825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99">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-2953385</wp:posOffset>
            </wp:positionV>
            <wp:extent cx="68580" cy="8255"/>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-2936240</wp:posOffset>
            </wp:positionV>
            <wp:extent cx="68580" cy="8255"/>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-2953385</wp:posOffset>
            </wp:positionV>
            <wp:extent cx="68580" cy="8255"/>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-2936240</wp:posOffset>
            </wp:positionV>
            <wp:extent cx="68580" cy="8255"/>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-2953385</wp:posOffset>
            </wp:positionV>
            <wp:extent cx="68580" cy="8255"/>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0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-2936240</wp:posOffset>
            </wp:positionV>
            <wp:extent cx="68580" cy="8255"/>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-2105660</wp:posOffset>
            </wp:positionV>
            <wp:extent cx="76835" cy="8255"/>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0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-2105660</wp:posOffset>
            </wp:positionV>
            <wp:extent cx="68580" cy="8255"/>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0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-2105660</wp:posOffset>
            </wp:positionV>
            <wp:extent cx="68580" cy="8255"/>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-2105660</wp:posOffset>
            </wp:positionV>
            <wp:extent cx="68580" cy="8255"/>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-170815</wp:posOffset>
            </wp:positionV>
            <wp:extent cx="76835" cy="8255"/>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0">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5288280</wp:posOffset>
            </wp:positionH>
            <wp:positionV relativeFrom="paragraph">
              <wp:posOffset>-170815</wp:posOffset>
            </wp:positionV>
            <wp:extent cx="68580" cy="8255"/>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6127115</wp:posOffset>
            </wp:positionH>
            <wp:positionV relativeFrom="paragraph">
              <wp:posOffset>-170815</wp:posOffset>
            </wp:positionV>
            <wp:extent cx="68580" cy="8255"/>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13">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77" w:lineRule="exact"/>
        <w:rPr>
          <w:sz w:val="20"/>
          <w:szCs w:val="20"/>
          <w:color w:val="auto"/>
        </w:rPr>
      </w:pPr>
    </w:p>
    <w:p>
      <w:pPr>
        <w:ind w:left="380" w:hanging="372"/>
        <w:spacing w:after="0" w:line="216" w:lineRule="auto"/>
        <w:tabs>
          <w:tab w:leader="none" w:pos="380" w:val="left"/>
        </w:tabs>
        <w:numPr>
          <w:ilvl w:val="0"/>
          <w:numId w:val="12"/>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Corporate eliminations represent the elimination of depreciation expense recorded by Pursuit associated with previously eliminated intercompany profit realized by GES for renovations to Pursuit’s Banff Gondola.</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157720" cy="42545"/>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30" w:right="33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color w:val="auto"/>
        </w:rPr>
        <w:t>Additional information of our reportable segments is as follows: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57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60" w:type="dxa"/>
            <w:vAlign w:val="bottom"/>
            <w:gridSpan w:val="4"/>
          </w:tcPr>
          <w:p>
            <w:pPr>
              <w:jc w:val="right"/>
              <w:ind w:right="571"/>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340" w:type="dxa"/>
            <w:vAlign w:val="bottom"/>
            <w:gridSpan w:val="4"/>
          </w:tcPr>
          <w:p>
            <w:pPr>
              <w:jc w:val="right"/>
              <w:ind w:right="371"/>
              <w:spacing w:after="0"/>
              <w:rPr>
                <w:sz w:val="20"/>
                <w:szCs w:val="20"/>
                <w:color w:val="auto"/>
              </w:rPr>
            </w:pPr>
            <w:r>
              <w:rPr>
                <w:rFonts w:ascii="Times New Roman" w:cs="Times New Roman" w:eastAsia="Times New Roman" w:hAnsi="Times New Roman"/>
                <w:sz w:val="14"/>
                <w:szCs w:val="14"/>
                <w:b w:val="1"/>
                <w:bCs w:val="1"/>
                <w:color w:val="auto"/>
              </w:rPr>
              <w:t>Six Months Ended June 30,</w:t>
            </w:r>
          </w:p>
        </w:tc>
        <w:tc>
          <w:tcPr>
            <w:tcW w:w="100" w:type="dxa"/>
            <w:vAlign w:val="bottom"/>
          </w:tcPr>
          <w:p>
            <w:pPr>
              <w:spacing w:after="0"/>
              <w:rPr>
                <w:sz w:val="16"/>
                <w:szCs w:val="16"/>
                <w:color w:val="auto"/>
              </w:rPr>
            </w:pPr>
          </w:p>
        </w:tc>
      </w:tr>
      <w:tr>
        <w:trPr>
          <w:trHeight w:val="214"/>
        </w:trPr>
        <w:tc>
          <w:tcPr>
            <w:tcW w:w="57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20" w:type="dxa"/>
            <w:vAlign w:val="bottom"/>
            <w:tcBorders>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gridSpan w:val="3"/>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169"/>
        </w:trPr>
        <w:tc>
          <w:tcPr>
            <w:tcW w:w="572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4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31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41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572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Depreciation:</w:t>
            </w: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16"/>
        </w:trPr>
        <w:tc>
          <w:tcPr>
            <w:tcW w:w="57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7,866</w:t>
            </w:r>
          </w:p>
        </w:tc>
        <w:tc>
          <w:tcPr>
            <w:tcW w:w="58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6,546</w:t>
            </w:r>
          </w:p>
        </w:tc>
        <w:tc>
          <w:tcPr>
            <w:tcW w:w="4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15,648</w:t>
            </w:r>
          </w:p>
        </w:tc>
        <w:tc>
          <w:tcPr>
            <w:tcW w:w="60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13,003</w:t>
            </w:r>
          </w:p>
        </w:tc>
        <w:tc>
          <w:tcPr>
            <w:tcW w:w="100" w:type="dxa"/>
            <w:vAlign w:val="bottom"/>
          </w:tcPr>
          <w:p>
            <w:pPr>
              <w:spacing w:after="0"/>
              <w:rPr>
                <w:sz w:val="18"/>
                <w:szCs w:val="18"/>
                <w:color w:val="auto"/>
              </w:rPr>
            </w:pPr>
          </w:p>
        </w:tc>
      </w:tr>
      <w:tr>
        <w:trPr>
          <w:trHeight w:val="216"/>
        </w:trPr>
        <w:tc>
          <w:tcPr>
            <w:tcW w:w="57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852</w:t>
            </w:r>
          </w:p>
        </w:tc>
        <w:tc>
          <w:tcPr>
            <w:tcW w:w="22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1,032</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1,781</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2,529</w:t>
            </w:r>
          </w:p>
        </w:tc>
        <w:tc>
          <w:tcPr>
            <w:tcW w:w="100" w:type="dxa"/>
            <w:vAlign w:val="bottom"/>
            <w:shd w:val="clear" w:color="auto" w:fill="CFF0FC"/>
          </w:tcPr>
          <w:p>
            <w:pPr>
              <w:spacing w:after="0"/>
              <w:rPr>
                <w:sz w:val="18"/>
                <w:szCs w:val="18"/>
                <w:color w:val="auto"/>
              </w:rPr>
            </w:pPr>
          </w:p>
        </w:tc>
      </w:tr>
      <w:tr>
        <w:trPr>
          <w:trHeight w:val="216"/>
        </w:trPr>
        <w:tc>
          <w:tcPr>
            <w:tcW w:w="57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2,070</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3,084</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4,361</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6,020</w:t>
            </w:r>
          </w:p>
        </w:tc>
        <w:tc>
          <w:tcPr>
            <w:tcW w:w="100" w:type="dxa"/>
            <w:vAlign w:val="bottom"/>
          </w:tcPr>
          <w:p>
            <w:pPr>
              <w:spacing w:after="0"/>
              <w:rPr>
                <w:sz w:val="18"/>
                <w:szCs w:val="18"/>
                <w:color w:val="auto"/>
              </w:rPr>
            </w:pPr>
          </w:p>
        </w:tc>
      </w:tr>
      <w:tr>
        <w:trPr>
          <w:trHeight w:val="216"/>
        </w:trPr>
        <w:tc>
          <w:tcPr>
            <w:tcW w:w="5720" w:type="dxa"/>
            <w:vAlign w:val="bottom"/>
            <w:tcBorders>
              <w:bottom w:val="single" w:sz="8" w:color="CFF0FC"/>
            </w:tcBorders>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Corporate</w:t>
            </w:r>
          </w:p>
        </w:tc>
        <w:tc>
          <w:tcPr>
            <w:tcW w:w="240" w:type="dxa"/>
            <w:vAlign w:val="bottom"/>
            <w:tcBorders>
              <w:bottom w:val="single" w:sz="8" w:color="auto"/>
            </w:tcBorders>
            <w:shd w:val="clear" w:color="auto" w:fill="CFF0FC"/>
          </w:tcPr>
          <w:p>
            <w:pPr>
              <w:spacing w:after="0"/>
              <w:rPr>
                <w:sz w:val="18"/>
                <w:szCs w:val="18"/>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22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20" w:type="dxa"/>
            <w:vAlign w:val="bottom"/>
            <w:tcBorders>
              <w:bottom w:val="single" w:sz="8" w:color="CFF0FC"/>
            </w:tcBorders>
            <w:shd w:val="clear" w:color="auto" w:fill="CFF0FC"/>
          </w:tcPr>
          <w:p>
            <w:pPr>
              <w:spacing w:after="0"/>
              <w:rPr>
                <w:sz w:val="18"/>
                <w:szCs w:val="18"/>
                <w:color w:val="auto"/>
              </w:rPr>
            </w:pPr>
          </w:p>
        </w:tc>
        <w:tc>
          <w:tcPr>
            <w:tcW w:w="260" w:type="dxa"/>
            <w:vAlign w:val="bottom"/>
            <w:tcBorders>
              <w:bottom w:val="single" w:sz="8" w:color="auto"/>
            </w:tcBorders>
            <w:shd w:val="clear" w:color="auto" w:fill="CFF0FC"/>
          </w:tcPr>
          <w:p>
            <w:pPr>
              <w:spacing w:after="0"/>
              <w:rPr>
                <w:sz w:val="18"/>
                <w:szCs w:val="18"/>
                <w:color w:val="auto"/>
              </w:rPr>
            </w:pP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240" w:type="dxa"/>
            <w:vAlign w:val="bottom"/>
            <w:tcBorders>
              <w:bottom w:val="single" w:sz="8" w:color="CFF0FC"/>
            </w:tcBorders>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5720" w:type="dxa"/>
            <w:vAlign w:val="bottom"/>
          </w:tcPr>
          <w:p>
            <w:pPr>
              <w:spacing w:after="0"/>
              <w:rPr>
                <w:sz w:val="18"/>
                <w:szCs w:val="18"/>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10,802</w:t>
            </w:r>
          </w:p>
        </w:tc>
        <w:tc>
          <w:tcPr>
            <w:tcW w:w="58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10,674</w:t>
            </w:r>
          </w:p>
        </w:tc>
        <w:tc>
          <w:tcPr>
            <w:tcW w:w="4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21,808</w:t>
            </w:r>
          </w:p>
        </w:tc>
        <w:tc>
          <w:tcPr>
            <w:tcW w:w="60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21,576</w:t>
            </w:r>
          </w:p>
        </w:tc>
        <w:tc>
          <w:tcPr>
            <w:tcW w:w="100" w:type="dxa"/>
            <w:vAlign w:val="bottom"/>
          </w:tcPr>
          <w:p>
            <w:pPr>
              <w:spacing w:after="0"/>
              <w:rPr>
                <w:sz w:val="18"/>
                <w:szCs w:val="18"/>
                <w:color w:val="auto"/>
              </w:rPr>
            </w:pPr>
          </w:p>
        </w:tc>
      </w:tr>
      <w:tr>
        <w:trPr>
          <w:trHeight w:val="20"/>
        </w:trPr>
        <w:tc>
          <w:tcPr>
            <w:tcW w:w="57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5720" w:type="dxa"/>
            <w:vAlign w:val="bottom"/>
            <w:shd w:val="clear" w:color="auto" w:fill="CFF0FC"/>
          </w:tcPr>
          <w:p>
            <w:pPr>
              <w:ind w:left="20"/>
              <w:spacing w:after="0" w:line="196" w:lineRule="exact"/>
              <w:rPr>
                <w:sz w:val="20"/>
                <w:szCs w:val="20"/>
                <w:color w:val="auto"/>
              </w:rPr>
            </w:pPr>
            <w:r>
              <w:rPr>
                <w:rFonts w:ascii="Times New Roman" w:cs="Times New Roman" w:eastAsia="Times New Roman" w:hAnsi="Times New Roman"/>
                <w:sz w:val="18"/>
                <w:szCs w:val="18"/>
                <w:color w:val="auto"/>
              </w:rPr>
              <w:t>Amortization:</w:t>
            </w:r>
          </w:p>
        </w:tc>
        <w:tc>
          <w:tcPr>
            <w:tcW w:w="24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9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82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9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16"/>
        </w:trPr>
        <w:tc>
          <w:tcPr>
            <w:tcW w:w="57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1,316</w:t>
            </w:r>
          </w:p>
        </w:tc>
        <w:tc>
          <w:tcPr>
            <w:tcW w:w="580" w:type="dxa"/>
            <w:vAlign w:val="bottom"/>
            <w:gridSpan w:val="2"/>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1,439</w:t>
            </w:r>
          </w:p>
        </w:tc>
        <w:tc>
          <w:tcPr>
            <w:tcW w:w="480" w:type="dxa"/>
            <w:vAlign w:val="bottom"/>
            <w:gridSpan w:val="2"/>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2,495</w:t>
            </w:r>
          </w:p>
        </w:tc>
        <w:tc>
          <w:tcPr>
            <w:tcW w:w="60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2,469</w:t>
            </w:r>
          </w:p>
        </w:tc>
        <w:tc>
          <w:tcPr>
            <w:tcW w:w="100" w:type="dxa"/>
            <w:vAlign w:val="bottom"/>
          </w:tcPr>
          <w:p>
            <w:pPr>
              <w:spacing w:after="0"/>
              <w:rPr>
                <w:sz w:val="18"/>
                <w:szCs w:val="18"/>
                <w:color w:val="auto"/>
              </w:rPr>
            </w:pPr>
          </w:p>
        </w:tc>
      </w:tr>
      <w:tr>
        <w:trPr>
          <w:trHeight w:val="216"/>
        </w:trPr>
        <w:tc>
          <w:tcPr>
            <w:tcW w:w="57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22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122</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252</w:t>
            </w:r>
          </w:p>
        </w:tc>
        <w:tc>
          <w:tcPr>
            <w:tcW w:w="100" w:type="dxa"/>
            <w:vAlign w:val="bottom"/>
            <w:shd w:val="clear" w:color="auto" w:fill="CFF0FC"/>
          </w:tcPr>
          <w:p>
            <w:pPr>
              <w:spacing w:after="0"/>
              <w:rPr>
                <w:sz w:val="18"/>
                <w:szCs w:val="18"/>
                <w:color w:val="auto"/>
              </w:rPr>
            </w:pPr>
          </w:p>
        </w:tc>
      </w:tr>
      <w:tr>
        <w:trPr>
          <w:trHeight w:val="216"/>
        </w:trPr>
        <w:tc>
          <w:tcPr>
            <w:tcW w:w="57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1,038</w:t>
            </w:r>
          </w:p>
        </w:tc>
        <w:tc>
          <w:tcPr>
            <w:tcW w:w="22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1,098</w:t>
            </w: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2,080</w:t>
            </w:r>
          </w:p>
        </w:tc>
        <w:tc>
          <w:tcPr>
            <w:tcW w:w="24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2,213</w:t>
            </w:r>
          </w:p>
        </w:tc>
        <w:tc>
          <w:tcPr>
            <w:tcW w:w="100" w:type="dxa"/>
            <w:vAlign w:val="bottom"/>
          </w:tcPr>
          <w:p>
            <w:pPr>
              <w:spacing w:after="0"/>
              <w:rPr>
                <w:sz w:val="18"/>
                <w:szCs w:val="18"/>
                <w:color w:val="auto"/>
              </w:rPr>
            </w:pPr>
          </w:p>
        </w:tc>
      </w:tr>
      <w:tr>
        <w:trPr>
          <w:trHeight w:val="249"/>
        </w:trPr>
        <w:tc>
          <w:tcPr>
            <w:tcW w:w="57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2,405</w:t>
            </w:r>
          </w:p>
        </w:tc>
        <w:tc>
          <w:tcPr>
            <w:tcW w:w="22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2,659</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4,678</w:t>
            </w:r>
          </w:p>
        </w:tc>
        <w:tc>
          <w:tcPr>
            <w:tcW w:w="24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4,934</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196"/>
        </w:trPr>
        <w:tc>
          <w:tcPr>
            <w:tcW w:w="5720" w:type="dxa"/>
            <w:vAlign w:val="bottom"/>
          </w:tcPr>
          <w:p>
            <w:pPr>
              <w:ind w:left="20"/>
              <w:spacing w:after="0" w:line="196" w:lineRule="exact"/>
              <w:rPr>
                <w:sz w:val="20"/>
                <w:szCs w:val="20"/>
                <w:color w:val="auto"/>
              </w:rPr>
            </w:pPr>
            <w:r>
              <w:rPr>
                <w:rFonts w:ascii="Times New Roman" w:cs="Times New Roman" w:eastAsia="Times New Roman" w:hAnsi="Times New Roman"/>
                <w:sz w:val="18"/>
                <w:szCs w:val="18"/>
                <w:color w:val="auto"/>
              </w:rPr>
              <w:t>Capital expenditures:</w:t>
            </w:r>
          </w:p>
        </w:tc>
        <w:tc>
          <w:tcPr>
            <w:tcW w:w="2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57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Pursuit</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17,219</w:t>
            </w:r>
          </w:p>
        </w:tc>
        <w:tc>
          <w:tcPr>
            <w:tcW w:w="580" w:type="dxa"/>
            <w:vAlign w:val="bottom"/>
            <w:gridSpan w:val="2"/>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14,396</w:t>
            </w:r>
          </w:p>
        </w:tc>
        <w:tc>
          <w:tcPr>
            <w:tcW w:w="48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28,710</w:t>
            </w:r>
          </w:p>
        </w:tc>
        <w:tc>
          <w:tcPr>
            <w:tcW w:w="600" w:type="dxa"/>
            <w:vAlign w:val="bottom"/>
            <w:gridSpan w:val="2"/>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23,619</w:t>
            </w:r>
          </w:p>
        </w:tc>
        <w:tc>
          <w:tcPr>
            <w:tcW w:w="100" w:type="dxa"/>
            <w:vAlign w:val="bottom"/>
            <w:shd w:val="clear" w:color="auto" w:fill="CFF0FC"/>
          </w:tcPr>
          <w:p>
            <w:pPr>
              <w:spacing w:after="0"/>
              <w:rPr>
                <w:sz w:val="18"/>
                <w:szCs w:val="18"/>
                <w:color w:val="auto"/>
              </w:rPr>
            </w:pPr>
          </w:p>
        </w:tc>
      </w:tr>
      <w:tr>
        <w:trPr>
          <w:trHeight w:val="216"/>
        </w:trPr>
        <w:tc>
          <w:tcPr>
            <w:tcW w:w="57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442</w:t>
            </w:r>
          </w:p>
        </w:tc>
        <w:tc>
          <w:tcPr>
            <w:tcW w:w="2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w:t>
            </w:r>
          </w:p>
        </w:tc>
        <w:tc>
          <w:tcPr>
            <w:tcW w:w="2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586</w:t>
            </w: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294</w:t>
            </w:r>
          </w:p>
        </w:tc>
        <w:tc>
          <w:tcPr>
            <w:tcW w:w="100" w:type="dxa"/>
            <w:vAlign w:val="bottom"/>
          </w:tcPr>
          <w:p>
            <w:pPr>
              <w:spacing w:after="0"/>
              <w:rPr>
                <w:sz w:val="18"/>
                <w:szCs w:val="18"/>
                <w:color w:val="auto"/>
              </w:rPr>
            </w:pPr>
          </w:p>
        </w:tc>
      </w:tr>
      <w:tr>
        <w:trPr>
          <w:trHeight w:val="216"/>
        </w:trPr>
        <w:tc>
          <w:tcPr>
            <w:tcW w:w="572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1,383</w:t>
            </w:r>
          </w:p>
        </w:tc>
        <w:tc>
          <w:tcPr>
            <w:tcW w:w="22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702</w:t>
            </w:r>
          </w:p>
        </w:tc>
        <w:tc>
          <w:tcPr>
            <w:tcW w:w="22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2,248</w:t>
            </w:r>
          </w:p>
        </w:tc>
        <w:tc>
          <w:tcPr>
            <w:tcW w:w="24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702</w:t>
            </w:r>
          </w:p>
        </w:tc>
        <w:tc>
          <w:tcPr>
            <w:tcW w:w="100" w:type="dxa"/>
            <w:vAlign w:val="bottom"/>
            <w:shd w:val="clear" w:color="auto" w:fill="CFF0FC"/>
          </w:tcPr>
          <w:p>
            <w:pPr>
              <w:spacing w:after="0"/>
              <w:rPr>
                <w:sz w:val="18"/>
                <w:szCs w:val="18"/>
                <w:color w:val="auto"/>
              </w:rPr>
            </w:pPr>
          </w:p>
        </w:tc>
      </w:tr>
      <w:tr>
        <w:trPr>
          <w:trHeight w:val="216"/>
        </w:trPr>
        <w:tc>
          <w:tcPr>
            <w:tcW w:w="57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Corporate and other</w:t>
            </w:r>
          </w:p>
        </w:tc>
        <w:tc>
          <w:tcPr>
            <w:tcW w:w="24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22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2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w:t>
            </w:r>
          </w:p>
        </w:tc>
        <w:tc>
          <w:tcPr>
            <w:tcW w:w="24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148</w:t>
            </w:r>
          </w:p>
        </w:tc>
        <w:tc>
          <w:tcPr>
            <w:tcW w:w="100" w:type="dxa"/>
            <w:vAlign w:val="bottom"/>
          </w:tcPr>
          <w:p>
            <w:pPr>
              <w:spacing w:after="0"/>
              <w:rPr>
                <w:sz w:val="18"/>
                <w:szCs w:val="18"/>
                <w:color w:val="auto"/>
              </w:rPr>
            </w:pPr>
          </w:p>
        </w:tc>
      </w:tr>
      <w:tr>
        <w:trPr>
          <w:trHeight w:val="249"/>
        </w:trPr>
        <w:tc>
          <w:tcPr>
            <w:tcW w:w="5720" w:type="dxa"/>
            <w:vAlign w:val="bottom"/>
            <w:tcBorders>
              <w:bottom w:val="single" w:sz="8" w:color="CFF0FC"/>
            </w:tcBorders>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19,069</w:t>
            </w:r>
          </w:p>
        </w:tc>
        <w:tc>
          <w:tcPr>
            <w:tcW w:w="22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15,392</w:t>
            </w:r>
          </w:p>
        </w:tc>
        <w:tc>
          <w:tcPr>
            <w:tcW w:w="22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31,639</w:t>
            </w:r>
          </w:p>
        </w:tc>
        <w:tc>
          <w:tcPr>
            <w:tcW w:w="24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24,763</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4328795</wp:posOffset>
            </wp:positionH>
            <wp:positionV relativeFrom="paragraph">
              <wp:posOffset>-1746250</wp:posOffset>
            </wp:positionV>
            <wp:extent cx="68580" cy="8255"/>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1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5279390</wp:posOffset>
            </wp:positionH>
            <wp:positionV relativeFrom="paragraph">
              <wp:posOffset>-1746250</wp:posOffset>
            </wp:positionV>
            <wp:extent cx="68580" cy="8255"/>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6109970</wp:posOffset>
            </wp:positionH>
            <wp:positionV relativeFrom="paragraph">
              <wp:posOffset>-1746250</wp:posOffset>
            </wp:positionV>
            <wp:extent cx="68580" cy="825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-1746250</wp:posOffset>
            </wp:positionV>
            <wp:extent cx="68580" cy="8255"/>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-881380</wp:posOffset>
            </wp:positionV>
            <wp:extent cx="68580" cy="8255"/>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-864235</wp:posOffset>
            </wp:positionV>
            <wp:extent cx="68580" cy="8255"/>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5279390</wp:posOffset>
            </wp:positionH>
            <wp:positionV relativeFrom="paragraph">
              <wp:posOffset>-881380</wp:posOffset>
            </wp:positionV>
            <wp:extent cx="68580" cy="8255"/>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5279390</wp:posOffset>
            </wp:positionH>
            <wp:positionV relativeFrom="paragraph">
              <wp:posOffset>-864235</wp:posOffset>
            </wp:positionV>
            <wp:extent cx="68580" cy="8255"/>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2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6109970</wp:posOffset>
            </wp:positionH>
            <wp:positionV relativeFrom="paragraph">
              <wp:posOffset>-881380</wp:posOffset>
            </wp:positionV>
            <wp:extent cx="68580" cy="8255"/>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2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6109970</wp:posOffset>
            </wp:positionH>
            <wp:positionV relativeFrom="paragraph">
              <wp:posOffset>-864235</wp:posOffset>
            </wp:positionV>
            <wp:extent cx="68580" cy="8255"/>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2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-881380</wp:posOffset>
            </wp:positionV>
            <wp:extent cx="68580" cy="8255"/>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2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-864235</wp:posOffset>
            </wp:positionV>
            <wp:extent cx="68580" cy="8255"/>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-24765</wp:posOffset>
            </wp:positionV>
            <wp:extent cx="68580" cy="8255"/>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4328795</wp:posOffset>
            </wp:positionH>
            <wp:positionV relativeFrom="paragraph">
              <wp:posOffset>-7620</wp:posOffset>
            </wp:positionV>
            <wp:extent cx="68580" cy="8255"/>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5279390</wp:posOffset>
            </wp:positionH>
            <wp:positionV relativeFrom="paragraph">
              <wp:posOffset>-24765</wp:posOffset>
            </wp:positionV>
            <wp:extent cx="68580" cy="8255"/>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2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5279390</wp:posOffset>
            </wp:positionH>
            <wp:positionV relativeFrom="paragraph">
              <wp:posOffset>-7620</wp:posOffset>
            </wp:positionV>
            <wp:extent cx="68580" cy="8255"/>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3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6109970</wp:posOffset>
            </wp:positionH>
            <wp:positionV relativeFrom="paragraph">
              <wp:posOffset>-24765</wp:posOffset>
            </wp:positionV>
            <wp:extent cx="68580" cy="8255"/>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3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6109970</wp:posOffset>
            </wp:positionH>
            <wp:positionV relativeFrom="paragraph">
              <wp:posOffset>-7620</wp:posOffset>
            </wp:positionV>
            <wp:extent cx="68580" cy="8255"/>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3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34">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 asset information has been provided for our reportable segments as our CODM no longer reviews asset information by reportable segment.</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32" w:name="page33"/>
    <w:bookmarkEnd w:id="32"/>
    <w:p>
      <w:pPr>
        <w:ind w:right="1360"/>
        <w:spacing w:after="0" w:line="369" w:lineRule="auto"/>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 Forward-Looking Statements</w:t>
      </w:r>
    </w:p>
    <w:p>
      <w:pPr>
        <w:spacing w:after="0" w:line="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7"/>
          <w:szCs w:val="17"/>
          <w:color w:val="auto"/>
        </w:rPr>
        <w:t>This Quarterly Report on Form 10-Q (this “Form 10-Q”) contains a number of forward-looking statements within the meaning of the Private Securities Litigation Reform Act of 1995. Words, and variations of words, such as “will,” “may,” “expect,” “would,” “could,” “might,” “intend,” “plan,” “believe,” “estimate,” “anticipate,” “deliver,” “seek,” “aim,” “potential,” “target,” “outlook,” and similar expressions are intended to identify our forward-looking statements. Similarly, statements that describe our business strategy, outlook, objectives, plans, initiatives, intentions, or goals also are forward-looking statements. These forward-looking statements are not historical facts and are subject to a host of risks and uncertainties, many of which are beyond our control, which could cause actual results to differ materially from those in the forward-looking statements contained in this Quarterly Report on Form 10-Q. Such risks, uncertainties and other important factors include, among others: the factors set forth under “Risk Factors” (Part I, Item 1A) and “Management’s Discussion and Analysis of Financial Condition and Results of Operations” (Part II, Item 7) in our 2021 Form 10-K filed with the SEC, as may be updated elsewhere in this report; and the information set forth in other Quarterly Reports on Form 10-Q and Current Reports on Form 8-K that we have filed or will file with the SEC. Such risks, uncertainties, and other important factors include, among others: the short- and longer-term effects of the COVID-19 pandemic, including the demand for travel, event business and travel experiences, and levels of consumer confidence; actions that governments, businesses, and individuals take in response to the COVID-19 pandemic or any future resurgence, including limiting or banning travel; the impact of the COVID-19 pandemic, or any future resurgence, on global and regional economies, travel, and economic activity, including the duration and magnitude of its impact on unemployment rates and consumer discretionary spending; and the pace of recovery following the COVID-19 pandemic or any future resurgence.</w:t>
      </w:r>
    </w:p>
    <w:p>
      <w:pPr>
        <w:spacing w:after="0" w:line="117"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Important factors that could cause actual results to differ materially from those described in our forward-looking statements include, but are not limited to, the following:</w:t>
      </w:r>
    </w:p>
    <w:p>
      <w:pPr>
        <w:spacing w:after="0" w:line="41" w:lineRule="exact"/>
        <w:rPr>
          <w:sz w:val="20"/>
          <w:szCs w:val="20"/>
          <w:color w:val="auto"/>
        </w:rPr>
      </w:pPr>
    </w:p>
    <w:p>
      <w:pPr>
        <w:ind w:left="760" w:hanging="378"/>
        <w:spacing w:after="0"/>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of the COVID-19 pandemic on our financial condition, liquidity, and cash flow;</w:t>
      </w:r>
    </w:p>
    <w:p>
      <w:pPr>
        <w:spacing w:after="0" w:line="15" w:lineRule="exact"/>
        <w:rPr>
          <w:rFonts w:ascii="Times New Roman" w:cs="Times New Roman" w:eastAsia="Times New Roman" w:hAnsi="Times New Roman"/>
          <w:sz w:val="18"/>
          <w:szCs w:val="18"/>
          <w:color w:val="auto"/>
        </w:rPr>
      </w:pPr>
    </w:p>
    <w:p>
      <w:pPr>
        <w:ind w:left="760" w:hanging="378"/>
        <w:spacing w:after="0"/>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anticipate and adjust for the impact of the COVID-19 pandemic on our businesses;</w:t>
      </w:r>
    </w:p>
    <w:p>
      <w:pPr>
        <w:spacing w:after="0" w:line="7" w:lineRule="exact"/>
        <w:rPr>
          <w:rFonts w:ascii="Times New Roman" w:cs="Times New Roman" w:eastAsia="Times New Roman" w:hAnsi="Times New Roman"/>
          <w:sz w:val="18"/>
          <w:szCs w:val="18"/>
          <w:color w:val="auto"/>
        </w:rPr>
      </w:pPr>
    </w:p>
    <w:p>
      <w:pPr>
        <w:ind w:left="760" w:hanging="378"/>
        <w:spacing w:after="0" w:line="236"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uncertainty in key global markets and a worsening of global economic conditions;</w:t>
      </w:r>
    </w:p>
    <w:p>
      <w:pPr>
        <w:ind w:left="760" w:hanging="378"/>
        <w:spacing w:after="0" w:line="234"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travel industry disruptions;</w:t>
      </w:r>
    </w:p>
    <w:p>
      <w:pPr>
        <w:ind w:left="760" w:hanging="378"/>
        <w:spacing w:after="0"/>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seasonality of our businesses;</w:t>
      </w:r>
    </w:p>
    <w:p>
      <w:pPr>
        <w:spacing w:after="0" w:line="7" w:lineRule="exact"/>
        <w:rPr>
          <w:rFonts w:ascii="Times New Roman" w:cs="Times New Roman" w:eastAsia="Times New Roman" w:hAnsi="Times New Roman"/>
          <w:sz w:val="18"/>
          <w:szCs w:val="18"/>
          <w:color w:val="auto"/>
        </w:rPr>
      </w:pPr>
    </w:p>
    <w:p>
      <w:pPr>
        <w:ind w:left="760" w:right="640" w:hanging="378"/>
        <w:spacing w:after="0" w:line="235"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unanticipated delays and cost overruns of our capital projects, and our ability to achieve established financial and strategic goals for such projects;</w:t>
      </w:r>
    </w:p>
    <w:p>
      <w:pPr>
        <w:ind w:left="760" w:hanging="378"/>
        <w:spacing w:after="0" w:line="234"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exposure to labor shortages, turnover, and labor cost increases;</w:t>
      </w:r>
    </w:p>
    <w:p>
      <w:pPr>
        <w:ind w:left="760" w:hanging="378"/>
        <w:spacing w:after="0"/>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importance of key members of our account teams to our business relationships;</w:t>
      </w:r>
    </w:p>
    <w:p>
      <w:pPr>
        <w:spacing w:after="0" w:line="7" w:lineRule="exact"/>
        <w:rPr>
          <w:rFonts w:ascii="Times New Roman" w:cs="Times New Roman" w:eastAsia="Times New Roman" w:hAnsi="Times New Roman"/>
          <w:sz w:val="18"/>
          <w:szCs w:val="18"/>
          <w:color w:val="auto"/>
        </w:rPr>
      </w:pPr>
    </w:p>
    <w:p>
      <w:pPr>
        <w:ind w:left="760" w:hanging="378"/>
        <w:spacing w:after="0" w:line="236"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competitive nature of the industries in which we operate;</w:t>
      </w:r>
    </w:p>
    <w:p>
      <w:pPr>
        <w:ind w:left="760" w:hanging="378"/>
        <w:spacing w:after="0" w:line="234"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dependence on large exhibition event clients;</w:t>
      </w:r>
    </w:p>
    <w:p>
      <w:pPr>
        <w:ind w:left="760" w:hanging="378"/>
        <w:spacing w:after="0"/>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adverse effects of show rotation on our periodic results and operating margins;</w:t>
      </w:r>
    </w:p>
    <w:p>
      <w:pPr>
        <w:spacing w:after="0" w:line="7" w:lineRule="exact"/>
        <w:rPr>
          <w:rFonts w:ascii="Times New Roman" w:cs="Times New Roman" w:eastAsia="Times New Roman" w:hAnsi="Times New Roman"/>
          <w:sz w:val="18"/>
          <w:szCs w:val="18"/>
          <w:color w:val="auto"/>
        </w:rPr>
      </w:pPr>
    </w:p>
    <w:p>
      <w:pPr>
        <w:ind w:left="760" w:hanging="378"/>
        <w:spacing w:after="0" w:line="236"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transportation disruptions and increases in transportation costs;</w:t>
      </w:r>
    </w:p>
    <w:p>
      <w:pPr>
        <w:ind w:left="760" w:hanging="378"/>
        <w:spacing w:after="0" w:line="234"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natural disasters, weather conditions, accidents, and other catastrophic events;</w:t>
      </w:r>
    </w:p>
    <w:p>
      <w:pPr>
        <w:ind w:left="760" w:hanging="378"/>
        <w:spacing w:after="0"/>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exposure to labor cost increases and work stoppages related to unionized employees;</w:t>
      </w:r>
    </w:p>
    <w:p>
      <w:pPr>
        <w:spacing w:after="0" w:line="7" w:lineRule="exact"/>
        <w:rPr>
          <w:rFonts w:ascii="Times New Roman" w:cs="Times New Roman" w:eastAsia="Times New Roman" w:hAnsi="Times New Roman"/>
          <w:sz w:val="18"/>
          <w:szCs w:val="18"/>
          <w:color w:val="auto"/>
        </w:rPr>
      </w:pPr>
    </w:p>
    <w:p>
      <w:pPr>
        <w:ind w:left="760" w:hanging="378"/>
        <w:spacing w:after="0" w:line="236"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multi-employer pension plan funding obligations;</w:t>
      </w:r>
    </w:p>
    <w:p>
      <w:pPr>
        <w:ind w:left="760" w:hanging="378"/>
        <w:spacing w:after="0" w:line="234"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successfully integrate and achieve established financial and strategic goals from acquisitions;</w:t>
      </w:r>
    </w:p>
    <w:p>
      <w:pPr>
        <w:ind w:left="760" w:hanging="378"/>
        <w:spacing w:after="0"/>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exposure to cybersecurity attacks and threats;</w:t>
      </w:r>
    </w:p>
    <w:p>
      <w:pPr>
        <w:spacing w:after="0" w:line="7" w:lineRule="exact"/>
        <w:rPr>
          <w:rFonts w:ascii="Times New Roman" w:cs="Times New Roman" w:eastAsia="Times New Roman" w:hAnsi="Times New Roman"/>
          <w:sz w:val="18"/>
          <w:szCs w:val="18"/>
          <w:color w:val="auto"/>
        </w:rPr>
      </w:pPr>
    </w:p>
    <w:p>
      <w:pPr>
        <w:ind w:left="760" w:hanging="378"/>
        <w:spacing w:after="0" w:line="236"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exposure to currency exchange rate fluctuations;</w:t>
      </w:r>
    </w:p>
    <w:p>
      <w:pPr>
        <w:ind w:left="760" w:hanging="378"/>
        <w:spacing w:after="0" w:line="234"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liabilities relating to prior and discontinued operations; and</w:t>
      </w:r>
    </w:p>
    <w:p>
      <w:pPr>
        <w:ind w:left="760" w:right="340" w:hanging="378"/>
        <w:spacing w:after="0" w:line="258" w:lineRule="auto"/>
        <w:tabs>
          <w:tab w:leader="none" w:pos="7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laws governing the storage, collection, handling, and transfer of personal data and our exposure to legal claims and fines for data breaches or improper handling of such data.</w:t>
      </w:r>
    </w:p>
    <w:p>
      <w:pPr>
        <w:spacing w:after="0" w:line="101"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For a more complete discussion of the risks and uncertainties that may affect our business or financial results, refer to “Risk Factors” (Part I, Item 1A) of our 2021 Form 10-K. We disclaim and do not undertake any obligation to update or revise any forward-looking statement except as required by applicable law or regulation.</w:t>
      </w:r>
    </w:p>
    <w:p>
      <w:pPr>
        <w:spacing w:after="0" w:line="129"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18"/>
          <w:szCs w:val="18"/>
          <w:color w:val="auto"/>
        </w:rPr>
        <w:t>The following Management’s Discussion and Analysis (“MD&amp;A”) should be read in conjunction with our 2021 Form 10-K and the condensed consolidated financial statements and related notes included in this Form 10-Q. The MD&amp;A is intended to assist in understanding our financial condition and results of operations.</w:t>
      </w:r>
    </w:p>
    <w:p>
      <w:pPr>
        <w:spacing w:after="0" w:line="1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21" w:lineRule="exact"/>
        <w:rPr>
          <w:sz w:val="20"/>
          <w:szCs w:val="20"/>
          <w:color w:val="auto"/>
        </w:rPr>
      </w:pPr>
    </w:p>
    <w:p>
      <w:pPr>
        <w:jc w:val="both"/>
        <w:ind w:right="60"/>
        <w:spacing w:after="0" w:line="258" w:lineRule="auto"/>
        <w:rPr>
          <w:sz w:val="20"/>
          <w:szCs w:val="20"/>
          <w:color w:val="auto"/>
        </w:rPr>
      </w:pPr>
      <w:r>
        <w:rPr>
          <w:rFonts w:ascii="Times New Roman" w:cs="Times New Roman" w:eastAsia="Times New Roman" w:hAnsi="Times New Roman"/>
          <w:sz w:val="18"/>
          <w:szCs w:val="18"/>
          <w:color w:val="auto"/>
        </w:rPr>
        <w:t>We are a leading global provider of extraordinary experiences, including hospitality and leisure activities, experiential marketing, and live events. During the first quarter of 2022, we rebranded GES’ brand experiences business and introduced Spiro to the market to accelerate our growth by servicing the changing needs of today’s brand marketers across a broader spectrum of their experiential marketing needs.</w:t>
      </w:r>
    </w:p>
    <w:p>
      <w:pPr>
        <w:spacing w:after="0" w:line="115" w:lineRule="exact"/>
        <w:rPr>
          <w:sz w:val="20"/>
          <w:szCs w:val="20"/>
          <w:color w:val="auto"/>
        </w:rPr>
      </w:pPr>
    </w:p>
    <w:p>
      <w:pPr>
        <w:jc w:val="both"/>
        <w:ind w:right="60"/>
        <w:spacing w:after="0" w:line="266" w:lineRule="auto"/>
        <w:rPr>
          <w:sz w:val="20"/>
          <w:szCs w:val="20"/>
          <w:color w:val="auto"/>
        </w:rPr>
      </w:pPr>
      <w:r>
        <w:rPr>
          <w:rFonts w:ascii="Times New Roman" w:cs="Times New Roman" w:eastAsia="Times New Roman" w:hAnsi="Times New Roman"/>
          <w:sz w:val="18"/>
          <w:szCs w:val="18"/>
          <w:color w:val="auto"/>
        </w:rPr>
        <w:t>We operate through three reportable segments: Pursuit, Spiro, and GES Exhibitions. The Spiro and GES Exhibitions reportable segments are both live event businesses, and are collectively referred to as “GES.”</w:t>
      </w: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COVID-19 Pandemic</w:t>
      </w:r>
    </w:p>
    <w:p>
      <w:pPr>
        <w:spacing w:after="0" w:line="107" w:lineRule="exact"/>
        <w:rPr>
          <w:sz w:val="20"/>
          <w:szCs w:val="20"/>
          <w:color w:val="auto"/>
        </w:rPr>
      </w:pPr>
    </w:p>
    <w:p>
      <w:pPr>
        <w:jc w:val="both"/>
        <w:ind w:right="60"/>
        <w:spacing w:after="0" w:line="243" w:lineRule="auto"/>
        <w:rPr>
          <w:sz w:val="20"/>
          <w:szCs w:val="20"/>
          <w:color w:val="auto"/>
        </w:rPr>
      </w:pPr>
      <w:r>
        <w:rPr>
          <w:rFonts w:ascii="Times New Roman" w:cs="Times New Roman" w:eastAsia="Times New Roman" w:hAnsi="Times New Roman"/>
          <w:sz w:val="18"/>
          <w:szCs w:val="18"/>
          <w:color w:val="auto"/>
        </w:rPr>
        <w:t>Starting in mid-March 2020, the COVID-19 pandemic created severe disruptions in the live event and tourism industries, and those disruptions had a significant and negative impact on our operations and financial performance. We are not able to fully estimate the future impact of the pandemic on our business due to the evolving and uncertain nature of COVID-19, including the scope and magnitude of variants, infections and hospitalization rates, and any related government restrictions on travel or in-person events. We will continue to evaluate and implement additional actions necessary to mitigate the negative financial and operational impact of COVID-19 on our business. For a discussion of COVID-19 related risks and uncertainties that may affect our business, refer to “Risk Factors” (Part I, Item 1A) of our 2021 Form 10-K.</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Seasonality</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Pursuit’s peak activity occurs during the summer months. During 2021, 82% of Pursuit’s revenue was earned in the second and third quarters.</w:t>
      </w:r>
    </w:p>
    <w:p>
      <w:pPr>
        <w:spacing w:after="0" w:line="157" w:lineRule="exact"/>
        <w:rPr>
          <w:sz w:val="20"/>
          <w:szCs w:val="20"/>
          <w:color w:val="auto"/>
        </w:rPr>
      </w:pPr>
    </w:p>
    <w:p>
      <w:pPr>
        <w:jc w:val="both"/>
        <w:ind w:right="60"/>
        <w:spacing w:after="0" w:line="250" w:lineRule="auto"/>
        <w:rPr>
          <w:sz w:val="20"/>
          <w:szCs w:val="20"/>
          <w:color w:val="auto"/>
        </w:rPr>
      </w:pPr>
      <w:r>
        <w:rPr>
          <w:rFonts w:ascii="Times New Roman" w:cs="Times New Roman" w:eastAsia="Times New Roman" w:hAnsi="Times New Roman"/>
          <w:sz w:val="18"/>
          <w:szCs w:val="18"/>
          <w:color w:val="auto"/>
        </w:rPr>
        <w:t>GES’ live event activity can vary significantly from quarter to quarter and year to year depending on the frequency and timing of shows. Some shows are not held annually and some shift between quarters. Show rotation refers to shows that occur less frequently than annually, as well as annual shows that shift quarters from one year to the next. During the first half of 2022, we saw an acceleration in the recovery of in-person trade shows as event organizers began to hold larger-scale face-to-face live events amid the COVID-19 pandemic.</w:t>
      </w: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3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Financial Highlights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4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180" w:type="dxa"/>
            <w:vAlign w:val="bottom"/>
            <w:gridSpan w:val="5"/>
          </w:tcPr>
          <w:p>
            <w:pPr>
              <w:jc w:val="right"/>
              <w:ind w:right="64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140" w:type="dxa"/>
            <w:vAlign w:val="bottom"/>
            <w:gridSpan w:val="5"/>
          </w:tcPr>
          <w:p>
            <w:pPr>
              <w:jc w:val="right"/>
              <w:ind w:right="70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187"/>
        </w:trPr>
        <w:tc>
          <w:tcPr>
            <w:tcW w:w="43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7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74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r>
      <w:tr>
        <w:trPr>
          <w:trHeight w:val="131"/>
        </w:trPr>
        <w:tc>
          <w:tcPr>
            <w:tcW w:w="4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ind w:left="420"/>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60" w:type="dxa"/>
            <w:vAlign w:val="bottom"/>
          </w:tcPr>
          <w:p>
            <w:pPr>
              <w:jc w:val="right"/>
              <w:ind w:right="336"/>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r>
      <w:tr>
        <w:trPr>
          <w:trHeight w:val="187"/>
        </w:trPr>
        <w:tc>
          <w:tcPr>
            <w:tcW w:w="4340" w:type="dxa"/>
            <w:vAlign w:val="bottom"/>
          </w:tcPr>
          <w:p>
            <w:pPr>
              <w:ind w:left="20"/>
              <w:spacing w:after="0"/>
              <w:rPr>
                <w:sz w:val="20"/>
                <w:szCs w:val="20"/>
                <w:color w:val="auto"/>
              </w:rPr>
            </w:pPr>
            <w:r>
              <w:rPr>
                <w:rFonts w:ascii="Times New Roman" w:cs="Times New Roman" w:eastAsia="Times New Roman" w:hAnsi="Times New Roman"/>
                <w:sz w:val="14"/>
                <w:szCs w:val="14"/>
                <w:b w:val="1"/>
                <w:bCs w:val="1"/>
                <w:i w:val="1"/>
                <w:iCs w:val="1"/>
                <w:color w:val="auto"/>
              </w:rPr>
              <w:t>(in thousands, except per share data)</w:t>
            </w:r>
          </w:p>
        </w:tc>
        <w:tc>
          <w:tcPr>
            <w:tcW w:w="200" w:type="dxa"/>
            <w:vAlign w:val="bottom"/>
          </w:tcPr>
          <w:p>
            <w:pPr>
              <w:spacing w:after="0"/>
              <w:rPr>
                <w:sz w:val="16"/>
                <w:szCs w:val="16"/>
                <w:color w:val="auto"/>
              </w:rPr>
            </w:pPr>
          </w:p>
        </w:tc>
        <w:tc>
          <w:tcPr>
            <w:tcW w:w="680" w:type="dxa"/>
            <w:vAlign w:val="bottom"/>
          </w:tcPr>
          <w:p>
            <w:pPr>
              <w:jc w:val="right"/>
              <w:ind w:right="198"/>
              <w:spacing w:after="0"/>
              <w:rPr>
                <w:sz w:val="20"/>
                <w:szCs w:val="20"/>
                <w:color w:val="auto"/>
              </w:rPr>
            </w:pPr>
            <w:r>
              <w:rPr>
                <w:rFonts w:ascii="Times New Roman" w:cs="Times New Roman" w:eastAsia="Times New Roman" w:hAnsi="Times New Roman"/>
                <w:sz w:val="14"/>
                <w:szCs w:val="14"/>
                <w:b w:val="1"/>
                <w:bCs w:val="1"/>
                <w:color w:val="auto"/>
              </w:rPr>
              <w:t>2022</w:t>
            </w: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40" w:type="dxa"/>
            <w:vAlign w:val="bottom"/>
          </w:tcPr>
          <w:p>
            <w:pPr>
              <w:jc w:val="right"/>
              <w:ind w:right="274"/>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6"/>
                <w:szCs w:val="16"/>
                <w:color w:val="auto"/>
              </w:rPr>
            </w:pPr>
          </w:p>
        </w:tc>
        <w:tc>
          <w:tcPr>
            <w:tcW w:w="1120" w:type="dxa"/>
            <w:vAlign w:val="bottom"/>
            <w:gridSpan w:val="2"/>
          </w:tcPr>
          <w:p>
            <w:pPr>
              <w:ind w:left="280"/>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200" w:type="dxa"/>
            <w:vAlign w:val="bottom"/>
          </w:tcPr>
          <w:p>
            <w:pPr>
              <w:spacing w:after="0"/>
              <w:rPr>
                <w:sz w:val="16"/>
                <w:szCs w:val="16"/>
                <w:color w:val="auto"/>
              </w:rPr>
            </w:pPr>
          </w:p>
        </w:tc>
        <w:tc>
          <w:tcPr>
            <w:tcW w:w="680" w:type="dxa"/>
            <w:vAlign w:val="bottom"/>
          </w:tcPr>
          <w:p>
            <w:pPr>
              <w:jc w:val="right"/>
              <w:ind w:right="218"/>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40" w:type="dxa"/>
            <w:vAlign w:val="bottom"/>
          </w:tcPr>
          <w:p>
            <w:pPr>
              <w:jc w:val="right"/>
              <w:ind w:right="294"/>
              <w:spacing w:after="0"/>
              <w:rPr>
                <w:sz w:val="20"/>
                <w:szCs w:val="20"/>
                <w:color w:val="auto"/>
              </w:rPr>
            </w:pPr>
            <w:r>
              <w:rPr>
                <w:rFonts w:ascii="Times New Roman" w:cs="Times New Roman" w:eastAsia="Times New Roman" w:hAnsi="Times New Roman"/>
                <w:sz w:val="14"/>
                <w:szCs w:val="14"/>
                <w:b w:val="1"/>
                <w:bCs w:val="1"/>
                <w:color w:val="auto"/>
              </w:rPr>
              <w:t>2021</w:t>
            </w:r>
          </w:p>
        </w:tc>
        <w:tc>
          <w:tcPr>
            <w:tcW w:w="200" w:type="dxa"/>
            <w:vAlign w:val="bottom"/>
          </w:tcPr>
          <w:p>
            <w:pPr>
              <w:spacing w:after="0"/>
              <w:rPr>
                <w:sz w:val="16"/>
                <w:szCs w:val="16"/>
                <w:color w:val="auto"/>
              </w:rPr>
            </w:pPr>
          </w:p>
        </w:tc>
        <w:tc>
          <w:tcPr>
            <w:tcW w:w="1120" w:type="dxa"/>
            <w:vAlign w:val="bottom"/>
            <w:gridSpan w:val="3"/>
          </w:tcPr>
          <w:p>
            <w:pPr>
              <w:jc w:val="right"/>
              <w:ind w:right="400"/>
              <w:spacing w:after="0"/>
              <w:rPr>
                <w:sz w:val="20"/>
                <w:szCs w:val="20"/>
                <w:color w:val="auto"/>
              </w:rPr>
            </w:pPr>
            <w:r>
              <w:rPr>
                <w:rFonts w:ascii="Times New Roman" w:cs="Times New Roman" w:eastAsia="Times New Roman" w:hAnsi="Times New Roman"/>
                <w:sz w:val="14"/>
                <w:szCs w:val="14"/>
                <w:b w:val="1"/>
                <w:bCs w:val="1"/>
                <w:color w:val="auto"/>
              </w:rPr>
              <w:t>Change</w:t>
            </w:r>
          </w:p>
        </w:tc>
      </w:tr>
      <w:tr>
        <w:trPr>
          <w:trHeight w:val="209"/>
        </w:trPr>
        <w:tc>
          <w:tcPr>
            <w:tcW w:w="43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Total revenue</w:t>
            </w:r>
          </w:p>
        </w:tc>
        <w:tc>
          <w:tcPr>
            <w:tcW w:w="20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319,203</w:t>
            </w:r>
          </w:p>
        </w:tc>
        <w:tc>
          <w:tcPr>
            <w:tcW w:w="240" w:type="dxa"/>
            <w:vAlign w:val="bottom"/>
            <w:shd w:val="clear" w:color="auto" w:fill="CFF0FC"/>
          </w:tcPr>
          <w:p>
            <w:pPr>
              <w:spacing w:after="0"/>
              <w:rPr>
                <w:sz w:val="18"/>
                <w:szCs w:val="18"/>
                <w:color w:val="auto"/>
              </w:rPr>
            </w:pPr>
          </w:p>
        </w:tc>
        <w:tc>
          <w:tcPr>
            <w:tcW w:w="300" w:type="dxa"/>
            <w:vAlign w:val="bottom"/>
            <w:tcBorders>
              <w:top w:val="single" w:sz="8" w:color="auto"/>
            </w:tcBorders>
            <w:shd w:val="clear" w:color="auto" w:fill="CFF0FC"/>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61,233</w:t>
            </w:r>
          </w:p>
        </w:tc>
        <w:tc>
          <w:tcPr>
            <w:tcW w:w="220" w:type="dxa"/>
            <w:vAlign w:val="bottom"/>
            <w:shd w:val="clear" w:color="auto" w:fill="CFF0FC"/>
          </w:tcPr>
          <w:p>
            <w:pPr>
              <w:spacing w:after="0"/>
              <w:rPr>
                <w:sz w:val="18"/>
                <w:szCs w:val="18"/>
                <w:color w:val="auto"/>
              </w:rPr>
            </w:pPr>
          </w:p>
        </w:tc>
        <w:tc>
          <w:tcPr>
            <w:tcW w:w="1020" w:type="dxa"/>
            <w:vAlign w:val="bottom"/>
            <w:tcBorders>
              <w:top w:val="single" w:sz="8" w:color="auto"/>
            </w:tcBorders>
            <w:shd w:val="clear" w:color="auto" w:fill="CFF0FC"/>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496,563</w:t>
            </w:r>
          </w:p>
        </w:tc>
        <w:tc>
          <w:tcPr>
            <w:tcW w:w="220" w:type="dxa"/>
            <w:vAlign w:val="bottom"/>
            <w:shd w:val="clear" w:color="auto" w:fill="CFF0FC"/>
          </w:tcPr>
          <w:p>
            <w:pPr>
              <w:spacing w:after="0"/>
              <w:rPr>
                <w:sz w:val="18"/>
                <w:szCs w:val="18"/>
                <w:color w:val="auto"/>
              </w:rPr>
            </w:pPr>
          </w:p>
        </w:tc>
        <w:tc>
          <w:tcPr>
            <w:tcW w:w="300" w:type="dxa"/>
            <w:vAlign w:val="bottom"/>
            <w:tcBorders>
              <w:top w:val="single" w:sz="8" w:color="auto"/>
            </w:tcBorders>
            <w:shd w:val="clear" w:color="auto" w:fill="CFF0FC"/>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90,168</w:t>
            </w:r>
          </w:p>
        </w:tc>
        <w:tc>
          <w:tcPr>
            <w:tcW w:w="200" w:type="dxa"/>
            <w:vAlign w:val="bottom"/>
            <w:shd w:val="clear" w:color="auto" w:fill="CFF0FC"/>
          </w:tcPr>
          <w:p>
            <w:pPr>
              <w:spacing w:after="0"/>
              <w:rPr>
                <w:sz w:val="18"/>
                <w:szCs w:val="18"/>
                <w:color w:val="auto"/>
              </w:rPr>
            </w:pPr>
          </w:p>
        </w:tc>
        <w:tc>
          <w:tcPr>
            <w:tcW w:w="960" w:type="dxa"/>
            <w:vAlign w:val="bottom"/>
            <w:tcBorders>
              <w:top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r>
      <w:tr>
        <w:trPr>
          <w:trHeight w:val="164"/>
        </w:trPr>
        <w:tc>
          <w:tcPr>
            <w:tcW w:w="4340" w:type="dxa"/>
            <w:vAlign w:val="bottom"/>
          </w:tcPr>
          <w:p>
            <w:pPr>
              <w:ind w:left="20"/>
              <w:spacing w:after="0" w:line="164" w:lineRule="exact"/>
              <w:rPr>
                <w:sz w:val="20"/>
                <w:szCs w:val="20"/>
                <w:color w:val="auto"/>
              </w:rPr>
            </w:pPr>
            <w:r>
              <w:rPr>
                <w:rFonts w:ascii="Times New Roman" w:cs="Times New Roman" w:eastAsia="Times New Roman" w:hAnsi="Times New Roman"/>
                <w:sz w:val="18"/>
                <w:szCs w:val="18"/>
                <w:color w:val="auto"/>
              </w:rPr>
              <w:t>Net income (loss) attributable to Viad</w:t>
            </w:r>
          </w:p>
        </w:tc>
        <w:tc>
          <w:tcPr>
            <w:tcW w:w="200" w:type="dxa"/>
            <w:vAlign w:val="bottom"/>
          </w:tcPr>
          <w:p>
            <w:pPr>
              <w:jc w:val="right"/>
              <w:spacing w:after="0" w:line="164" w:lineRule="exact"/>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spacing w:after="0" w:line="164" w:lineRule="exact"/>
              <w:rPr>
                <w:sz w:val="20"/>
                <w:szCs w:val="20"/>
                <w:color w:val="auto"/>
              </w:rPr>
            </w:pPr>
            <w:r>
              <w:rPr>
                <w:rFonts w:ascii="Times New Roman" w:cs="Times New Roman" w:eastAsia="Times New Roman" w:hAnsi="Times New Roman"/>
                <w:sz w:val="18"/>
                <w:szCs w:val="18"/>
                <w:color w:val="auto"/>
              </w:rPr>
              <w:t>19,839</w:t>
            </w:r>
          </w:p>
        </w:tc>
        <w:tc>
          <w:tcPr>
            <w:tcW w:w="540" w:type="dxa"/>
            <w:vAlign w:val="bottom"/>
            <w:gridSpan w:val="2"/>
          </w:tcPr>
          <w:p>
            <w:pPr>
              <w:jc w:val="right"/>
              <w:ind w:right="90"/>
              <w:spacing w:after="0" w:line="164" w:lineRule="exact"/>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140"/>
              <w:spacing w:after="0" w:line="164" w:lineRule="exact"/>
              <w:rPr>
                <w:sz w:val="20"/>
                <w:szCs w:val="20"/>
                <w:color w:val="auto"/>
              </w:rPr>
            </w:pPr>
            <w:r>
              <w:rPr>
                <w:rFonts w:ascii="Times New Roman" w:cs="Times New Roman" w:eastAsia="Times New Roman" w:hAnsi="Times New Roman"/>
                <w:sz w:val="18"/>
                <w:szCs w:val="18"/>
                <w:color w:val="auto"/>
              </w:rPr>
              <w:t>(42,026 )</w:t>
            </w:r>
          </w:p>
        </w:tc>
        <w:tc>
          <w:tcPr>
            <w:tcW w:w="1020" w:type="dxa"/>
            <w:vAlign w:val="bottom"/>
          </w:tcPr>
          <w:p>
            <w:pPr>
              <w:ind w:left="420"/>
              <w:spacing w:after="0" w:line="164"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4"/>
                <w:szCs w:val="14"/>
                <w:color w:val="auto"/>
              </w:rPr>
            </w:pPr>
          </w:p>
        </w:tc>
        <w:tc>
          <w:tcPr>
            <w:tcW w:w="200" w:type="dxa"/>
            <w:vAlign w:val="bottom"/>
          </w:tcPr>
          <w:p>
            <w:pPr>
              <w:jc w:val="right"/>
              <w:ind w:right="10"/>
              <w:spacing w:after="0" w:line="164" w:lineRule="exact"/>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ind w:right="140"/>
              <w:spacing w:after="0" w:line="164" w:lineRule="exact"/>
              <w:rPr>
                <w:sz w:val="20"/>
                <w:szCs w:val="20"/>
                <w:color w:val="auto"/>
              </w:rPr>
            </w:pPr>
            <w:r>
              <w:rPr>
                <w:rFonts w:ascii="Times New Roman" w:cs="Times New Roman" w:eastAsia="Times New Roman" w:hAnsi="Times New Roman"/>
                <w:sz w:val="18"/>
                <w:szCs w:val="18"/>
                <w:color w:val="auto"/>
              </w:rPr>
              <w:t>(9,162 )</w:t>
            </w:r>
          </w:p>
        </w:tc>
        <w:tc>
          <w:tcPr>
            <w:tcW w:w="300" w:type="dxa"/>
            <w:vAlign w:val="bottom"/>
          </w:tcPr>
          <w:p>
            <w:pPr>
              <w:jc w:val="right"/>
              <w:ind w:right="110"/>
              <w:spacing w:after="0" w:line="164" w:lineRule="exact"/>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40"/>
              <w:spacing w:after="0" w:line="164" w:lineRule="exact"/>
              <w:rPr>
                <w:sz w:val="20"/>
                <w:szCs w:val="20"/>
                <w:color w:val="auto"/>
              </w:rPr>
            </w:pPr>
            <w:r>
              <w:rPr>
                <w:rFonts w:ascii="Times New Roman" w:cs="Times New Roman" w:eastAsia="Times New Roman" w:hAnsi="Times New Roman"/>
                <w:sz w:val="18"/>
                <w:szCs w:val="18"/>
                <w:color w:val="auto"/>
              </w:rPr>
              <w:t>(85,178 )</w:t>
            </w:r>
          </w:p>
        </w:tc>
        <w:tc>
          <w:tcPr>
            <w:tcW w:w="1120" w:type="dxa"/>
            <w:vAlign w:val="bottom"/>
            <w:gridSpan w:val="3"/>
          </w:tcPr>
          <w:p>
            <w:pPr>
              <w:jc w:val="right"/>
              <w:spacing w:after="0" w:line="164" w:lineRule="exact"/>
              <w:rPr>
                <w:sz w:val="20"/>
                <w:szCs w:val="20"/>
                <w:color w:val="auto"/>
              </w:rPr>
            </w:pPr>
            <w:r>
              <w:rPr>
                <w:rFonts w:ascii="Times New Roman" w:cs="Times New Roman" w:eastAsia="Times New Roman" w:hAnsi="Times New Roman"/>
                <w:sz w:val="18"/>
                <w:szCs w:val="18"/>
                <w:color w:val="auto"/>
              </w:rPr>
              <w:t>89.2 %</w:t>
            </w:r>
          </w:p>
        </w:tc>
      </w:tr>
      <w:tr>
        <w:trPr>
          <w:trHeight w:val="268"/>
        </w:trPr>
        <w:tc>
          <w:tcPr>
            <w:tcW w:w="4340" w:type="dxa"/>
            <w:vAlign w:val="bottom"/>
          </w:tcPr>
          <w:p>
            <w:pPr>
              <w:ind w:left="20"/>
              <w:spacing w:after="0" w:line="267" w:lineRule="exact"/>
              <w:rPr>
                <w:sz w:val="20"/>
                <w:szCs w:val="20"/>
                <w:color w:val="auto"/>
              </w:rPr>
            </w:pPr>
            <w:r>
              <w:rPr>
                <w:rFonts w:ascii="Times New Roman" w:cs="Times New Roman" w:eastAsia="Times New Roman" w:hAnsi="Times New Roman"/>
                <w:sz w:val="18"/>
                <w:szCs w:val="18"/>
                <w:color w:val="auto"/>
              </w:rPr>
              <w:t>Segment operating income (loss)</w:t>
            </w:r>
            <w:r>
              <w:rPr>
                <w:rFonts w:ascii="Times New Roman" w:cs="Times New Roman" w:eastAsia="Times New Roman" w:hAnsi="Times New Roman"/>
                <w:sz w:val="24"/>
                <w:szCs w:val="24"/>
                <w:color w:val="auto"/>
                <w:vertAlign w:val="superscript"/>
              </w:rPr>
              <w:t>(1)</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36,691</w:t>
            </w:r>
          </w:p>
        </w:tc>
        <w:tc>
          <w:tcPr>
            <w:tcW w:w="540" w:type="dxa"/>
            <w:vAlign w:val="bottom"/>
            <w:gridSpan w:val="2"/>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(34,994 )</w:t>
            </w:r>
          </w:p>
        </w:tc>
        <w:tc>
          <w:tcPr>
            <w:tcW w:w="10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3"/>
                <w:szCs w:val="23"/>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13,899</w:t>
            </w:r>
          </w:p>
        </w:tc>
        <w:tc>
          <w:tcPr>
            <w:tcW w:w="220" w:type="dxa"/>
            <w:vAlign w:val="bottom"/>
          </w:tcPr>
          <w:p>
            <w:pPr>
              <w:spacing w:after="0"/>
              <w:rPr>
                <w:sz w:val="23"/>
                <w:szCs w:val="23"/>
                <w:color w:val="auto"/>
              </w:rPr>
            </w:pP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(73,219 )</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3"/>
                <w:szCs w:val="23"/>
                <w:color w:val="auto"/>
              </w:rPr>
            </w:pPr>
          </w:p>
        </w:tc>
        <w:tc>
          <w:tcPr>
            <w:tcW w:w="60" w:type="dxa"/>
            <w:vAlign w:val="bottom"/>
          </w:tcPr>
          <w:p>
            <w:pPr>
              <w:spacing w:after="0"/>
              <w:rPr>
                <w:sz w:val="23"/>
                <w:szCs w:val="23"/>
                <w:color w:val="auto"/>
              </w:rPr>
            </w:pPr>
          </w:p>
        </w:tc>
      </w:tr>
      <w:tr>
        <w:trPr>
          <w:trHeight w:val="170"/>
        </w:trPr>
        <w:tc>
          <w:tcPr>
            <w:tcW w:w="4340" w:type="dxa"/>
            <w:vAlign w:val="bottom"/>
          </w:tcPr>
          <w:p>
            <w:pPr>
              <w:ind w:left="20"/>
              <w:spacing w:after="0" w:line="170" w:lineRule="exact"/>
              <w:rPr>
                <w:sz w:val="20"/>
                <w:szCs w:val="20"/>
                <w:color w:val="auto"/>
              </w:rPr>
            </w:pPr>
            <w:r>
              <w:rPr>
                <w:rFonts w:ascii="Times New Roman" w:cs="Times New Roman" w:eastAsia="Times New Roman" w:hAnsi="Times New Roman"/>
                <w:sz w:val="18"/>
                <w:szCs w:val="18"/>
                <w:color w:val="auto"/>
              </w:rPr>
              <w:t>Diluted income (loss) per common share from continuing</w:t>
            </w: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r>
      <w:tr>
        <w:trPr>
          <w:trHeight w:val="234"/>
        </w:trPr>
        <w:tc>
          <w:tcPr>
            <w:tcW w:w="43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operations attributable to Viad common stockholders</w:t>
            </w:r>
          </w:p>
        </w:tc>
        <w:tc>
          <w:tcPr>
            <w:tcW w:w="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0.64</w:t>
            </w:r>
          </w:p>
        </w:tc>
        <w:tc>
          <w:tcPr>
            <w:tcW w:w="540" w:type="dxa"/>
            <w:vAlign w:val="bottom"/>
            <w:gridSpan w:val="2"/>
          </w:tcPr>
          <w:p>
            <w:pPr>
              <w:jc w:val="right"/>
              <w:ind w:right="9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(2.18 )</w:t>
            </w:r>
          </w:p>
        </w:tc>
        <w:tc>
          <w:tcPr>
            <w:tcW w:w="102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(0.69 )</w:t>
            </w:r>
          </w:p>
        </w:tc>
        <w:tc>
          <w:tcPr>
            <w:tcW w:w="300" w:type="dxa"/>
            <w:vAlign w:val="bottom"/>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94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(4.41 )</w:t>
            </w:r>
          </w:p>
        </w:tc>
        <w:tc>
          <w:tcPr>
            <w:tcW w:w="112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84.4 %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-393065</wp:posOffset>
            </wp:positionV>
            <wp:extent cx="7132320" cy="13716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3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15" w:lineRule="exact"/>
        <w:rPr>
          <w:sz w:val="20"/>
          <w:szCs w:val="20"/>
          <w:color w:val="auto"/>
        </w:rPr>
      </w:pPr>
    </w:p>
    <w:p>
      <w:pPr>
        <w:ind w:left="380" w:right="60" w:hanging="372"/>
        <w:spacing w:after="0" w:line="207" w:lineRule="auto"/>
        <w:tabs>
          <w:tab w:leader="none" w:pos="380" w:val="left"/>
        </w:tabs>
        <w:numPr>
          <w:ilvl w:val="0"/>
          <w:numId w:val="14"/>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Refer to Note 23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Segment Information of the Notes to Condensed Consolidated Financial Statements (Part I, Item 1 of this Form 10-Q) for a reconciliation of the non-GAAP financial measure, segment operating income (loss), to the most directly comparable GAAP measure.</w:t>
      </w: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June 30, 2022 compared with the three months ended June 30, 2021</w:t>
      </w:r>
    </w:p>
    <w:p>
      <w:pPr>
        <w:spacing w:after="0" w:line="103" w:lineRule="exact"/>
        <w:rPr>
          <w:sz w:val="20"/>
          <w:szCs w:val="20"/>
          <w:color w:val="auto"/>
        </w:rPr>
      </w:pPr>
    </w:p>
    <w:p>
      <w:pPr>
        <w:jc w:val="both"/>
        <w:ind w:left="760" w:right="60" w:hanging="378"/>
        <w:spacing w:after="0" w:line="251" w:lineRule="auto"/>
        <w:tabs>
          <w:tab w:leader="none" w:pos="7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Total revenue </w:t>
      </w:r>
      <w:r>
        <w:rPr>
          <w:rFonts w:ascii="Times New Roman" w:cs="Times New Roman" w:eastAsia="Times New Roman" w:hAnsi="Times New Roman"/>
          <w:sz w:val="18"/>
          <w:szCs w:val="18"/>
          <w:color w:val="auto"/>
        </w:rPr>
        <w:t>increased $258.0 million during the three months ended June 30, 2022 as COVID-19 pandemic-related restrictions lessened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people felt more comfortable traveling and gathering in larger groups. Live event activity at GES improved with the resumption of in-person and large-scale events. Pursuit resumed seasonal operations during the second quarter of 2022 and experienced strong leisure demand as long-haul international tourism continued to recover.</w:t>
      </w:r>
    </w:p>
    <w:p>
      <w:pPr>
        <w:spacing w:after="0" w:line="64" w:lineRule="exact"/>
        <w:rPr>
          <w:rFonts w:ascii="Times New Roman" w:cs="Times New Roman" w:eastAsia="Times New Roman" w:hAnsi="Times New Roman"/>
          <w:sz w:val="18"/>
          <w:szCs w:val="18"/>
          <w:color w:val="auto"/>
        </w:rPr>
      </w:pPr>
    </w:p>
    <w:p>
      <w:pPr>
        <w:ind w:left="760" w:right="60" w:hanging="378"/>
        <w:spacing w:after="0" w:line="270" w:lineRule="auto"/>
        <w:tabs>
          <w:tab w:leader="none" w:pos="7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Net income attributable to Viad </w:t>
      </w:r>
      <w:r>
        <w:rPr>
          <w:rFonts w:ascii="Times New Roman" w:cs="Times New Roman" w:eastAsia="Times New Roman" w:hAnsi="Times New Roman"/>
          <w:sz w:val="18"/>
          <w:szCs w:val="18"/>
          <w:color w:val="auto"/>
        </w:rPr>
        <w:t>improved $61.9 million during the three months ended June 30, 2022, primarily reflecting higher revenue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during the 2022 period.</w:t>
      </w:r>
    </w:p>
    <w:p>
      <w:pPr>
        <w:spacing w:after="0" w:line="172"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00"/>
          </w:cols>
          <w:pgMar w:left="320" w:top="630" w:right="279" w:bottom="1440" w:gutter="0" w:footer="0" w:header="0"/>
        </w:sectPr>
      </w:pPr>
    </w:p>
    <w:bookmarkStart w:id="34" w:name="page35"/>
    <w:bookmarkEnd w:id="34"/>
    <w:p>
      <w:pPr>
        <w:ind w:left="760" w:right="60" w:hanging="378"/>
        <w:spacing w:after="0" w:line="286" w:lineRule="auto"/>
        <w:tabs>
          <w:tab w:leader="none" w:pos="7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Total segment operating income </w:t>
      </w:r>
      <w:r>
        <w:rPr>
          <w:rFonts w:ascii="Times New Roman" w:cs="Times New Roman" w:eastAsia="Times New Roman" w:hAnsi="Times New Roman"/>
          <w:sz w:val="18"/>
          <w:szCs w:val="18"/>
          <w:color w:val="auto"/>
        </w:rPr>
        <w:t>improved $71.7 million during the three months ended June 30, 2022, primarily due to higher revenue at GES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Pursuit.</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Six months ended June 30, 2022 compared with the six months ended June 30, 2021</w:t>
      </w:r>
    </w:p>
    <w:p>
      <w:pPr>
        <w:spacing w:after="0" w:line="103" w:lineRule="exact"/>
        <w:rPr>
          <w:sz w:val="20"/>
          <w:szCs w:val="20"/>
          <w:color w:val="auto"/>
        </w:rPr>
      </w:pPr>
    </w:p>
    <w:p>
      <w:pPr>
        <w:jc w:val="both"/>
        <w:ind w:left="760" w:right="60" w:hanging="378"/>
        <w:spacing w:after="0" w:line="251" w:lineRule="auto"/>
        <w:tabs>
          <w:tab w:leader="none" w:pos="7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Total revenue </w:t>
      </w:r>
      <w:r>
        <w:rPr>
          <w:rFonts w:ascii="Times New Roman" w:cs="Times New Roman" w:eastAsia="Times New Roman" w:hAnsi="Times New Roman"/>
          <w:sz w:val="18"/>
          <w:szCs w:val="18"/>
          <w:color w:val="auto"/>
        </w:rPr>
        <w:t>increased $406.4 million during the six months ended June 30, 2022 as in-person event activity at GES continued to improve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certain previously cancelled shows in 2021 took place during the first half of 2022, although at reduced capacities from pre-COVID-19 levels. Pursuit experienced increased visitation at our Canadian attractions during the six months ended June 30, 2022, which were impacted in 2021 by border restrictions.</w:t>
      </w:r>
    </w:p>
    <w:p>
      <w:pPr>
        <w:spacing w:after="0" w:line="78" w:lineRule="exact"/>
        <w:rPr>
          <w:rFonts w:ascii="Times New Roman" w:cs="Times New Roman" w:eastAsia="Times New Roman" w:hAnsi="Times New Roman"/>
          <w:sz w:val="18"/>
          <w:szCs w:val="18"/>
          <w:color w:val="auto"/>
        </w:rPr>
      </w:pPr>
    </w:p>
    <w:p>
      <w:pPr>
        <w:ind w:left="760" w:right="80" w:hanging="378"/>
        <w:spacing w:after="0" w:line="270" w:lineRule="auto"/>
        <w:tabs>
          <w:tab w:leader="none" w:pos="7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Net loss attributable to Viad </w:t>
      </w:r>
      <w:r>
        <w:rPr>
          <w:rFonts w:ascii="Times New Roman" w:cs="Times New Roman" w:eastAsia="Times New Roman" w:hAnsi="Times New Roman"/>
          <w:sz w:val="18"/>
          <w:szCs w:val="18"/>
          <w:color w:val="auto"/>
        </w:rPr>
        <w:t>decreased $76.0 million during the six months ended June 30, 2022, primarily reflecting higher revenue during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2022 period.</w:t>
      </w:r>
    </w:p>
    <w:p>
      <w:pPr>
        <w:spacing w:after="0" w:line="46" w:lineRule="exact"/>
        <w:rPr>
          <w:rFonts w:ascii="Times New Roman" w:cs="Times New Roman" w:eastAsia="Times New Roman" w:hAnsi="Times New Roman"/>
          <w:sz w:val="18"/>
          <w:szCs w:val="18"/>
          <w:color w:val="auto"/>
        </w:rPr>
      </w:pPr>
    </w:p>
    <w:p>
      <w:pPr>
        <w:ind w:left="760" w:right="60" w:hanging="378"/>
        <w:spacing w:after="0" w:line="270" w:lineRule="auto"/>
        <w:tabs>
          <w:tab w:leader="none" w:pos="7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Total segment operating income </w:t>
      </w:r>
      <w:r>
        <w:rPr>
          <w:rFonts w:ascii="Times New Roman" w:cs="Times New Roman" w:eastAsia="Times New Roman" w:hAnsi="Times New Roman"/>
          <w:sz w:val="18"/>
          <w:szCs w:val="18"/>
          <w:color w:val="auto"/>
        </w:rPr>
        <w:t>improved $87.1 million during the six months ended June 30, 2022, primarily due to higher revenue at GES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Pursuit, offset in part by a $9.1 million gain on sale of a GES warehouse in Orlando in the 2021 period.</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Analysis of Revenue and Operating Results by Reportable Segment</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Pursuit</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presents a comparison of Pursuit’s reported revenue and segment operating income (loss) for the three and six months ended June 30,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2022 and 2021:</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3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320" w:type="dxa"/>
            <w:vAlign w:val="bottom"/>
            <w:gridSpan w:val="6"/>
          </w:tcPr>
          <w:p>
            <w:pPr>
              <w:jc w:val="right"/>
              <w:ind w:right="72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0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260" w:type="dxa"/>
            <w:vAlign w:val="bottom"/>
            <w:gridSpan w:val="6"/>
          </w:tcPr>
          <w:p>
            <w:pPr>
              <w:jc w:val="right"/>
              <w:ind w:right="78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38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2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gridSpan w:val="4"/>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00" w:type="dxa"/>
            <w:vAlign w:val="bottom"/>
            <w:tcBorders>
              <w:bottom w:val="single" w:sz="8" w:color="auto"/>
            </w:tcBorders>
          </w:tcPr>
          <w:p>
            <w:pPr>
              <w:spacing w:after="0"/>
              <w:rPr>
                <w:sz w:val="16"/>
                <w:szCs w:val="16"/>
                <w:color w:val="auto"/>
              </w:rPr>
            </w:pPr>
          </w:p>
        </w:tc>
        <w:tc>
          <w:tcPr>
            <w:tcW w:w="2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4"/>
        </w:trPr>
        <w:tc>
          <w:tcPr>
            <w:tcW w:w="3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20" w:type="dxa"/>
            <w:vAlign w:val="bottom"/>
            <w:vMerge w:val="restart"/>
          </w:tcPr>
          <w:p>
            <w:pPr>
              <w:jc w:val="right"/>
              <w:ind w:right="2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vMerge w:val="restart"/>
          </w:tcPr>
          <w:p>
            <w:pPr>
              <w:jc w:val="right"/>
              <w:ind w:right="353"/>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2"/>
                <w:szCs w:val="12"/>
                <w:color w:val="auto"/>
              </w:rPr>
            </w:pPr>
          </w:p>
        </w:tc>
        <w:tc>
          <w:tcPr>
            <w:tcW w:w="1000" w:type="dxa"/>
            <w:vAlign w:val="bottom"/>
          </w:tcPr>
          <w:p>
            <w:pPr>
              <w:jc w:val="right"/>
              <w:ind w:right="355"/>
              <w:spacing w:after="0" w:line="144" w:lineRule="exact"/>
              <w:rPr>
                <w:sz w:val="20"/>
                <w:szCs w:val="20"/>
                <w:color w:val="auto"/>
              </w:rPr>
            </w:pPr>
            <w:r>
              <w:rPr>
                <w:rFonts w:ascii="Times New Roman" w:cs="Times New Roman" w:eastAsia="Times New Roman" w:hAnsi="Times New Roman"/>
                <w:sz w:val="14"/>
                <w:szCs w:val="14"/>
                <w:b w:val="1"/>
                <w:bCs w:val="1"/>
                <w:color w:val="auto"/>
              </w:rPr>
              <w:t>%</w:t>
            </w: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vMerge w:val="restart"/>
          </w:tcPr>
          <w:p>
            <w:pPr>
              <w:jc w:val="right"/>
              <w:ind w:right="256"/>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0" w:type="dxa"/>
            <w:vAlign w:val="bottom"/>
            <w:vMerge w:val="restart"/>
          </w:tcPr>
          <w:p>
            <w:pPr>
              <w:jc w:val="right"/>
              <w:ind w:right="333"/>
              <w:spacing w:after="0"/>
              <w:rPr>
                <w:sz w:val="20"/>
                <w:szCs w:val="20"/>
                <w:color w:val="auto"/>
              </w:rPr>
            </w:pPr>
            <w:r>
              <w:rPr>
                <w:rFonts w:ascii="Times New Roman" w:cs="Times New Roman" w:eastAsia="Times New Roman" w:hAnsi="Times New Roman"/>
                <w:sz w:val="14"/>
                <w:szCs w:val="14"/>
                <w:b w:val="1"/>
                <w:bCs w:val="1"/>
                <w:color w:val="auto"/>
              </w:rPr>
              <w:t>2021</w:t>
            </w:r>
          </w:p>
        </w:tc>
        <w:tc>
          <w:tcPr>
            <w:tcW w:w="200" w:type="dxa"/>
            <w:vAlign w:val="bottom"/>
          </w:tcPr>
          <w:p>
            <w:pPr>
              <w:spacing w:after="0"/>
              <w:rPr>
                <w:sz w:val="12"/>
                <w:szCs w:val="12"/>
                <w:color w:val="auto"/>
              </w:rPr>
            </w:pPr>
          </w:p>
        </w:tc>
        <w:tc>
          <w:tcPr>
            <w:tcW w:w="1040" w:type="dxa"/>
            <w:vAlign w:val="bottom"/>
          </w:tcPr>
          <w:p>
            <w:pPr>
              <w:jc w:val="right"/>
              <w:ind w:right="375"/>
              <w:spacing w:after="0" w:line="144" w:lineRule="exact"/>
              <w:rPr>
                <w:sz w:val="20"/>
                <w:szCs w:val="20"/>
                <w:color w:val="auto"/>
              </w:rPr>
            </w:pPr>
            <w:r>
              <w:rPr>
                <w:rFonts w:ascii="Times New Roman" w:cs="Times New Roman" w:eastAsia="Times New Roman" w:hAnsi="Times New Roman"/>
                <w:sz w:val="14"/>
                <w:szCs w:val="14"/>
                <w:b w:val="1"/>
                <w:bCs w:val="1"/>
                <w:color w:val="auto"/>
              </w:rPr>
              <w:t>%</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3860" w:type="dxa"/>
            <w:vAlign w:val="bottom"/>
          </w:tcPr>
          <w:p>
            <w:pPr>
              <w:ind w:left="20"/>
              <w:spacing w:after="0" w:line="146" w:lineRule="exact"/>
              <w:rPr>
                <w:sz w:val="20"/>
                <w:szCs w:val="20"/>
                <w:color w:val="auto"/>
              </w:rPr>
            </w:pPr>
            <w:r>
              <w:rPr>
                <w:rFonts w:ascii="Times New Roman" w:cs="Times New Roman" w:eastAsia="Times New Roman" w:hAnsi="Times New Roman"/>
                <w:sz w:val="14"/>
                <w:szCs w:val="14"/>
                <w:i w:val="1"/>
                <w:iCs w:val="1"/>
                <w:color w:val="auto"/>
              </w:rPr>
              <w:t>(in thousands)</w:t>
            </w:r>
          </w:p>
        </w:tc>
        <w:tc>
          <w:tcPr>
            <w:tcW w:w="22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220" w:type="dxa"/>
            <w:vAlign w:val="bottom"/>
            <w:gridSpan w:val="2"/>
          </w:tcPr>
          <w:p>
            <w:pPr>
              <w:jc w:val="right"/>
              <w:ind w:right="480"/>
              <w:spacing w:after="0" w:line="146" w:lineRule="exact"/>
              <w:rPr>
                <w:sz w:val="20"/>
                <w:szCs w:val="20"/>
                <w:color w:val="auto"/>
              </w:rPr>
            </w:pPr>
            <w:r>
              <w:rPr>
                <w:rFonts w:ascii="Times New Roman" w:cs="Times New Roman" w:eastAsia="Times New Roman" w:hAnsi="Times New Roman"/>
                <w:sz w:val="14"/>
                <w:szCs w:val="14"/>
                <w:b w:val="1"/>
                <w:bCs w:val="1"/>
                <w:color w:val="auto"/>
              </w:rPr>
              <w:t>Change</w:t>
            </w:r>
          </w:p>
        </w:tc>
        <w:tc>
          <w:tcPr>
            <w:tcW w:w="220" w:type="dxa"/>
            <w:vAlign w:val="bottom"/>
          </w:tcPr>
          <w:p>
            <w:pPr>
              <w:spacing w:after="0"/>
              <w:rPr>
                <w:sz w:val="12"/>
                <w:szCs w:val="12"/>
                <w:color w:val="auto"/>
              </w:rPr>
            </w:pPr>
          </w:p>
        </w:tc>
        <w:tc>
          <w:tcPr>
            <w:tcW w:w="7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1200" w:type="dxa"/>
            <w:vAlign w:val="bottom"/>
            <w:gridSpan w:val="3"/>
          </w:tcPr>
          <w:p>
            <w:pPr>
              <w:jc w:val="right"/>
              <w:ind w:right="440"/>
              <w:spacing w:after="0" w:line="146" w:lineRule="exact"/>
              <w:rPr>
                <w:sz w:val="20"/>
                <w:szCs w:val="20"/>
                <w:color w:val="auto"/>
              </w:rPr>
            </w:pPr>
            <w:r>
              <w:rPr>
                <w:rFonts w:ascii="Times New Roman" w:cs="Times New Roman" w:eastAsia="Times New Roman" w:hAnsi="Times New Roman"/>
                <w:sz w:val="14"/>
                <w:szCs w:val="14"/>
                <w:b w:val="1"/>
                <w:bCs w:val="1"/>
                <w:color w:val="auto"/>
              </w:rPr>
              <w:t>Change</w:t>
            </w:r>
          </w:p>
        </w:tc>
        <w:tc>
          <w:tcPr>
            <w:tcW w:w="0" w:type="dxa"/>
            <w:vAlign w:val="bottom"/>
          </w:tcPr>
          <w:p>
            <w:pPr>
              <w:spacing w:after="0"/>
              <w:rPr>
                <w:sz w:val="1"/>
                <w:szCs w:val="1"/>
                <w:color w:val="auto"/>
              </w:rPr>
            </w:pPr>
          </w:p>
        </w:tc>
      </w:tr>
      <w:tr>
        <w:trPr>
          <w:trHeight w:val="27"/>
        </w:trPr>
        <w:tc>
          <w:tcPr>
            <w:tcW w:w="3860" w:type="dxa"/>
            <w:vAlign w:val="bottom"/>
            <w:vMerge w:val="restart"/>
          </w:tcPr>
          <w:p>
            <w:pPr>
              <w:ind w:left="20"/>
              <w:spacing w:after="0" w:line="256" w:lineRule="exact"/>
              <w:rPr>
                <w:sz w:val="20"/>
                <w:szCs w:val="20"/>
                <w:color w:val="auto"/>
              </w:rPr>
            </w:pPr>
            <w:r>
              <w:rPr>
                <w:rFonts w:ascii="Times New Roman" w:cs="Times New Roman" w:eastAsia="Times New Roman" w:hAnsi="Times New Roman"/>
                <w:sz w:val="18"/>
                <w:szCs w:val="18"/>
                <w:b w:val="1"/>
                <w:bCs w:val="1"/>
                <w:color w:val="auto"/>
              </w:rPr>
              <w:t>Revenue</w:t>
            </w:r>
            <w:r>
              <w:rPr>
                <w:rFonts w:ascii="Times New Roman" w:cs="Times New Roman" w:eastAsia="Times New Roman" w:hAnsi="Times New Roman"/>
                <w:sz w:val="24"/>
                <w:szCs w:val="24"/>
                <w:b w:val="1"/>
                <w:bCs w:val="1"/>
                <w:color w:val="auto"/>
                <w:vertAlign w:val="superscript"/>
              </w:rPr>
              <w:t>(1)</w:t>
            </w:r>
            <w:r>
              <w:rPr>
                <w:rFonts w:ascii="Times New Roman" w:cs="Times New Roman" w:eastAsia="Times New Roman" w:hAnsi="Times New Roman"/>
                <w:sz w:val="18"/>
                <w:szCs w:val="18"/>
                <w:b w:val="1"/>
                <w:bCs w:val="1"/>
                <w:color w:val="auto"/>
              </w:rPr>
              <w:t>:</w:t>
            </w: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386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Pursuit:</w:t>
            </w:r>
          </w:p>
        </w:tc>
        <w:tc>
          <w:tcPr>
            <w:tcW w:w="220" w:type="dxa"/>
            <w:vAlign w:val="bottom"/>
            <w:shd w:val="clear" w:color="auto" w:fill="CFF0FC"/>
          </w:tcPr>
          <w:p>
            <w:pPr>
              <w:spacing w:after="0"/>
              <w:rPr>
                <w:sz w:val="18"/>
                <w:szCs w:val="18"/>
                <w:color w:val="auto"/>
              </w:rPr>
            </w:pPr>
          </w:p>
        </w:tc>
        <w:tc>
          <w:tcPr>
            <w:tcW w:w="7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00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7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320" w:type="dxa"/>
            <w:vAlign w:val="bottom"/>
            <w:shd w:val="clear" w:color="auto" w:fill="CFF0FC"/>
          </w:tcPr>
          <w:p>
            <w:pPr>
              <w:spacing w:after="0"/>
              <w:rPr>
                <w:sz w:val="18"/>
                <w:szCs w:val="18"/>
                <w:color w:val="auto"/>
              </w:rPr>
            </w:pPr>
          </w:p>
        </w:tc>
        <w:tc>
          <w:tcPr>
            <w:tcW w:w="800" w:type="dxa"/>
            <w:vAlign w:val="bottom"/>
            <w:shd w:val="clear" w:color="auto" w:fill="CFF0FC"/>
          </w:tcPr>
          <w:p>
            <w:pPr>
              <w:spacing w:after="0"/>
              <w:rPr>
                <w:sz w:val="18"/>
                <w:szCs w:val="18"/>
                <w:color w:val="auto"/>
              </w:rPr>
            </w:pPr>
          </w:p>
        </w:tc>
        <w:tc>
          <w:tcPr>
            <w:tcW w:w="20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Attractions</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39,096</w:t>
            </w:r>
          </w:p>
        </w:tc>
        <w:tc>
          <w:tcPr>
            <w:tcW w:w="560" w:type="dxa"/>
            <w:vAlign w:val="bottom"/>
            <w:gridSpan w:val="3"/>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12,929</w:t>
            </w:r>
          </w:p>
        </w:tc>
        <w:tc>
          <w:tcPr>
            <w:tcW w:w="2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51,597</w:t>
            </w:r>
          </w:p>
        </w:tc>
        <w:tc>
          <w:tcPr>
            <w:tcW w:w="100" w:type="dxa"/>
            <w:vAlign w:val="bottom"/>
          </w:tcPr>
          <w:p>
            <w:pPr>
              <w:spacing w:after="0"/>
              <w:rPr>
                <w:sz w:val="18"/>
                <w:szCs w:val="18"/>
                <w:color w:val="auto"/>
              </w:rPr>
            </w:pPr>
          </w:p>
        </w:tc>
        <w:tc>
          <w:tcPr>
            <w:tcW w:w="42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15,185</w:t>
            </w: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Hospitality</w:t>
            </w: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34,101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21,879</w:t>
            </w:r>
          </w:p>
        </w:tc>
        <w:tc>
          <w:tcPr>
            <w:tcW w:w="220" w:type="dxa"/>
            <w:vAlign w:val="bottom"/>
          </w:tcPr>
          <w:p>
            <w:pPr>
              <w:spacing w:after="0"/>
              <w:rPr>
                <w:sz w:val="18"/>
                <w:szCs w:val="18"/>
                <w:color w:val="auto"/>
              </w:rPr>
            </w:pPr>
          </w:p>
        </w:tc>
        <w:tc>
          <w:tcPr>
            <w:tcW w:w="12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55.9 %</w:t>
            </w: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43,516</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28,820</w:t>
            </w:r>
          </w:p>
        </w:tc>
        <w:tc>
          <w:tcPr>
            <w:tcW w:w="200" w:type="dxa"/>
            <w:vAlign w:val="bottom"/>
          </w:tcPr>
          <w:p>
            <w:pPr>
              <w:spacing w:after="0"/>
              <w:rPr>
                <w:sz w:val="18"/>
                <w:szCs w:val="18"/>
                <w:color w:val="auto"/>
              </w:rPr>
            </w:pPr>
          </w:p>
        </w:tc>
        <w:tc>
          <w:tcPr>
            <w:tcW w:w="12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51.0 %</w:t>
            </w:r>
          </w:p>
        </w:tc>
        <w:tc>
          <w:tcPr>
            <w:tcW w:w="0" w:type="dxa"/>
            <w:vAlign w:val="bottom"/>
          </w:tcPr>
          <w:p>
            <w:pPr>
              <w:spacing w:after="0"/>
              <w:rPr>
                <w:sz w:val="1"/>
                <w:szCs w:val="1"/>
                <w:color w:val="auto"/>
              </w:rPr>
            </w:pPr>
          </w:p>
        </w:tc>
      </w:tr>
      <w:tr>
        <w:trPr>
          <w:trHeight w:val="216"/>
        </w:trPr>
        <w:tc>
          <w:tcPr>
            <w:tcW w:w="3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Transportation</w:t>
            </w: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3,837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974</w:t>
            </w:r>
          </w:p>
        </w:tc>
        <w:tc>
          <w:tcPr>
            <w:tcW w:w="2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5,125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1,507</w:t>
            </w:r>
          </w:p>
        </w:tc>
        <w:tc>
          <w:tcPr>
            <w:tcW w:w="2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6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Other</w:t>
            </w:r>
          </w:p>
        </w:tc>
        <w:tc>
          <w:tcPr>
            <w:tcW w:w="22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565</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531</w:t>
            </w:r>
          </w:p>
        </w:tc>
        <w:tc>
          <w:tcPr>
            <w:tcW w:w="220" w:type="dxa"/>
            <w:vAlign w:val="bottom"/>
          </w:tcPr>
          <w:p>
            <w:pPr>
              <w:spacing w:after="0"/>
              <w:rPr>
                <w:sz w:val="18"/>
                <w:szCs w:val="18"/>
                <w:color w:val="auto"/>
              </w:rPr>
            </w:pPr>
          </w:p>
        </w:tc>
        <w:tc>
          <w:tcPr>
            <w:tcW w:w="12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6.4 %</w:t>
            </w: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591</w:t>
            </w:r>
          </w:p>
        </w:tc>
        <w:tc>
          <w:tcPr>
            <w:tcW w:w="200" w:type="dxa"/>
            <w:vAlign w:val="bottom"/>
          </w:tcPr>
          <w:p>
            <w:pPr>
              <w:spacing w:after="0"/>
              <w:rPr>
                <w:sz w:val="18"/>
                <w:szCs w:val="18"/>
                <w:color w:val="auto"/>
              </w:rPr>
            </w:pPr>
          </w:p>
        </w:tc>
        <w:tc>
          <w:tcPr>
            <w:tcW w:w="12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93.7 %</w:t>
            </w:r>
          </w:p>
        </w:tc>
        <w:tc>
          <w:tcPr>
            <w:tcW w:w="0" w:type="dxa"/>
            <w:vAlign w:val="bottom"/>
          </w:tcPr>
          <w:p>
            <w:pPr>
              <w:spacing w:after="0"/>
              <w:rPr>
                <w:sz w:val="1"/>
                <w:szCs w:val="1"/>
                <w:color w:val="auto"/>
              </w:rPr>
            </w:pPr>
          </w:p>
        </w:tc>
      </w:tr>
      <w:tr>
        <w:trPr>
          <w:trHeight w:val="209"/>
        </w:trPr>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Pursuit</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77,599</w:t>
            </w:r>
          </w:p>
        </w:tc>
        <w:tc>
          <w:tcPr>
            <w:tcW w:w="240" w:type="dxa"/>
            <w:vAlign w:val="bottom"/>
            <w:gridSpan w:val="2"/>
          </w:tcPr>
          <w:p>
            <w:pPr>
              <w:spacing w:after="0"/>
              <w:rPr>
                <w:sz w:val="18"/>
                <w:szCs w:val="18"/>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36,313</w:t>
            </w:r>
          </w:p>
        </w:tc>
        <w:tc>
          <w:tcPr>
            <w:tcW w:w="220" w:type="dxa"/>
            <w:vAlign w:val="bottom"/>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101,383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46,103</w:t>
            </w:r>
          </w:p>
        </w:tc>
        <w:tc>
          <w:tcPr>
            <w:tcW w:w="200" w:type="dxa"/>
            <w:vAlign w:val="bottom"/>
          </w:tcPr>
          <w:p>
            <w:pPr>
              <w:spacing w:after="0"/>
              <w:rPr>
                <w:sz w:val="18"/>
                <w:szCs w:val="18"/>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72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8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7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320" w:type="dxa"/>
            <w:vAlign w:val="bottom"/>
            <w:shd w:val="clear" w:color="auto" w:fill="CFF0FC"/>
          </w:tcPr>
          <w:p>
            <w:pPr>
              <w:spacing w:after="0"/>
              <w:rPr>
                <w:sz w:val="17"/>
                <w:szCs w:val="17"/>
                <w:color w:val="auto"/>
              </w:rPr>
            </w:pPr>
          </w:p>
        </w:tc>
        <w:tc>
          <w:tcPr>
            <w:tcW w:w="8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0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860" w:type="dxa"/>
            <w:vAlign w:val="bottom"/>
          </w:tcPr>
          <w:p>
            <w:pPr>
              <w:ind w:left="20"/>
              <w:spacing w:after="0" w:line="216" w:lineRule="exact"/>
              <w:rPr>
                <w:sz w:val="20"/>
                <w:szCs w:val="20"/>
                <w:color w:val="auto"/>
              </w:rPr>
            </w:pPr>
            <w:r>
              <w:rPr>
                <w:rFonts w:ascii="Times New Roman" w:cs="Times New Roman" w:eastAsia="Times New Roman" w:hAnsi="Times New Roman"/>
                <w:sz w:val="18"/>
                <w:szCs w:val="18"/>
                <w:b w:val="1"/>
                <w:bCs w:val="1"/>
                <w:color w:val="auto"/>
              </w:rPr>
              <w:t>Segment operating income (loss)</w:t>
            </w:r>
            <w:r>
              <w:rPr>
                <w:rFonts w:ascii="Times New Roman" w:cs="Times New Roman" w:eastAsia="Times New Roman" w:hAnsi="Times New Roman"/>
                <w:sz w:val="24"/>
                <w:szCs w:val="24"/>
                <w:b w:val="1"/>
                <w:bCs w:val="1"/>
                <w:color w:val="auto"/>
                <w:vertAlign w:val="superscript"/>
              </w:rPr>
              <w:t>(2)</w:t>
            </w: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 Pursuit</w:t>
            </w: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5,571</w:t>
            </w:r>
          </w:p>
        </w:tc>
        <w:tc>
          <w:tcPr>
            <w:tcW w:w="560" w:type="dxa"/>
            <w:vAlign w:val="bottom"/>
            <w:gridSpan w:val="3"/>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(8,097 )</w:t>
            </w: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(15,627 )</w:t>
            </w:r>
          </w:p>
        </w:tc>
        <w:tc>
          <w:tcPr>
            <w:tcW w:w="420" w:type="dxa"/>
            <w:vAlign w:val="bottom"/>
            <w:gridSpan w:val="2"/>
          </w:tcPr>
          <w:p>
            <w:pPr>
              <w:jc w:val="right"/>
              <w:ind w:right="130"/>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(26,418 )</w:t>
            </w:r>
          </w:p>
        </w:tc>
        <w:tc>
          <w:tcPr>
            <w:tcW w:w="12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40.8 %</w:t>
            </w:r>
          </w:p>
        </w:tc>
        <w:tc>
          <w:tcPr>
            <w:tcW w:w="0" w:type="dxa"/>
            <w:vAlign w:val="bottom"/>
          </w:tcPr>
          <w:p>
            <w:pPr>
              <w:spacing w:after="0"/>
              <w:rPr>
                <w:sz w:val="1"/>
                <w:szCs w:val="1"/>
                <w:color w:val="auto"/>
              </w:rPr>
            </w:pPr>
          </w:p>
        </w:tc>
      </w:tr>
      <w:tr>
        <w:trPr>
          <w:trHeight w:val="20"/>
        </w:trPr>
        <w:tc>
          <w:tcPr>
            <w:tcW w:w="38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-1018540</wp:posOffset>
            </wp:positionV>
            <wp:extent cx="7132320" cy="13716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3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-744220</wp:posOffset>
            </wp:positionV>
            <wp:extent cx="7132320" cy="145415"/>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40">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-161925</wp:posOffset>
            </wp:positionV>
            <wp:extent cx="7132320" cy="16256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41">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15" w:lineRule="exact"/>
        <w:rPr>
          <w:sz w:val="20"/>
          <w:szCs w:val="20"/>
          <w:color w:val="auto"/>
        </w:rPr>
      </w:pPr>
    </w:p>
    <w:p>
      <w:pPr>
        <w:jc w:val="both"/>
        <w:ind w:left="380" w:right="60" w:hanging="372"/>
        <w:spacing w:after="0" w:line="215" w:lineRule="auto"/>
        <w:tabs>
          <w:tab w:leader="none" w:pos="380" w:val="left"/>
        </w:tabs>
        <w:numPr>
          <w:ilvl w:val="0"/>
          <w:numId w:val="18"/>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Revenue by line of business does not agree to Note 2 – Revenue and Related Contract Costs and Contract Liabilities of the Notes to Condensed Consolidated Financial Statements (Part I, Item 1 of this Form 10-Q) as the amounts in the above table include product revenue from food and beverage and retail operations within each line of business.</w:t>
      </w:r>
    </w:p>
    <w:p>
      <w:pPr>
        <w:spacing w:after="0" w:line="2" w:lineRule="exact"/>
        <w:rPr>
          <w:rFonts w:ascii="Times New Roman" w:cs="Times New Roman" w:eastAsia="Times New Roman" w:hAnsi="Times New Roman"/>
          <w:sz w:val="24"/>
          <w:szCs w:val="24"/>
          <w:color w:val="auto"/>
          <w:vertAlign w:val="superscript"/>
        </w:rPr>
      </w:pPr>
    </w:p>
    <w:p>
      <w:pPr>
        <w:ind w:left="380" w:right="60" w:hanging="372"/>
        <w:spacing w:after="0" w:line="206" w:lineRule="auto"/>
        <w:tabs>
          <w:tab w:leader="none" w:pos="380" w:val="left"/>
        </w:tabs>
        <w:numPr>
          <w:ilvl w:val="0"/>
          <w:numId w:val="18"/>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Refer to Note 23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Segment Information of the Notes to Condensed Consolidated Financial Statements (Part I, Item 1 of this Form 10-Q) for a reconciliation of the non-GAAP financial measure, segment operating income (loss), to the most directly comparable GAAP measure.</w:t>
      </w:r>
    </w:p>
    <w:p>
      <w:pPr>
        <w:spacing w:after="0" w:line="3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June 30, 2022 compared with the three months ended June 30, 2021</w:t>
      </w:r>
    </w:p>
    <w:p>
      <w:pPr>
        <w:spacing w:after="0" w:line="103" w:lineRule="exact"/>
        <w:rPr>
          <w:sz w:val="20"/>
          <w:szCs w:val="20"/>
          <w:color w:val="auto"/>
        </w:rPr>
      </w:pPr>
    </w:p>
    <w:p>
      <w:pPr>
        <w:jc w:val="both"/>
        <w:ind w:right="60"/>
        <w:spacing w:after="0" w:line="251" w:lineRule="auto"/>
        <w:rPr>
          <w:sz w:val="20"/>
          <w:szCs w:val="20"/>
          <w:color w:val="auto"/>
        </w:rPr>
      </w:pPr>
      <w:r>
        <w:rPr>
          <w:rFonts w:ascii="Times New Roman" w:cs="Times New Roman" w:eastAsia="Times New Roman" w:hAnsi="Times New Roman"/>
          <w:sz w:val="18"/>
          <w:szCs w:val="18"/>
          <w:b w:val="1"/>
          <w:bCs w:val="1"/>
          <w:color w:val="auto"/>
        </w:rPr>
        <w:t xml:space="preserve">Pursuit revenue </w:t>
      </w:r>
      <w:r>
        <w:rPr>
          <w:rFonts w:ascii="Times New Roman" w:cs="Times New Roman" w:eastAsia="Times New Roman" w:hAnsi="Times New Roman"/>
          <w:sz w:val="18"/>
          <w:szCs w:val="18"/>
          <w:color w:val="auto"/>
        </w:rPr>
        <w:t>increased $41.3 million from the prior year period primarily due to favorable visitation at our Canadian attractions, which were impacted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 2021 by border restrictions, and temporary government mandated closures at FlyOver Canada and reduced hours at FlyOver Iceland. Pursuit’s new attractions that were opened or acquired after January 1, 2021, including the Sky Lagoon, FlyOver Las Vegas, the Glacier Raft Company, and the Golden Skybridge, contributed incremental revenue of $5.8 million during the three months ended June 30, 2022.</w:t>
      </w:r>
    </w:p>
    <w:p>
      <w:pPr>
        <w:spacing w:after="0" w:line="118" w:lineRule="exact"/>
        <w:rPr>
          <w:sz w:val="20"/>
          <w:szCs w:val="20"/>
          <w:color w:val="auto"/>
        </w:rPr>
      </w:pPr>
    </w:p>
    <w:p>
      <w:pPr>
        <w:jc w:val="both"/>
        <w:ind w:right="60"/>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Pursuit segment operating income </w:t>
      </w:r>
      <w:r>
        <w:rPr>
          <w:rFonts w:ascii="Times New Roman" w:cs="Times New Roman" w:eastAsia="Times New Roman" w:hAnsi="Times New Roman"/>
          <w:sz w:val="18"/>
          <w:szCs w:val="18"/>
          <w:color w:val="auto"/>
        </w:rPr>
        <w:t>improved $13.7 million from the prior year period primarily due to the increase in revenue, offset in part by increased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operating costs as all of Pursuit’s properties operated at full capacity during the second quarter of 2022 and due to a $3.6 million prior year benefit from the Canadian government’s emergency wage subsidy program that did not exist in 2022.</w:t>
      </w:r>
    </w:p>
    <w:p>
      <w:pPr>
        <w:spacing w:after="0" w:line="167"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00"/>
          </w:cols>
          <w:pgMar w:left="320" w:top="427" w:right="27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8"/>
          <w:szCs w:val="18"/>
          <w:b w:val="1"/>
          <w:bCs w:val="1"/>
          <w:i w:val="1"/>
          <w:iCs w:val="1"/>
          <w:color w:val="auto"/>
        </w:rPr>
        <w:t>Six months ended June 30, 2022 compared with the six months ended June 30, 2021</w:t>
      </w:r>
    </w:p>
    <w:p>
      <w:pPr>
        <w:spacing w:after="0" w:line="117" w:lineRule="exact"/>
        <w:rPr>
          <w:sz w:val="20"/>
          <w:szCs w:val="20"/>
          <w:color w:val="auto"/>
        </w:rPr>
      </w:pPr>
    </w:p>
    <w:p>
      <w:pPr>
        <w:jc w:val="both"/>
        <w:ind w:right="60"/>
        <w:spacing w:after="0" w:line="247" w:lineRule="auto"/>
        <w:rPr>
          <w:sz w:val="20"/>
          <w:szCs w:val="20"/>
          <w:color w:val="auto"/>
        </w:rPr>
      </w:pPr>
      <w:r>
        <w:rPr>
          <w:rFonts w:ascii="Times New Roman" w:cs="Times New Roman" w:eastAsia="Times New Roman" w:hAnsi="Times New Roman"/>
          <w:sz w:val="18"/>
          <w:szCs w:val="18"/>
          <w:b w:val="1"/>
          <w:bCs w:val="1"/>
          <w:color w:val="auto"/>
        </w:rPr>
        <w:t xml:space="preserve">Pursuit revenue </w:t>
      </w:r>
      <w:r>
        <w:rPr>
          <w:rFonts w:ascii="Times New Roman" w:cs="Times New Roman" w:eastAsia="Times New Roman" w:hAnsi="Times New Roman"/>
          <w:sz w:val="18"/>
          <w:szCs w:val="18"/>
          <w:color w:val="auto"/>
        </w:rPr>
        <w:t>increased $55.3 million from the prior year period, which reflects the continued strengthening of leisure travel demand as long-haul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visitation volume continued to recover. The growth in revenue was largely the result of stronger visitation at our Canadian attractions, which were impacted in 2021 by border restrictions, and temporary government mandated closures at FlyOver Canada and FlyOver Iceland. Pursuit’s new attractions, the Sky Lagoon, FlyOver Las Vegas, the Glacier Raft Company, and the Golden Skybridge contributed incremental revenue of $10.9 million during the six months ended June 30, 2022.</w:t>
      </w:r>
    </w:p>
    <w:p>
      <w:pPr>
        <w:spacing w:after="0" w:line="121" w:lineRule="exact"/>
        <w:rPr>
          <w:sz w:val="20"/>
          <w:szCs w:val="20"/>
          <w:color w:val="auto"/>
        </w:rPr>
      </w:pPr>
    </w:p>
    <w:p>
      <w:pPr>
        <w:jc w:val="both"/>
        <w:ind w:right="60"/>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Pursuit segment operating loss </w:t>
      </w:r>
      <w:r>
        <w:rPr>
          <w:rFonts w:ascii="Times New Roman" w:cs="Times New Roman" w:eastAsia="Times New Roman" w:hAnsi="Times New Roman"/>
          <w:sz w:val="18"/>
          <w:szCs w:val="18"/>
          <w:color w:val="auto"/>
        </w:rPr>
        <w:t>improved $10.8 million from the prior year period primarily due to the increase in revenue offset in part by the increase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operating costs as all of Pursuit’s year-round and seasonal properties operated at full capacity during the first half of 2022 and due to a $6.5 million prior year benefit from the Canadian government’s emergency wage subsidy program that did not exist in 2022.</w:t>
      </w:r>
    </w:p>
    <w:p>
      <w:pPr>
        <w:spacing w:after="0" w:line="2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Performance Measures</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use the following key business metrics to evaluate the performance of Pursuit’s attractions business:</w:t>
      </w:r>
    </w:p>
    <w:p>
      <w:pPr>
        <w:spacing w:after="0" w:line="113" w:lineRule="exact"/>
        <w:rPr>
          <w:sz w:val="20"/>
          <w:szCs w:val="20"/>
          <w:color w:val="auto"/>
        </w:rPr>
      </w:pPr>
    </w:p>
    <w:p>
      <w:pPr>
        <w:ind w:left="820" w:hanging="377"/>
        <w:spacing w:after="0"/>
        <w:tabs>
          <w:tab w:leader="none" w:pos="8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Number of visitors</w:t>
      </w:r>
      <w:r>
        <w:rPr>
          <w:rFonts w:ascii="Times New Roman" w:cs="Times New Roman" w:eastAsia="Times New Roman" w:hAnsi="Times New Roman"/>
          <w:sz w:val="18"/>
          <w:szCs w:val="18"/>
          <w:color w:val="auto"/>
        </w:rPr>
        <w:t>. The number of visitors allows us to assess the volume of tickets sold at each attraction during the period.</w:t>
      </w:r>
    </w:p>
    <w:p>
      <w:pPr>
        <w:spacing w:after="0" w:line="19" w:lineRule="exact"/>
        <w:rPr>
          <w:rFonts w:ascii="Times New Roman" w:cs="Times New Roman" w:eastAsia="Times New Roman" w:hAnsi="Times New Roman"/>
          <w:sz w:val="18"/>
          <w:szCs w:val="18"/>
          <w:color w:val="auto"/>
        </w:rPr>
      </w:pPr>
    </w:p>
    <w:p>
      <w:pPr>
        <w:jc w:val="both"/>
        <w:ind w:left="820" w:right="60" w:hanging="377"/>
        <w:spacing w:after="0" w:line="238" w:lineRule="auto"/>
        <w:tabs>
          <w:tab w:leader="none" w:pos="8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Revenue per attraction visitor</w:t>
      </w:r>
      <w:r>
        <w:rPr>
          <w:rFonts w:ascii="Times New Roman" w:cs="Times New Roman" w:eastAsia="Times New Roman" w:hAnsi="Times New Roman"/>
          <w:sz w:val="18"/>
          <w:szCs w:val="18"/>
          <w:color w:val="auto"/>
        </w:rPr>
        <w:t>. Revenue per attraction visitor is calculated as total attractions revenue divided by the total number of visitors 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all Pursuit attractions during the period. Total attractions revenue includes ticket sales and ancillary revenue generated by attractions, such as food and beverage and retail revenue. Total attractions revenue per visitor measures the total spend per visitor that attraction properties are able to capture, which is important to the profitability of the attractions business.</w:t>
      </w:r>
    </w:p>
    <w:p>
      <w:pPr>
        <w:spacing w:after="0" w:line="1" w:lineRule="exact"/>
        <w:rPr>
          <w:rFonts w:ascii="Times New Roman" w:cs="Times New Roman" w:eastAsia="Times New Roman" w:hAnsi="Times New Roman"/>
          <w:sz w:val="18"/>
          <w:szCs w:val="18"/>
          <w:color w:val="auto"/>
        </w:rPr>
      </w:pPr>
    </w:p>
    <w:p>
      <w:pPr>
        <w:ind w:left="820" w:right="80" w:hanging="377"/>
        <w:spacing w:after="0" w:line="258" w:lineRule="auto"/>
        <w:tabs>
          <w:tab w:leader="none" w:pos="8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Effective ticket price</w:t>
      </w:r>
      <w:r>
        <w:rPr>
          <w:rFonts w:ascii="Times New Roman" w:cs="Times New Roman" w:eastAsia="Times New Roman" w:hAnsi="Times New Roman"/>
          <w:sz w:val="18"/>
          <w:szCs w:val="18"/>
          <w:color w:val="auto"/>
        </w:rPr>
        <w:t>. Effective ticket price is calculated as revenue from the sale of attraction tickets divided by the total number of visitors 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all comparable Pursuit attractions during the period.</w:t>
      </w:r>
    </w:p>
    <w:p>
      <w:pPr>
        <w:spacing w:after="0" w:line="1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use the following key business metrics, common in the hospitality industry, to evaluate Pursuit’s hospitality business:</w:t>
      </w:r>
    </w:p>
    <w:p>
      <w:pPr>
        <w:spacing w:after="0" w:line="99" w:lineRule="exact"/>
        <w:rPr>
          <w:sz w:val="20"/>
          <w:szCs w:val="20"/>
          <w:color w:val="auto"/>
        </w:rPr>
      </w:pPr>
    </w:p>
    <w:p>
      <w:pPr>
        <w:jc w:val="both"/>
        <w:ind w:left="760" w:right="60" w:hanging="378"/>
        <w:spacing w:after="0" w:line="246" w:lineRule="auto"/>
        <w:tabs>
          <w:tab w:leader="none" w:pos="7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Revenue per Available Room. </w:t>
      </w:r>
      <w:r>
        <w:rPr>
          <w:rFonts w:ascii="Times New Roman" w:cs="Times New Roman" w:eastAsia="Times New Roman" w:hAnsi="Times New Roman"/>
          <w:sz w:val="18"/>
          <w:szCs w:val="18"/>
          <w:color w:val="auto"/>
        </w:rPr>
        <w:t>RevPAR is calculated as total rooms revenue divided by the total number of room nights available for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comparable Pursuit hospitality properties during the period. Total rooms revenue does not include non-rooms revenue, which consists of ancillary revenue generated by hospitality properties, such as food and beverage and retail revenue. RevPAR measures the period-over-period change in rooms revenue per available room for comparable hospitality properties. RevPAR is affected by average daily rate and occupancy, which have different implications on profitability.</w:t>
      </w:r>
    </w:p>
    <w:p>
      <w:pPr>
        <w:spacing w:after="0" w:line="1" w:lineRule="exact"/>
        <w:rPr>
          <w:rFonts w:ascii="Times New Roman" w:cs="Times New Roman" w:eastAsia="Times New Roman" w:hAnsi="Times New Roman"/>
          <w:sz w:val="18"/>
          <w:szCs w:val="18"/>
          <w:color w:val="auto"/>
        </w:rPr>
      </w:pPr>
    </w:p>
    <w:p>
      <w:pPr>
        <w:jc w:val="both"/>
        <w:ind w:left="760" w:right="60" w:hanging="378"/>
        <w:spacing w:after="0" w:line="238" w:lineRule="auto"/>
        <w:tabs>
          <w:tab w:leader="none" w:pos="7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Average Daily Rate. </w:t>
      </w:r>
      <w:r>
        <w:rPr>
          <w:rFonts w:ascii="Times New Roman" w:cs="Times New Roman" w:eastAsia="Times New Roman" w:hAnsi="Times New Roman"/>
          <w:sz w:val="18"/>
          <w:szCs w:val="18"/>
          <w:color w:val="auto"/>
        </w:rPr>
        <w:t>ADR is calculated as total rooms revenue divided by the total number of room nights sold for all comparable Pursuit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hospitality properties during the period. ADR is used to assess the pricing levels that the hospitality properties are able to realize. Increases in ADR lead to increases in rooms revenue with no substantial effect on variable costs, therefore having a greater impact on margins than increases in occupancy.</w:t>
      </w:r>
    </w:p>
    <w:p>
      <w:pPr>
        <w:spacing w:after="0" w:line="1" w:lineRule="exact"/>
        <w:rPr>
          <w:rFonts w:ascii="Times New Roman" w:cs="Times New Roman" w:eastAsia="Times New Roman" w:hAnsi="Times New Roman"/>
          <w:sz w:val="18"/>
          <w:szCs w:val="18"/>
          <w:color w:val="auto"/>
        </w:rPr>
      </w:pPr>
    </w:p>
    <w:p>
      <w:pPr>
        <w:jc w:val="both"/>
        <w:ind w:left="760" w:right="60" w:hanging="378"/>
        <w:spacing w:after="0" w:line="242" w:lineRule="auto"/>
        <w:tabs>
          <w:tab w:leader="none" w:pos="7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Occupancy. </w:t>
      </w:r>
      <w:r>
        <w:rPr>
          <w:rFonts w:ascii="Times New Roman" w:cs="Times New Roman" w:eastAsia="Times New Roman" w:hAnsi="Times New Roman"/>
          <w:sz w:val="18"/>
          <w:szCs w:val="18"/>
          <w:color w:val="auto"/>
        </w:rPr>
        <w:t>Occupancy is calculated as the total number of room nights sold divided by the total number of room nights available for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comparable Pursuit hospitality properties during the period. Occupancy measures the utilization of the available capacity at the hospitality properties. Increases in occupancy result in increases in rooms revenue and additional variable operating costs (including housekeeping services, utilities, and room amenity costs), as well as increases in ancillary non-rooms revenue (including food and beverage and retail revenue).</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provides Pursuit’s key performance indicators.</w:t>
      </w:r>
    </w:p>
    <w:p>
      <w:pPr>
        <w:spacing w:after="0" w:line="381" w:lineRule="exact"/>
        <w:rPr>
          <w:sz w:val="20"/>
          <w:szCs w:val="20"/>
          <w:color w:val="auto"/>
        </w:rPr>
      </w:pPr>
    </w:p>
    <w:tbl>
      <w:tblPr>
        <w:tblLayout w:type="fixed"/>
        <w:tblInd w:w="0" w:type="dxa"/>
        <w:tblCellMar>
          <w:top w:w="0" w:type="dxa"/>
          <w:left w:w="0" w:type="dxa"/>
          <w:bottom w:w="0" w:type="dxa"/>
          <w:right w:w="0" w:type="dxa"/>
        </w:tblCellMar>
      </w:tblPr>
      <w:tr>
        <w:trPr>
          <w:trHeight w:val="148"/>
        </w:trPr>
        <w:tc>
          <w:tcPr>
            <w:tcW w:w="2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180" w:type="dxa"/>
            <w:vAlign w:val="bottom"/>
            <w:gridSpan w:val="4"/>
          </w:tcPr>
          <w:p>
            <w:pPr>
              <w:jc w:val="right"/>
              <w:ind w:right="60"/>
              <w:spacing w:after="0"/>
              <w:rPr>
                <w:sz w:val="20"/>
                <w:szCs w:val="20"/>
                <w:color w:val="auto"/>
              </w:rPr>
            </w:pPr>
            <w:r>
              <w:rPr>
                <w:rFonts w:ascii="Times New Roman" w:cs="Times New Roman" w:eastAsia="Times New Roman" w:hAnsi="Times New Roman"/>
                <w:sz w:val="12"/>
                <w:szCs w:val="12"/>
                <w:b w:val="1"/>
                <w:bCs w:val="1"/>
                <w:color w:val="auto"/>
              </w:rPr>
              <w:t>Three Months Ended</w:t>
            </w:r>
          </w:p>
        </w:tc>
        <w:tc>
          <w:tcPr>
            <w:tcW w:w="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3"/>
          </w:tcPr>
          <w:p>
            <w:pPr>
              <w:jc w:val="right"/>
              <w:spacing w:after="0"/>
              <w:rPr>
                <w:sz w:val="20"/>
                <w:szCs w:val="20"/>
                <w:color w:val="auto"/>
              </w:rPr>
            </w:pPr>
            <w:r>
              <w:rPr>
                <w:rFonts w:ascii="Times New Roman" w:cs="Times New Roman" w:eastAsia="Times New Roman" w:hAnsi="Times New Roman"/>
                <w:sz w:val="12"/>
                <w:szCs w:val="12"/>
                <w:b w:val="1"/>
                <w:bCs w:val="1"/>
                <w:color w:val="auto"/>
              </w:rPr>
              <w:t>Three Months Ended</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8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940" w:type="dxa"/>
            <w:vAlign w:val="bottom"/>
            <w:gridSpan w:val="3"/>
          </w:tcPr>
          <w:p>
            <w:pPr>
              <w:ind w:left="20"/>
              <w:spacing w:after="0"/>
              <w:rPr>
                <w:sz w:val="20"/>
                <w:szCs w:val="20"/>
                <w:color w:val="auto"/>
              </w:rPr>
            </w:pPr>
            <w:r>
              <w:rPr>
                <w:rFonts w:ascii="Times New Roman" w:cs="Times New Roman" w:eastAsia="Times New Roman" w:hAnsi="Times New Roman"/>
                <w:sz w:val="12"/>
                <w:szCs w:val="12"/>
                <w:b w:val="1"/>
                <w:bCs w:val="1"/>
                <w:color w:val="auto"/>
              </w:rPr>
              <w:t>June 30, 2022</w:t>
            </w: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gridSpan w:val="3"/>
          </w:tcPr>
          <w:p>
            <w:pPr>
              <w:jc w:val="right"/>
              <w:ind w:right="142"/>
              <w:spacing w:after="0"/>
              <w:rPr>
                <w:sz w:val="20"/>
                <w:szCs w:val="20"/>
                <w:color w:val="auto"/>
              </w:rPr>
            </w:pPr>
            <w:r>
              <w:rPr>
                <w:rFonts w:ascii="Times New Roman" w:cs="Times New Roman" w:eastAsia="Times New Roman" w:hAnsi="Times New Roman"/>
                <w:sz w:val="12"/>
                <w:szCs w:val="12"/>
                <w:b w:val="1"/>
                <w:bCs w:val="1"/>
                <w:color w:val="auto"/>
              </w:rPr>
              <w:t>June 30, 2021</w:t>
            </w: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820" w:type="dxa"/>
            <w:vAlign w:val="bottom"/>
            <w:gridSpan w:val="5"/>
          </w:tcPr>
          <w:p>
            <w:pPr>
              <w:jc w:val="right"/>
              <w:ind w:right="740"/>
              <w:spacing w:after="0"/>
              <w:rPr>
                <w:sz w:val="20"/>
                <w:szCs w:val="20"/>
                <w:color w:val="auto"/>
              </w:rPr>
            </w:pPr>
            <w:r>
              <w:rPr>
                <w:rFonts w:ascii="Times New Roman" w:cs="Times New Roman" w:eastAsia="Times New Roman" w:hAnsi="Times New Roman"/>
                <w:sz w:val="12"/>
                <w:szCs w:val="12"/>
                <w:b w:val="1"/>
                <w:bCs w:val="1"/>
                <w:color w:val="auto"/>
              </w:rPr>
              <w:t>% Change</w:t>
            </w:r>
          </w:p>
        </w:tc>
        <w:tc>
          <w:tcPr>
            <w:tcW w:w="0" w:type="dxa"/>
            <w:vAlign w:val="bottom"/>
          </w:tcPr>
          <w:p>
            <w:pPr>
              <w:spacing w:after="0"/>
              <w:rPr>
                <w:sz w:val="1"/>
                <w:szCs w:val="1"/>
                <w:color w:val="auto"/>
              </w:rPr>
            </w:pPr>
          </w:p>
        </w:tc>
      </w:tr>
      <w:tr>
        <w:trPr>
          <w:trHeight w:val="105"/>
        </w:trPr>
        <w:tc>
          <w:tcPr>
            <w:tcW w:w="2860" w:type="dxa"/>
            <w:vAlign w:val="bottom"/>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860" w:type="dxa"/>
            <w:vAlign w:val="bottom"/>
            <w:tcBorders>
              <w:top w:val="single" w:sz="8" w:color="auto"/>
            </w:tcBorders>
            <w:gridSpan w:val="2"/>
            <w:vMerge w:val="restart"/>
          </w:tcPr>
          <w:p>
            <w:pPr>
              <w:jc w:val="right"/>
              <w:ind w:right="502"/>
              <w:spacing w:after="0"/>
              <w:rPr>
                <w:sz w:val="20"/>
                <w:szCs w:val="20"/>
                <w:color w:val="auto"/>
              </w:rPr>
            </w:pPr>
            <w:r>
              <w:rPr>
                <w:rFonts w:ascii="Times New Roman" w:cs="Times New Roman" w:eastAsia="Times New Roman" w:hAnsi="Times New Roman"/>
                <w:sz w:val="12"/>
                <w:szCs w:val="12"/>
                <w:b w:val="1"/>
                <w:bCs w:val="1"/>
                <w:color w:val="auto"/>
              </w:rPr>
              <w:t>As</w:t>
            </w:r>
          </w:p>
        </w:tc>
        <w:tc>
          <w:tcPr>
            <w:tcW w:w="140" w:type="dxa"/>
            <w:vAlign w:val="bottom"/>
            <w:tcBorders>
              <w:top w:val="single" w:sz="8" w:color="auto"/>
            </w:tcBorders>
          </w:tcPr>
          <w:p>
            <w:pPr>
              <w:spacing w:after="0"/>
              <w:rPr>
                <w:sz w:val="9"/>
                <w:szCs w:val="9"/>
                <w:color w:val="auto"/>
              </w:rPr>
            </w:pPr>
          </w:p>
        </w:tc>
        <w:tc>
          <w:tcPr>
            <w:tcW w:w="800" w:type="dxa"/>
            <w:vAlign w:val="bottom"/>
            <w:tcBorders>
              <w:top w:val="single" w:sz="8" w:color="auto"/>
            </w:tcBorders>
            <w:gridSpan w:val="2"/>
            <w:vMerge w:val="restart"/>
          </w:tcPr>
          <w:p>
            <w:pPr>
              <w:jc w:val="right"/>
              <w:ind w:right="480"/>
              <w:spacing w:after="0"/>
              <w:rPr>
                <w:sz w:val="20"/>
                <w:szCs w:val="20"/>
                <w:color w:val="auto"/>
              </w:rPr>
            </w:pPr>
            <w:r>
              <w:rPr>
                <w:rFonts w:ascii="Times New Roman" w:cs="Times New Roman" w:eastAsia="Times New Roman" w:hAnsi="Times New Roman"/>
                <w:sz w:val="12"/>
                <w:szCs w:val="12"/>
                <w:b w:val="1"/>
                <w:bCs w:val="1"/>
                <w:color w:val="auto"/>
              </w:rPr>
              <w:t>New</w:t>
            </w:r>
          </w:p>
        </w:tc>
        <w:tc>
          <w:tcPr>
            <w:tcW w:w="200" w:type="dxa"/>
            <w:vAlign w:val="bottom"/>
            <w:tcBorders>
              <w:top w:val="single" w:sz="8" w:color="auto"/>
            </w:tcBorders>
          </w:tcPr>
          <w:p>
            <w:pPr>
              <w:spacing w:after="0"/>
              <w:rPr>
                <w:sz w:val="9"/>
                <w:szCs w:val="9"/>
                <w:color w:val="auto"/>
              </w:rPr>
            </w:pPr>
          </w:p>
        </w:tc>
        <w:tc>
          <w:tcPr>
            <w:tcW w:w="54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820" w:type="dxa"/>
            <w:vAlign w:val="bottom"/>
            <w:tcBorders>
              <w:top w:val="single" w:sz="8" w:color="auto"/>
            </w:tcBorders>
            <w:gridSpan w:val="2"/>
            <w:vMerge w:val="restart"/>
          </w:tcPr>
          <w:p>
            <w:pPr>
              <w:jc w:val="right"/>
              <w:ind w:right="500"/>
              <w:spacing w:after="0"/>
              <w:rPr>
                <w:sz w:val="20"/>
                <w:szCs w:val="20"/>
                <w:color w:val="auto"/>
              </w:rPr>
            </w:pPr>
            <w:r>
              <w:rPr>
                <w:rFonts w:ascii="Times New Roman" w:cs="Times New Roman" w:eastAsia="Times New Roman" w:hAnsi="Times New Roman"/>
                <w:sz w:val="12"/>
                <w:szCs w:val="12"/>
                <w:b w:val="1"/>
                <w:bCs w:val="1"/>
                <w:color w:val="auto"/>
              </w:rPr>
              <w:t>As</w:t>
            </w:r>
          </w:p>
        </w:tc>
        <w:tc>
          <w:tcPr>
            <w:tcW w:w="140" w:type="dxa"/>
            <w:vAlign w:val="bottom"/>
            <w:tcBorders>
              <w:top w:val="single" w:sz="8" w:color="auto"/>
            </w:tcBorders>
          </w:tcPr>
          <w:p>
            <w:pPr>
              <w:spacing w:after="0"/>
              <w:rPr>
                <w:sz w:val="9"/>
                <w:szCs w:val="9"/>
                <w:color w:val="auto"/>
              </w:rPr>
            </w:pPr>
          </w:p>
        </w:tc>
        <w:tc>
          <w:tcPr>
            <w:tcW w:w="540" w:type="dxa"/>
            <w:vAlign w:val="bottom"/>
            <w:tcBorders>
              <w:top w:val="single" w:sz="8" w:color="auto"/>
            </w:tcBorders>
          </w:tcPr>
          <w:p>
            <w:pPr>
              <w:jc w:val="right"/>
              <w:ind w:right="180"/>
              <w:spacing w:after="0" w:line="105" w:lineRule="exact"/>
              <w:rPr>
                <w:sz w:val="20"/>
                <w:szCs w:val="20"/>
                <w:color w:val="auto"/>
              </w:rPr>
            </w:pPr>
            <w:r>
              <w:rPr>
                <w:rFonts w:ascii="Times New Roman" w:cs="Times New Roman" w:eastAsia="Times New Roman" w:hAnsi="Times New Roman"/>
                <w:sz w:val="12"/>
                <w:szCs w:val="12"/>
                <w:b w:val="1"/>
                <w:bCs w:val="1"/>
                <w:color w:val="auto"/>
              </w:rPr>
              <w:t>New</w:t>
            </w:r>
          </w:p>
        </w:tc>
        <w:tc>
          <w:tcPr>
            <w:tcW w:w="200" w:type="dxa"/>
            <w:vAlign w:val="bottom"/>
            <w:tcBorders>
              <w:top w:val="single" w:sz="8" w:color="auto"/>
            </w:tcBorders>
          </w:tcPr>
          <w:p>
            <w:pPr>
              <w:spacing w:after="0"/>
              <w:rPr>
                <w:sz w:val="9"/>
                <w:szCs w:val="9"/>
                <w:color w:val="auto"/>
              </w:rPr>
            </w:pPr>
          </w:p>
        </w:tc>
        <w:tc>
          <w:tcPr>
            <w:tcW w:w="520" w:type="dxa"/>
            <w:vAlign w:val="bottom"/>
            <w:tcBorders>
              <w:top w:val="single" w:sz="8" w:color="auto"/>
            </w:tcBorders>
          </w:tcPr>
          <w:p>
            <w:pPr>
              <w:spacing w:after="0"/>
              <w:rPr>
                <w:sz w:val="9"/>
                <w:szCs w:val="9"/>
                <w:color w:val="auto"/>
              </w:rPr>
            </w:pPr>
          </w:p>
        </w:tc>
        <w:tc>
          <w:tcPr>
            <w:tcW w:w="220" w:type="dxa"/>
            <w:vAlign w:val="bottom"/>
            <w:tcBorders>
              <w:top w:val="single" w:sz="8" w:color="auto"/>
            </w:tcBorders>
          </w:tcPr>
          <w:p>
            <w:pPr>
              <w:spacing w:after="0"/>
              <w:rPr>
                <w:sz w:val="9"/>
                <w:szCs w:val="9"/>
                <w:color w:val="auto"/>
              </w:rPr>
            </w:pPr>
          </w:p>
        </w:tc>
        <w:tc>
          <w:tcPr>
            <w:tcW w:w="200" w:type="dxa"/>
            <w:vAlign w:val="bottom"/>
            <w:tcBorders>
              <w:top w:val="single" w:sz="8" w:color="auto"/>
            </w:tcBorders>
          </w:tcPr>
          <w:p>
            <w:pPr>
              <w:spacing w:after="0"/>
              <w:rPr>
                <w:sz w:val="9"/>
                <w:szCs w:val="9"/>
                <w:color w:val="auto"/>
              </w:rPr>
            </w:pPr>
          </w:p>
        </w:tc>
        <w:tc>
          <w:tcPr>
            <w:tcW w:w="240" w:type="dxa"/>
            <w:vAlign w:val="bottom"/>
            <w:tcBorders>
              <w:top w:val="single" w:sz="8" w:color="auto"/>
            </w:tcBorders>
          </w:tcPr>
          <w:p>
            <w:pPr>
              <w:spacing w:after="0"/>
              <w:rPr>
                <w:sz w:val="9"/>
                <w:szCs w:val="9"/>
                <w:color w:val="auto"/>
              </w:rPr>
            </w:pPr>
          </w:p>
        </w:tc>
        <w:tc>
          <w:tcPr>
            <w:tcW w:w="58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tcBorders>
              <w:top w:val="single" w:sz="8" w:color="auto"/>
            </w:tcBorders>
            <w:gridSpan w:val="2"/>
            <w:vMerge w:val="restart"/>
          </w:tcPr>
          <w:p>
            <w:pPr>
              <w:jc w:val="right"/>
              <w:ind w:right="520"/>
              <w:spacing w:after="0"/>
              <w:rPr>
                <w:sz w:val="20"/>
                <w:szCs w:val="20"/>
                <w:color w:val="auto"/>
              </w:rPr>
            </w:pPr>
            <w:r>
              <w:rPr>
                <w:rFonts w:ascii="Times New Roman" w:cs="Times New Roman" w:eastAsia="Times New Roman" w:hAnsi="Times New Roman"/>
                <w:sz w:val="12"/>
                <w:szCs w:val="12"/>
                <w:b w:val="1"/>
                <w:bCs w:val="1"/>
                <w:color w:val="auto"/>
              </w:rPr>
              <w:t>As</w:t>
            </w:r>
          </w:p>
        </w:tc>
        <w:tc>
          <w:tcPr>
            <w:tcW w:w="74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1"/>
        </w:trPr>
        <w:tc>
          <w:tcPr>
            <w:tcW w:w="28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960" w:type="dxa"/>
            <w:vAlign w:val="bottom"/>
            <w:gridSpan w:val="3"/>
            <w:vMerge w:val="restart"/>
          </w:tcPr>
          <w:p>
            <w:pPr>
              <w:jc w:val="right"/>
              <w:ind w:right="260"/>
              <w:spacing w:after="0"/>
              <w:rPr>
                <w:sz w:val="20"/>
                <w:szCs w:val="20"/>
                <w:color w:val="auto"/>
              </w:rPr>
            </w:pPr>
            <w:r>
              <w:rPr>
                <w:rFonts w:ascii="Times New Roman" w:cs="Times New Roman" w:eastAsia="Times New Roman" w:hAnsi="Times New Roman"/>
                <w:sz w:val="12"/>
                <w:szCs w:val="12"/>
                <w:b w:val="1"/>
                <w:bCs w:val="1"/>
                <w:color w:val="auto"/>
                <w:w w:val="95"/>
              </w:rPr>
              <w:t>Same-Store</w:t>
            </w:r>
            <w:r>
              <w:rPr>
                <w:rFonts w:ascii="Times New Roman" w:cs="Times New Roman" w:eastAsia="Times New Roman" w:hAnsi="Times New Roman"/>
                <w:sz w:val="15"/>
                <w:szCs w:val="15"/>
                <w:b w:val="1"/>
                <w:bCs w:val="1"/>
                <w:color w:val="auto"/>
                <w:w w:val="95"/>
                <w:vertAlign w:val="superscript"/>
              </w:rPr>
              <w:t>(2)</w:t>
            </w:r>
          </w:p>
        </w:tc>
        <w:tc>
          <w:tcPr>
            <w:tcW w:w="1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680" w:type="dxa"/>
            <w:vAlign w:val="bottom"/>
            <w:gridSpan w:val="2"/>
          </w:tcPr>
          <w:p>
            <w:pPr>
              <w:ind w:left="20"/>
              <w:spacing w:after="0" w:line="121" w:lineRule="exact"/>
              <w:rPr>
                <w:sz w:val="20"/>
                <w:szCs w:val="20"/>
                <w:color w:val="auto"/>
              </w:rPr>
            </w:pPr>
            <w:r>
              <w:rPr>
                <w:rFonts w:ascii="Times New Roman" w:cs="Times New Roman" w:eastAsia="Times New Roman" w:hAnsi="Times New Roman"/>
                <w:sz w:val="11"/>
                <w:szCs w:val="11"/>
                <w:b w:val="1"/>
                <w:bCs w:val="1"/>
                <w:color w:val="auto"/>
              </w:rPr>
              <w:t>Experiences</w:t>
            </w:r>
            <w:r>
              <w:rPr>
                <w:rFonts w:ascii="Times New Roman" w:cs="Times New Roman" w:eastAsia="Times New Roman" w:hAnsi="Times New Roman"/>
                <w:sz w:val="14"/>
                <w:szCs w:val="14"/>
                <w:b w:val="1"/>
                <w:bCs w:val="1"/>
                <w:color w:val="auto"/>
                <w:vertAlign w:val="superscript"/>
              </w:rPr>
              <w:t>(</w:t>
            </w:r>
          </w:p>
        </w:tc>
        <w:tc>
          <w:tcPr>
            <w:tcW w:w="200" w:type="dxa"/>
            <w:vAlign w:val="bottom"/>
          </w:tcPr>
          <w:p>
            <w:pPr>
              <w:spacing w:after="0"/>
              <w:rPr>
                <w:sz w:val="10"/>
                <w:szCs w:val="10"/>
                <w:color w:val="auto"/>
              </w:rPr>
            </w:pPr>
          </w:p>
        </w:tc>
        <w:tc>
          <w:tcPr>
            <w:tcW w:w="7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2"/>
                <w:szCs w:val="12"/>
                <w:b w:val="1"/>
                <w:bCs w:val="1"/>
                <w:color w:val="auto"/>
                <w:w w:val="97"/>
              </w:rPr>
              <w:t>FX Impact</w:t>
            </w:r>
            <w:r>
              <w:rPr>
                <w:rFonts w:ascii="Times New Roman" w:cs="Times New Roman" w:eastAsia="Times New Roman" w:hAnsi="Times New Roman"/>
                <w:sz w:val="15"/>
                <w:szCs w:val="15"/>
                <w:b w:val="1"/>
                <w:bCs w:val="1"/>
                <w:color w:val="auto"/>
                <w:w w:val="97"/>
                <w:vertAlign w:val="superscript"/>
              </w:rPr>
              <w:t>(3)</w:t>
            </w:r>
          </w:p>
        </w:tc>
        <w:tc>
          <w:tcPr>
            <w:tcW w:w="200" w:type="dxa"/>
            <w:vAlign w:val="bottom"/>
          </w:tcPr>
          <w:p>
            <w:pPr>
              <w:spacing w:after="0"/>
              <w:rPr>
                <w:sz w:val="10"/>
                <w:szCs w:val="10"/>
                <w:color w:val="auto"/>
              </w:rPr>
            </w:pPr>
          </w:p>
        </w:tc>
        <w:tc>
          <w:tcPr>
            <w:tcW w:w="1020" w:type="dxa"/>
            <w:vAlign w:val="bottom"/>
            <w:gridSpan w:val="3"/>
            <w:vMerge w:val="restart"/>
          </w:tcPr>
          <w:p>
            <w:pPr>
              <w:jc w:val="right"/>
              <w:ind w:right="280"/>
              <w:spacing w:after="0"/>
              <w:rPr>
                <w:sz w:val="20"/>
                <w:szCs w:val="20"/>
                <w:color w:val="auto"/>
              </w:rPr>
            </w:pPr>
            <w:r>
              <w:rPr>
                <w:rFonts w:ascii="Times New Roman" w:cs="Times New Roman" w:eastAsia="Times New Roman" w:hAnsi="Times New Roman"/>
                <w:sz w:val="12"/>
                <w:szCs w:val="12"/>
                <w:b w:val="1"/>
                <w:bCs w:val="1"/>
                <w:color w:val="auto"/>
              </w:rPr>
              <w:t>Same-Store</w:t>
            </w:r>
            <w:r>
              <w:rPr>
                <w:rFonts w:ascii="Times New Roman" w:cs="Times New Roman" w:eastAsia="Times New Roman" w:hAnsi="Times New Roman"/>
                <w:sz w:val="15"/>
                <w:szCs w:val="15"/>
                <w:b w:val="1"/>
                <w:bCs w:val="1"/>
                <w:color w:val="auto"/>
                <w:vertAlign w:val="superscript"/>
              </w:rPr>
              <w:t>(2)</w:t>
            </w:r>
          </w:p>
        </w:tc>
        <w:tc>
          <w:tcPr>
            <w:tcW w:w="920" w:type="dxa"/>
            <w:vAlign w:val="bottom"/>
            <w:gridSpan w:val="2"/>
            <w:vMerge w:val="continue"/>
          </w:tcPr>
          <w:p>
            <w:pPr>
              <w:spacing w:after="0"/>
              <w:rPr>
                <w:sz w:val="10"/>
                <w:szCs w:val="10"/>
                <w:color w:val="auto"/>
              </w:rPr>
            </w:pPr>
          </w:p>
        </w:tc>
        <w:tc>
          <w:tcPr>
            <w:tcW w:w="900" w:type="dxa"/>
            <w:vAlign w:val="bottom"/>
            <w:gridSpan w:val="3"/>
            <w:vMerge w:val="restart"/>
          </w:tcPr>
          <w:p>
            <w:pPr>
              <w:jc w:val="right"/>
              <w:ind w:right="200"/>
              <w:spacing w:after="0"/>
              <w:rPr>
                <w:sz w:val="20"/>
                <w:szCs w:val="20"/>
                <w:color w:val="auto"/>
              </w:rPr>
            </w:pPr>
            <w:r>
              <w:rPr>
                <w:rFonts w:ascii="Times New Roman" w:cs="Times New Roman" w:eastAsia="Times New Roman" w:hAnsi="Times New Roman"/>
                <w:sz w:val="12"/>
                <w:szCs w:val="12"/>
                <w:b w:val="1"/>
                <w:bCs w:val="1"/>
                <w:color w:val="auto"/>
                <w:w w:val="95"/>
              </w:rPr>
              <w:t>Same-Store</w:t>
            </w:r>
            <w:r>
              <w:rPr>
                <w:rFonts w:ascii="Times New Roman" w:cs="Times New Roman" w:eastAsia="Times New Roman" w:hAnsi="Times New Roman"/>
                <w:sz w:val="15"/>
                <w:szCs w:val="15"/>
                <w:b w:val="1"/>
                <w:bCs w:val="1"/>
                <w:color w:val="auto"/>
                <w:w w:val="95"/>
                <w:vertAlign w:val="superscript"/>
              </w:rPr>
              <w:t>(2)</w:t>
            </w:r>
          </w:p>
        </w:tc>
        <w:tc>
          <w:tcPr>
            <w:tcW w:w="0" w:type="dxa"/>
            <w:vAlign w:val="bottom"/>
          </w:tcPr>
          <w:p>
            <w:pPr>
              <w:spacing w:after="0"/>
              <w:rPr>
                <w:sz w:val="1"/>
                <w:szCs w:val="1"/>
                <w:color w:val="auto"/>
              </w:rPr>
            </w:pPr>
          </w:p>
        </w:tc>
      </w:tr>
      <w:tr>
        <w:trPr>
          <w:trHeight w:val="121"/>
        </w:trPr>
        <w:tc>
          <w:tcPr>
            <w:tcW w:w="28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tcPr>
          <w:p>
            <w:pPr>
              <w:jc w:val="right"/>
              <w:ind w:right="302"/>
              <w:spacing w:after="0" w:line="122" w:lineRule="exact"/>
              <w:rPr>
                <w:sz w:val="20"/>
                <w:szCs w:val="20"/>
                <w:color w:val="auto"/>
              </w:rPr>
            </w:pPr>
            <w:r>
              <w:rPr>
                <w:rFonts w:ascii="Times New Roman" w:cs="Times New Roman" w:eastAsia="Times New Roman" w:hAnsi="Times New Roman"/>
                <w:sz w:val="12"/>
                <w:szCs w:val="12"/>
                <w:b w:val="1"/>
                <w:bCs w:val="1"/>
                <w:color w:val="auto"/>
                <w:w w:val="99"/>
              </w:rPr>
              <w:t>Reported</w:t>
            </w:r>
          </w:p>
        </w:tc>
        <w:tc>
          <w:tcPr>
            <w:tcW w:w="940" w:type="dxa"/>
            <w:vAlign w:val="bottom"/>
            <w:gridSpan w:val="3"/>
          </w:tcPr>
          <w:p>
            <w:pPr>
              <w:spacing w:after="0" w:line="121" w:lineRule="exact"/>
              <w:rPr>
                <w:sz w:val="20"/>
                <w:szCs w:val="20"/>
                <w:color w:val="auto"/>
              </w:rPr>
            </w:pPr>
            <w:r>
              <w:rPr>
                <w:rFonts w:ascii="Times New Roman" w:cs="Times New Roman" w:eastAsia="Times New Roman" w:hAnsi="Times New Roman"/>
                <w:sz w:val="11"/>
                <w:szCs w:val="11"/>
                <w:b w:val="1"/>
                <w:bCs w:val="1"/>
                <w:color w:val="auto"/>
              </w:rPr>
              <w:t>Experiences</w:t>
            </w:r>
            <w:r>
              <w:rPr>
                <w:rFonts w:ascii="Times New Roman" w:cs="Times New Roman" w:eastAsia="Times New Roman" w:hAnsi="Times New Roman"/>
                <w:sz w:val="14"/>
                <w:szCs w:val="14"/>
                <w:b w:val="1"/>
                <w:bCs w:val="1"/>
                <w:color w:val="auto"/>
                <w:vertAlign w:val="superscript"/>
              </w:rPr>
              <w:t>(1)</w:t>
            </w:r>
          </w:p>
        </w:tc>
        <w:tc>
          <w:tcPr>
            <w:tcW w:w="960" w:type="dxa"/>
            <w:vAlign w:val="bottom"/>
            <w:gridSpan w:val="3"/>
            <w:vMerge w:val="continue"/>
          </w:tcPr>
          <w:p>
            <w:pPr>
              <w:spacing w:after="0"/>
              <w:rPr>
                <w:sz w:val="10"/>
                <w:szCs w:val="10"/>
                <w:color w:val="auto"/>
              </w:rPr>
            </w:pPr>
          </w:p>
        </w:tc>
        <w:tc>
          <w:tcPr>
            <w:tcW w:w="100" w:type="dxa"/>
            <w:vAlign w:val="bottom"/>
          </w:tcPr>
          <w:p>
            <w:pPr>
              <w:spacing w:after="0"/>
              <w:rPr>
                <w:sz w:val="10"/>
                <w:szCs w:val="10"/>
                <w:color w:val="auto"/>
              </w:rPr>
            </w:pPr>
          </w:p>
        </w:tc>
        <w:tc>
          <w:tcPr>
            <w:tcW w:w="820" w:type="dxa"/>
            <w:vAlign w:val="bottom"/>
            <w:gridSpan w:val="2"/>
          </w:tcPr>
          <w:p>
            <w:pPr>
              <w:jc w:val="right"/>
              <w:ind w:right="320"/>
              <w:spacing w:after="0" w:line="122" w:lineRule="exact"/>
              <w:rPr>
                <w:sz w:val="20"/>
                <w:szCs w:val="20"/>
                <w:color w:val="auto"/>
              </w:rPr>
            </w:pPr>
            <w:r>
              <w:rPr>
                <w:rFonts w:ascii="Times New Roman" w:cs="Times New Roman" w:eastAsia="Times New Roman" w:hAnsi="Times New Roman"/>
                <w:sz w:val="12"/>
                <w:szCs w:val="12"/>
                <w:b w:val="1"/>
                <w:bCs w:val="1"/>
                <w:color w:val="auto"/>
                <w:w w:val="99"/>
              </w:rPr>
              <w:t>Reported</w:t>
            </w:r>
          </w:p>
        </w:tc>
        <w:tc>
          <w:tcPr>
            <w:tcW w:w="140" w:type="dxa"/>
            <w:vAlign w:val="bottom"/>
          </w:tcPr>
          <w:p>
            <w:pPr>
              <w:spacing w:after="0"/>
              <w:rPr>
                <w:sz w:val="10"/>
                <w:szCs w:val="10"/>
                <w:color w:val="auto"/>
              </w:rPr>
            </w:pPr>
          </w:p>
        </w:tc>
        <w:tc>
          <w:tcPr>
            <w:tcW w:w="540" w:type="dxa"/>
            <w:vAlign w:val="bottom"/>
          </w:tcPr>
          <w:p>
            <w:pPr>
              <w:jc w:val="right"/>
              <w:ind w:right="240"/>
              <w:spacing w:after="0"/>
              <w:rPr>
                <w:sz w:val="20"/>
                <w:szCs w:val="20"/>
                <w:color w:val="auto"/>
              </w:rPr>
            </w:pPr>
            <w:r>
              <w:rPr>
                <w:rFonts w:ascii="Times New Roman" w:cs="Times New Roman" w:eastAsia="Times New Roman" w:hAnsi="Times New Roman"/>
                <w:sz w:val="8"/>
                <w:szCs w:val="8"/>
                <w:b w:val="1"/>
                <w:bCs w:val="1"/>
                <w:color w:val="auto"/>
              </w:rPr>
              <w:t>1)</w:t>
            </w:r>
          </w:p>
        </w:tc>
        <w:tc>
          <w:tcPr>
            <w:tcW w:w="200" w:type="dxa"/>
            <w:vAlign w:val="bottom"/>
          </w:tcPr>
          <w:p>
            <w:pPr>
              <w:spacing w:after="0"/>
              <w:rPr>
                <w:sz w:val="10"/>
                <w:szCs w:val="10"/>
                <w:color w:val="auto"/>
              </w:rPr>
            </w:pPr>
          </w:p>
        </w:tc>
        <w:tc>
          <w:tcPr>
            <w:tcW w:w="7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1020" w:type="dxa"/>
            <w:vAlign w:val="bottom"/>
            <w:gridSpan w:val="3"/>
            <w:vMerge w:val="continue"/>
          </w:tcPr>
          <w:p>
            <w:pPr>
              <w:spacing w:after="0"/>
              <w:rPr>
                <w:sz w:val="10"/>
                <w:szCs w:val="10"/>
                <w:color w:val="auto"/>
              </w:rPr>
            </w:pPr>
          </w:p>
        </w:tc>
        <w:tc>
          <w:tcPr>
            <w:tcW w:w="920" w:type="dxa"/>
            <w:vAlign w:val="bottom"/>
            <w:gridSpan w:val="2"/>
          </w:tcPr>
          <w:p>
            <w:pPr>
              <w:jc w:val="right"/>
              <w:ind w:right="340"/>
              <w:spacing w:after="0" w:line="122" w:lineRule="exact"/>
              <w:rPr>
                <w:sz w:val="20"/>
                <w:szCs w:val="20"/>
                <w:color w:val="auto"/>
              </w:rPr>
            </w:pPr>
            <w:r>
              <w:rPr>
                <w:rFonts w:ascii="Times New Roman" w:cs="Times New Roman" w:eastAsia="Times New Roman" w:hAnsi="Times New Roman"/>
                <w:sz w:val="12"/>
                <w:szCs w:val="12"/>
                <w:b w:val="1"/>
                <w:bCs w:val="1"/>
                <w:color w:val="auto"/>
              </w:rPr>
              <w:t>Reported</w:t>
            </w:r>
          </w:p>
        </w:tc>
        <w:tc>
          <w:tcPr>
            <w:tcW w:w="9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5"/>
        </w:trPr>
        <w:tc>
          <w:tcPr>
            <w:tcW w:w="28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Attractions Key Performance Indicators:</w:t>
            </w:r>
          </w:p>
        </w:tc>
        <w:tc>
          <w:tcPr>
            <w:tcW w:w="100" w:type="dxa"/>
            <w:vAlign w:val="bottom"/>
            <w:tcBorders>
              <w:top w:val="single" w:sz="8" w:color="auto"/>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200" w:type="dxa"/>
            <w:vAlign w:val="bottom"/>
            <w:tcBorders>
              <w:top w:val="single" w:sz="8" w:color="auto"/>
            </w:tcBorders>
            <w:shd w:val="clear" w:color="auto" w:fill="CFF0FC"/>
          </w:tcPr>
          <w:p>
            <w:pPr>
              <w:spacing w:after="0"/>
              <w:rPr>
                <w:sz w:val="13"/>
                <w:szCs w:val="13"/>
                <w:color w:val="auto"/>
              </w:rPr>
            </w:pPr>
          </w:p>
        </w:tc>
        <w:tc>
          <w:tcPr>
            <w:tcW w:w="54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62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140" w:type="dxa"/>
            <w:vAlign w:val="bottom"/>
            <w:tcBorders>
              <w:top w:val="single" w:sz="8" w:color="auto"/>
            </w:tcBorders>
            <w:shd w:val="clear" w:color="auto" w:fill="CFF0FC"/>
          </w:tcPr>
          <w:p>
            <w:pPr>
              <w:spacing w:after="0"/>
              <w:rPr>
                <w:sz w:val="13"/>
                <w:szCs w:val="13"/>
                <w:color w:val="auto"/>
              </w:rPr>
            </w:pPr>
          </w:p>
        </w:tc>
        <w:tc>
          <w:tcPr>
            <w:tcW w:w="54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520" w:type="dxa"/>
            <w:vAlign w:val="bottom"/>
            <w:tcBorders>
              <w:top w:val="single" w:sz="8" w:color="auto"/>
            </w:tcBorders>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4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0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86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Number of visitors</w:t>
            </w:r>
          </w:p>
        </w:tc>
        <w:tc>
          <w:tcPr>
            <w:tcW w:w="10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742,920</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168,910</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574,010</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204,286</w:t>
            </w: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49,078</w:t>
            </w:r>
          </w:p>
        </w:tc>
        <w:tc>
          <w:tcPr>
            <w:tcW w:w="2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155,208</w:t>
            </w:r>
          </w:p>
        </w:tc>
        <w:tc>
          <w:tcPr>
            <w:tcW w:w="20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6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Ticket revenue </w:t>
            </w:r>
            <w:r>
              <w:rPr>
                <w:rFonts w:ascii="Times New Roman" w:cs="Times New Roman" w:eastAsia="Times New Roman" w:hAnsi="Times New Roman"/>
                <w:sz w:val="13"/>
                <w:szCs w:val="13"/>
                <w:i w:val="1"/>
                <w:iCs w:val="1"/>
                <w:color w:val="auto"/>
              </w:rPr>
              <w:t>(in thousands)</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29,337</w:t>
            </w:r>
          </w:p>
        </w:tc>
        <w:tc>
          <w:tcPr>
            <w:tcW w:w="2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7,090</w:t>
            </w:r>
          </w:p>
        </w:tc>
        <w:tc>
          <w:tcPr>
            <w:tcW w:w="220" w:type="dxa"/>
            <w:vAlign w:val="bottom"/>
            <w:shd w:val="clear" w:color="auto" w:fill="CFF0FC"/>
          </w:tcPr>
          <w:p>
            <w:pPr>
              <w:spacing w:after="0"/>
              <w:rPr>
                <w:sz w:val="14"/>
                <w:szCs w:val="14"/>
                <w:color w:val="auto"/>
              </w:rPr>
            </w:pPr>
          </w:p>
        </w:tc>
        <w:tc>
          <w:tcPr>
            <w:tcW w:w="200" w:type="dxa"/>
            <w:vAlign w:val="bottom"/>
            <w:shd w:val="clear" w:color="auto" w:fill="CFF0FC"/>
          </w:tcPr>
          <w:p>
            <w:pPr>
              <w:jc w:val="right"/>
              <w:ind w:right="58"/>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22,247</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10,105</w:t>
            </w:r>
          </w:p>
        </w:tc>
        <w:tc>
          <w:tcPr>
            <w:tcW w:w="200" w:type="dxa"/>
            <w:vAlign w:val="bottom"/>
            <w:shd w:val="clear" w:color="auto" w:fill="CFF0FC"/>
          </w:tcPr>
          <w:p>
            <w:pPr>
              <w:spacing w:after="0"/>
              <w:rPr>
                <w:sz w:val="14"/>
                <w:szCs w:val="14"/>
                <w:color w:val="auto"/>
              </w:rPr>
            </w:pPr>
          </w:p>
        </w:tc>
        <w:tc>
          <w:tcPr>
            <w:tcW w:w="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2,405</w:t>
            </w:r>
          </w:p>
        </w:tc>
        <w:tc>
          <w:tcPr>
            <w:tcW w:w="720" w:type="dxa"/>
            <w:vAlign w:val="bottom"/>
            <w:gridSpan w:val="2"/>
            <w:shd w:val="clear" w:color="auto" w:fill="CFF0FC"/>
          </w:tcPr>
          <w:p>
            <w:pPr>
              <w:jc w:val="right"/>
              <w:ind w:right="382"/>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2"/>
              </w:rPr>
              <w:t>276</w:t>
            </w:r>
          </w:p>
        </w:tc>
        <w:tc>
          <w:tcPr>
            <w:tcW w:w="440" w:type="dxa"/>
            <w:vAlign w:val="bottom"/>
            <w:gridSpan w:val="2"/>
            <w:shd w:val="clear" w:color="auto" w:fill="CFF0FC"/>
          </w:tcPr>
          <w:p>
            <w:pPr>
              <w:jc w:val="right"/>
              <w:ind w:right="10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7,424</w:t>
            </w:r>
          </w:p>
        </w:tc>
        <w:tc>
          <w:tcPr>
            <w:tcW w:w="20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4"/>
                <w:szCs w:val="14"/>
                <w:color w:val="auto"/>
              </w:rPr>
            </w:pP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6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Effective ticket price</w:t>
            </w:r>
          </w:p>
        </w:tc>
        <w:tc>
          <w:tcPr>
            <w:tcW w:w="10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39.49</w:t>
            </w:r>
          </w:p>
        </w:tc>
        <w:tc>
          <w:tcPr>
            <w:tcW w:w="240" w:type="dxa"/>
            <w:vAlign w:val="bottom"/>
          </w:tcPr>
          <w:p>
            <w:pPr>
              <w:spacing w:after="0"/>
              <w:rPr>
                <w:sz w:val="14"/>
                <w:szCs w:val="14"/>
                <w:color w:val="auto"/>
              </w:rPr>
            </w:pPr>
          </w:p>
        </w:tc>
        <w:tc>
          <w:tcPr>
            <w:tcW w:w="14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41.98</w:t>
            </w:r>
          </w:p>
        </w:tc>
        <w:tc>
          <w:tcPr>
            <w:tcW w:w="220" w:type="dxa"/>
            <w:vAlign w:val="bottom"/>
          </w:tcPr>
          <w:p>
            <w:pPr>
              <w:spacing w:after="0"/>
              <w:rPr>
                <w:sz w:val="14"/>
                <w:szCs w:val="14"/>
                <w:color w:val="auto"/>
              </w:rPr>
            </w:pPr>
          </w:p>
        </w:tc>
        <w:tc>
          <w:tcPr>
            <w:tcW w:w="200" w:type="dxa"/>
            <w:vAlign w:val="bottom"/>
          </w:tcPr>
          <w:p>
            <w:pPr>
              <w:jc w:val="right"/>
              <w:ind w:right="58"/>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38.77</w:t>
            </w:r>
          </w:p>
        </w:tc>
        <w:tc>
          <w:tcPr>
            <w:tcW w:w="220" w:type="dxa"/>
            <w:vAlign w:val="bottom"/>
          </w:tcPr>
          <w:p>
            <w:pPr>
              <w:spacing w:after="0"/>
              <w:rPr>
                <w:sz w:val="14"/>
                <w:szCs w:val="1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49.46</w:t>
            </w:r>
          </w:p>
        </w:tc>
        <w:tc>
          <w:tcPr>
            <w:tcW w:w="200" w:type="dxa"/>
            <w:vAlign w:val="bottom"/>
          </w:tcPr>
          <w:p>
            <w:pPr>
              <w:spacing w:after="0"/>
              <w:rPr>
                <w:sz w:val="14"/>
                <w:szCs w:val="14"/>
                <w:color w:val="auto"/>
              </w:rPr>
            </w:pPr>
          </w:p>
        </w:tc>
        <w:tc>
          <w:tcPr>
            <w:tcW w:w="1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49.00</w:t>
            </w:r>
          </w:p>
        </w:tc>
        <w:tc>
          <w:tcPr>
            <w:tcW w:w="720" w:type="dxa"/>
            <w:vAlign w:val="bottom"/>
            <w:gridSpan w:val="2"/>
          </w:tcPr>
          <w:p>
            <w:pPr>
              <w:jc w:val="right"/>
              <w:ind w:right="382"/>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40" w:type="dxa"/>
            <w:vAlign w:val="bottom"/>
            <w:gridSpan w:val="2"/>
          </w:tcPr>
          <w:p>
            <w:pPr>
              <w:jc w:val="right"/>
              <w:ind w:right="10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47.83</w:t>
            </w:r>
          </w:p>
        </w:tc>
        <w:tc>
          <w:tcPr>
            <w:tcW w:w="200" w:type="dxa"/>
            <w:vAlign w:val="bottom"/>
          </w:tcPr>
          <w:p>
            <w:pPr>
              <w:spacing w:after="0"/>
              <w:rPr>
                <w:sz w:val="14"/>
                <w:szCs w:val="14"/>
                <w:color w:val="auto"/>
              </w:rPr>
            </w:pPr>
          </w:p>
        </w:tc>
        <w:tc>
          <w:tcPr>
            <w:tcW w:w="92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rPr>
              <w:t>(20.2 )%</w:t>
            </w:r>
          </w:p>
        </w:tc>
        <w:tc>
          <w:tcPr>
            <w:tcW w:w="90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(19.0 )%</w:t>
            </w:r>
          </w:p>
        </w:tc>
        <w:tc>
          <w:tcPr>
            <w:tcW w:w="0" w:type="dxa"/>
            <w:vAlign w:val="bottom"/>
          </w:tcPr>
          <w:p>
            <w:pPr>
              <w:spacing w:after="0"/>
              <w:rPr>
                <w:sz w:val="1"/>
                <w:szCs w:val="1"/>
                <w:color w:val="auto"/>
              </w:rPr>
            </w:pPr>
          </w:p>
        </w:tc>
      </w:tr>
      <w:tr>
        <w:trPr>
          <w:trHeight w:val="162"/>
        </w:trPr>
        <w:tc>
          <w:tcPr>
            <w:tcW w:w="286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Attractions revenue </w:t>
            </w:r>
            <w:r>
              <w:rPr>
                <w:rFonts w:ascii="Times New Roman" w:cs="Times New Roman" w:eastAsia="Times New Roman" w:hAnsi="Times New Roman"/>
                <w:sz w:val="13"/>
                <w:szCs w:val="13"/>
                <w:i w:val="1"/>
                <w:iCs w:val="1"/>
                <w:color w:val="auto"/>
              </w:rPr>
              <w:t>(in thousands)</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39,096</w:t>
            </w:r>
          </w:p>
        </w:tc>
        <w:tc>
          <w:tcPr>
            <w:tcW w:w="2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8,936</w:t>
            </w:r>
          </w:p>
        </w:tc>
        <w:tc>
          <w:tcPr>
            <w:tcW w:w="220" w:type="dxa"/>
            <w:vAlign w:val="bottom"/>
            <w:shd w:val="clear" w:color="auto" w:fill="CFF0FC"/>
          </w:tcPr>
          <w:p>
            <w:pPr>
              <w:spacing w:after="0"/>
              <w:rPr>
                <w:sz w:val="14"/>
                <w:szCs w:val="14"/>
                <w:color w:val="auto"/>
              </w:rPr>
            </w:pPr>
          </w:p>
        </w:tc>
        <w:tc>
          <w:tcPr>
            <w:tcW w:w="200" w:type="dxa"/>
            <w:vAlign w:val="bottom"/>
            <w:shd w:val="clear" w:color="auto" w:fill="CFF0FC"/>
          </w:tcPr>
          <w:p>
            <w:pPr>
              <w:jc w:val="right"/>
              <w:ind w:right="58"/>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30,160</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12,929</w:t>
            </w:r>
          </w:p>
        </w:tc>
        <w:tc>
          <w:tcPr>
            <w:tcW w:w="200" w:type="dxa"/>
            <w:vAlign w:val="bottom"/>
            <w:shd w:val="clear" w:color="auto" w:fill="CFF0FC"/>
          </w:tcPr>
          <w:p>
            <w:pPr>
              <w:spacing w:after="0"/>
              <w:rPr>
                <w:sz w:val="14"/>
                <w:szCs w:val="14"/>
                <w:color w:val="auto"/>
              </w:rPr>
            </w:pPr>
          </w:p>
        </w:tc>
        <w:tc>
          <w:tcPr>
            <w:tcW w:w="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3,127</w:t>
            </w:r>
          </w:p>
        </w:tc>
        <w:tc>
          <w:tcPr>
            <w:tcW w:w="720" w:type="dxa"/>
            <w:vAlign w:val="bottom"/>
            <w:gridSpan w:val="2"/>
            <w:shd w:val="clear" w:color="auto" w:fill="CFF0FC"/>
          </w:tcPr>
          <w:p>
            <w:pPr>
              <w:jc w:val="right"/>
              <w:ind w:right="382"/>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2"/>
              </w:rPr>
              <w:t>381</w:t>
            </w:r>
          </w:p>
        </w:tc>
        <w:tc>
          <w:tcPr>
            <w:tcW w:w="440" w:type="dxa"/>
            <w:vAlign w:val="bottom"/>
            <w:gridSpan w:val="2"/>
            <w:shd w:val="clear" w:color="auto" w:fill="CFF0FC"/>
          </w:tcPr>
          <w:p>
            <w:pPr>
              <w:jc w:val="right"/>
              <w:ind w:right="10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9,421</w:t>
            </w:r>
          </w:p>
        </w:tc>
        <w:tc>
          <w:tcPr>
            <w:tcW w:w="20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4"/>
                <w:szCs w:val="14"/>
                <w:color w:val="auto"/>
              </w:rPr>
            </w:pP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6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Revenue per attraction visitor</w:t>
            </w:r>
          </w:p>
        </w:tc>
        <w:tc>
          <w:tcPr>
            <w:tcW w:w="10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52.62</w:t>
            </w:r>
          </w:p>
        </w:tc>
        <w:tc>
          <w:tcPr>
            <w:tcW w:w="240" w:type="dxa"/>
            <w:vAlign w:val="bottom"/>
          </w:tcPr>
          <w:p>
            <w:pPr>
              <w:spacing w:after="0"/>
              <w:rPr>
                <w:sz w:val="14"/>
                <w:szCs w:val="14"/>
                <w:color w:val="auto"/>
              </w:rPr>
            </w:pPr>
          </w:p>
        </w:tc>
        <w:tc>
          <w:tcPr>
            <w:tcW w:w="14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52.90</w:t>
            </w:r>
          </w:p>
        </w:tc>
        <w:tc>
          <w:tcPr>
            <w:tcW w:w="220" w:type="dxa"/>
            <w:vAlign w:val="bottom"/>
          </w:tcPr>
          <w:p>
            <w:pPr>
              <w:spacing w:after="0"/>
              <w:rPr>
                <w:sz w:val="14"/>
                <w:szCs w:val="14"/>
                <w:color w:val="auto"/>
              </w:rPr>
            </w:pPr>
          </w:p>
        </w:tc>
        <w:tc>
          <w:tcPr>
            <w:tcW w:w="200" w:type="dxa"/>
            <w:vAlign w:val="bottom"/>
          </w:tcPr>
          <w:p>
            <w:pPr>
              <w:jc w:val="right"/>
              <w:ind w:right="58"/>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52.54</w:t>
            </w:r>
          </w:p>
        </w:tc>
        <w:tc>
          <w:tcPr>
            <w:tcW w:w="220" w:type="dxa"/>
            <w:vAlign w:val="bottom"/>
          </w:tcPr>
          <w:p>
            <w:pPr>
              <w:spacing w:after="0"/>
              <w:rPr>
                <w:sz w:val="14"/>
                <w:szCs w:val="1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63.29</w:t>
            </w:r>
          </w:p>
        </w:tc>
        <w:tc>
          <w:tcPr>
            <w:tcW w:w="200" w:type="dxa"/>
            <w:vAlign w:val="bottom"/>
          </w:tcPr>
          <w:p>
            <w:pPr>
              <w:spacing w:after="0"/>
              <w:rPr>
                <w:sz w:val="14"/>
                <w:szCs w:val="14"/>
                <w:color w:val="auto"/>
              </w:rPr>
            </w:pPr>
          </w:p>
        </w:tc>
        <w:tc>
          <w:tcPr>
            <w:tcW w:w="1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63.71</w:t>
            </w:r>
          </w:p>
        </w:tc>
        <w:tc>
          <w:tcPr>
            <w:tcW w:w="720" w:type="dxa"/>
            <w:vAlign w:val="bottom"/>
            <w:gridSpan w:val="2"/>
          </w:tcPr>
          <w:p>
            <w:pPr>
              <w:jc w:val="right"/>
              <w:ind w:right="382"/>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40" w:type="dxa"/>
            <w:vAlign w:val="bottom"/>
            <w:gridSpan w:val="2"/>
          </w:tcPr>
          <w:p>
            <w:pPr>
              <w:jc w:val="right"/>
              <w:ind w:right="10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60.70</w:t>
            </w:r>
          </w:p>
        </w:tc>
        <w:tc>
          <w:tcPr>
            <w:tcW w:w="200" w:type="dxa"/>
            <w:vAlign w:val="bottom"/>
          </w:tcPr>
          <w:p>
            <w:pPr>
              <w:spacing w:after="0"/>
              <w:rPr>
                <w:sz w:val="14"/>
                <w:szCs w:val="14"/>
                <w:color w:val="auto"/>
              </w:rPr>
            </w:pPr>
          </w:p>
        </w:tc>
        <w:tc>
          <w:tcPr>
            <w:tcW w:w="92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rPr>
              <w:t>(16.8 )%</w:t>
            </w:r>
          </w:p>
        </w:tc>
        <w:tc>
          <w:tcPr>
            <w:tcW w:w="90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(13.4 )%</w:t>
            </w:r>
          </w:p>
        </w:tc>
        <w:tc>
          <w:tcPr>
            <w:tcW w:w="0" w:type="dxa"/>
            <w:vAlign w:val="bottom"/>
          </w:tcPr>
          <w:p>
            <w:pPr>
              <w:spacing w:after="0"/>
              <w:rPr>
                <w:sz w:val="1"/>
                <w:szCs w:val="1"/>
                <w:color w:val="auto"/>
              </w:rPr>
            </w:pPr>
          </w:p>
        </w:tc>
      </w:tr>
      <w:tr>
        <w:trPr>
          <w:trHeight w:val="162"/>
        </w:trPr>
        <w:tc>
          <w:tcPr>
            <w:tcW w:w="28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Hospitality Key Performance Indicators:</w:t>
            </w:r>
          </w:p>
        </w:tc>
        <w:tc>
          <w:tcPr>
            <w:tcW w:w="1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5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54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52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6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Room nights available</w:t>
            </w:r>
          </w:p>
        </w:tc>
        <w:tc>
          <w:tcPr>
            <w:tcW w:w="10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156,306</w:t>
            </w: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1,403</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154,903</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151,159</w:t>
            </w: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tcPr>
          <w:p>
            <w:pPr>
              <w:jc w:val="right"/>
              <w:ind w:right="382"/>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151,159</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3.4 %</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2.5 %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6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Rooms revenue </w:t>
            </w:r>
            <w:r>
              <w:rPr>
                <w:rFonts w:ascii="Times New Roman" w:cs="Times New Roman" w:eastAsia="Times New Roman" w:hAnsi="Times New Roman"/>
                <w:sz w:val="13"/>
                <w:szCs w:val="13"/>
                <w:i w:val="1"/>
                <w:iCs w:val="1"/>
                <w:color w:val="auto"/>
              </w:rPr>
              <w:t>(in thousands)</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20,559</w:t>
            </w:r>
          </w:p>
        </w:tc>
        <w:tc>
          <w:tcPr>
            <w:tcW w:w="2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317</w:t>
            </w:r>
          </w:p>
        </w:tc>
        <w:tc>
          <w:tcPr>
            <w:tcW w:w="220" w:type="dxa"/>
            <w:vAlign w:val="bottom"/>
            <w:shd w:val="clear" w:color="auto" w:fill="CFF0FC"/>
          </w:tcPr>
          <w:p>
            <w:pPr>
              <w:spacing w:after="0"/>
              <w:rPr>
                <w:sz w:val="14"/>
                <w:szCs w:val="14"/>
                <w:color w:val="auto"/>
              </w:rPr>
            </w:pPr>
          </w:p>
        </w:tc>
        <w:tc>
          <w:tcPr>
            <w:tcW w:w="200" w:type="dxa"/>
            <w:vAlign w:val="bottom"/>
            <w:shd w:val="clear" w:color="auto" w:fill="CFF0FC"/>
          </w:tcPr>
          <w:p>
            <w:pPr>
              <w:jc w:val="right"/>
              <w:ind w:right="58"/>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20,242</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11,370</w:t>
            </w:r>
          </w:p>
        </w:tc>
        <w:tc>
          <w:tcPr>
            <w:tcW w:w="200" w:type="dxa"/>
            <w:vAlign w:val="bottom"/>
            <w:shd w:val="clear" w:color="auto" w:fill="CFF0FC"/>
          </w:tcPr>
          <w:p>
            <w:pPr>
              <w:spacing w:after="0"/>
              <w:rPr>
                <w:sz w:val="14"/>
                <w:szCs w:val="14"/>
                <w:color w:val="auto"/>
              </w:rPr>
            </w:pPr>
          </w:p>
        </w:tc>
        <w:tc>
          <w:tcPr>
            <w:tcW w:w="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shd w:val="clear" w:color="auto" w:fill="CFF0FC"/>
          </w:tcPr>
          <w:p>
            <w:pPr>
              <w:jc w:val="right"/>
              <w:ind w:right="382"/>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2"/>
              </w:rPr>
              <w:t>177</w:t>
            </w:r>
          </w:p>
        </w:tc>
        <w:tc>
          <w:tcPr>
            <w:tcW w:w="440" w:type="dxa"/>
            <w:vAlign w:val="bottom"/>
            <w:gridSpan w:val="2"/>
            <w:shd w:val="clear" w:color="auto" w:fill="CFF0FC"/>
          </w:tcPr>
          <w:p>
            <w:pPr>
              <w:jc w:val="right"/>
              <w:ind w:right="10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11,193</w:t>
            </w:r>
          </w:p>
        </w:tc>
        <w:tc>
          <w:tcPr>
            <w:tcW w:w="2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80.8 %</w:t>
            </w:r>
          </w:p>
        </w:tc>
        <w:tc>
          <w:tcPr>
            <w:tcW w:w="8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80.8 %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6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RevPAR</w:t>
            </w:r>
          </w:p>
        </w:tc>
        <w:tc>
          <w:tcPr>
            <w:tcW w:w="10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131.53</w:t>
            </w:r>
          </w:p>
        </w:tc>
        <w:tc>
          <w:tcPr>
            <w:tcW w:w="240" w:type="dxa"/>
            <w:vAlign w:val="bottom"/>
          </w:tcPr>
          <w:p>
            <w:pPr>
              <w:spacing w:after="0"/>
              <w:rPr>
                <w:sz w:val="14"/>
                <w:szCs w:val="14"/>
                <w:color w:val="auto"/>
              </w:rPr>
            </w:pPr>
          </w:p>
        </w:tc>
        <w:tc>
          <w:tcPr>
            <w:tcW w:w="14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225.94</w:t>
            </w:r>
          </w:p>
        </w:tc>
        <w:tc>
          <w:tcPr>
            <w:tcW w:w="220" w:type="dxa"/>
            <w:vAlign w:val="bottom"/>
          </w:tcPr>
          <w:p>
            <w:pPr>
              <w:spacing w:after="0"/>
              <w:rPr>
                <w:sz w:val="14"/>
                <w:szCs w:val="14"/>
                <w:color w:val="auto"/>
              </w:rPr>
            </w:pPr>
          </w:p>
        </w:tc>
        <w:tc>
          <w:tcPr>
            <w:tcW w:w="200" w:type="dxa"/>
            <w:vAlign w:val="bottom"/>
          </w:tcPr>
          <w:p>
            <w:pPr>
              <w:jc w:val="right"/>
              <w:ind w:right="58"/>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130.69</w:t>
            </w:r>
          </w:p>
        </w:tc>
        <w:tc>
          <w:tcPr>
            <w:tcW w:w="220" w:type="dxa"/>
            <w:vAlign w:val="bottom"/>
          </w:tcPr>
          <w:p>
            <w:pPr>
              <w:spacing w:after="0"/>
              <w:rPr>
                <w:sz w:val="14"/>
                <w:szCs w:val="1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75.22</w:t>
            </w:r>
          </w:p>
        </w:tc>
        <w:tc>
          <w:tcPr>
            <w:tcW w:w="200" w:type="dxa"/>
            <w:vAlign w:val="bottom"/>
          </w:tcPr>
          <w:p>
            <w:pPr>
              <w:spacing w:after="0"/>
              <w:rPr>
                <w:sz w:val="14"/>
                <w:szCs w:val="14"/>
                <w:color w:val="auto"/>
              </w:rPr>
            </w:pPr>
          </w:p>
        </w:tc>
        <w:tc>
          <w:tcPr>
            <w:tcW w:w="14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tcPr>
          <w:p>
            <w:pPr>
              <w:jc w:val="right"/>
              <w:ind w:right="382"/>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40" w:type="dxa"/>
            <w:vAlign w:val="bottom"/>
            <w:gridSpan w:val="2"/>
          </w:tcPr>
          <w:p>
            <w:pPr>
              <w:jc w:val="right"/>
              <w:ind w:right="10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74.05</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74.9 %</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76.5 %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6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Occupancy</w:t>
            </w:r>
          </w:p>
        </w:tc>
        <w:tc>
          <w:tcPr>
            <w:tcW w:w="100" w:type="dxa"/>
            <w:vAlign w:val="bottom"/>
            <w:shd w:val="clear" w:color="auto" w:fill="CFF0FC"/>
          </w:tcPr>
          <w:p>
            <w:pPr>
              <w:spacing w:after="0"/>
              <w:rPr>
                <w:sz w:val="14"/>
                <w:szCs w:val="14"/>
                <w:color w:val="auto"/>
              </w:rPr>
            </w:pPr>
          </w:p>
        </w:tc>
        <w:tc>
          <w:tcPr>
            <w:tcW w:w="860" w:type="dxa"/>
            <w:vAlign w:val="bottom"/>
            <w:gridSpan w:val="2"/>
            <w:shd w:val="clear" w:color="auto" w:fill="CFF0FC"/>
          </w:tcPr>
          <w:p>
            <w:pPr>
              <w:jc w:val="right"/>
              <w:ind w:right="62"/>
              <w:spacing w:after="0"/>
              <w:rPr>
                <w:sz w:val="20"/>
                <w:szCs w:val="20"/>
                <w:color w:val="auto"/>
              </w:rPr>
            </w:pPr>
            <w:r>
              <w:rPr>
                <w:rFonts w:ascii="Times New Roman" w:cs="Times New Roman" w:eastAsia="Times New Roman" w:hAnsi="Times New Roman"/>
                <w:sz w:val="13"/>
                <w:szCs w:val="13"/>
                <w:color w:val="auto"/>
              </w:rPr>
              <w:t>67.9 %</w:t>
            </w:r>
          </w:p>
        </w:tc>
        <w:tc>
          <w:tcPr>
            <w:tcW w:w="140" w:type="dxa"/>
            <w:vAlign w:val="bottom"/>
            <w:shd w:val="clear" w:color="auto" w:fill="CFF0FC"/>
          </w:tcPr>
          <w:p>
            <w:pPr>
              <w:spacing w:after="0"/>
              <w:rPr>
                <w:sz w:val="14"/>
                <w:szCs w:val="14"/>
                <w:color w:val="auto"/>
              </w:rPr>
            </w:pPr>
          </w:p>
        </w:tc>
        <w:tc>
          <w:tcPr>
            <w:tcW w:w="80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61.6 %</w:t>
            </w:r>
          </w:p>
        </w:tc>
        <w:tc>
          <w:tcPr>
            <w:tcW w:w="20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68.0 %</w:t>
            </w:r>
          </w:p>
        </w:tc>
        <w:tc>
          <w:tcPr>
            <w:tcW w:w="100" w:type="dxa"/>
            <w:vAlign w:val="bottom"/>
            <w:shd w:val="clear" w:color="auto" w:fill="CFF0FC"/>
          </w:tcPr>
          <w:p>
            <w:pPr>
              <w:spacing w:after="0"/>
              <w:rPr>
                <w:sz w:val="14"/>
                <w:szCs w:val="14"/>
                <w:color w:val="auto"/>
              </w:rPr>
            </w:pPr>
          </w:p>
        </w:tc>
        <w:tc>
          <w:tcPr>
            <w:tcW w:w="820" w:type="dxa"/>
            <w:vAlign w:val="bottom"/>
            <w:gridSpan w:val="2"/>
            <w:shd w:val="clear" w:color="auto" w:fill="CFF0FC"/>
          </w:tcPr>
          <w:p>
            <w:pPr>
              <w:jc w:val="right"/>
              <w:ind w:right="80"/>
              <w:spacing w:after="0"/>
              <w:rPr>
                <w:sz w:val="20"/>
                <w:szCs w:val="20"/>
                <w:color w:val="auto"/>
              </w:rPr>
            </w:pPr>
            <w:r>
              <w:rPr>
                <w:rFonts w:ascii="Times New Roman" w:cs="Times New Roman" w:eastAsia="Times New Roman" w:hAnsi="Times New Roman"/>
                <w:sz w:val="13"/>
                <w:szCs w:val="13"/>
                <w:color w:val="auto"/>
              </w:rPr>
              <w:t>40.7 %</w:t>
            </w:r>
          </w:p>
        </w:tc>
        <w:tc>
          <w:tcPr>
            <w:tcW w:w="140" w:type="dxa"/>
            <w:vAlign w:val="bottom"/>
            <w:shd w:val="clear" w:color="auto" w:fill="CFF0FC"/>
          </w:tcPr>
          <w:p>
            <w:pPr>
              <w:spacing w:after="0"/>
              <w:rPr>
                <w:sz w:val="14"/>
                <w:szCs w:val="14"/>
                <w:color w:val="auto"/>
              </w:rPr>
            </w:pP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shd w:val="clear" w:color="auto" w:fill="CFF0FC"/>
          </w:tcPr>
          <w:p>
            <w:pPr>
              <w:spacing w:after="0"/>
              <w:rPr>
                <w:sz w:val="14"/>
                <w:szCs w:val="14"/>
                <w:color w:val="auto"/>
              </w:rPr>
            </w:pPr>
          </w:p>
        </w:tc>
        <w:tc>
          <w:tcPr>
            <w:tcW w:w="520" w:type="dxa"/>
            <w:vAlign w:val="bottom"/>
            <w:shd w:val="clear" w:color="auto" w:fill="CFF0FC"/>
          </w:tcPr>
          <w:p>
            <w:pPr>
              <w:spacing w:after="0"/>
              <w:rPr>
                <w:sz w:val="14"/>
                <w:szCs w:val="14"/>
                <w:color w:val="auto"/>
              </w:rPr>
            </w:pPr>
          </w:p>
        </w:tc>
        <w:tc>
          <w:tcPr>
            <w:tcW w:w="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78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40.7 %</w:t>
            </w:r>
          </w:p>
        </w:tc>
        <w:tc>
          <w:tcPr>
            <w:tcW w:w="92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66.8 %</w:t>
            </w:r>
          </w:p>
        </w:tc>
        <w:tc>
          <w:tcPr>
            <w:tcW w:w="8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67.1 %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6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ADR</w:t>
            </w:r>
          </w:p>
        </w:tc>
        <w:tc>
          <w:tcPr>
            <w:tcW w:w="10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193.70</w:t>
            </w:r>
          </w:p>
        </w:tc>
        <w:tc>
          <w:tcPr>
            <w:tcW w:w="240" w:type="dxa"/>
            <w:vAlign w:val="bottom"/>
          </w:tcPr>
          <w:p>
            <w:pPr>
              <w:spacing w:after="0"/>
              <w:rPr>
                <w:sz w:val="14"/>
                <w:szCs w:val="14"/>
                <w:color w:val="auto"/>
              </w:rPr>
            </w:pPr>
          </w:p>
        </w:tc>
        <w:tc>
          <w:tcPr>
            <w:tcW w:w="140" w:type="dxa"/>
            <w:vAlign w:val="bottom"/>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366.89</w:t>
            </w:r>
          </w:p>
        </w:tc>
        <w:tc>
          <w:tcPr>
            <w:tcW w:w="220" w:type="dxa"/>
            <w:vAlign w:val="bottom"/>
          </w:tcPr>
          <w:p>
            <w:pPr>
              <w:spacing w:after="0"/>
              <w:rPr>
                <w:sz w:val="14"/>
                <w:szCs w:val="14"/>
                <w:color w:val="auto"/>
              </w:rPr>
            </w:pPr>
          </w:p>
        </w:tc>
        <w:tc>
          <w:tcPr>
            <w:tcW w:w="200" w:type="dxa"/>
            <w:vAlign w:val="bottom"/>
          </w:tcPr>
          <w:p>
            <w:pPr>
              <w:jc w:val="right"/>
              <w:ind w:right="58"/>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192.33</w:t>
            </w:r>
          </w:p>
        </w:tc>
        <w:tc>
          <w:tcPr>
            <w:tcW w:w="220" w:type="dxa"/>
            <w:vAlign w:val="bottom"/>
          </w:tcPr>
          <w:p>
            <w:pPr>
              <w:spacing w:after="0"/>
              <w:rPr>
                <w:sz w:val="14"/>
                <w:szCs w:val="14"/>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184.63</w:t>
            </w: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tcPr>
          <w:p>
            <w:pPr>
              <w:jc w:val="right"/>
              <w:ind w:right="382"/>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40" w:type="dxa"/>
            <w:vAlign w:val="bottom"/>
            <w:gridSpan w:val="2"/>
          </w:tcPr>
          <w:p>
            <w:pPr>
              <w:jc w:val="right"/>
              <w:ind w:right="10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181.75</w:t>
            </w:r>
          </w:p>
        </w:tc>
        <w:tc>
          <w:tcPr>
            <w:tcW w:w="200" w:type="dxa"/>
            <w:vAlign w:val="bottom"/>
          </w:tcPr>
          <w:p>
            <w:pPr>
              <w:spacing w:after="0"/>
              <w:rPr>
                <w:sz w:val="14"/>
                <w:szCs w:val="14"/>
                <w:color w:val="auto"/>
              </w:rPr>
            </w:pPr>
          </w:p>
        </w:tc>
        <w:tc>
          <w:tcPr>
            <w:tcW w:w="92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4.9 %</w:t>
            </w:r>
          </w:p>
        </w:tc>
        <w:tc>
          <w:tcPr>
            <w:tcW w:w="8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5.8 %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6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Hospitality revenue </w:t>
            </w:r>
            <w:r>
              <w:rPr>
                <w:rFonts w:ascii="Times New Roman" w:cs="Times New Roman" w:eastAsia="Times New Roman" w:hAnsi="Times New Roman"/>
                <w:sz w:val="13"/>
                <w:szCs w:val="13"/>
                <w:i w:val="1"/>
                <w:iCs w:val="1"/>
                <w:color w:val="auto"/>
              </w:rPr>
              <w:t>(in thousands)</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34,101</w:t>
            </w:r>
          </w:p>
        </w:tc>
        <w:tc>
          <w:tcPr>
            <w:tcW w:w="240" w:type="dxa"/>
            <w:vAlign w:val="bottom"/>
            <w:shd w:val="clear" w:color="auto" w:fill="CFF0FC"/>
          </w:tcPr>
          <w:p>
            <w:pPr>
              <w:spacing w:after="0"/>
              <w:rPr>
                <w:sz w:val="14"/>
                <w:szCs w:val="14"/>
                <w:color w:val="auto"/>
              </w:rPr>
            </w:pPr>
          </w:p>
        </w:tc>
        <w:tc>
          <w:tcPr>
            <w:tcW w:w="140" w:type="dxa"/>
            <w:vAlign w:val="bottom"/>
            <w:shd w:val="clear" w:color="auto" w:fill="CFF0FC"/>
          </w:tcPr>
          <w:p>
            <w:pPr>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429</w:t>
            </w:r>
          </w:p>
        </w:tc>
        <w:tc>
          <w:tcPr>
            <w:tcW w:w="220" w:type="dxa"/>
            <w:vAlign w:val="bottom"/>
            <w:shd w:val="clear" w:color="auto" w:fill="CFF0FC"/>
          </w:tcPr>
          <w:p>
            <w:pPr>
              <w:spacing w:after="0"/>
              <w:rPr>
                <w:sz w:val="14"/>
                <w:szCs w:val="14"/>
                <w:color w:val="auto"/>
              </w:rPr>
            </w:pPr>
          </w:p>
        </w:tc>
        <w:tc>
          <w:tcPr>
            <w:tcW w:w="200" w:type="dxa"/>
            <w:vAlign w:val="bottom"/>
            <w:shd w:val="clear" w:color="auto" w:fill="CFF0FC"/>
          </w:tcPr>
          <w:p>
            <w:pPr>
              <w:jc w:val="right"/>
              <w:ind w:right="58"/>
              <w:spacing w:after="0"/>
              <w:rPr>
                <w:sz w:val="20"/>
                <w:szCs w:val="20"/>
                <w:color w:val="auto"/>
              </w:rPr>
            </w:pPr>
            <w:r>
              <w:rPr>
                <w:rFonts w:ascii="Times New Roman" w:cs="Times New Roman" w:eastAsia="Times New Roman" w:hAnsi="Times New Roman"/>
                <w:sz w:val="13"/>
                <w:szCs w:val="13"/>
                <w:color w:val="auto"/>
                <w:w w:val="91"/>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33,672</w:t>
            </w:r>
          </w:p>
        </w:tc>
        <w:tc>
          <w:tcPr>
            <w:tcW w:w="220" w:type="dxa"/>
            <w:vAlign w:val="bottom"/>
            <w:shd w:val="clear" w:color="auto" w:fill="CFF0FC"/>
          </w:tcPr>
          <w:p>
            <w:pPr>
              <w:spacing w:after="0"/>
              <w:rPr>
                <w:sz w:val="14"/>
                <w:szCs w:val="14"/>
                <w:color w:val="auto"/>
              </w:rPr>
            </w:pP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21,879</w:t>
            </w:r>
          </w:p>
        </w:tc>
        <w:tc>
          <w:tcPr>
            <w:tcW w:w="200" w:type="dxa"/>
            <w:vAlign w:val="bottom"/>
            <w:shd w:val="clear" w:color="auto" w:fill="CFF0FC"/>
          </w:tcPr>
          <w:p>
            <w:pPr>
              <w:spacing w:after="0"/>
              <w:rPr>
                <w:sz w:val="14"/>
                <w:szCs w:val="14"/>
                <w:color w:val="auto"/>
              </w:rPr>
            </w:pPr>
          </w:p>
        </w:tc>
        <w:tc>
          <w:tcPr>
            <w:tcW w:w="1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gridSpan w:val="2"/>
            <w:shd w:val="clear" w:color="auto" w:fill="CFF0FC"/>
          </w:tcPr>
          <w:p>
            <w:pPr>
              <w:jc w:val="right"/>
              <w:ind w:right="382"/>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2"/>
              </w:rPr>
              <w:t>230</w:t>
            </w:r>
          </w:p>
        </w:tc>
        <w:tc>
          <w:tcPr>
            <w:tcW w:w="440" w:type="dxa"/>
            <w:vAlign w:val="bottom"/>
            <w:gridSpan w:val="2"/>
            <w:shd w:val="clear" w:color="auto" w:fill="CFF0FC"/>
          </w:tcPr>
          <w:p>
            <w:pPr>
              <w:jc w:val="right"/>
              <w:ind w:right="10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21,649</w:t>
            </w:r>
          </w:p>
        </w:tc>
        <w:tc>
          <w:tcPr>
            <w:tcW w:w="200" w:type="dxa"/>
            <w:vAlign w:val="bottom"/>
            <w:shd w:val="clear" w:color="auto" w:fill="CFF0FC"/>
          </w:tcPr>
          <w:p>
            <w:pPr>
              <w:spacing w:after="0"/>
              <w:rPr>
                <w:sz w:val="14"/>
                <w:szCs w:val="14"/>
                <w:color w:val="auto"/>
              </w:rPr>
            </w:pPr>
          </w:p>
        </w:tc>
        <w:tc>
          <w:tcPr>
            <w:tcW w:w="92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55.9 %</w:t>
            </w:r>
          </w:p>
        </w:tc>
        <w:tc>
          <w:tcPr>
            <w:tcW w:w="8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55.5 %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400"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00"/>
          </w:cols>
          <w:pgMar w:left="320" w:top="643" w:right="279" w:bottom="1440" w:gutter="0" w:footer="0" w:header="0"/>
        </w:sectPr>
      </w:pPr>
    </w:p>
    <w:bookmarkStart w:id="36" w:name="page37"/>
    <w:bookmarkEnd w:id="36"/>
    <w:tbl>
      <w:tblPr>
        <w:tblLayout w:type="fixed"/>
        <w:tblInd w:w="0" w:type="dxa"/>
        <w:tblCellMar>
          <w:top w:w="0" w:type="dxa"/>
          <w:left w:w="0" w:type="dxa"/>
          <w:bottom w:w="0" w:type="dxa"/>
          <w:right w:w="0" w:type="dxa"/>
        </w:tblCellMar>
      </w:tblPr>
      <w:tr>
        <w:trPr>
          <w:trHeight w:val="148"/>
        </w:trPr>
        <w:tc>
          <w:tcPr>
            <w:tcW w:w="2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gridSpan w:val="4"/>
          </w:tcPr>
          <w:p>
            <w:pPr>
              <w:jc w:val="right"/>
              <w:ind w:right="80"/>
              <w:spacing w:after="0"/>
              <w:rPr>
                <w:sz w:val="20"/>
                <w:szCs w:val="20"/>
                <w:color w:val="auto"/>
              </w:rPr>
            </w:pPr>
            <w:r>
              <w:rPr>
                <w:rFonts w:ascii="Times New Roman" w:cs="Times New Roman" w:eastAsia="Times New Roman" w:hAnsi="Times New Roman"/>
                <w:sz w:val="12"/>
                <w:szCs w:val="12"/>
                <w:b w:val="1"/>
                <w:bCs w:val="1"/>
                <w:color w:val="auto"/>
                <w:w w:val="99"/>
              </w:rPr>
              <w:t>Six Months Ended</w:t>
            </w: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20" w:type="dxa"/>
            <w:vAlign w:val="bottom"/>
            <w:gridSpan w:val="4"/>
          </w:tcPr>
          <w:p>
            <w:pPr>
              <w:jc w:val="right"/>
              <w:ind w:right="198"/>
              <w:spacing w:after="0"/>
              <w:rPr>
                <w:sz w:val="20"/>
                <w:szCs w:val="20"/>
                <w:color w:val="auto"/>
              </w:rPr>
            </w:pPr>
            <w:r>
              <w:rPr>
                <w:rFonts w:ascii="Times New Roman" w:cs="Times New Roman" w:eastAsia="Times New Roman" w:hAnsi="Times New Roman"/>
                <w:sz w:val="12"/>
                <w:szCs w:val="12"/>
                <w:b w:val="1"/>
                <w:bCs w:val="1"/>
                <w:color w:val="auto"/>
              </w:rPr>
              <w:t>Six Months Ended</w:t>
            </w: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8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00" w:type="dxa"/>
            <w:vAlign w:val="bottom"/>
            <w:gridSpan w:val="2"/>
          </w:tcPr>
          <w:p>
            <w:pPr>
              <w:jc w:val="right"/>
              <w:ind w:right="200"/>
              <w:spacing w:after="0"/>
              <w:rPr>
                <w:sz w:val="20"/>
                <w:szCs w:val="20"/>
                <w:color w:val="auto"/>
              </w:rPr>
            </w:pPr>
            <w:r>
              <w:rPr>
                <w:rFonts w:ascii="Times New Roman" w:cs="Times New Roman" w:eastAsia="Times New Roman" w:hAnsi="Times New Roman"/>
                <w:sz w:val="12"/>
                <w:szCs w:val="12"/>
                <w:b w:val="1"/>
                <w:bCs w:val="1"/>
                <w:color w:val="auto"/>
                <w:w w:val="97"/>
              </w:rPr>
              <w:t>June 30, 2022</w:t>
            </w: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20" w:type="dxa"/>
            <w:vAlign w:val="bottom"/>
            <w:gridSpan w:val="4"/>
          </w:tcPr>
          <w:p>
            <w:pPr>
              <w:jc w:val="right"/>
              <w:ind w:right="318"/>
              <w:spacing w:after="0"/>
              <w:rPr>
                <w:sz w:val="20"/>
                <w:szCs w:val="20"/>
                <w:color w:val="auto"/>
              </w:rPr>
            </w:pPr>
            <w:r>
              <w:rPr>
                <w:rFonts w:ascii="Times New Roman" w:cs="Times New Roman" w:eastAsia="Times New Roman" w:hAnsi="Times New Roman"/>
                <w:sz w:val="12"/>
                <w:szCs w:val="12"/>
                <w:b w:val="1"/>
                <w:bCs w:val="1"/>
                <w:color w:val="auto"/>
              </w:rPr>
              <w:t>June 30, 2021</w:t>
            </w:r>
          </w:p>
        </w:tc>
        <w:tc>
          <w:tcPr>
            <w:tcW w:w="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900" w:type="dxa"/>
            <w:vAlign w:val="bottom"/>
            <w:gridSpan w:val="5"/>
          </w:tcPr>
          <w:p>
            <w:pPr>
              <w:jc w:val="right"/>
              <w:ind w:right="780"/>
              <w:spacing w:after="0"/>
              <w:rPr>
                <w:sz w:val="20"/>
                <w:szCs w:val="20"/>
                <w:color w:val="auto"/>
              </w:rPr>
            </w:pPr>
            <w:r>
              <w:rPr>
                <w:rFonts w:ascii="Times New Roman" w:cs="Times New Roman" w:eastAsia="Times New Roman" w:hAnsi="Times New Roman"/>
                <w:sz w:val="12"/>
                <w:szCs w:val="12"/>
                <w:b w:val="1"/>
                <w:bCs w:val="1"/>
                <w:color w:val="auto"/>
              </w:rPr>
              <w:t>% Change</w:t>
            </w:r>
          </w:p>
        </w:tc>
        <w:tc>
          <w:tcPr>
            <w:tcW w:w="0" w:type="dxa"/>
            <w:vAlign w:val="bottom"/>
          </w:tcPr>
          <w:p>
            <w:pPr>
              <w:spacing w:after="0"/>
              <w:rPr>
                <w:sz w:val="1"/>
                <w:szCs w:val="1"/>
                <w:color w:val="auto"/>
              </w:rPr>
            </w:pPr>
          </w:p>
        </w:tc>
      </w:tr>
      <w:tr>
        <w:trPr>
          <w:trHeight w:val="105"/>
        </w:trPr>
        <w:tc>
          <w:tcPr>
            <w:tcW w:w="2800" w:type="dxa"/>
            <w:vAlign w:val="bottom"/>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760" w:type="dxa"/>
            <w:vAlign w:val="bottom"/>
            <w:tcBorders>
              <w:top w:val="single" w:sz="8" w:color="auto"/>
            </w:tcBorders>
            <w:gridSpan w:val="2"/>
            <w:vMerge w:val="restart"/>
          </w:tcPr>
          <w:p>
            <w:pPr>
              <w:jc w:val="right"/>
              <w:ind w:right="460"/>
              <w:spacing w:after="0"/>
              <w:rPr>
                <w:sz w:val="20"/>
                <w:szCs w:val="20"/>
                <w:color w:val="auto"/>
              </w:rPr>
            </w:pPr>
            <w:r>
              <w:rPr>
                <w:rFonts w:ascii="Times New Roman" w:cs="Times New Roman" w:eastAsia="Times New Roman" w:hAnsi="Times New Roman"/>
                <w:sz w:val="12"/>
                <w:szCs w:val="12"/>
                <w:b w:val="1"/>
                <w:bCs w:val="1"/>
                <w:color w:val="auto"/>
              </w:rPr>
              <w:t>As</w:t>
            </w:r>
          </w:p>
        </w:tc>
        <w:tc>
          <w:tcPr>
            <w:tcW w:w="60" w:type="dxa"/>
            <w:vAlign w:val="bottom"/>
            <w:tcBorders>
              <w:top w:val="single" w:sz="8" w:color="auto"/>
            </w:tcBorders>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900" w:type="dxa"/>
            <w:vAlign w:val="bottom"/>
            <w:tcBorders>
              <w:top w:val="single" w:sz="8" w:color="auto"/>
            </w:tcBorders>
            <w:gridSpan w:val="2"/>
            <w:vMerge w:val="restart"/>
          </w:tcPr>
          <w:p>
            <w:pPr>
              <w:jc w:val="right"/>
              <w:ind w:right="520"/>
              <w:spacing w:after="0"/>
              <w:rPr>
                <w:sz w:val="20"/>
                <w:szCs w:val="20"/>
                <w:color w:val="auto"/>
              </w:rPr>
            </w:pPr>
            <w:r>
              <w:rPr>
                <w:rFonts w:ascii="Times New Roman" w:cs="Times New Roman" w:eastAsia="Times New Roman" w:hAnsi="Times New Roman"/>
                <w:sz w:val="12"/>
                <w:szCs w:val="12"/>
                <w:b w:val="1"/>
                <w:bCs w:val="1"/>
                <w:color w:val="auto"/>
              </w:rPr>
              <w:t>New</w:t>
            </w:r>
          </w:p>
        </w:tc>
        <w:tc>
          <w:tcPr>
            <w:tcW w:w="80" w:type="dxa"/>
            <w:vAlign w:val="bottom"/>
            <w:tcBorders>
              <w:top w:val="single" w:sz="8" w:color="auto"/>
            </w:tcBorders>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Borders>
              <w:top w:val="single" w:sz="8" w:color="auto"/>
            </w:tcBorders>
          </w:tcPr>
          <w:p>
            <w:pPr>
              <w:spacing w:after="0"/>
              <w:rPr>
                <w:sz w:val="9"/>
                <w:szCs w:val="9"/>
                <w:color w:val="auto"/>
              </w:rPr>
            </w:pPr>
          </w:p>
        </w:tc>
        <w:tc>
          <w:tcPr>
            <w:tcW w:w="780" w:type="dxa"/>
            <w:vAlign w:val="bottom"/>
            <w:tcBorders>
              <w:top w:val="single" w:sz="8" w:color="auto"/>
            </w:tcBorders>
            <w:gridSpan w:val="2"/>
            <w:vMerge w:val="restart"/>
          </w:tcPr>
          <w:p>
            <w:pPr>
              <w:jc w:val="right"/>
              <w:ind w:right="460"/>
              <w:spacing w:after="0"/>
              <w:rPr>
                <w:sz w:val="20"/>
                <w:szCs w:val="20"/>
                <w:color w:val="auto"/>
              </w:rPr>
            </w:pPr>
            <w:r>
              <w:rPr>
                <w:rFonts w:ascii="Times New Roman" w:cs="Times New Roman" w:eastAsia="Times New Roman" w:hAnsi="Times New Roman"/>
                <w:sz w:val="12"/>
                <w:szCs w:val="12"/>
                <w:b w:val="1"/>
                <w:bCs w:val="1"/>
                <w:color w:val="auto"/>
              </w:rPr>
              <w:t>As</w:t>
            </w:r>
          </w:p>
        </w:tc>
        <w:tc>
          <w:tcPr>
            <w:tcW w:w="160" w:type="dxa"/>
            <w:vAlign w:val="bottom"/>
            <w:tcBorders>
              <w:top w:val="single" w:sz="8" w:color="auto"/>
            </w:tcBorders>
          </w:tcPr>
          <w:p>
            <w:pPr>
              <w:spacing w:after="0"/>
              <w:rPr>
                <w:sz w:val="9"/>
                <w:szCs w:val="9"/>
                <w:color w:val="auto"/>
              </w:rPr>
            </w:pPr>
          </w:p>
        </w:tc>
        <w:tc>
          <w:tcPr>
            <w:tcW w:w="560" w:type="dxa"/>
            <w:vAlign w:val="bottom"/>
            <w:tcBorders>
              <w:top w:val="single" w:sz="8" w:color="auto"/>
            </w:tcBorders>
          </w:tcPr>
          <w:p>
            <w:pPr>
              <w:jc w:val="right"/>
              <w:ind w:right="200"/>
              <w:spacing w:after="0" w:line="105" w:lineRule="exact"/>
              <w:rPr>
                <w:sz w:val="20"/>
                <w:szCs w:val="20"/>
                <w:color w:val="auto"/>
              </w:rPr>
            </w:pPr>
            <w:r>
              <w:rPr>
                <w:rFonts w:ascii="Times New Roman" w:cs="Times New Roman" w:eastAsia="Times New Roman" w:hAnsi="Times New Roman"/>
                <w:sz w:val="12"/>
                <w:szCs w:val="12"/>
                <w:b w:val="1"/>
                <w:bCs w:val="1"/>
                <w:color w:val="auto"/>
              </w:rPr>
              <w:t>New</w:t>
            </w:r>
          </w:p>
        </w:tc>
        <w:tc>
          <w:tcPr>
            <w:tcW w:w="200" w:type="dxa"/>
            <w:vAlign w:val="bottom"/>
            <w:tcBorders>
              <w:top w:val="single" w:sz="8" w:color="auto"/>
            </w:tcBorders>
          </w:tcPr>
          <w:p>
            <w:pPr>
              <w:spacing w:after="0"/>
              <w:rPr>
                <w:sz w:val="9"/>
                <w:szCs w:val="9"/>
                <w:color w:val="auto"/>
              </w:rPr>
            </w:pPr>
          </w:p>
        </w:tc>
        <w:tc>
          <w:tcPr>
            <w:tcW w:w="100" w:type="dxa"/>
            <w:vAlign w:val="bottom"/>
            <w:tcBorders>
              <w:top w:val="single" w:sz="8" w:color="auto"/>
            </w:tcBorders>
          </w:tcPr>
          <w:p>
            <w:pPr>
              <w:spacing w:after="0"/>
              <w:rPr>
                <w:sz w:val="9"/>
                <w:szCs w:val="9"/>
                <w:color w:val="auto"/>
              </w:rPr>
            </w:pPr>
          </w:p>
        </w:tc>
        <w:tc>
          <w:tcPr>
            <w:tcW w:w="560" w:type="dxa"/>
            <w:vAlign w:val="bottom"/>
            <w:tcBorders>
              <w:top w:val="single" w:sz="8" w:color="auto"/>
            </w:tcBorders>
            <w:vMerge w:val="restart"/>
          </w:tcPr>
          <w:p>
            <w:pPr>
              <w:jc w:val="right"/>
              <w:ind w:right="198"/>
              <w:spacing w:after="0"/>
              <w:rPr>
                <w:sz w:val="20"/>
                <w:szCs w:val="20"/>
                <w:color w:val="auto"/>
              </w:rPr>
            </w:pPr>
            <w:r>
              <w:rPr>
                <w:rFonts w:ascii="Times New Roman" w:cs="Times New Roman" w:eastAsia="Times New Roman" w:hAnsi="Times New Roman"/>
                <w:sz w:val="12"/>
                <w:szCs w:val="12"/>
                <w:b w:val="1"/>
                <w:bCs w:val="1"/>
                <w:color w:val="auto"/>
              </w:rPr>
              <w:t>FX</w:t>
            </w:r>
          </w:p>
        </w:tc>
        <w:tc>
          <w:tcPr>
            <w:tcW w:w="200" w:type="dxa"/>
            <w:vAlign w:val="bottom"/>
            <w:tcBorders>
              <w:top w:val="single" w:sz="8" w:color="auto"/>
            </w:tcBorders>
          </w:tcPr>
          <w:p>
            <w:pPr>
              <w:spacing w:after="0"/>
              <w:rPr>
                <w:sz w:val="9"/>
                <w:szCs w:val="9"/>
                <w:color w:val="auto"/>
              </w:rPr>
            </w:pPr>
          </w:p>
        </w:tc>
        <w:tc>
          <w:tcPr>
            <w:tcW w:w="220" w:type="dxa"/>
            <w:vAlign w:val="bottom"/>
            <w:tcBorders>
              <w:top w:val="single" w:sz="8" w:color="auto"/>
            </w:tcBorders>
          </w:tcPr>
          <w:p>
            <w:pPr>
              <w:spacing w:after="0"/>
              <w:rPr>
                <w:sz w:val="9"/>
                <w:szCs w:val="9"/>
                <w:color w:val="auto"/>
              </w:rPr>
            </w:pPr>
          </w:p>
        </w:tc>
        <w:tc>
          <w:tcPr>
            <w:tcW w:w="58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960" w:type="dxa"/>
            <w:vAlign w:val="bottom"/>
            <w:tcBorders>
              <w:top w:val="single" w:sz="8" w:color="auto"/>
            </w:tcBorders>
            <w:gridSpan w:val="2"/>
            <w:vMerge w:val="restart"/>
          </w:tcPr>
          <w:p>
            <w:pPr>
              <w:jc w:val="right"/>
              <w:ind w:right="540"/>
              <w:spacing w:after="0"/>
              <w:rPr>
                <w:sz w:val="20"/>
                <w:szCs w:val="20"/>
                <w:color w:val="auto"/>
              </w:rPr>
            </w:pPr>
            <w:r>
              <w:rPr>
                <w:rFonts w:ascii="Times New Roman" w:cs="Times New Roman" w:eastAsia="Times New Roman" w:hAnsi="Times New Roman"/>
                <w:sz w:val="12"/>
                <w:szCs w:val="12"/>
                <w:b w:val="1"/>
                <w:bCs w:val="1"/>
                <w:color w:val="auto"/>
              </w:rPr>
              <w:t>As</w:t>
            </w:r>
          </w:p>
        </w:tc>
        <w:tc>
          <w:tcPr>
            <w:tcW w:w="78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1"/>
        </w:trPr>
        <w:tc>
          <w:tcPr>
            <w:tcW w:w="2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0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980" w:type="dxa"/>
            <w:vAlign w:val="bottom"/>
            <w:gridSpan w:val="2"/>
            <w:vMerge w:val="restart"/>
          </w:tcPr>
          <w:p>
            <w:pPr>
              <w:jc w:val="right"/>
              <w:ind w:right="320"/>
              <w:spacing w:after="0"/>
              <w:rPr>
                <w:sz w:val="20"/>
                <w:szCs w:val="20"/>
                <w:color w:val="auto"/>
              </w:rPr>
            </w:pPr>
            <w:r>
              <w:rPr>
                <w:rFonts w:ascii="Times New Roman" w:cs="Times New Roman" w:eastAsia="Times New Roman" w:hAnsi="Times New Roman"/>
                <w:sz w:val="12"/>
                <w:szCs w:val="12"/>
                <w:b w:val="1"/>
                <w:bCs w:val="1"/>
                <w:color w:val="auto"/>
                <w:w w:val="90"/>
              </w:rPr>
              <w:t>Same-Store</w:t>
            </w:r>
            <w:r>
              <w:rPr>
                <w:rFonts w:ascii="Times New Roman" w:cs="Times New Roman" w:eastAsia="Times New Roman" w:hAnsi="Times New Roman"/>
                <w:sz w:val="15"/>
                <w:szCs w:val="15"/>
                <w:b w:val="1"/>
                <w:bCs w:val="1"/>
                <w:color w:val="auto"/>
                <w:w w:val="90"/>
                <w:vertAlign w:val="superscript"/>
              </w:rPr>
              <w:t>(2)</w:t>
            </w:r>
          </w:p>
        </w:tc>
        <w:tc>
          <w:tcPr>
            <w:tcW w:w="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720" w:type="dxa"/>
            <w:vAlign w:val="bottom"/>
            <w:gridSpan w:val="2"/>
          </w:tcPr>
          <w:p>
            <w:pPr>
              <w:ind w:left="40"/>
              <w:spacing w:after="0" w:line="121" w:lineRule="exact"/>
              <w:rPr>
                <w:sz w:val="20"/>
                <w:szCs w:val="20"/>
                <w:color w:val="auto"/>
              </w:rPr>
            </w:pPr>
            <w:r>
              <w:rPr>
                <w:rFonts w:ascii="Times New Roman" w:cs="Times New Roman" w:eastAsia="Times New Roman" w:hAnsi="Times New Roman"/>
                <w:sz w:val="11"/>
                <w:szCs w:val="11"/>
                <w:b w:val="1"/>
                <w:bCs w:val="1"/>
                <w:color w:val="auto"/>
              </w:rPr>
              <w:t>Experiences</w:t>
            </w:r>
            <w:r>
              <w:rPr>
                <w:rFonts w:ascii="Times New Roman" w:cs="Times New Roman" w:eastAsia="Times New Roman" w:hAnsi="Times New Roman"/>
                <w:sz w:val="14"/>
                <w:szCs w:val="14"/>
                <w:b w:val="1"/>
                <w:bCs w:val="1"/>
                <w:color w:val="auto"/>
                <w:vertAlign w:val="superscript"/>
              </w:rPr>
              <w:t>(1</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1000" w:type="dxa"/>
            <w:vAlign w:val="bottom"/>
            <w:gridSpan w:val="3"/>
            <w:vMerge w:val="restart"/>
          </w:tcPr>
          <w:p>
            <w:pPr>
              <w:jc w:val="right"/>
              <w:ind w:right="280"/>
              <w:spacing w:after="0"/>
              <w:rPr>
                <w:sz w:val="20"/>
                <w:szCs w:val="20"/>
                <w:color w:val="auto"/>
              </w:rPr>
            </w:pPr>
            <w:r>
              <w:rPr>
                <w:rFonts w:ascii="Times New Roman" w:cs="Times New Roman" w:eastAsia="Times New Roman" w:hAnsi="Times New Roman"/>
                <w:sz w:val="12"/>
                <w:szCs w:val="12"/>
                <w:b w:val="1"/>
                <w:bCs w:val="1"/>
                <w:color w:val="auto"/>
                <w:w w:val="98"/>
              </w:rPr>
              <w:t>Same-Store</w:t>
            </w:r>
            <w:r>
              <w:rPr>
                <w:rFonts w:ascii="Times New Roman" w:cs="Times New Roman" w:eastAsia="Times New Roman" w:hAnsi="Times New Roman"/>
                <w:sz w:val="15"/>
                <w:szCs w:val="15"/>
                <w:b w:val="1"/>
                <w:bCs w:val="1"/>
                <w:color w:val="auto"/>
                <w:w w:val="98"/>
                <w:vertAlign w:val="superscript"/>
              </w:rPr>
              <w:t>(2)</w:t>
            </w:r>
          </w:p>
        </w:tc>
        <w:tc>
          <w:tcPr>
            <w:tcW w:w="960" w:type="dxa"/>
            <w:vAlign w:val="bottom"/>
            <w:gridSpan w:val="2"/>
            <w:vMerge w:val="continue"/>
          </w:tcPr>
          <w:p>
            <w:pPr>
              <w:spacing w:after="0"/>
              <w:rPr>
                <w:sz w:val="10"/>
                <w:szCs w:val="10"/>
                <w:color w:val="auto"/>
              </w:rPr>
            </w:pPr>
          </w:p>
        </w:tc>
        <w:tc>
          <w:tcPr>
            <w:tcW w:w="940" w:type="dxa"/>
            <w:vAlign w:val="bottom"/>
            <w:gridSpan w:val="3"/>
            <w:vMerge w:val="restart"/>
          </w:tcPr>
          <w:p>
            <w:pPr>
              <w:jc w:val="right"/>
              <w:ind w:right="220"/>
              <w:spacing w:after="0"/>
              <w:rPr>
                <w:sz w:val="20"/>
                <w:szCs w:val="20"/>
                <w:color w:val="auto"/>
              </w:rPr>
            </w:pPr>
            <w:r>
              <w:rPr>
                <w:rFonts w:ascii="Times New Roman" w:cs="Times New Roman" w:eastAsia="Times New Roman" w:hAnsi="Times New Roman"/>
                <w:sz w:val="12"/>
                <w:szCs w:val="12"/>
                <w:b w:val="1"/>
                <w:bCs w:val="1"/>
                <w:color w:val="auto"/>
                <w:w w:val="98"/>
              </w:rPr>
              <w:t>Same-Store</w:t>
            </w:r>
            <w:r>
              <w:rPr>
                <w:rFonts w:ascii="Times New Roman" w:cs="Times New Roman" w:eastAsia="Times New Roman" w:hAnsi="Times New Roman"/>
                <w:sz w:val="15"/>
                <w:szCs w:val="15"/>
                <w:b w:val="1"/>
                <w:bCs w:val="1"/>
                <w:color w:val="auto"/>
                <w:w w:val="98"/>
                <w:vertAlign w:val="superscript"/>
              </w:rPr>
              <w:t>(2)</w:t>
            </w:r>
          </w:p>
        </w:tc>
        <w:tc>
          <w:tcPr>
            <w:tcW w:w="0" w:type="dxa"/>
            <w:vAlign w:val="bottom"/>
          </w:tcPr>
          <w:p>
            <w:pPr>
              <w:spacing w:after="0"/>
              <w:rPr>
                <w:sz w:val="1"/>
                <w:szCs w:val="1"/>
                <w:color w:val="auto"/>
              </w:rPr>
            </w:pPr>
          </w:p>
        </w:tc>
      </w:tr>
      <w:tr>
        <w:trPr>
          <w:trHeight w:val="121"/>
        </w:trPr>
        <w:tc>
          <w:tcPr>
            <w:tcW w:w="28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gridSpan w:val="2"/>
          </w:tcPr>
          <w:p>
            <w:pPr>
              <w:jc w:val="right"/>
              <w:ind w:right="280"/>
              <w:spacing w:after="0" w:line="122" w:lineRule="exact"/>
              <w:rPr>
                <w:sz w:val="20"/>
                <w:szCs w:val="20"/>
                <w:color w:val="auto"/>
              </w:rPr>
            </w:pPr>
            <w:r>
              <w:rPr>
                <w:rFonts w:ascii="Times New Roman" w:cs="Times New Roman" w:eastAsia="Times New Roman" w:hAnsi="Times New Roman"/>
                <w:sz w:val="12"/>
                <w:szCs w:val="12"/>
                <w:b w:val="1"/>
                <w:bCs w:val="1"/>
                <w:color w:val="auto"/>
                <w:w w:val="95"/>
              </w:rPr>
              <w:t>Reported</w:t>
            </w:r>
          </w:p>
        </w:tc>
        <w:tc>
          <w:tcPr>
            <w:tcW w:w="60" w:type="dxa"/>
            <w:vAlign w:val="bottom"/>
          </w:tcPr>
          <w:p>
            <w:pPr>
              <w:spacing w:after="0"/>
              <w:rPr>
                <w:sz w:val="10"/>
                <w:szCs w:val="10"/>
                <w:color w:val="auto"/>
              </w:rPr>
            </w:pPr>
          </w:p>
        </w:tc>
        <w:tc>
          <w:tcPr>
            <w:tcW w:w="980" w:type="dxa"/>
            <w:vAlign w:val="bottom"/>
            <w:gridSpan w:val="3"/>
          </w:tcPr>
          <w:p>
            <w:pPr>
              <w:jc w:val="right"/>
              <w:ind w:right="260"/>
              <w:spacing w:after="0" w:line="121" w:lineRule="exact"/>
              <w:rPr>
                <w:sz w:val="20"/>
                <w:szCs w:val="20"/>
                <w:color w:val="auto"/>
              </w:rPr>
            </w:pPr>
            <w:r>
              <w:rPr>
                <w:rFonts w:ascii="Times New Roman" w:cs="Times New Roman" w:eastAsia="Times New Roman" w:hAnsi="Times New Roman"/>
                <w:sz w:val="11"/>
                <w:szCs w:val="11"/>
                <w:b w:val="1"/>
                <w:bCs w:val="1"/>
                <w:color w:val="auto"/>
              </w:rPr>
              <w:t>Experiences</w:t>
            </w:r>
            <w:r>
              <w:rPr>
                <w:rFonts w:ascii="Times New Roman" w:cs="Times New Roman" w:eastAsia="Times New Roman" w:hAnsi="Times New Roman"/>
                <w:sz w:val="14"/>
                <w:szCs w:val="14"/>
                <w:b w:val="1"/>
                <w:bCs w:val="1"/>
                <w:color w:val="auto"/>
                <w:vertAlign w:val="superscript"/>
              </w:rPr>
              <w:t>(1)</w:t>
            </w:r>
          </w:p>
        </w:tc>
        <w:tc>
          <w:tcPr>
            <w:tcW w:w="80" w:type="dxa"/>
            <w:vAlign w:val="bottom"/>
          </w:tcPr>
          <w:p>
            <w:pPr>
              <w:spacing w:after="0"/>
              <w:rPr>
                <w:sz w:val="10"/>
                <w:szCs w:val="10"/>
                <w:color w:val="auto"/>
              </w:rPr>
            </w:pPr>
          </w:p>
        </w:tc>
        <w:tc>
          <w:tcPr>
            <w:tcW w:w="980" w:type="dxa"/>
            <w:vAlign w:val="bottom"/>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gridSpan w:val="2"/>
          </w:tcPr>
          <w:p>
            <w:pPr>
              <w:jc w:val="right"/>
              <w:ind w:right="300"/>
              <w:spacing w:after="0" w:line="122" w:lineRule="exact"/>
              <w:rPr>
                <w:sz w:val="20"/>
                <w:szCs w:val="20"/>
                <w:color w:val="auto"/>
              </w:rPr>
            </w:pPr>
            <w:r>
              <w:rPr>
                <w:rFonts w:ascii="Times New Roman" w:cs="Times New Roman" w:eastAsia="Times New Roman" w:hAnsi="Times New Roman"/>
                <w:sz w:val="12"/>
                <w:szCs w:val="12"/>
                <w:b w:val="1"/>
                <w:bCs w:val="1"/>
                <w:color w:val="auto"/>
                <w:w w:val="95"/>
              </w:rPr>
              <w:t>Reported</w:t>
            </w:r>
          </w:p>
        </w:tc>
        <w:tc>
          <w:tcPr>
            <w:tcW w:w="160" w:type="dxa"/>
            <w:vAlign w:val="bottom"/>
          </w:tcPr>
          <w:p>
            <w:pPr>
              <w:spacing w:after="0"/>
              <w:rPr>
                <w:sz w:val="10"/>
                <w:szCs w:val="10"/>
                <w:color w:val="auto"/>
              </w:rPr>
            </w:pPr>
          </w:p>
        </w:tc>
        <w:tc>
          <w:tcPr>
            <w:tcW w:w="560" w:type="dxa"/>
            <w:vAlign w:val="bottom"/>
          </w:tcPr>
          <w:p>
            <w:pPr>
              <w:jc w:val="right"/>
              <w:ind w:right="280"/>
              <w:spacing w:after="0"/>
              <w:rPr>
                <w:sz w:val="20"/>
                <w:szCs w:val="20"/>
                <w:color w:val="auto"/>
              </w:rPr>
            </w:pPr>
            <w:r>
              <w:rPr>
                <w:rFonts w:ascii="Times New Roman" w:cs="Times New Roman" w:eastAsia="Times New Roman" w:hAnsi="Times New Roman"/>
                <w:sz w:val="8"/>
                <w:szCs w:val="8"/>
                <w:b w:val="1"/>
                <w:bCs w:val="1"/>
                <w:color w:val="auto"/>
              </w:rPr>
              <w:t>)</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jc w:val="right"/>
              <w:ind w:right="38"/>
              <w:spacing w:after="0" w:line="121" w:lineRule="exact"/>
              <w:rPr>
                <w:sz w:val="20"/>
                <w:szCs w:val="20"/>
                <w:color w:val="auto"/>
              </w:rPr>
            </w:pPr>
            <w:r>
              <w:rPr>
                <w:rFonts w:ascii="Times New Roman" w:cs="Times New Roman" w:eastAsia="Times New Roman" w:hAnsi="Times New Roman"/>
                <w:sz w:val="11"/>
                <w:szCs w:val="11"/>
                <w:b w:val="1"/>
                <w:bCs w:val="1"/>
                <w:color w:val="auto"/>
                <w:w w:val="98"/>
              </w:rPr>
              <w:t>Impact</w:t>
            </w:r>
            <w:r>
              <w:rPr>
                <w:rFonts w:ascii="Times New Roman" w:cs="Times New Roman" w:eastAsia="Times New Roman" w:hAnsi="Times New Roman"/>
                <w:sz w:val="14"/>
                <w:szCs w:val="14"/>
                <w:b w:val="1"/>
                <w:bCs w:val="1"/>
                <w:color w:val="auto"/>
                <w:w w:val="98"/>
                <w:vertAlign w:val="superscript"/>
              </w:rPr>
              <w:t>(3)</w:t>
            </w:r>
          </w:p>
        </w:tc>
        <w:tc>
          <w:tcPr>
            <w:tcW w:w="200" w:type="dxa"/>
            <w:vAlign w:val="bottom"/>
          </w:tcPr>
          <w:p>
            <w:pPr>
              <w:spacing w:after="0"/>
              <w:rPr>
                <w:sz w:val="10"/>
                <w:szCs w:val="10"/>
                <w:color w:val="auto"/>
              </w:rPr>
            </w:pPr>
          </w:p>
        </w:tc>
        <w:tc>
          <w:tcPr>
            <w:tcW w:w="1000" w:type="dxa"/>
            <w:vAlign w:val="bottom"/>
            <w:gridSpan w:val="3"/>
            <w:vMerge w:val="continue"/>
          </w:tcPr>
          <w:p>
            <w:pPr>
              <w:spacing w:after="0"/>
              <w:rPr>
                <w:sz w:val="10"/>
                <w:szCs w:val="10"/>
                <w:color w:val="auto"/>
              </w:rPr>
            </w:pPr>
          </w:p>
        </w:tc>
        <w:tc>
          <w:tcPr>
            <w:tcW w:w="960" w:type="dxa"/>
            <w:vAlign w:val="bottom"/>
            <w:gridSpan w:val="2"/>
          </w:tcPr>
          <w:p>
            <w:pPr>
              <w:jc w:val="right"/>
              <w:ind w:right="360"/>
              <w:spacing w:after="0" w:line="122" w:lineRule="exact"/>
              <w:rPr>
                <w:sz w:val="20"/>
                <w:szCs w:val="20"/>
                <w:color w:val="auto"/>
              </w:rPr>
            </w:pPr>
            <w:r>
              <w:rPr>
                <w:rFonts w:ascii="Times New Roman" w:cs="Times New Roman" w:eastAsia="Times New Roman" w:hAnsi="Times New Roman"/>
                <w:sz w:val="12"/>
                <w:szCs w:val="12"/>
                <w:b w:val="1"/>
                <w:bCs w:val="1"/>
                <w:color w:val="auto"/>
              </w:rPr>
              <w:t>Reported</w:t>
            </w:r>
          </w:p>
        </w:tc>
        <w:tc>
          <w:tcPr>
            <w:tcW w:w="9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5"/>
        </w:trPr>
        <w:tc>
          <w:tcPr>
            <w:tcW w:w="28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Attractions Key Performance Indicators:</w:t>
            </w:r>
          </w:p>
        </w:tc>
        <w:tc>
          <w:tcPr>
            <w:tcW w:w="10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60" w:type="dxa"/>
            <w:vAlign w:val="bottom"/>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68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240" w:type="dxa"/>
            <w:vAlign w:val="bottom"/>
            <w:shd w:val="clear" w:color="auto" w:fill="CFF0FC"/>
          </w:tcPr>
          <w:p>
            <w:pPr>
              <w:spacing w:after="0"/>
              <w:rPr>
                <w:sz w:val="13"/>
                <w:szCs w:val="13"/>
                <w:color w:val="auto"/>
              </w:rPr>
            </w:pPr>
          </w:p>
        </w:tc>
        <w:tc>
          <w:tcPr>
            <w:tcW w:w="8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160" w:type="dxa"/>
            <w:vAlign w:val="bottom"/>
            <w:tcBorders>
              <w:top w:val="single" w:sz="8" w:color="auto"/>
            </w:tcBorders>
            <w:shd w:val="clear" w:color="auto" w:fill="CFF0FC"/>
          </w:tcPr>
          <w:p>
            <w:pPr>
              <w:spacing w:after="0"/>
              <w:rPr>
                <w:sz w:val="13"/>
                <w:szCs w:val="13"/>
                <w:color w:val="auto"/>
              </w:rPr>
            </w:pPr>
          </w:p>
        </w:tc>
        <w:tc>
          <w:tcPr>
            <w:tcW w:w="56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100" w:type="dxa"/>
            <w:vAlign w:val="bottom"/>
            <w:tcBorders>
              <w:top w:val="single" w:sz="8" w:color="auto"/>
            </w:tcBorders>
            <w:shd w:val="clear" w:color="auto" w:fill="CFF0FC"/>
          </w:tcPr>
          <w:p>
            <w:pPr>
              <w:spacing w:after="0"/>
              <w:rPr>
                <w:sz w:val="13"/>
                <w:szCs w:val="13"/>
                <w:color w:val="auto"/>
              </w:rPr>
            </w:pPr>
          </w:p>
        </w:tc>
        <w:tc>
          <w:tcPr>
            <w:tcW w:w="56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220" w:type="dxa"/>
            <w:vAlign w:val="bottom"/>
            <w:tcBorders>
              <w:top w:val="single" w:sz="8" w:color="auto"/>
            </w:tcBorders>
            <w:shd w:val="clear" w:color="auto" w:fill="CFF0FC"/>
          </w:tcPr>
          <w:p>
            <w:pPr>
              <w:spacing w:after="0"/>
              <w:rPr>
                <w:sz w:val="13"/>
                <w:szCs w:val="13"/>
                <w:color w:val="auto"/>
              </w:rPr>
            </w:pPr>
          </w:p>
        </w:tc>
        <w:tc>
          <w:tcPr>
            <w:tcW w:w="580" w:type="dxa"/>
            <w:vAlign w:val="bottom"/>
            <w:tcBorders>
              <w:top w:val="single" w:sz="8" w:color="auto"/>
            </w:tcBorders>
            <w:shd w:val="clear" w:color="auto" w:fill="CFF0FC"/>
          </w:tcPr>
          <w:p>
            <w:pPr>
              <w:spacing w:after="0"/>
              <w:rPr>
                <w:sz w:val="13"/>
                <w:szCs w:val="13"/>
                <w:color w:val="auto"/>
              </w:rPr>
            </w:pPr>
          </w:p>
        </w:tc>
        <w:tc>
          <w:tcPr>
            <w:tcW w:w="200" w:type="dxa"/>
            <w:vAlign w:val="bottom"/>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220" w:type="dxa"/>
            <w:vAlign w:val="bottom"/>
            <w:shd w:val="clear" w:color="auto" w:fill="CFF0FC"/>
          </w:tcPr>
          <w:p>
            <w:pPr>
              <w:spacing w:after="0"/>
              <w:rPr>
                <w:sz w:val="13"/>
                <w:szCs w:val="13"/>
                <w:color w:val="auto"/>
              </w:rPr>
            </w:pPr>
          </w:p>
        </w:tc>
        <w:tc>
          <w:tcPr>
            <w:tcW w:w="780" w:type="dxa"/>
            <w:vAlign w:val="bottom"/>
            <w:tcBorders>
              <w:top w:val="single" w:sz="8" w:color="auto"/>
            </w:tcBorders>
            <w:shd w:val="clear" w:color="auto" w:fill="CFF0FC"/>
          </w:tcPr>
          <w:p>
            <w:pPr>
              <w:spacing w:after="0"/>
              <w:rPr>
                <w:sz w:val="13"/>
                <w:szCs w:val="13"/>
                <w:color w:val="auto"/>
              </w:rPr>
            </w:pPr>
          </w:p>
        </w:tc>
        <w:tc>
          <w:tcPr>
            <w:tcW w:w="100" w:type="dxa"/>
            <w:vAlign w:val="bottom"/>
            <w:shd w:val="clear" w:color="auto" w:fill="CFF0FC"/>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280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Number of visitors</w:t>
            </w:r>
          </w:p>
        </w:tc>
        <w:tc>
          <w:tcPr>
            <w:tcW w:w="10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1,034,498</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275,539</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758,959</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261,772</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49,078</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212,694</w:t>
            </w:r>
          </w:p>
        </w:tc>
        <w:tc>
          <w:tcPr>
            <w:tcW w:w="20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tcPr>
          <w:p>
            <w:pPr>
              <w:spacing w:after="0"/>
              <w:rPr>
                <w:sz w:val="14"/>
                <w:szCs w:val="14"/>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0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Ticket revenue </w:t>
            </w:r>
            <w:r>
              <w:rPr>
                <w:rFonts w:ascii="Times New Roman" w:cs="Times New Roman" w:eastAsia="Times New Roman" w:hAnsi="Times New Roman"/>
                <w:sz w:val="13"/>
                <w:szCs w:val="13"/>
                <w:i w:val="1"/>
                <w:iCs w:val="1"/>
                <w:color w:val="auto"/>
              </w:rPr>
              <w:t>(in thousands)</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38,539</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11,244</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27,295</w:t>
            </w:r>
          </w:p>
        </w:tc>
        <w:tc>
          <w:tcPr>
            <w:tcW w:w="24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11,589</w:t>
            </w:r>
          </w:p>
        </w:tc>
        <w:tc>
          <w:tcPr>
            <w:tcW w:w="200" w:type="dxa"/>
            <w:vAlign w:val="bottom"/>
            <w:shd w:val="clear" w:color="auto" w:fill="CFF0FC"/>
          </w:tcPr>
          <w:p>
            <w:pPr>
              <w:spacing w:after="0"/>
              <w:rPr>
                <w:sz w:val="14"/>
                <w:szCs w:val="14"/>
                <w:color w:val="auto"/>
              </w:rPr>
            </w:pPr>
          </w:p>
        </w:tc>
        <w:tc>
          <w:tcPr>
            <w:tcW w:w="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2,405</w:t>
            </w:r>
          </w:p>
        </w:tc>
        <w:tc>
          <w:tcPr>
            <w:tcW w:w="3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272</w:t>
            </w:r>
          </w:p>
        </w:tc>
        <w:tc>
          <w:tcPr>
            <w:tcW w:w="420" w:type="dxa"/>
            <w:vAlign w:val="bottom"/>
            <w:gridSpan w:val="2"/>
            <w:shd w:val="clear" w:color="auto" w:fill="CFF0FC"/>
          </w:tcPr>
          <w:p>
            <w:pPr>
              <w:jc w:val="right"/>
              <w:ind w:right="8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8,912</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0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Effective ticket price</w:t>
            </w: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37.25</w:t>
            </w:r>
          </w:p>
        </w:tc>
        <w:tc>
          <w:tcPr>
            <w:tcW w:w="18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40.81</w:t>
            </w:r>
          </w:p>
        </w:tc>
        <w:tc>
          <w:tcPr>
            <w:tcW w:w="2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35.96</w:t>
            </w:r>
          </w:p>
        </w:tc>
        <w:tc>
          <w:tcPr>
            <w:tcW w:w="24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44.27</w:t>
            </w:r>
          </w:p>
        </w:tc>
        <w:tc>
          <w:tcPr>
            <w:tcW w:w="200" w:type="dxa"/>
            <w:vAlign w:val="bottom"/>
          </w:tcPr>
          <w:p>
            <w:pPr>
              <w:spacing w:after="0"/>
              <w:rPr>
                <w:sz w:val="14"/>
                <w:szCs w:val="1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49.00</w:t>
            </w:r>
          </w:p>
        </w:tc>
        <w:tc>
          <w:tcPr>
            <w:tcW w:w="3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20" w:type="dxa"/>
            <w:vAlign w:val="bottom"/>
            <w:gridSpan w:val="2"/>
          </w:tcPr>
          <w:p>
            <w:pPr>
              <w:jc w:val="right"/>
              <w:ind w:right="8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41.90</w:t>
            </w:r>
          </w:p>
        </w:tc>
        <w:tc>
          <w:tcPr>
            <w:tcW w:w="200" w:type="dxa"/>
            <w:vAlign w:val="bottom"/>
          </w:tcPr>
          <w:p>
            <w:pPr>
              <w:spacing w:after="0"/>
              <w:rPr>
                <w:sz w:val="14"/>
                <w:szCs w:val="14"/>
                <w:color w:val="auto"/>
              </w:rPr>
            </w:pPr>
          </w:p>
        </w:tc>
        <w:tc>
          <w:tcPr>
            <w:tcW w:w="96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rPr>
              <w:t>(15.9 )%</w:t>
            </w:r>
          </w:p>
        </w:tc>
        <w:tc>
          <w:tcPr>
            <w:tcW w:w="94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(14.2 )%</w:t>
            </w:r>
          </w:p>
        </w:tc>
        <w:tc>
          <w:tcPr>
            <w:tcW w:w="0" w:type="dxa"/>
            <w:vAlign w:val="bottom"/>
          </w:tcPr>
          <w:p>
            <w:pPr>
              <w:spacing w:after="0"/>
              <w:rPr>
                <w:sz w:val="1"/>
                <w:szCs w:val="1"/>
                <w:color w:val="auto"/>
              </w:rPr>
            </w:pPr>
          </w:p>
        </w:tc>
      </w:tr>
      <w:tr>
        <w:trPr>
          <w:trHeight w:val="162"/>
        </w:trPr>
        <w:tc>
          <w:tcPr>
            <w:tcW w:w="280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Attractions revenue </w:t>
            </w:r>
            <w:r>
              <w:rPr>
                <w:rFonts w:ascii="Times New Roman" w:cs="Times New Roman" w:eastAsia="Times New Roman" w:hAnsi="Times New Roman"/>
                <w:sz w:val="13"/>
                <w:szCs w:val="13"/>
                <w:i w:val="1"/>
                <w:iCs w:val="1"/>
                <w:color w:val="auto"/>
              </w:rPr>
              <w:t>(in thousands)</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51,597</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14,059</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37,538</w:t>
            </w:r>
          </w:p>
        </w:tc>
        <w:tc>
          <w:tcPr>
            <w:tcW w:w="24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15,185</w:t>
            </w:r>
          </w:p>
        </w:tc>
        <w:tc>
          <w:tcPr>
            <w:tcW w:w="200" w:type="dxa"/>
            <w:vAlign w:val="bottom"/>
            <w:shd w:val="clear" w:color="auto" w:fill="CFF0FC"/>
          </w:tcPr>
          <w:p>
            <w:pPr>
              <w:spacing w:after="0"/>
              <w:rPr>
                <w:sz w:val="14"/>
                <w:szCs w:val="14"/>
                <w:color w:val="auto"/>
              </w:rPr>
            </w:pPr>
          </w:p>
        </w:tc>
        <w:tc>
          <w:tcPr>
            <w:tcW w:w="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3,127</w:t>
            </w:r>
          </w:p>
        </w:tc>
        <w:tc>
          <w:tcPr>
            <w:tcW w:w="3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386</w:t>
            </w:r>
          </w:p>
        </w:tc>
        <w:tc>
          <w:tcPr>
            <w:tcW w:w="420" w:type="dxa"/>
            <w:vAlign w:val="bottom"/>
            <w:gridSpan w:val="2"/>
            <w:shd w:val="clear" w:color="auto" w:fill="CFF0FC"/>
          </w:tcPr>
          <w:p>
            <w:pPr>
              <w:jc w:val="right"/>
              <w:ind w:right="8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11,672</w:t>
            </w: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FF0FC"/>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0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Revenue per attraction visitor</w:t>
            </w: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49.88</w:t>
            </w:r>
          </w:p>
        </w:tc>
        <w:tc>
          <w:tcPr>
            <w:tcW w:w="18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51.02</w:t>
            </w:r>
          </w:p>
        </w:tc>
        <w:tc>
          <w:tcPr>
            <w:tcW w:w="2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49.46</w:t>
            </w:r>
          </w:p>
        </w:tc>
        <w:tc>
          <w:tcPr>
            <w:tcW w:w="24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58.01</w:t>
            </w:r>
          </w:p>
        </w:tc>
        <w:tc>
          <w:tcPr>
            <w:tcW w:w="200" w:type="dxa"/>
            <w:vAlign w:val="bottom"/>
          </w:tcPr>
          <w:p>
            <w:pPr>
              <w:spacing w:after="0"/>
              <w:rPr>
                <w:sz w:val="14"/>
                <w:szCs w:val="1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63.71</w:t>
            </w:r>
          </w:p>
        </w:tc>
        <w:tc>
          <w:tcPr>
            <w:tcW w:w="3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20" w:type="dxa"/>
            <w:vAlign w:val="bottom"/>
            <w:gridSpan w:val="2"/>
          </w:tcPr>
          <w:p>
            <w:pPr>
              <w:jc w:val="right"/>
              <w:ind w:right="8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54.88</w:t>
            </w:r>
          </w:p>
        </w:tc>
        <w:tc>
          <w:tcPr>
            <w:tcW w:w="200" w:type="dxa"/>
            <w:vAlign w:val="bottom"/>
          </w:tcPr>
          <w:p>
            <w:pPr>
              <w:spacing w:after="0"/>
              <w:rPr>
                <w:sz w:val="14"/>
                <w:szCs w:val="14"/>
                <w:color w:val="auto"/>
              </w:rPr>
            </w:pPr>
          </w:p>
        </w:tc>
        <w:tc>
          <w:tcPr>
            <w:tcW w:w="960" w:type="dxa"/>
            <w:vAlign w:val="bottom"/>
            <w:gridSpan w:val="2"/>
          </w:tcPr>
          <w:p>
            <w:pPr>
              <w:jc w:val="right"/>
              <w:ind w:right="60"/>
              <w:spacing w:after="0"/>
              <w:rPr>
                <w:sz w:val="20"/>
                <w:szCs w:val="20"/>
                <w:color w:val="auto"/>
              </w:rPr>
            </w:pPr>
            <w:r>
              <w:rPr>
                <w:rFonts w:ascii="Times New Roman" w:cs="Times New Roman" w:eastAsia="Times New Roman" w:hAnsi="Times New Roman"/>
                <w:sz w:val="13"/>
                <w:szCs w:val="13"/>
                <w:color w:val="auto"/>
              </w:rPr>
              <w:t>(14.0 )%</w:t>
            </w:r>
          </w:p>
        </w:tc>
        <w:tc>
          <w:tcPr>
            <w:tcW w:w="94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(9.9 )%</w:t>
            </w:r>
          </w:p>
        </w:tc>
        <w:tc>
          <w:tcPr>
            <w:tcW w:w="0" w:type="dxa"/>
            <w:vAlign w:val="bottom"/>
          </w:tcPr>
          <w:p>
            <w:pPr>
              <w:spacing w:after="0"/>
              <w:rPr>
                <w:sz w:val="1"/>
                <w:szCs w:val="1"/>
                <w:color w:val="auto"/>
              </w:rPr>
            </w:pPr>
          </w:p>
        </w:tc>
      </w:tr>
      <w:tr>
        <w:trPr>
          <w:trHeight w:val="162"/>
        </w:trPr>
        <w:tc>
          <w:tcPr>
            <w:tcW w:w="280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b w:val="1"/>
                <w:bCs w:val="1"/>
                <w:color w:val="auto"/>
              </w:rPr>
              <w:t>Hospitality Key Performance Indicators:</w:t>
            </w:r>
          </w:p>
        </w:tc>
        <w:tc>
          <w:tcPr>
            <w:tcW w:w="10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68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4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60" w:type="dxa"/>
            <w:vAlign w:val="bottom"/>
            <w:shd w:val="clear" w:color="auto" w:fill="CFF0FC"/>
          </w:tcPr>
          <w:p>
            <w:pPr>
              <w:spacing w:after="0"/>
              <w:rPr>
                <w:sz w:val="14"/>
                <w:szCs w:val="14"/>
                <w:color w:val="auto"/>
              </w:rPr>
            </w:pPr>
          </w:p>
        </w:tc>
        <w:tc>
          <w:tcPr>
            <w:tcW w:w="5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5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58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0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Room nights available</w:t>
            </w:r>
          </w:p>
        </w:tc>
        <w:tc>
          <w:tcPr>
            <w:tcW w:w="10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268,242</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1,403</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266,839</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261,068</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3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261,068</w:t>
            </w:r>
          </w:p>
        </w:tc>
        <w:tc>
          <w:tcPr>
            <w:tcW w:w="200" w:type="dxa"/>
            <w:vAlign w:val="bottom"/>
          </w:tcPr>
          <w:p>
            <w:pPr>
              <w:spacing w:after="0"/>
              <w:rPr>
                <w:sz w:val="14"/>
                <w:szCs w:val="14"/>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2.7 %</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2.2 %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0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Rooms revenue </w:t>
            </w:r>
            <w:r>
              <w:rPr>
                <w:rFonts w:ascii="Times New Roman" w:cs="Times New Roman" w:eastAsia="Times New Roman" w:hAnsi="Times New Roman"/>
                <w:sz w:val="13"/>
                <w:szCs w:val="13"/>
                <w:i w:val="1"/>
                <w:iCs w:val="1"/>
                <w:color w:val="auto"/>
              </w:rPr>
              <w:t>(in thousands)</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27,462</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317</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27,145</w:t>
            </w:r>
          </w:p>
        </w:tc>
        <w:tc>
          <w:tcPr>
            <w:tcW w:w="24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16,139</w:t>
            </w:r>
          </w:p>
        </w:tc>
        <w:tc>
          <w:tcPr>
            <w:tcW w:w="200" w:type="dxa"/>
            <w:vAlign w:val="bottom"/>
            <w:shd w:val="clear" w:color="auto" w:fill="CFF0FC"/>
          </w:tcPr>
          <w:p>
            <w:pPr>
              <w:spacing w:after="0"/>
              <w:rPr>
                <w:sz w:val="14"/>
                <w:szCs w:val="14"/>
                <w:color w:val="auto"/>
              </w:rPr>
            </w:pPr>
          </w:p>
        </w:tc>
        <w:tc>
          <w:tcPr>
            <w:tcW w:w="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3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182</w:t>
            </w:r>
          </w:p>
        </w:tc>
        <w:tc>
          <w:tcPr>
            <w:tcW w:w="420" w:type="dxa"/>
            <w:vAlign w:val="bottom"/>
            <w:gridSpan w:val="2"/>
            <w:shd w:val="clear" w:color="auto" w:fill="CFF0FC"/>
          </w:tcPr>
          <w:p>
            <w:pPr>
              <w:jc w:val="right"/>
              <w:ind w:right="8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15,957</w:t>
            </w:r>
          </w:p>
        </w:tc>
        <w:tc>
          <w:tcPr>
            <w:tcW w:w="200" w:type="dxa"/>
            <w:vAlign w:val="bottom"/>
            <w:shd w:val="clear" w:color="auto" w:fill="CFF0FC"/>
          </w:tcPr>
          <w:p>
            <w:pPr>
              <w:spacing w:after="0"/>
              <w:rPr>
                <w:sz w:val="14"/>
                <w:szCs w:val="14"/>
                <w:color w:val="auto"/>
              </w:rPr>
            </w:pPr>
          </w:p>
        </w:tc>
        <w:tc>
          <w:tcPr>
            <w:tcW w:w="96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70.2 %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70.1 %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0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RevPAR</w:t>
            </w: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102.38</w:t>
            </w:r>
          </w:p>
        </w:tc>
        <w:tc>
          <w:tcPr>
            <w:tcW w:w="18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225.94</w:t>
            </w:r>
          </w:p>
        </w:tc>
        <w:tc>
          <w:tcPr>
            <w:tcW w:w="2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101.73</w:t>
            </w:r>
          </w:p>
        </w:tc>
        <w:tc>
          <w:tcPr>
            <w:tcW w:w="24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61.82</w:t>
            </w:r>
          </w:p>
        </w:tc>
        <w:tc>
          <w:tcPr>
            <w:tcW w:w="200" w:type="dxa"/>
            <w:vAlign w:val="bottom"/>
          </w:tcPr>
          <w:p>
            <w:pPr>
              <w:spacing w:after="0"/>
              <w:rPr>
                <w:sz w:val="14"/>
                <w:szCs w:val="14"/>
                <w:color w:val="auto"/>
              </w:rPr>
            </w:pPr>
          </w:p>
        </w:tc>
        <w:tc>
          <w:tcPr>
            <w:tcW w:w="160" w:type="dxa"/>
            <w:vAlign w:val="bottom"/>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3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20" w:type="dxa"/>
            <w:vAlign w:val="bottom"/>
            <w:gridSpan w:val="2"/>
          </w:tcPr>
          <w:p>
            <w:pPr>
              <w:jc w:val="right"/>
              <w:ind w:right="8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61.12</w:t>
            </w:r>
          </w:p>
        </w:tc>
        <w:tc>
          <w:tcPr>
            <w:tcW w:w="200" w:type="dxa"/>
            <w:vAlign w:val="bottom"/>
          </w:tcPr>
          <w:p>
            <w:pPr>
              <w:spacing w:after="0"/>
              <w:rPr>
                <w:sz w:val="14"/>
                <w:szCs w:val="14"/>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65.6 %</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66.4 %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0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Occupancy</w:t>
            </w:r>
          </w:p>
        </w:tc>
        <w:tc>
          <w:tcPr>
            <w:tcW w:w="100" w:type="dxa"/>
            <w:vAlign w:val="bottom"/>
            <w:shd w:val="clear" w:color="auto" w:fill="CFF0FC"/>
          </w:tcPr>
          <w:p>
            <w:pPr>
              <w:spacing w:after="0"/>
              <w:rPr>
                <w:sz w:val="14"/>
                <w:szCs w:val="14"/>
                <w:color w:val="auto"/>
              </w:rPr>
            </w:pPr>
          </w:p>
        </w:tc>
        <w:tc>
          <w:tcPr>
            <w:tcW w:w="760" w:type="dxa"/>
            <w:vAlign w:val="bottom"/>
            <w:gridSpan w:val="2"/>
            <w:shd w:val="clear" w:color="auto" w:fill="CFF0FC"/>
          </w:tcPr>
          <w:p>
            <w:pPr>
              <w:jc w:val="right"/>
              <w:ind w:right="60"/>
              <w:spacing w:after="0"/>
              <w:rPr>
                <w:sz w:val="20"/>
                <w:szCs w:val="20"/>
                <w:color w:val="auto"/>
              </w:rPr>
            </w:pPr>
            <w:r>
              <w:rPr>
                <w:rFonts w:ascii="Times New Roman" w:cs="Times New Roman" w:eastAsia="Times New Roman" w:hAnsi="Times New Roman"/>
                <w:sz w:val="13"/>
                <w:szCs w:val="13"/>
                <w:color w:val="auto"/>
              </w:rPr>
              <w:t>61.9 %</w:t>
            </w:r>
          </w:p>
        </w:tc>
        <w:tc>
          <w:tcPr>
            <w:tcW w:w="60" w:type="dxa"/>
            <w:vAlign w:val="bottom"/>
            <w:shd w:val="clear" w:color="auto" w:fill="CFF0FC"/>
          </w:tcPr>
          <w:p>
            <w:pPr>
              <w:spacing w:after="0"/>
              <w:rPr>
                <w:sz w:val="14"/>
                <w:szCs w:val="14"/>
                <w:color w:val="auto"/>
              </w:rPr>
            </w:pPr>
          </w:p>
        </w:tc>
        <w:tc>
          <w:tcPr>
            <w:tcW w:w="80" w:type="dxa"/>
            <w:vAlign w:val="bottom"/>
            <w:shd w:val="clear" w:color="auto" w:fill="CFF0FC"/>
          </w:tcPr>
          <w:p>
            <w:pPr>
              <w:spacing w:after="0"/>
              <w:rPr>
                <w:sz w:val="14"/>
                <w:szCs w:val="14"/>
                <w:color w:val="auto"/>
              </w:rPr>
            </w:pPr>
          </w:p>
        </w:tc>
        <w:tc>
          <w:tcPr>
            <w:tcW w:w="90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3"/>
                <w:szCs w:val="13"/>
                <w:color w:val="auto"/>
              </w:rPr>
              <w:t>61.6 %</w:t>
            </w:r>
          </w:p>
        </w:tc>
        <w:tc>
          <w:tcPr>
            <w:tcW w:w="80" w:type="dxa"/>
            <w:vAlign w:val="bottom"/>
            <w:shd w:val="clear" w:color="auto" w:fill="CFF0FC"/>
          </w:tcPr>
          <w:p>
            <w:pPr>
              <w:spacing w:after="0"/>
              <w:rPr>
                <w:sz w:val="14"/>
                <w:szCs w:val="14"/>
                <w:color w:val="auto"/>
              </w:rPr>
            </w:pPr>
          </w:p>
        </w:tc>
        <w:tc>
          <w:tcPr>
            <w:tcW w:w="98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3"/>
                <w:szCs w:val="13"/>
                <w:color w:val="auto"/>
              </w:rPr>
              <w:t>62.0 %</w:t>
            </w:r>
          </w:p>
        </w:tc>
        <w:tc>
          <w:tcPr>
            <w:tcW w:w="80" w:type="dxa"/>
            <w:vAlign w:val="bottom"/>
            <w:shd w:val="clear" w:color="auto" w:fill="CFF0FC"/>
          </w:tcPr>
          <w:p>
            <w:pPr>
              <w:spacing w:after="0"/>
              <w:rPr>
                <w:sz w:val="14"/>
                <w:szCs w:val="14"/>
                <w:color w:val="auto"/>
              </w:rPr>
            </w:pPr>
          </w:p>
        </w:tc>
        <w:tc>
          <w:tcPr>
            <w:tcW w:w="780" w:type="dxa"/>
            <w:vAlign w:val="bottom"/>
            <w:gridSpan w:val="2"/>
            <w:shd w:val="clear" w:color="auto" w:fill="CFF0FC"/>
          </w:tcPr>
          <w:p>
            <w:pPr>
              <w:jc w:val="right"/>
              <w:ind w:right="80"/>
              <w:spacing w:after="0"/>
              <w:rPr>
                <w:sz w:val="20"/>
                <w:szCs w:val="20"/>
                <w:color w:val="auto"/>
              </w:rPr>
            </w:pPr>
            <w:r>
              <w:rPr>
                <w:rFonts w:ascii="Times New Roman" w:cs="Times New Roman" w:eastAsia="Times New Roman" w:hAnsi="Times New Roman"/>
                <w:sz w:val="13"/>
                <w:szCs w:val="13"/>
                <w:color w:val="auto"/>
              </w:rPr>
              <w:t>41.5 %</w:t>
            </w:r>
          </w:p>
        </w:tc>
        <w:tc>
          <w:tcPr>
            <w:tcW w:w="160" w:type="dxa"/>
            <w:vAlign w:val="bottom"/>
            <w:shd w:val="clear" w:color="auto" w:fill="CFF0FC"/>
          </w:tcPr>
          <w:p>
            <w:pPr>
              <w:spacing w:after="0"/>
              <w:rPr>
                <w:sz w:val="14"/>
                <w:szCs w:val="14"/>
                <w:color w:val="auto"/>
              </w:rPr>
            </w:pP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20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560" w:type="dxa"/>
            <w:vAlign w:val="bottom"/>
            <w:shd w:val="clear" w:color="auto" w:fill="CFF0FC"/>
          </w:tcPr>
          <w:p>
            <w:pPr>
              <w:spacing w:after="0"/>
              <w:rPr>
                <w:sz w:val="14"/>
                <w:szCs w:val="14"/>
                <w:color w:val="auto"/>
              </w:rPr>
            </w:pPr>
          </w:p>
        </w:tc>
        <w:tc>
          <w:tcPr>
            <w:tcW w:w="2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78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41.5 %</w:t>
            </w:r>
          </w:p>
        </w:tc>
        <w:tc>
          <w:tcPr>
            <w:tcW w:w="96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49.2 %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49.4 %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00" w:type="dxa"/>
            <w:vAlign w:val="bottom"/>
          </w:tcPr>
          <w:p>
            <w:pPr>
              <w:ind w:left="100"/>
              <w:spacing w:after="0"/>
              <w:rPr>
                <w:sz w:val="20"/>
                <w:szCs w:val="20"/>
                <w:color w:val="auto"/>
              </w:rPr>
            </w:pPr>
            <w:r>
              <w:rPr>
                <w:rFonts w:ascii="Times New Roman" w:cs="Times New Roman" w:eastAsia="Times New Roman" w:hAnsi="Times New Roman"/>
                <w:sz w:val="13"/>
                <w:szCs w:val="13"/>
                <w:color w:val="auto"/>
              </w:rPr>
              <w:t>ADR</w:t>
            </w:r>
          </w:p>
        </w:tc>
        <w:tc>
          <w:tcPr>
            <w:tcW w:w="10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165.28</w:t>
            </w:r>
          </w:p>
        </w:tc>
        <w:tc>
          <w:tcPr>
            <w:tcW w:w="180" w:type="dxa"/>
            <w:vAlign w:val="bottom"/>
          </w:tcPr>
          <w:p>
            <w:pPr>
              <w:spacing w:after="0"/>
              <w:rPr>
                <w:sz w:val="14"/>
                <w:szCs w:val="14"/>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366.89</w:t>
            </w:r>
          </w:p>
        </w:tc>
        <w:tc>
          <w:tcPr>
            <w:tcW w:w="22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164.20</w:t>
            </w:r>
          </w:p>
        </w:tc>
        <w:tc>
          <w:tcPr>
            <w:tcW w:w="240" w:type="dxa"/>
            <w:vAlign w:val="bottom"/>
          </w:tcPr>
          <w:p>
            <w:pPr>
              <w:spacing w:after="0"/>
              <w:rPr>
                <w:sz w:val="14"/>
                <w:szCs w:val="14"/>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148.90</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300" w:type="dxa"/>
            <w:vAlign w:val="bottom"/>
            <w:gridSpan w:val="2"/>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420" w:type="dxa"/>
            <w:vAlign w:val="bottom"/>
            <w:gridSpan w:val="2"/>
          </w:tcPr>
          <w:p>
            <w:pPr>
              <w:jc w:val="right"/>
              <w:ind w:right="8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147.21</w:t>
            </w:r>
          </w:p>
        </w:tc>
        <w:tc>
          <w:tcPr>
            <w:tcW w:w="200" w:type="dxa"/>
            <w:vAlign w:val="bottom"/>
          </w:tcPr>
          <w:p>
            <w:pPr>
              <w:spacing w:after="0"/>
              <w:rPr>
                <w:sz w:val="14"/>
                <w:szCs w:val="14"/>
                <w:color w:val="auto"/>
              </w:rPr>
            </w:pPr>
          </w:p>
        </w:tc>
        <w:tc>
          <w:tcPr>
            <w:tcW w:w="960" w:type="dxa"/>
            <w:vAlign w:val="bottom"/>
            <w:gridSpan w:val="2"/>
          </w:tcPr>
          <w:p>
            <w:pPr>
              <w:jc w:val="right"/>
              <w:ind w:right="100"/>
              <w:spacing w:after="0"/>
              <w:rPr>
                <w:sz w:val="20"/>
                <w:szCs w:val="20"/>
                <w:color w:val="auto"/>
              </w:rPr>
            </w:pPr>
            <w:r>
              <w:rPr>
                <w:rFonts w:ascii="Times New Roman" w:cs="Times New Roman" w:eastAsia="Times New Roman" w:hAnsi="Times New Roman"/>
                <w:sz w:val="13"/>
                <w:szCs w:val="13"/>
                <w:color w:val="auto"/>
              </w:rPr>
              <w:t>11.0 %</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11.5 %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800" w:type="dxa"/>
            <w:vAlign w:val="bottom"/>
            <w:shd w:val="clear" w:color="auto" w:fill="CFF0FC"/>
          </w:tcPr>
          <w:p>
            <w:pPr>
              <w:ind w:left="100"/>
              <w:spacing w:after="0"/>
              <w:rPr>
                <w:sz w:val="20"/>
                <w:szCs w:val="20"/>
                <w:color w:val="auto"/>
              </w:rPr>
            </w:pPr>
            <w:r>
              <w:rPr>
                <w:rFonts w:ascii="Times New Roman" w:cs="Times New Roman" w:eastAsia="Times New Roman" w:hAnsi="Times New Roman"/>
                <w:sz w:val="13"/>
                <w:szCs w:val="13"/>
                <w:color w:val="auto"/>
              </w:rPr>
              <w:t xml:space="preserve">Hospitality revenue </w:t>
            </w:r>
            <w:r>
              <w:rPr>
                <w:rFonts w:ascii="Times New Roman" w:cs="Times New Roman" w:eastAsia="Times New Roman" w:hAnsi="Times New Roman"/>
                <w:sz w:val="13"/>
                <w:szCs w:val="13"/>
                <w:i w:val="1"/>
                <w:iCs w:val="1"/>
                <w:color w:val="auto"/>
              </w:rPr>
              <w:t>(in thousands)</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43,516</w:t>
            </w:r>
          </w:p>
        </w:tc>
        <w:tc>
          <w:tcPr>
            <w:tcW w:w="180" w:type="dxa"/>
            <w:vAlign w:val="bottom"/>
            <w:shd w:val="clear" w:color="auto" w:fill="CFF0FC"/>
          </w:tcPr>
          <w:p>
            <w:pPr>
              <w:spacing w:after="0"/>
              <w:rPr>
                <w:sz w:val="14"/>
                <w:szCs w:val="14"/>
                <w:color w:val="auto"/>
              </w:rPr>
            </w:pPr>
          </w:p>
        </w:tc>
        <w:tc>
          <w:tcPr>
            <w:tcW w:w="14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6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429</w:t>
            </w:r>
          </w:p>
        </w:tc>
        <w:tc>
          <w:tcPr>
            <w:tcW w:w="22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43,087</w:t>
            </w:r>
          </w:p>
        </w:tc>
        <w:tc>
          <w:tcPr>
            <w:tcW w:w="240" w:type="dxa"/>
            <w:vAlign w:val="bottom"/>
            <w:shd w:val="clear" w:color="auto" w:fill="CFF0FC"/>
          </w:tcPr>
          <w:p>
            <w:pPr>
              <w:spacing w:after="0"/>
              <w:rPr>
                <w:sz w:val="14"/>
                <w:szCs w:val="14"/>
                <w:color w:val="auto"/>
              </w:rPr>
            </w:pPr>
          </w:p>
        </w:tc>
        <w:tc>
          <w:tcPr>
            <w:tcW w:w="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0"/>
                <w:szCs w:val="10"/>
                <w:color w:val="auto"/>
                <w:w w:val="79"/>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28,820</w:t>
            </w:r>
          </w:p>
        </w:tc>
        <w:tc>
          <w:tcPr>
            <w:tcW w:w="200" w:type="dxa"/>
            <w:vAlign w:val="bottom"/>
            <w:shd w:val="clear" w:color="auto" w:fill="CFF0FC"/>
          </w:tcPr>
          <w:p>
            <w:pPr>
              <w:spacing w:after="0"/>
              <w:rPr>
                <w:sz w:val="14"/>
                <w:szCs w:val="14"/>
                <w:color w:val="auto"/>
              </w:rPr>
            </w:pPr>
          </w:p>
        </w:tc>
        <w:tc>
          <w:tcPr>
            <w:tcW w:w="1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300" w:type="dxa"/>
            <w:vAlign w:val="bottom"/>
            <w:gridSpan w:val="2"/>
            <w:shd w:val="clear" w:color="auto" w:fill="CFF0FC"/>
          </w:tcPr>
          <w:p>
            <w:pPr>
              <w:jc w:val="right"/>
              <w:ind w:right="20"/>
              <w:spacing w:after="0"/>
              <w:rPr>
                <w:sz w:val="20"/>
                <w:szCs w:val="20"/>
                <w:color w:val="auto"/>
              </w:rPr>
            </w:pPr>
            <w:r>
              <w:rPr>
                <w:rFonts w:ascii="Times New Roman" w:cs="Times New Roman" w:eastAsia="Times New Roman" w:hAnsi="Times New Roman"/>
                <w:sz w:val="13"/>
                <w:szCs w:val="13"/>
                <w:color w:val="auto"/>
              </w:rPr>
              <w:t>$</w:t>
            </w:r>
          </w:p>
        </w:tc>
        <w:tc>
          <w:tcPr>
            <w:tcW w:w="5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237</w:t>
            </w:r>
          </w:p>
        </w:tc>
        <w:tc>
          <w:tcPr>
            <w:tcW w:w="420" w:type="dxa"/>
            <w:vAlign w:val="bottom"/>
            <w:gridSpan w:val="2"/>
            <w:shd w:val="clear" w:color="auto" w:fill="CFF0FC"/>
          </w:tcPr>
          <w:p>
            <w:pPr>
              <w:jc w:val="right"/>
              <w:ind w:right="82"/>
              <w:spacing w:after="0"/>
              <w:rPr>
                <w:sz w:val="20"/>
                <w:szCs w:val="20"/>
                <w:color w:val="auto"/>
              </w:rPr>
            </w:pPr>
            <w:r>
              <w:rPr>
                <w:rFonts w:ascii="Times New Roman" w:cs="Times New Roman" w:eastAsia="Times New Roman" w:hAnsi="Times New Roman"/>
                <w:sz w:val="13"/>
                <w:szCs w:val="13"/>
                <w:color w:val="auto"/>
              </w:rPr>
              <w:t>$</w:t>
            </w:r>
          </w:p>
        </w:tc>
        <w:tc>
          <w:tcPr>
            <w:tcW w:w="5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28,583</w:t>
            </w:r>
          </w:p>
        </w:tc>
        <w:tc>
          <w:tcPr>
            <w:tcW w:w="200" w:type="dxa"/>
            <w:vAlign w:val="bottom"/>
            <w:shd w:val="clear" w:color="auto" w:fill="CFF0FC"/>
          </w:tcPr>
          <w:p>
            <w:pPr>
              <w:spacing w:after="0"/>
              <w:rPr>
                <w:sz w:val="14"/>
                <w:szCs w:val="14"/>
                <w:color w:val="auto"/>
              </w:rPr>
            </w:pPr>
          </w:p>
        </w:tc>
        <w:tc>
          <w:tcPr>
            <w:tcW w:w="960" w:type="dxa"/>
            <w:vAlign w:val="bottom"/>
            <w:gridSpan w:val="2"/>
            <w:shd w:val="clear" w:color="auto" w:fill="CFF0FC"/>
          </w:tcPr>
          <w:p>
            <w:pPr>
              <w:jc w:val="right"/>
              <w:ind w:right="100"/>
              <w:spacing w:after="0"/>
              <w:rPr>
                <w:sz w:val="20"/>
                <w:szCs w:val="20"/>
                <w:color w:val="auto"/>
              </w:rPr>
            </w:pPr>
            <w:r>
              <w:rPr>
                <w:rFonts w:ascii="Times New Roman" w:cs="Times New Roman" w:eastAsia="Times New Roman" w:hAnsi="Times New Roman"/>
                <w:sz w:val="13"/>
                <w:szCs w:val="13"/>
                <w:color w:val="auto"/>
              </w:rPr>
              <w:t>51.0 %</w:t>
            </w:r>
          </w:p>
        </w:tc>
        <w:tc>
          <w:tcPr>
            <w:tcW w:w="8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3"/>
                <w:szCs w:val="13"/>
                <w:color w:val="auto"/>
              </w:rPr>
              <w:t>50.7 %</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4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15" w:lineRule="exact"/>
        <w:rPr>
          <w:sz w:val="20"/>
          <w:szCs w:val="20"/>
          <w:color w:val="auto"/>
        </w:rPr>
      </w:pPr>
    </w:p>
    <w:p>
      <w:pPr>
        <w:ind w:left="380" w:right="80" w:hanging="372"/>
        <w:spacing w:after="0" w:line="207" w:lineRule="auto"/>
        <w:tabs>
          <w:tab w:leader="none" w:pos="380" w:val="left"/>
        </w:tabs>
        <w:numPr>
          <w:ilvl w:val="0"/>
          <w:numId w:val="2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New Experiences comprises the following attractions that were opened or acquired after January 1, 2021: Sky Lagoon (opened April 2021), the Golden Skybridge (opened June 2021), FlyOver Las Vegas (opened September 2021) and the Glacier Raft Company (acquired April 2022).</w:t>
      </w:r>
    </w:p>
    <w:p>
      <w:pPr>
        <w:jc w:val="both"/>
        <w:ind w:left="380" w:right="60" w:hanging="372"/>
        <w:spacing w:after="0" w:line="215" w:lineRule="auto"/>
        <w:tabs>
          <w:tab w:leader="none" w:pos="380" w:val="left"/>
        </w:tabs>
        <w:numPr>
          <w:ilvl w:val="0"/>
          <w:numId w:val="2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Same-Store metrics include only attractions and lodging properties that Pursuit operated at full capacity, considering seasonal closures, for the entirety of both periods presented. For experiences located outside the United States, financial metric comparisons to the prior year are expressed on a constant U.S. dollar basis.</w:t>
      </w:r>
    </w:p>
    <w:p>
      <w:pPr>
        <w:spacing w:after="0" w:line="2" w:lineRule="exact"/>
        <w:rPr>
          <w:rFonts w:ascii="Times New Roman" w:cs="Times New Roman" w:eastAsia="Times New Roman" w:hAnsi="Times New Roman"/>
          <w:sz w:val="24"/>
          <w:szCs w:val="24"/>
          <w:color w:val="auto"/>
          <w:vertAlign w:val="superscript"/>
        </w:rPr>
      </w:pPr>
    </w:p>
    <w:p>
      <w:pPr>
        <w:jc w:val="both"/>
        <w:ind w:left="380" w:right="60" w:hanging="372"/>
        <w:spacing w:after="0" w:line="215" w:lineRule="auto"/>
        <w:tabs>
          <w:tab w:leader="none" w:pos="380" w:val="left"/>
        </w:tabs>
        <w:numPr>
          <w:ilvl w:val="0"/>
          <w:numId w:val="21"/>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Foreign exchange rate variance effects (or “FX Impact”) represents the adjustments necessary to express prior financial metrics on a constant U.S. dollar basis, using the current year quarterly average exchange rates for previous periods to eliminate the impact of changes in exchange rates for same-store Pursuit experiences located outside of the United States.</w:t>
      </w:r>
    </w:p>
    <w:p>
      <w:pPr>
        <w:spacing w:after="0" w:line="128" w:lineRule="exact"/>
        <w:rPr>
          <w:sz w:val="20"/>
          <w:szCs w:val="20"/>
          <w:color w:val="auto"/>
        </w:rPr>
      </w:pPr>
    </w:p>
    <w:p>
      <w:pPr>
        <w:jc w:val="both"/>
        <w:ind w:right="60"/>
        <w:spacing w:after="0" w:line="251" w:lineRule="auto"/>
        <w:rPr>
          <w:sz w:val="20"/>
          <w:szCs w:val="20"/>
          <w:color w:val="auto"/>
        </w:rPr>
      </w:pPr>
      <w:r>
        <w:rPr>
          <w:rFonts w:ascii="Times New Roman" w:cs="Times New Roman" w:eastAsia="Times New Roman" w:hAnsi="Times New Roman"/>
          <w:sz w:val="18"/>
          <w:szCs w:val="18"/>
          <w:b w:val="1"/>
          <w:bCs w:val="1"/>
          <w:color w:val="auto"/>
        </w:rPr>
        <w:t>Attractions</w:t>
      </w:r>
      <w:r>
        <w:rPr>
          <w:rFonts w:ascii="Times New Roman" w:cs="Times New Roman" w:eastAsia="Times New Roman" w:hAnsi="Times New Roman"/>
          <w:sz w:val="18"/>
          <w:szCs w:val="18"/>
          <w:color w:val="auto"/>
        </w:rPr>
        <w:t>. The increase in same-store visitors during 2022 was driven by higher visitation during the first half of 2022, which was impacted in 2021 by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border closures and travel restrictions as a result of the COVID-19 pandemic in addition to the temporary government mandated closures at FlyOver Canada and FlyOver Iceland. Revenue per attraction decreased due to increased visitation to attractions with lower ticket prices, which caused our weighted-average effective ticket price to go down.</w:t>
      </w:r>
    </w:p>
    <w:p>
      <w:pPr>
        <w:spacing w:after="0" w:line="132" w:lineRule="exact"/>
        <w:rPr>
          <w:sz w:val="20"/>
          <w:szCs w:val="20"/>
          <w:color w:val="auto"/>
        </w:rPr>
      </w:pPr>
    </w:p>
    <w:p>
      <w:pPr>
        <w:jc w:val="both"/>
        <w:ind w:right="60"/>
        <w:spacing w:after="0" w:line="270" w:lineRule="auto"/>
        <w:rPr>
          <w:sz w:val="20"/>
          <w:szCs w:val="20"/>
          <w:color w:val="auto"/>
        </w:rPr>
      </w:pPr>
      <w:r>
        <w:rPr>
          <w:rFonts w:ascii="Times New Roman" w:cs="Times New Roman" w:eastAsia="Times New Roman" w:hAnsi="Times New Roman"/>
          <w:sz w:val="18"/>
          <w:szCs w:val="18"/>
          <w:b w:val="1"/>
          <w:bCs w:val="1"/>
          <w:color w:val="auto"/>
        </w:rPr>
        <w:t>Hospitality</w:t>
      </w:r>
      <w:r>
        <w:rPr>
          <w:rFonts w:ascii="Times New Roman" w:cs="Times New Roman" w:eastAsia="Times New Roman" w:hAnsi="Times New Roman"/>
          <w:sz w:val="18"/>
          <w:szCs w:val="18"/>
          <w:color w:val="auto"/>
        </w:rPr>
        <w:t>. Room nights available increased as pandemic-related capacity restrictions were lifted in 2022. The increase in RevPAR and ADR was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primarily driven by revenue management efforts.</w:t>
      </w:r>
    </w:p>
    <w:p>
      <w:pPr>
        <w:spacing w:after="0" w:line="2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GES</w:t>
      </w:r>
    </w:p>
    <w:p>
      <w:pPr>
        <w:spacing w:after="0" w:line="121" w:lineRule="exact"/>
        <w:rPr>
          <w:sz w:val="20"/>
          <w:szCs w:val="20"/>
          <w:color w:val="auto"/>
        </w:rPr>
      </w:pPr>
    </w:p>
    <w:p>
      <w:pPr>
        <w:jc w:val="both"/>
        <w:ind w:right="60"/>
        <w:spacing w:after="0" w:line="250" w:lineRule="auto"/>
        <w:rPr>
          <w:sz w:val="20"/>
          <w:szCs w:val="20"/>
          <w:color w:val="auto"/>
        </w:rPr>
      </w:pPr>
      <w:r>
        <w:rPr>
          <w:rFonts w:ascii="Times New Roman" w:cs="Times New Roman" w:eastAsia="Times New Roman" w:hAnsi="Times New Roman"/>
          <w:sz w:val="18"/>
          <w:szCs w:val="18"/>
          <w:color w:val="auto"/>
        </w:rPr>
        <w:t>During the first quarter of 2022, we changed our segment reporting as a result of operational changes and how our CODM reviews the financial performance of GES and makes decisions regarding the allocation of resources. Accordingly, GES’ new reportable segments are Spiro and GES Exhibitions. We reclassified prior periods to conform to the current-period presentation.</w:t>
      </w:r>
    </w:p>
    <w:p>
      <w:pPr>
        <w:spacing w:after="0" w:line="135" w:lineRule="exact"/>
        <w:rPr>
          <w:sz w:val="20"/>
          <w:szCs w:val="20"/>
          <w:color w:val="auto"/>
        </w:rPr>
      </w:pPr>
    </w:p>
    <w:p>
      <w:pPr>
        <w:jc w:val="both"/>
        <w:ind w:right="60"/>
        <w:spacing w:after="0" w:line="266" w:lineRule="auto"/>
        <w:rPr>
          <w:sz w:val="20"/>
          <w:szCs w:val="20"/>
          <w:color w:val="auto"/>
        </w:rPr>
      </w:pPr>
      <w:r>
        <w:rPr>
          <w:rFonts w:ascii="Times New Roman" w:cs="Times New Roman" w:eastAsia="Times New Roman" w:hAnsi="Times New Roman"/>
          <w:sz w:val="18"/>
          <w:szCs w:val="18"/>
          <w:color w:val="auto"/>
        </w:rPr>
        <w:t>The following table presents a comparison of GES’ reported revenue and segment operating income (loss) for the three and six months ended June 30, 2022 and 2021:</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32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520" w:type="dxa"/>
            <w:vAlign w:val="bottom"/>
            <w:gridSpan w:val="5"/>
          </w:tcPr>
          <w:p>
            <w:pPr>
              <w:jc w:val="right"/>
              <w:ind w:right="75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9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480" w:type="dxa"/>
            <w:vAlign w:val="bottom"/>
            <w:gridSpan w:val="5"/>
          </w:tcPr>
          <w:p>
            <w:pPr>
              <w:jc w:val="right"/>
              <w:ind w:right="81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200" w:type="dxa"/>
            <w:vAlign w:val="bottom"/>
          </w:tcPr>
          <w:p>
            <w:pPr>
              <w:spacing w:after="0"/>
              <w:rPr>
                <w:sz w:val="15"/>
                <w:szCs w:val="15"/>
                <w:color w:val="auto"/>
              </w:rPr>
            </w:pPr>
          </w:p>
        </w:tc>
      </w:tr>
      <w:tr>
        <w:trPr>
          <w:trHeight w:val="187"/>
        </w:trPr>
        <w:tc>
          <w:tcPr>
            <w:tcW w:w="324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8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gridSpan w:val="3"/>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88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200" w:type="dxa"/>
            <w:vAlign w:val="bottom"/>
          </w:tcPr>
          <w:p>
            <w:pPr>
              <w:spacing w:after="0"/>
              <w:rPr>
                <w:sz w:val="16"/>
                <w:szCs w:val="16"/>
                <w:color w:val="auto"/>
              </w:rPr>
            </w:pPr>
          </w:p>
        </w:tc>
      </w:tr>
      <w:tr>
        <w:trPr>
          <w:trHeight w:val="131"/>
        </w:trPr>
        <w:tc>
          <w:tcPr>
            <w:tcW w:w="32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tcPr>
          <w:p>
            <w:pPr>
              <w:jc w:val="right"/>
              <w:ind w:right="208"/>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c>
          <w:tcPr>
            <w:tcW w:w="2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00" w:type="dxa"/>
            <w:vAlign w:val="bottom"/>
          </w:tcPr>
          <w:p>
            <w:pPr>
              <w:jc w:val="right"/>
              <w:ind w:right="454"/>
              <w:spacing w:after="0" w:line="131" w:lineRule="exact"/>
              <w:rPr>
                <w:sz w:val="20"/>
                <w:szCs w:val="20"/>
                <w:color w:val="auto"/>
              </w:rPr>
            </w:pPr>
            <w:r>
              <w:rPr>
                <w:rFonts w:ascii="Times New Roman" w:cs="Times New Roman" w:eastAsia="Times New Roman" w:hAnsi="Times New Roman"/>
                <w:sz w:val="14"/>
                <w:szCs w:val="14"/>
                <w:b w:val="1"/>
                <w:bCs w:val="1"/>
                <w:color w:val="auto"/>
              </w:rPr>
              <w:t>%</w:t>
            </w:r>
          </w:p>
        </w:tc>
      </w:tr>
      <w:tr>
        <w:trPr>
          <w:trHeight w:val="187"/>
        </w:trPr>
        <w:tc>
          <w:tcPr>
            <w:tcW w:w="324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6"/>
                <w:szCs w:val="16"/>
                <w:color w:val="auto"/>
              </w:rPr>
            </w:pPr>
          </w:p>
        </w:tc>
        <w:tc>
          <w:tcPr>
            <w:tcW w:w="920" w:type="dxa"/>
            <w:vAlign w:val="bottom"/>
            <w:tcBorders>
              <w:bottom w:val="single" w:sz="8" w:color="auto"/>
            </w:tcBorders>
          </w:tcPr>
          <w:p>
            <w:pPr>
              <w:jc w:val="center"/>
              <w:ind w:left="208"/>
              <w:spacing w:after="0"/>
              <w:rPr>
                <w:sz w:val="20"/>
                <w:szCs w:val="20"/>
                <w:color w:val="auto"/>
              </w:rPr>
            </w:pPr>
            <w:r>
              <w:rPr>
                <w:rFonts w:ascii="Times New Roman" w:cs="Times New Roman" w:eastAsia="Times New Roman" w:hAnsi="Times New Roman"/>
                <w:sz w:val="14"/>
                <w:szCs w:val="14"/>
                <w:b w:val="1"/>
                <w:bCs w:val="1"/>
                <w:color w:val="auto"/>
              </w:rPr>
              <w:t>Change</w:t>
            </w:r>
          </w:p>
        </w:tc>
        <w:tc>
          <w:tcPr>
            <w:tcW w:w="2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ind w:right="31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7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20" w:type="dxa"/>
            <w:vAlign w:val="bottom"/>
          </w:tcPr>
          <w:p>
            <w:pPr>
              <w:spacing w:after="0"/>
              <w:rPr>
                <w:sz w:val="16"/>
                <w:szCs w:val="16"/>
                <w:color w:val="auto"/>
              </w:rPr>
            </w:pPr>
          </w:p>
        </w:tc>
        <w:tc>
          <w:tcPr>
            <w:tcW w:w="1200" w:type="dxa"/>
            <w:vAlign w:val="bottom"/>
            <w:tcBorders>
              <w:bottom w:val="single" w:sz="8" w:color="auto"/>
            </w:tcBorders>
          </w:tcPr>
          <w:p>
            <w:pPr>
              <w:jc w:val="right"/>
              <w:ind w:right="274"/>
              <w:spacing w:after="0"/>
              <w:rPr>
                <w:sz w:val="20"/>
                <w:szCs w:val="20"/>
                <w:color w:val="auto"/>
              </w:rPr>
            </w:pPr>
            <w:r>
              <w:rPr>
                <w:rFonts w:ascii="Times New Roman" w:cs="Times New Roman" w:eastAsia="Times New Roman" w:hAnsi="Times New Roman"/>
                <w:sz w:val="14"/>
                <w:szCs w:val="14"/>
                <w:b w:val="1"/>
                <w:bCs w:val="1"/>
                <w:color w:val="auto"/>
              </w:rPr>
              <w:t>Change</w:t>
            </w:r>
          </w:p>
        </w:tc>
      </w:tr>
      <w:tr>
        <w:trPr>
          <w:trHeight w:val="209"/>
        </w:trPr>
        <w:tc>
          <w:tcPr>
            <w:tcW w:w="32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b w:val="1"/>
                <w:bCs w:val="1"/>
                <w:color w:val="auto"/>
              </w:rPr>
              <w:t>Revenue:</w:t>
            </w:r>
          </w:p>
        </w:tc>
        <w:tc>
          <w:tcPr>
            <w:tcW w:w="240" w:type="dxa"/>
            <w:vAlign w:val="bottom"/>
            <w:shd w:val="clear" w:color="auto" w:fill="CFF0FC"/>
          </w:tcPr>
          <w:p>
            <w:pPr>
              <w:spacing w:after="0"/>
              <w:rPr>
                <w:sz w:val="18"/>
                <w:szCs w:val="18"/>
                <w:color w:val="auto"/>
              </w:rPr>
            </w:pPr>
          </w:p>
        </w:tc>
        <w:tc>
          <w:tcPr>
            <w:tcW w:w="86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82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340" w:type="dxa"/>
            <w:vAlign w:val="bottom"/>
            <w:shd w:val="clear" w:color="auto" w:fill="CFF0FC"/>
          </w:tcPr>
          <w:p>
            <w:pPr>
              <w:spacing w:after="0"/>
              <w:rPr>
                <w:sz w:val="18"/>
                <w:szCs w:val="18"/>
                <w:color w:val="auto"/>
              </w:rPr>
            </w:pPr>
          </w:p>
        </w:tc>
        <w:tc>
          <w:tcPr>
            <w:tcW w:w="8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00" w:type="dxa"/>
            <w:vAlign w:val="bottom"/>
            <w:shd w:val="clear" w:color="auto" w:fill="CFF0FC"/>
          </w:tcPr>
          <w:p>
            <w:pPr>
              <w:spacing w:after="0"/>
              <w:rPr>
                <w:sz w:val="18"/>
                <w:szCs w:val="18"/>
                <w:color w:val="auto"/>
              </w:rPr>
            </w:pPr>
          </w:p>
        </w:tc>
      </w:tr>
      <w:tr>
        <w:trPr>
          <w:trHeight w:val="216"/>
        </w:trPr>
        <w:tc>
          <w:tcPr>
            <w:tcW w:w="3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GES:</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6"/>
        </w:trPr>
        <w:tc>
          <w:tcPr>
            <w:tcW w:w="3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89,425</w:t>
            </w:r>
          </w:p>
        </w:tc>
        <w:tc>
          <w:tcPr>
            <w:tcW w:w="22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11,944</w:t>
            </w:r>
          </w:p>
        </w:tc>
        <w:tc>
          <w:tcPr>
            <w:tcW w:w="220" w:type="dxa"/>
            <w:vAlign w:val="bottom"/>
            <w:shd w:val="clear" w:color="auto" w:fill="CFF0FC"/>
          </w:tcPr>
          <w:p>
            <w:pPr>
              <w:spacing w:after="0"/>
              <w:rPr>
                <w:sz w:val="18"/>
                <w:szCs w:val="18"/>
                <w:color w:val="auto"/>
              </w:rPr>
            </w:pPr>
          </w:p>
        </w:tc>
        <w:tc>
          <w:tcPr>
            <w:tcW w:w="920" w:type="dxa"/>
            <w:vAlign w:val="bottom"/>
            <w:shd w:val="clear" w:color="auto" w:fill="CFF0FC"/>
          </w:tcPr>
          <w:p>
            <w:pPr>
              <w:spacing w:after="0"/>
              <w:rPr>
                <w:sz w:val="18"/>
                <w:szCs w:val="18"/>
                <w:color w:val="auto"/>
              </w:rPr>
            </w:pPr>
          </w:p>
        </w:tc>
        <w:tc>
          <w:tcPr>
            <w:tcW w:w="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132,241</w:t>
            </w:r>
          </w:p>
        </w:tc>
        <w:tc>
          <w:tcPr>
            <w:tcW w:w="22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24,003</w:t>
            </w:r>
          </w:p>
        </w:tc>
        <w:tc>
          <w:tcPr>
            <w:tcW w:w="220" w:type="dxa"/>
            <w:vAlign w:val="bottom"/>
            <w:shd w:val="clear" w:color="auto" w:fill="CFF0FC"/>
          </w:tcPr>
          <w:p>
            <w:pPr>
              <w:spacing w:after="0"/>
              <w:rPr>
                <w:sz w:val="18"/>
                <w:szCs w:val="18"/>
                <w:color w:val="auto"/>
              </w:rPr>
            </w:pP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154,600</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13,057</w:t>
            </w: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266,431</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20,209</w:t>
            </w:r>
          </w:p>
        </w:tc>
        <w:tc>
          <w:tcPr>
            <w:tcW w:w="2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Intersegment eliminations</w:t>
            </w:r>
          </w:p>
        </w:tc>
        <w:tc>
          <w:tcPr>
            <w:tcW w:w="240" w:type="dxa"/>
            <w:vAlign w:val="bottom"/>
            <w:shd w:val="clear" w:color="auto" w:fill="CFF0FC"/>
          </w:tcPr>
          <w:p>
            <w:pPr>
              <w:spacing w:after="0"/>
              <w:rPr>
                <w:sz w:val="18"/>
                <w:szCs w:val="18"/>
                <w:color w:val="auto"/>
              </w:rPr>
            </w:pPr>
          </w:p>
        </w:tc>
        <w:tc>
          <w:tcPr>
            <w:tcW w:w="108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18"/>
                <w:szCs w:val="18"/>
                <w:color w:val="auto"/>
              </w:rPr>
              <w:t>(2,421 )</w:t>
            </w:r>
          </w:p>
        </w:tc>
        <w:tc>
          <w:tcPr>
            <w:tcW w:w="3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(81 )</w:t>
            </w:r>
          </w:p>
        </w:tc>
        <w:tc>
          <w:tcPr>
            <w:tcW w:w="920" w:type="dxa"/>
            <w:vAlign w:val="bottom"/>
            <w:shd w:val="clear" w:color="auto" w:fill="CFF0FC"/>
          </w:tcPr>
          <w:p>
            <w:pPr>
              <w:spacing w:after="0"/>
              <w:rPr>
                <w:sz w:val="18"/>
                <w:szCs w:val="18"/>
                <w:color w:val="auto"/>
              </w:rPr>
            </w:pPr>
          </w:p>
        </w:tc>
        <w:tc>
          <w:tcPr>
            <w:tcW w:w="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040" w:type="dxa"/>
            <w:vAlign w:val="bottom"/>
            <w:gridSpan w:val="2"/>
            <w:shd w:val="clear" w:color="auto" w:fill="CFF0FC"/>
          </w:tcPr>
          <w:p>
            <w:pPr>
              <w:jc w:val="right"/>
              <w:ind w:right="140"/>
              <w:spacing w:after="0"/>
              <w:rPr>
                <w:sz w:val="20"/>
                <w:szCs w:val="20"/>
                <w:color w:val="auto"/>
              </w:rPr>
            </w:pPr>
            <w:r>
              <w:rPr>
                <w:rFonts w:ascii="Times New Roman" w:cs="Times New Roman" w:eastAsia="Times New Roman" w:hAnsi="Times New Roman"/>
                <w:sz w:val="18"/>
                <w:szCs w:val="18"/>
                <w:color w:val="auto"/>
              </w:rPr>
              <w:t>(3,492 )</w:t>
            </w:r>
          </w:p>
        </w:tc>
        <w:tc>
          <w:tcPr>
            <w:tcW w:w="340" w:type="dxa"/>
            <w:vAlign w:val="bottom"/>
            <w:shd w:val="clear" w:color="auto" w:fill="CFF0FC"/>
          </w:tcPr>
          <w:p>
            <w:pPr>
              <w:spacing w:after="0"/>
              <w:rPr>
                <w:sz w:val="18"/>
                <w:szCs w:val="18"/>
                <w:color w:val="auto"/>
              </w:rPr>
            </w:pPr>
          </w:p>
        </w:tc>
        <w:tc>
          <w:tcPr>
            <w:tcW w:w="1100" w:type="dxa"/>
            <w:vAlign w:val="bottom"/>
            <w:gridSpan w:val="2"/>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(147 )</w:t>
            </w: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09"/>
        </w:trPr>
        <w:tc>
          <w:tcPr>
            <w:tcW w:w="3240" w:type="dxa"/>
            <w:vAlign w:val="bottom"/>
            <w:tcBorders>
              <w:top w:val="single" w:sz="8" w:color="CFF0FC"/>
            </w:tcBorders>
          </w:tcPr>
          <w:p>
            <w:pPr>
              <w:ind w:left="20"/>
              <w:spacing w:after="0"/>
              <w:rPr>
                <w:sz w:val="20"/>
                <w:szCs w:val="20"/>
                <w:color w:val="auto"/>
              </w:rPr>
            </w:pPr>
            <w:r>
              <w:rPr>
                <w:rFonts w:ascii="Times New Roman" w:cs="Times New Roman" w:eastAsia="Times New Roman" w:hAnsi="Times New Roman"/>
                <w:sz w:val="18"/>
                <w:szCs w:val="18"/>
                <w:color w:val="auto"/>
              </w:rPr>
              <w:t>Total GES</w:t>
            </w: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241,604</w:t>
            </w:r>
          </w:p>
        </w:tc>
        <w:tc>
          <w:tcPr>
            <w:tcW w:w="220" w:type="dxa"/>
            <w:vAlign w:val="bottom"/>
            <w:tcBorders>
              <w:top w:val="single" w:sz="8" w:color="CFF0FC"/>
            </w:tcBorders>
          </w:tcPr>
          <w:p>
            <w:pPr>
              <w:spacing w:after="0"/>
              <w:rPr>
                <w:sz w:val="18"/>
                <w:szCs w:val="18"/>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24,920</w:t>
            </w:r>
          </w:p>
        </w:tc>
        <w:tc>
          <w:tcPr>
            <w:tcW w:w="220" w:type="dxa"/>
            <w:vAlign w:val="bottom"/>
            <w:tcBorders>
              <w:top w:val="single" w:sz="8" w:color="CFF0FC"/>
            </w:tcBorders>
          </w:tcPr>
          <w:p>
            <w:pPr>
              <w:spacing w:after="0"/>
              <w:rPr>
                <w:sz w:val="18"/>
                <w:szCs w:val="18"/>
                <w:color w:val="auto"/>
              </w:rPr>
            </w:pPr>
          </w:p>
        </w:tc>
        <w:tc>
          <w:tcPr>
            <w:tcW w:w="920" w:type="dxa"/>
            <w:vAlign w:val="bottom"/>
            <w:tcBorders>
              <w:top w:val="single" w:sz="8" w:color="auto"/>
              <w:bottom w:val="single" w:sz="8" w:color="auto"/>
            </w:tcBorders>
          </w:tcPr>
          <w:p>
            <w:pPr>
              <w:spacing w:after="0"/>
              <w:rPr>
                <w:sz w:val="18"/>
                <w:szCs w:val="18"/>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FF0FC"/>
            </w:tcBorders>
          </w:tcPr>
          <w:p>
            <w:pPr>
              <w:spacing w:after="0"/>
              <w:rPr>
                <w:sz w:val="18"/>
                <w:szCs w:val="18"/>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395,180</w:t>
            </w:r>
          </w:p>
        </w:tc>
        <w:tc>
          <w:tcPr>
            <w:tcW w:w="220" w:type="dxa"/>
            <w:vAlign w:val="bottom"/>
            <w:tcBorders>
              <w:top w:val="single" w:sz="8" w:color="CFF0FC"/>
            </w:tcBorders>
          </w:tcPr>
          <w:p>
            <w:pPr>
              <w:spacing w:after="0"/>
              <w:rPr>
                <w:sz w:val="18"/>
                <w:szCs w:val="18"/>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44,065</w:t>
            </w:r>
          </w:p>
        </w:tc>
        <w:tc>
          <w:tcPr>
            <w:tcW w:w="220" w:type="dxa"/>
            <w:vAlign w:val="bottom"/>
            <w:tcBorders>
              <w:top w:val="single" w:sz="8" w:color="CFF0FC"/>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3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196"/>
        </w:trPr>
        <w:tc>
          <w:tcPr>
            <w:tcW w:w="3240" w:type="dxa"/>
            <w:vAlign w:val="bottom"/>
            <w:shd w:val="clear" w:color="auto" w:fill="CFF0FC"/>
          </w:tcPr>
          <w:p>
            <w:pPr>
              <w:ind w:left="20"/>
              <w:spacing w:after="0" w:line="197" w:lineRule="exact"/>
              <w:rPr>
                <w:sz w:val="20"/>
                <w:szCs w:val="20"/>
                <w:color w:val="auto"/>
              </w:rPr>
            </w:pPr>
            <w:r>
              <w:rPr>
                <w:rFonts w:ascii="Times New Roman" w:cs="Times New Roman" w:eastAsia="Times New Roman" w:hAnsi="Times New Roman"/>
                <w:sz w:val="17"/>
                <w:szCs w:val="17"/>
                <w:b w:val="1"/>
                <w:bCs w:val="1"/>
                <w:color w:val="auto"/>
              </w:rPr>
              <w:t>Segment operating income (loss)</w:t>
            </w:r>
            <w:r>
              <w:rPr>
                <w:rFonts w:ascii="Times New Roman" w:cs="Times New Roman" w:eastAsia="Times New Roman" w:hAnsi="Times New Roman"/>
                <w:sz w:val="22"/>
                <w:szCs w:val="22"/>
                <w:b w:val="1"/>
                <w:bCs w:val="1"/>
                <w:color w:val="auto"/>
                <w:vertAlign w:val="superscript"/>
              </w:rPr>
              <w:t>(1)</w:t>
            </w:r>
            <w:r>
              <w:rPr>
                <w:rFonts w:ascii="Times New Roman" w:cs="Times New Roman" w:eastAsia="Times New Roman" w:hAnsi="Times New Roman"/>
                <w:sz w:val="17"/>
                <w:szCs w:val="17"/>
                <w:b w:val="1"/>
                <w:bCs w:val="1"/>
                <w:color w:val="auto"/>
              </w:rPr>
              <w:t>:</w:t>
            </w:r>
          </w:p>
        </w:tc>
        <w:tc>
          <w:tcPr>
            <w:tcW w:w="240" w:type="dxa"/>
            <w:vAlign w:val="bottom"/>
            <w:shd w:val="clear" w:color="auto" w:fill="CFF0FC"/>
          </w:tcPr>
          <w:p>
            <w:pPr>
              <w:spacing w:after="0"/>
              <w:rPr>
                <w:sz w:val="17"/>
                <w:szCs w:val="17"/>
                <w:color w:val="auto"/>
              </w:rPr>
            </w:pPr>
          </w:p>
        </w:tc>
        <w:tc>
          <w:tcPr>
            <w:tcW w:w="86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8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92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8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88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1200" w:type="dxa"/>
            <w:vAlign w:val="bottom"/>
            <w:shd w:val="clear" w:color="auto" w:fill="CFF0FC"/>
          </w:tcPr>
          <w:p>
            <w:pPr>
              <w:spacing w:after="0"/>
              <w:rPr>
                <w:sz w:val="17"/>
                <w:szCs w:val="17"/>
                <w:color w:val="auto"/>
              </w:rPr>
            </w:pPr>
          </w:p>
        </w:tc>
      </w:tr>
      <w:tr>
        <w:trPr>
          <w:trHeight w:val="216"/>
        </w:trPr>
        <w:tc>
          <w:tcPr>
            <w:tcW w:w="3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GES:</w:t>
            </w: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6"/>
        </w:trPr>
        <w:tc>
          <w:tcPr>
            <w:tcW w:w="3240" w:type="dxa"/>
            <w:vAlign w:val="bottom"/>
            <w:shd w:val="clear" w:color="auto" w:fill="CFF0FC"/>
          </w:tcPr>
          <w:p>
            <w:pPr>
              <w:ind w:left="120"/>
              <w:spacing w:after="0"/>
              <w:rPr>
                <w:sz w:val="20"/>
                <w:szCs w:val="20"/>
                <w:color w:val="auto"/>
              </w:rPr>
            </w:pPr>
            <w:r>
              <w:rPr>
                <w:rFonts w:ascii="Times New Roman" w:cs="Times New Roman" w:eastAsia="Times New Roman" w:hAnsi="Times New Roman"/>
                <w:sz w:val="18"/>
                <w:szCs w:val="18"/>
                <w:color w:val="auto"/>
              </w:rPr>
              <w:t>Spiro</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14,847</w:t>
            </w:r>
          </w:p>
        </w:tc>
        <w:tc>
          <w:tcPr>
            <w:tcW w:w="22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(7,211 )</w:t>
            </w:r>
          </w:p>
        </w:tc>
        <w:tc>
          <w:tcPr>
            <w:tcW w:w="920" w:type="dxa"/>
            <w:vAlign w:val="bottom"/>
            <w:shd w:val="clear" w:color="auto" w:fill="CFF0FC"/>
          </w:tcPr>
          <w:p>
            <w:pPr>
              <w:spacing w:after="0"/>
              <w:rPr>
                <w:sz w:val="18"/>
                <w:szCs w:val="18"/>
                <w:color w:val="auto"/>
              </w:rPr>
            </w:pPr>
          </w:p>
        </w:tc>
        <w:tc>
          <w:tcPr>
            <w:tcW w:w="2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14,608</w:t>
            </w:r>
          </w:p>
        </w:tc>
        <w:tc>
          <w:tcPr>
            <w:tcW w:w="220" w:type="dxa"/>
            <w:vAlign w:val="bottom"/>
            <w:shd w:val="clear" w:color="auto" w:fill="CFF0FC"/>
          </w:tcPr>
          <w:p>
            <w:pPr>
              <w:spacing w:after="0"/>
              <w:rPr>
                <w:sz w:val="18"/>
                <w:szCs w:val="18"/>
                <w:color w:val="auto"/>
              </w:rPr>
            </w:pPr>
          </w:p>
        </w:tc>
        <w:tc>
          <w:tcPr>
            <w:tcW w:w="34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(14,380 )</w:t>
            </w:r>
          </w:p>
        </w:tc>
        <w:tc>
          <w:tcPr>
            <w:tcW w:w="12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3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GES Exhibitions</w:t>
            </w:r>
          </w:p>
        </w:tc>
        <w:tc>
          <w:tcPr>
            <w:tcW w:w="24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16,273</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(19,686 )</w:t>
            </w:r>
          </w:p>
        </w:tc>
        <w:tc>
          <w:tcPr>
            <w:tcW w:w="920" w:type="dxa"/>
            <w:vAlign w:val="bottom"/>
          </w:tcPr>
          <w:p>
            <w:pPr>
              <w:spacing w:after="0"/>
              <w:rPr>
                <w:sz w:val="18"/>
                <w:szCs w:val="18"/>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14,918</w:t>
            </w: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(32,421 )</w:t>
            </w: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49"/>
        </w:trPr>
        <w:tc>
          <w:tcPr>
            <w:tcW w:w="32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Total GES</w:t>
            </w: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31,120</w:t>
            </w:r>
          </w:p>
        </w:tc>
        <w:tc>
          <w:tcPr>
            <w:tcW w:w="2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(26,897</w:t>
            </w:r>
          </w:p>
        </w:tc>
        <w:tc>
          <w:tcPr>
            <w:tcW w:w="220" w:type="dxa"/>
            <w:vAlign w:val="bottom"/>
            <w:tcBorders>
              <w:bottom w:val="single" w:sz="8" w:color="CFF0FC"/>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920" w:type="dxa"/>
            <w:vAlign w:val="bottom"/>
            <w:tcBorders>
              <w:top w:val="single" w:sz="8" w:color="auto"/>
              <w:bottom w:val="single" w:sz="8" w:color="auto"/>
            </w:tcBorders>
            <w:shd w:val="clear" w:color="auto" w:fill="CFF0FC"/>
          </w:tcPr>
          <w:p>
            <w:pPr>
              <w:spacing w:after="0"/>
              <w:rPr>
                <w:sz w:val="21"/>
                <w:szCs w:val="21"/>
                <w:color w:val="auto"/>
              </w:rPr>
            </w:pPr>
          </w:p>
        </w:tc>
        <w:tc>
          <w:tcPr>
            <w:tcW w:w="2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FF0FC"/>
            </w:tcBorders>
            <w:shd w:val="clear" w:color="auto" w:fill="CFF0FC"/>
          </w:tcPr>
          <w:p>
            <w:pPr>
              <w:spacing w:after="0"/>
              <w:rPr>
                <w:sz w:val="21"/>
                <w:szCs w:val="21"/>
                <w:color w:val="auto"/>
              </w:rPr>
            </w:pPr>
          </w:p>
        </w:tc>
        <w:tc>
          <w:tcPr>
            <w:tcW w:w="260" w:type="dxa"/>
            <w:vAlign w:val="bottom"/>
            <w:tcBorders>
              <w:top w:val="single" w:sz="8" w:color="auto"/>
              <w:bottom w:val="single" w:sz="8" w:color="auto"/>
            </w:tcBorders>
            <w:shd w:val="clear" w:color="auto" w:fill="CFF0FC"/>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29,526</w:t>
            </w:r>
          </w:p>
        </w:tc>
        <w:tc>
          <w:tcPr>
            <w:tcW w:w="220" w:type="dxa"/>
            <w:vAlign w:val="bottom"/>
            <w:tcBorders>
              <w:bottom w:val="single" w:sz="8" w:color="CFF0FC"/>
            </w:tcBorders>
            <w:shd w:val="clear" w:color="auto" w:fill="CFF0FC"/>
          </w:tcPr>
          <w:p>
            <w:pPr>
              <w:spacing w:after="0"/>
              <w:rPr>
                <w:sz w:val="21"/>
                <w:szCs w:val="21"/>
                <w:color w:val="auto"/>
              </w:rPr>
            </w:pPr>
          </w:p>
        </w:tc>
        <w:tc>
          <w:tcPr>
            <w:tcW w:w="34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(46,801</w:t>
            </w:r>
          </w:p>
        </w:tc>
        <w:tc>
          <w:tcPr>
            <w:tcW w:w="220" w:type="dxa"/>
            <w:vAlign w:val="bottom"/>
            <w:tcBorders>
              <w:bottom w:val="single" w:sz="8" w:color="CFF0FC"/>
            </w:tcBorders>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2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2753360</wp:posOffset>
            </wp:positionH>
            <wp:positionV relativeFrom="paragraph">
              <wp:posOffset>-889635</wp:posOffset>
            </wp:positionV>
            <wp:extent cx="68580" cy="8255"/>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4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3669665</wp:posOffset>
            </wp:positionH>
            <wp:positionV relativeFrom="paragraph">
              <wp:posOffset>-889635</wp:posOffset>
            </wp:positionV>
            <wp:extent cx="68580" cy="8255"/>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4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4568825</wp:posOffset>
            </wp:positionH>
            <wp:positionV relativeFrom="paragraph">
              <wp:posOffset>-889635</wp:posOffset>
            </wp:positionV>
            <wp:extent cx="68580" cy="825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4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5321935</wp:posOffset>
            </wp:positionH>
            <wp:positionV relativeFrom="paragraph">
              <wp:posOffset>-889635</wp:posOffset>
            </wp:positionV>
            <wp:extent cx="68580" cy="8255"/>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4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6238240</wp:posOffset>
            </wp:positionH>
            <wp:positionV relativeFrom="paragraph">
              <wp:posOffset>-889635</wp:posOffset>
            </wp:positionV>
            <wp:extent cx="68580" cy="8255"/>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4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2753360</wp:posOffset>
            </wp:positionH>
            <wp:positionV relativeFrom="paragraph">
              <wp:posOffset>-24765</wp:posOffset>
            </wp:positionV>
            <wp:extent cx="68580" cy="8255"/>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4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2753360</wp:posOffset>
            </wp:positionH>
            <wp:positionV relativeFrom="paragraph">
              <wp:posOffset>-7620</wp:posOffset>
            </wp:positionV>
            <wp:extent cx="68580" cy="8255"/>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5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3669665</wp:posOffset>
            </wp:positionH>
            <wp:positionV relativeFrom="paragraph">
              <wp:posOffset>-24765</wp:posOffset>
            </wp:positionV>
            <wp:extent cx="68580" cy="8255"/>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5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3669665</wp:posOffset>
            </wp:positionH>
            <wp:positionV relativeFrom="paragraph">
              <wp:posOffset>-7620</wp:posOffset>
            </wp:positionV>
            <wp:extent cx="68580" cy="8255"/>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52">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4568825</wp:posOffset>
            </wp:positionH>
            <wp:positionV relativeFrom="paragraph">
              <wp:posOffset>-24765</wp:posOffset>
            </wp:positionV>
            <wp:extent cx="68580" cy="8255"/>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4568825</wp:posOffset>
            </wp:positionH>
            <wp:positionV relativeFrom="paragraph">
              <wp:posOffset>-7620</wp:posOffset>
            </wp:positionV>
            <wp:extent cx="68580" cy="8255"/>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5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5321935</wp:posOffset>
            </wp:positionH>
            <wp:positionV relativeFrom="paragraph">
              <wp:posOffset>-24765</wp:posOffset>
            </wp:positionV>
            <wp:extent cx="68580" cy="825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5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5321935</wp:posOffset>
            </wp:positionH>
            <wp:positionV relativeFrom="paragraph">
              <wp:posOffset>-7620</wp:posOffset>
            </wp:positionV>
            <wp:extent cx="68580" cy="825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5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6238240</wp:posOffset>
            </wp:positionH>
            <wp:positionV relativeFrom="paragraph">
              <wp:posOffset>-24765</wp:posOffset>
            </wp:positionV>
            <wp:extent cx="68580" cy="8255"/>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5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6238240</wp:posOffset>
            </wp:positionH>
            <wp:positionV relativeFrom="paragraph">
              <wp:posOffset>-7620</wp:posOffset>
            </wp:positionV>
            <wp:extent cx="68580" cy="8255"/>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58">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1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00"/>
          </w:cols>
          <w:pgMar w:left="320" w:top="709" w:right="279" w:bottom="1440" w:gutter="0" w:footer="0" w:header="0"/>
        </w:sectPr>
      </w:pPr>
    </w:p>
    <w:bookmarkStart w:id="37" w:name="page38"/>
    <w:bookmarkEnd w:id="37"/>
    <w:p>
      <w:pPr>
        <w:ind w:left="380" w:right="100" w:hanging="372"/>
        <w:spacing w:after="0" w:line="225" w:lineRule="auto"/>
        <w:tabs>
          <w:tab w:leader="none" w:pos="380" w:val="left"/>
        </w:tabs>
        <w:numPr>
          <w:ilvl w:val="0"/>
          <w:numId w:val="22"/>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Refer to Note 23 </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xml:space="preserve"> Segment Information of the Notes to Condensed Consolidated Financial Statements (Part I, Item 1 of this Form 10-Q) for a reconciliation of the non-GAAP financial measure, segment operating income (loss), to the most directly comparable GAAP measure.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Three months ended June 30, 2022 compared with the three months ended June 30, 2021</w:t>
      </w:r>
    </w:p>
    <w:p>
      <w:pPr>
        <w:spacing w:after="0" w:line="157" w:lineRule="exact"/>
        <w:rPr>
          <w:sz w:val="20"/>
          <w:szCs w:val="20"/>
          <w:color w:val="auto"/>
        </w:rPr>
      </w:pPr>
    </w:p>
    <w:p>
      <w:pPr>
        <w:jc w:val="both"/>
        <w:ind w:right="100"/>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Spiro and GES Exhibitions revenue </w:t>
      </w:r>
      <w:r>
        <w:rPr>
          <w:rFonts w:ascii="Times New Roman" w:cs="Times New Roman" w:eastAsia="Times New Roman" w:hAnsi="Times New Roman"/>
          <w:sz w:val="18"/>
          <w:szCs w:val="18"/>
          <w:color w:val="auto"/>
        </w:rPr>
        <w:t>increased $77.5 million and $141.5 million, respectively, as in-person event activity continued to improve due to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resumption of live event activity and the return of large-scale events that were canceled or postponed into the first half of 2021. Spiro continued to win new clients and benefit from increased client spend, and GES Exhibitions’ same-show revenue continued to improve.</w:t>
      </w:r>
    </w:p>
    <w:p>
      <w:pPr>
        <w:spacing w:after="0" w:line="109" w:lineRule="exact"/>
        <w:rPr>
          <w:sz w:val="20"/>
          <w:szCs w:val="20"/>
          <w:color w:val="auto"/>
        </w:rPr>
      </w:pPr>
    </w:p>
    <w:p>
      <w:pPr>
        <w:jc w:val="both"/>
        <w:ind w:right="10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Spiro and GES Exhibitions segment operating income </w:t>
      </w:r>
      <w:r>
        <w:rPr>
          <w:rFonts w:ascii="Times New Roman" w:cs="Times New Roman" w:eastAsia="Times New Roman" w:hAnsi="Times New Roman"/>
          <w:sz w:val="18"/>
          <w:szCs w:val="18"/>
          <w:color w:val="auto"/>
        </w:rPr>
        <w:t>improved $22.1 million and $36.0 million, respectively, primarily due to higher revenue and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continued focus on managing discretionary costs.</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Six months ended June 30, 2022 compared with the six months ended June 30, 2021</w:t>
      </w:r>
    </w:p>
    <w:p>
      <w:pPr>
        <w:spacing w:after="0" w:line="157" w:lineRule="exact"/>
        <w:rPr>
          <w:sz w:val="20"/>
          <w:szCs w:val="20"/>
          <w:color w:val="auto"/>
        </w:rPr>
      </w:pPr>
    </w:p>
    <w:p>
      <w:pPr>
        <w:jc w:val="both"/>
        <w:ind w:right="100"/>
        <w:spacing w:after="0" w:line="270" w:lineRule="auto"/>
        <w:rPr>
          <w:sz w:val="20"/>
          <w:szCs w:val="20"/>
          <w:color w:val="auto"/>
        </w:rPr>
      </w:pPr>
      <w:r>
        <w:rPr>
          <w:rFonts w:ascii="Times New Roman" w:cs="Times New Roman" w:eastAsia="Times New Roman" w:hAnsi="Times New Roman"/>
          <w:sz w:val="18"/>
          <w:szCs w:val="18"/>
          <w:b w:val="1"/>
          <w:bCs w:val="1"/>
          <w:color w:val="auto"/>
        </w:rPr>
        <w:t xml:space="preserve">Spiro and GES Exhibitions revenue </w:t>
      </w:r>
      <w:r>
        <w:rPr>
          <w:rFonts w:ascii="Times New Roman" w:cs="Times New Roman" w:eastAsia="Times New Roman" w:hAnsi="Times New Roman"/>
          <w:sz w:val="18"/>
          <w:szCs w:val="18"/>
          <w:color w:val="auto"/>
        </w:rPr>
        <w:t>increased $108.2 million and $246.2 million, respectively, as in-person event activity continued to improve due to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resumption of live event activity and the return of large-scale events that were canceled or postponed into the first half of 2021.</w:t>
      </w:r>
    </w:p>
    <w:p>
      <w:pPr>
        <w:spacing w:after="0" w:line="114" w:lineRule="exact"/>
        <w:rPr>
          <w:sz w:val="20"/>
          <w:szCs w:val="20"/>
          <w:color w:val="auto"/>
        </w:rPr>
      </w:pPr>
    </w:p>
    <w:p>
      <w:pPr>
        <w:jc w:val="both"/>
        <w:ind w:right="100"/>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Spiro and GES Exhibitions segment operating income </w:t>
      </w:r>
      <w:r>
        <w:rPr>
          <w:rFonts w:ascii="Times New Roman" w:cs="Times New Roman" w:eastAsia="Times New Roman" w:hAnsi="Times New Roman"/>
          <w:sz w:val="18"/>
          <w:szCs w:val="18"/>
          <w:color w:val="auto"/>
        </w:rPr>
        <w:t>improved $29.0 million and $47.3 million, respectively, primarily due to higher revenue and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continued focus on managing discretionary costs. GES Exhibitions’ segment operating loss during the six months ended June 30, 2021 included a $9.1 million gain on sale of a GES warehouse in Orlando.</w:t>
      </w:r>
    </w:p>
    <w:p>
      <w:pPr>
        <w:spacing w:after="0" w:line="2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Expenses</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7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680" w:type="dxa"/>
            <w:vAlign w:val="bottom"/>
            <w:gridSpan w:val="6"/>
          </w:tcPr>
          <w:p>
            <w:pPr>
              <w:jc w:val="right"/>
              <w:ind w:right="94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1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580" w:type="dxa"/>
            <w:vAlign w:val="bottom"/>
            <w:gridSpan w:val="5"/>
          </w:tcPr>
          <w:p>
            <w:pPr>
              <w:jc w:val="right"/>
              <w:ind w:right="98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278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gridSpan w:val="3"/>
          </w:tcPr>
          <w:p>
            <w:pPr>
              <w:jc w:val="right"/>
              <w:ind w:right="5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20" w:type="dxa"/>
            <w:vAlign w:val="bottom"/>
            <w:tcBorders>
              <w:bottom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3"/>
          </w:tcPr>
          <w:p>
            <w:pPr>
              <w:jc w:val="right"/>
              <w:ind w:right="3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00" w:type="dxa"/>
            <w:vAlign w:val="bottom"/>
            <w:tcBorders>
              <w:bottom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278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240" w:type="dxa"/>
            <w:vAlign w:val="bottom"/>
          </w:tcPr>
          <w:p>
            <w:pPr>
              <w:spacing w:after="0"/>
              <w:rPr>
                <w:sz w:val="14"/>
                <w:szCs w:val="14"/>
                <w:color w:val="auto"/>
              </w:rPr>
            </w:pPr>
          </w:p>
        </w:tc>
        <w:tc>
          <w:tcPr>
            <w:tcW w:w="820" w:type="dxa"/>
            <w:vAlign w:val="bottom"/>
          </w:tcPr>
          <w:p>
            <w:pPr>
              <w:jc w:val="right"/>
              <w:ind w:right="29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20" w:type="dxa"/>
            <w:vAlign w:val="bottom"/>
          </w:tcPr>
          <w:p>
            <w:pPr>
              <w:jc w:val="right"/>
              <w:ind w:right="4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80" w:type="dxa"/>
            <w:vAlign w:val="bottom"/>
          </w:tcPr>
          <w:p>
            <w:pPr>
              <w:spacing w:after="0"/>
              <w:rPr>
                <w:sz w:val="14"/>
                <w:szCs w:val="14"/>
                <w:color w:val="auto"/>
              </w:rPr>
            </w:pPr>
          </w:p>
        </w:tc>
        <w:tc>
          <w:tcPr>
            <w:tcW w:w="1420" w:type="dxa"/>
            <w:vAlign w:val="bottom"/>
            <w:gridSpan w:val="2"/>
          </w:tcPr>
          <w:p>
            <w:pPr>
              <w:jc w:val="right"/>
              <w:ind w:right="410"/>
              <w:spacing w:after="0"/>
              <w:rPr>
                <w:sz w:val="20"/>
                <w:szCs w:val="20"/>
                <w:color w:val="auto"/>
              </w:rPr>
            </w:pPr>
            <w:r>
              <w:rPr>
                <w:rFonts w:ascii="Times New Roman" w:cs="Times New Roman" w:eastAsia="Times New Roman" w:hAnsi="Times New Roman"/>
                <w:sz w:val="14"/>
                <w:szCs w:val="14"/>
                <w:b w:val="1"/>
                <w:bCs w:val="1"/>
                <w:color w:val="auto"/>
              </w:rPr>
              <w:t>% Change</w:t>
            </w:r>
          </w:p>
        </w:tc>
        <w:tc>
          <w:tcPr>
            <w:tcW w:w="260" w:type="dxa"/>
            <w:vAlign w:val="bottom"/>
          </w:tcPr>
          <w:p>
            <w:pPr>
              <w:spacing w:after="0"/>
              <w:rPr>
                <w:sz w:val="14"/>
                <w:szCs w:val="14"/>
                <w:color w:val="auto"/>
              </w:rPr>
            </w:pPr>
          </w:p>
        </w:tc>
        <w:tc>
          <w:tcPr>
            <w:tcW w:w="800" w:type="dxa"/>
            <w:vAlign w:val="bottom"/>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00" w:type="dxa"/>
            <w:vAlign w:val="bottom"/>
          </w:tcPr>
          <w:p>
            <w:pPr>
              <w:jc w:val="right"/>
              <w:ind w:right="392"/>
              <w:spacing w:after="0"/>
              <w:rPr>
                <w:sz w:val="20"/>
                <w:szCs w:val="20"/>
                <w:color w:val="auto"/>
              </w:rPr>
            </w:pPr>
            <w:r>
              <w:rPr>
                <w:rFonts w:ascii="Times New Roman" w:cs="Times New Roman" w:eastAsia="Times New Roman" w:hAnsi="Times New Roman"/>
                <w:sz w:val="14"/>
                <w:szCs w:val="14"/>
                <w:b w:val="1"/>
                <w:bCs w:val="1"/>
                <w:color w:val="auto"/>
              </w:rPr>
              <w:t>2021</w:t>
            </w:r>
          </w:p>
        </w:tc>
        <w:tc>
          <w:tcPr>
            <w:tcW w:w="260" w:type="dxa"/>
            <w:vAlign w:val="bottom"/>
          </w:tcPr>
          <w:p>
            <w:pPr>
              <w:spacing w:after="0"/>
              <w:rPr>
                <w:sz w:val="14"/>
                <w:szCs w:val="14"/>
                <w:color w:val="auto"/>
              </w:rPr>
            </w:pPr>
          </w:p>
        </w:tc>
        <w:tc>
          <w:tcPr>
            <w:tcW w:w="1380" w:type="dxa"/>
            <w:vAlign w:val="bottom"/>
            <w:gridSpan w:val="3"/>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 Change</w:t>
            </w:r>
          </w:p>
        </w:tc>
      </w:tr>
      <w:tr>
        <w:trPr>
          <w:trHeight w:val="209"/>
        </w:trPr>
        <w:tc>
          <w:tcPr>
            <w:tcW w:w="2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 activities</w:t>
            </w:r>
          </w:p>
        </w:tc>
        <w:tc>
          <w:tcPr>
            <w:tcW w:w="24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3,440</w:t>
            </w:r>
          </w:p>
        </w:tc>
        <w:tc>
          <w:tcPr>
            <w:tcW w:w="2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360" w:type="dxa"/>
            <w:vAlign w:val="bottom"/>
            <w:tcBorders>
              <w:top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3,006</w:t>
            </w:r>
          </w:p>
        </w:tc>
        <w:tc>
          <w:tcPr>
            <w:tcW w:w="280" w:type="dxa"/>
            <w:vAlign w:val="bottom"/>
          </w:tcPr>
          <w:p>
            <w:pPr>
              <w:spacing w:after="0"/>
              <w:rPr>
                <w:sz w:val="18"/>
                <w:szCs w:val="18"/>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14.4</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3"/>
              </w:rPr>
              <w:t>%</w:t>
            </w:r>
          </w:p>
        </w:tc>
        <w:tc>
          <w:tcPr>
            <w:tcW w:w="260" w:type="dxa"/>
            <w:vAlign w:val="bottom"/>
            <w:tcBorders>
              <w:top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6,113</w:t>
            </w:r>
          </w:p>
        </w:tc>
        <w:tc>
          <w:tcPr>
            <w:tcW w:w="260" w:type="dxa"/>
            <w:vAlign w:val="bottom"/>
          </w:tcPr>
          <w:p>
            <w:pPr>
              <w:spacing w:after="0"/>
              <w:rPr>
                <w:sz w:val="18"/>
                <w:szCs w:val="18"/>
                <w:color w:val="auto"/>
              </w:rPr>
            </w:pPr>
          </w:p>
        </w:tc>
        <w:tc>
          <w:tcPr>
            <w:tcW w:w="360" w:type="dxa"/>
            <w:vAlign w:val="bottom"/>
            <w:tcBorders>
              <w:top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5,011</w:t>
            </w:r>
          </w:p>
        </w:tc>
        <w:tc>
          <w:tcPr>
            <w:tcW w:w="260" w:type="dxa"/>
            <w:vAlign w:val="bottom"/>
          </w:tcPr>
          <w:p>
            <w:pPr>
              <w:spacing w:after="0"/>
              <w:rPr>
                <w:sz w:val="18"/>
                <w:szCs w:val="18"/>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22.0</w:t>
            </w:r>
          </w:p>
        </w:tc>
        <w:tc>
          <w:tcPr>
            <w:tcW w:w="2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w w:val="93"/>
              </w:rPr>
              <w:t>%</w:t>
            </w:r>
          </w:p>
        </w:tc>
      </w:tr>
      <w:tr>
        <w:trPr>
          <w:trHeight w:val="216"/>
        </w:trPr>
        <w:tc>
          <w:tcPr>
            <w:tcW w:w="2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Interest expense, net</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7,761</w:t>
            </w:r>
          </w:p>
        </w:tc>
        <w:tc>
          <w:tcPr>
            <w:tcW w:w="660" w:type="dxa"/>
            <w:vAlign w:val="bottom"/>
            <w:gridSpan w:val="3"/>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5,565</w:t>
            </w:r>
          </w:p>
        </w:tc>
        <w:tc>
          <w:tcPr>
            <w:tcW w:w="2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39.5 %</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13,638</w:t>
            </w:r>
          </w:p>
        </w:tc>
        <w:tc>
          <w:tcPr>
            <w:tcW w:w="62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10,650</w:t>
            </w:r>
          </w:p>
        </w:tc>
        <w:tc>
          <w:tcPr>
            <w:tcW w:w="260" w:type="dxa"/>
            <w:vAlign w:val="bottom"/>
          </w:tcPr>
          <w:p>
            <w:pPr>
              <w:spacing w:after="0"/>
              <w:rPr>
                <w:sz w:val="18"/>
                <w:szCs w:val="18"/>
                <w:color w:val="auto"/>
              </w:rPr>
            </w:pPr>
          </w:p>
        </w:tc>
        <w:tc>
          <w:tcPr>
            <w:tcW w:w="13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28.1 %</w:t>
            </w:r>
          </w:p>
        </w:tc>
      </w:tr>
      <w:tr>
        <w:trPr>
          <w:trHeight w:val="216"/>
        </w:trPr>
        <w:tc>
          <w:tcPr>
            <w:tcW w:w="2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expense, net</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612</w:t>
            </w:r>
          </w:p>
        </w:tc>
        <w:tc>
          <w:tcPr>
            <w:tcW w:w="660" w:type="dxa"/>
            <w:vAlign w:val="bottom"/>
            <w:gridSpan w:val="3"/>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680</w:t>
            </w:r>
          </w:p>
        </w:tc>
        <w:tc>
          <w:tcPr>
            <w:tcW w:w="280" w:type="dxa"/>
            <w:vAlign w:val="bottom"/>
          </w:tcPr>
          <w:p>
            <w:pPr>
              <w:spacing w:after="0"/>
              <w:rPr>
                <w:sz w:val="18"/>
                <w:szCs w:val="18"/>
                <w:color w:val="auto"/>
              </w:rPr>
            </w:pPr>
          </w:p>
        </w:tc>
        <w:tc>
          <w:tcPr>
            <w:tcW w:w="168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(10.0 )% $</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1,250</w:t>
            </w:r>
          </w:p>
        </w:tc>
        <w:tc>
          <w:tcPr>
            <w:tcW w:w="62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1,040</w:t>
            </w:r>
          </w:p>
        </w:tc>
        <w:tc>
          <w:tcPr>
            <w:tcW w:w="260" w:type="dxa"/>
            <w:vAlign w:val="bottom"/>
          </w:tcPr>
          <w:p>
            <w:pPr>
              <w:spacing w:after="0"/>
              <w:rPr>
                <w:sz w:val="18"/>
                <w:szCs w:val="18"/>
                <w:color w:val="auto"/>
              </w:rPr>
            </w:pPr>
          </w:p>
        </w:tc>
        <w:tc>
          <w:tcPr>
            <w:tcW w:w="13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20.2 %</w:t>
            </w:r>
          </w:p>
        </w:tc>
      </w:tr>
      <w:tr>
        <w:trPr>
          <w:trHeight w:val="216"/>
        </w:trPr>
        <w:tc>
          <w:tcPr>
            <w:tcW w:w="2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Restructuring charges</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1,426</w:t>
            </w:r>
          </w:p>
        </w:tc>
        <w:tc>
          <w:tcPr>
            <w:tcW w:w="660" w:type="dxa"/>
            <w:vAlign w:val="bottom"/>
            <w:gridSpan w:val="3"/>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787</w:t>
            </w:r>
          </w:p>
        </w:tc>
        <w:tc>
          <w:tcPr>
            <w:tcW w:w="280" w:type="dxa"/>
            <w:vAlign w:val="bottom"/>
          </w:tcPr>
          <w:p>
            <w:pPr>
              <w:spacing w:after="0"/>
              <w:rPr>
                <w:sz w:val="18"/>
                <w:szCs w:val="18"/>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81.2 %</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2,080</w:t>
            </w:r>
          </w:p>
        </w:tc>
        <w:tc>
          <w:tcPr>
            <w:tcW w:w="62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3,613</w:t>
            </w:r>
          </w:p>
        </w:tc>
        <w:tc>
          <w:tcPr>
            <w:tcW w:w="260" w:type="dxa"/>
            <w:vAlign w:val="bottom"/>
          </w:tcPr>
          <w:p>
            <w:pPr>
              <w:spacing w:after="0"/>
              <w:rPr>
                <w:sz w:val="18"/>
                <w:szCs w:val="18"/>
                <w:color w:val="auto"/>
              </w:rPr>
            </w:pPr>
          </w:p>
        </w:tc>
        <w:tc>
          <w:tcPr>
            <w:tcW w:w="13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(42.4 )%</w:t>
            </w:r>
          </w:p>
        </w:tc>
      </w:tr>
      <w:tr>
        <w:trPr>
          <w:trHeight w:val="216"/>
        </w:trPr>
        <w:tc>
          <w:tcPr>
            <w:tcW w:w="278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Impairment charges</w:t>
            </w:r>
          </w:p>
        </w:tc>
        <w:tc>
          <w:tcPr>
            <w:tcW w:w="24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gridSpan w:val="3"/>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shd w:val="clear" w:color="auto" w:fill="CFF0FC"/>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FF0FC"/>
          </w:tcPr>
          <w:p>
            <w:pPr>
              <w:spacing w:after="0"/>
              <w:rPr>
                <w:sz w:val="18"/>
                <w:szCs w:val="18"/>
                <w:color w:val="auto"/>
              </w:rPr>
            </w:pPr>
          </w:p>
        </w:tc>
        <w:tc>
          <w:tcPr>
            <w:tcW w:w="260" w:type="dxa"/>
            <w:vAlign w:val="bottom"/>
            <w:shd w:val="clear" w:color="auto" w:fill="CFF0FC"/>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583</w:t>
            </w:r>
          </w:p>
        </w:tc>
        <w:tc>
          <w:tcPr>
            <w:tcW w:w="620" w:type="dxa"/>
            <w:vAlign w:val="bottom"/>
            <w:gridSpan w:val="2"/>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shd w:val="clear" w:color="auto" w:fill="CFF0FC"/>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FF0FC"/>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tax expense (benefit)</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3,359</w:t>
            </w:r>
          </w:p>
        </w:tc>
        <w:tc>
          <w:tcPr>
            <w:tcW w:w="660" w:type="dxa"/>
            <w:vAlign w:val="bottom"/>
            <w:gridSpan w:val="3"/>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(2,166 )</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777</w:t>
            </w:r>
          </w:p>
        </w:tc>
        <w:tc>
          <w:tcPr>
            <w:tcW w:w="62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(5,211 )</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70"/>
        </w:trPr>
        <w:tc>
          <w:tcPr>
            <w:tcW w:w="2780" w:type="dxa"/>
            <w:vAlign w:val="bottom"/>
          </w:tcPr>
          <w:p>
            <w:pPr>
              <w:ind w:left="20"/>
              <w:spacing w:after="0" w:line="170" w:lineRule="exact"/>
              <w:rPr>
                <w:sz w:val="20"/>
                <w:szCs w:val="20"/>
                <w:color w:val="auto"/>
              </w:rPr>
            </w:pPr>
            <w:r>
              <w:rPr>
                <w:rFonts w:ascii="Times New Roman" w:cs="Times New Roman" w:eastAsia="Times New Roman" w:hAnsi="Times New Roman"/>
                <w:sz w:val="18"/>
                <w:szCs w:val="18"/>
                <w:color w:val="auto"/>
              </w:rPr>
              <w:t>Income (loss) from discontinued</w:t>
            </w:r>
          </w:p>
        </w:tc>
        <w:tc>
          <w:tcPr>
            <w:tcW w:w="2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234"/>
        </w:trPr>
        <w:tc>
          <w:tcPr>
            <w:tcW w:w="27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operations</w:t>
            </w: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660" w:type="dxa"/>
            <w:vAlign w:val="bottom"/>
            <w:gridSpan w:val="3"/>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2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(62 )</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327</w:t>
            </w:r>
          </w:p>
        </w:tc>
        <w:tc>
          <w:tcPr>
            <w:tcW w:w="620" w:type="dxa"/>
            <w:vAlign w:val="bottom"/>
            <w:gridSpan w:val="2"/>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286</w:t>
            </w:r>
          </w:p>
        </w:tc>
        <w:tc>
          <w:tcPr>
            <w:tcW w:w="260" w:type="dxa"/>
            <w:vAlign w:val="bottom"/>
          </w:tcPr>
          <w:p>
            <w:pPr>
              <w:spacing w:after="0"/>
              <w:rPr>
                <w:sz w:val="20"/>
                <w:szCs w:val="20"/>
                <w:color w:val="auto"/>
              </w:rPr>
            </w:pPr>
          </w:p>
        </w:tc>
        <w:tc>
          <w:tcPr>
            <w:tcW w:w="138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14.3 %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-1078230</wp:posOffset>
            </wp:positionV>
            <wp:extent cx="7132320" cy="13716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6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-804545</wp:posOffset>
            </wp:positionV>
            <wp:extent cx="7132320" cy="13716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6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-256540</wp:posOffset>
            </wp:positionV>
            <wp:extent cx="7132320" cy="257175"/>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2">
                      <a:extLst>
                        <a:ext uri="{28A0092B-C50C-407E-A947-70E740481C1C}"/>
                      </a:extLst>
                    </a:blip>
                    <a:srcRect/>
                    <a:stretch>
                      <a:fillRect/>
                    </a:stretch>
                  </pic:blipFill>
                  <pic:spPr bwMode="auto">
                    <a:xfrm>
                      <a:off x="0" y="0"/>
                      <a:ext cx="7132320" cy="257175"/>
                    </a:xfrm>
                    <a:prstGeom prst="rect">
                      <a:avLst/>
                    </a:prstGeom>
                    <a:noFill/>
                  </pic:spPr>
                </pic:pic>
              </a:graphicData>
            </a:graphic>
          </wp:anchor>
        </w:drawing>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Change is greater than +/- 100%</w:t>
      </w:r>
    </w:p>
    <w:p>
      <w:pPr>
        <w:spacing w:after="0" w:line="153" w:lineRule="exact"/>
        <w:rPr>
          <w:sz w:val="20"/>
          <w:szCs w:val="20"/>
          <w:color w:val="auto"/>
        </w:rPr>
      </w:pPr>
    </w:p>
    <w:p>
      <w:pPr>
        <w:jc w:val="both"/>
        <w:ind w:right="120"/>
        <w:spacing w:after="0" w:line="270" w:lineRule="auto"/>
        <w:rPr>
          <w:sz w:val="20"/>
          <w:szCs w:val="20"/>
          <w:color w:val="auto"/>
        </w:rPr>
      </w:pPr>
      <w:r>
        <w:rPr>
          <w:rFonts w:ascii="Times New Roman" w:cs="Times New Roman" w:eastAsia="Times New Roman" w:hAnsi="Times New Roman"/>
          <w:sz w:val="18"/>
          <w:szCs w:val="18"/>
          <w:b w:val="1"/>
          <w:bCs w:val="1"/>
          <w:color w:val="auto"/>
        </w:rPr>
        <w:t xml:space="preserve">Corporate Activities – </w:t>
      </w:r>
      <w:r>
        <w:rPr>
          <w:rFonts w:ascii="Times New Roman" w:cs="Times New Roman" w:eastAsia="Times New Roman" w:hAnsi="Times New Roman"/>
          <w:sz w:val="18"/>
          <w:szCs w:val="18"/>
          <w:color w:val="auto"/>
        </w:rPr>
        <w:t>The increase in corporate activities expense during the three and six months ended June 30, 2022 was primarily due to higher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performance-based compensation expense.</w:t>
      </w:r>
    </w:p>
    <w:p>
      <w:pPr>
        <w:spacing w:after="0" w:line="114" w:lineRule="exact"/>
        <w:rPr>
          <w:sz w:val="20"/>
          <w:szCs w:val="20"/>
          <w:color w:val="auto"/>
        </w:rPr>
      </w:pPr>
    </w:p>
    <w:p>
      <w:pPr>
        <w:jc w:val="both"/>
        <w:ind w:right="100"/>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Interest Expense, net – </w:t>
      </w:r>
      <w:r>
        <w:rPr>
          <w:rFonts w:ascii="Times New Roman" w:cs="Times New Roman" w:eastAsia="Times New Roman" w:hAnsi="Times New Roman"/>
          <w:sz w:val="18"/>
          <w:szCs w:val="18"/>
          <w:color w:val="auto"/>
        </w:rPr>
        <w:t>The increase in interest expense during the three and six months ended June 30, 2022 was primarily due to higher interest rates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higher debt balances in 2022, offset in part by $0.7 million in capitalized interest recorded during the three months ended June 30, 2022 and $2.6 million during the six months ended June 30, 2022.</w:t>
      </w:r>
    </w:p>
    <w:p>
      <w:pPr>
        <w:spacing w:after="0" w:line="130" w:lineRule="exact"/>
        <w:rPr>
          <w:sz w:val="20"/>
          <w:szCs w:val="20"/>
          <w:color w:val="auto"/>
        </w:rPr>
      </w:pPr>
    </w:p>
    <w:p>
      <w:pPr>
        <w:jc w:val="both"/>
        <w:ind w:right="100"/>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Restructuring Charges – </w:t>
      </w:r>
      <w:r>
        <w:rPr>
          <w:rFonts w:ascii="Times New Roman" w:cs="Times New Roman" w:eastAsia="Times New Roman" w:hAnsi="Times New Roman"/>
          <w:sz w:val="18"/>
          <w:szCs w:val="18"/>
          <w:color w:val="auto"/>
        </w:rPr>
        <w:t>Restructuring charges during the three and six months ended June 30, 2022 and 2021 were primarily related to facility closures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severance at GES. In response to the COVID-19 pandemic, we accelerated our transformation and streamlining efforts at GES to significantly reduce costs and create a lower and more flexible cost structure focused on servicing our more profitable market segments.</w:t>
      </w:r>
    </w:p>
    <w:p>
      <w:pPr>
        <w:spacing w:after="0" w:line="117" w:lineRule="exact"/>
        <w:rPr>
          <w:sz w:val="20"/>
          <w:szCs w:val="20"/>
          <w:color w:val="auto"/>
        </w:rPr>
      </w:pPr>
    </w:p>
    <w:p>
      <w:pPr>
        <w:jc w:val="both"/>
        <w:ind w:right="100"/>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Income Tax Expense (Benefit) – </w:t>
      </w:r>
      <w:r>
        <w:rPr>
          <w:rFonts w:ascii="Times New Roman" w:cs="Times New Roman" w:eastAsia="Times New Roman" w:hAnsi="Times New Roman"/>
          <w:sz w:val="18"/>
          <w:szCs w:val="18"/>
          <w:color w:val="auto"/>
        </w:rPr>
        <w:t>The effective tax rate was 14.3% for the three months ended June 30, 2022 and 4.8% for the three months ended June 30,</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2021. The effective tax rate was a negative 8.0% for the six months ended June 30, 2022 and 5.6% for six months ended June 30, 2021. The effective tax rates were lower than the blended statutory rate primarily as a result of excluding the tax benefit</w:t>
      </w:r>
    </w:p>
    <w:p>
      <w:pPr>
        <w:spacing w:after="0" w:line="167"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340"/>
          </w:cols>
          <w:pgMar w:left="320" w:top="319" w:right="239" w:bottom="1440" w:gutter="0" w:footer="0" w:header="0"/>
        </w:sectPr>
      </w:pPr>
    </w:p>
    <w:bookmarkStart w:id="38" w:name="page39"/>
    <w:bookmarkEnd w:id="38"/>
    <w:p>
      <w:pPr>
        <w:jc w:val="both"/>
        <w:spacing w:after="0" w:line="281" w:lineRule="auto"/>
        <w:rPr>
          <w:sz w:val="20"/>
          <w:szCs w:val="20"/>
          <w:color w:val="auto"/>
        </w:rPr>
      </w:pPr>
      <w:r>
        <w:rPr>
          <w:rFonts w:ascii="Times New Roman" w:cs="Times New Roman" w:eastAsia="Times New Roman" w:hAnsi="Times New Roman"/>
          <w:sz w:val="18"/>
          <w:szCs w:val="18"/>
          <w:color w:val="auto"/>
        </w:rPr>
        <w:t>on losses recognized in the United States, the United Kingdom, and other European countries where we have a valuation allowance. The six months ended June 30, 2022 was also impacted by a change in income or loss between jurisdictions.</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Cash, cash equivalents, and restricted cash were $59.9 million as of June 30, 2022, as compared to $64.3 million as of December 31, 2021. Our total available liquidity was $126.8 million, including the available capacity on our revolving credit facility of $72.3 million ($100.0 million total facility size, less $15.0 million of borrowings and $12.7 million in outstanding letters of credit) and unrestricted cash of $54.5 million. During the six months ended June 30, 2022, net cash provided by operating activities was $44.0 million.</w:t>
      </w:r>
    </w:p>
    <w:p>
      <w:pPr>
        <w:spacing w:after="0" w:line="135" w:lineRule="exact"/>
        <w:rPr>
          <w:sz w:val="20"/>
          <w:szCs w:val="20"/>
          <w:color w:val="auto"/>
        </w:rPr>
      </w:pPr>
    </w:p>
    <w:p>
      <w:pPr>
        <w:jc w:val="both"/>
        <w:spacing w:after="0" w:line="241" w:lineRule="auto"/>
        <w:rPr>
          <w:sz w:val="20"/>
          <w:szCs w:val="20"/>
          <w:color w:val="auto"/>
        </w:rPr>
      </w:pPr>
      <w:r>
        <w:rPr>
          <w:rFonts w:ascii="Times New Roman" w:cs="Times New Roman" w:eastAsia="Times New Roman" w:hAnsi="Times New Roman"/>
          <w:sz w:val="18"/>
          <w:szCs w:val="18"/>
          <w:color w:val="auto"/>
        </w:rPr>
        <w:t>Effective July 30, 2021, we entered into the new $500 million 2021 Credit Facility. The 2021 Credit Facility provides for a $400 million Term Loan B with a maturity date of July 30, 2028 and a $100 million revolving credit facility with a maturity date of July 30, 2026. The $400 million in Term Loan B proceeds were offset in part by $14.8 million in related fees. The proceeds from the Term Loan B were used to repay the $327 million outstanding balance under our then $450 million revolving credit facility. The $100 million revolving credit facility and the remaining proceeds from the Term Loan B have been and will be used to provide for financial flexibility to fund future acquisitions and growth initiatives and for general corporate purposes. On March 23, 2022, we entered into an amendment to the 2021 Credit Facility, which modified the revolving credit facility’s financial covenants. The amended 2021 Credit Facility requires us to maintain liquidity of $75 million under the revolving credit facility until financials and a compliance certificate for the quarter ended September 30, 2022 are provided to the banks, with liquidity defined as unrestricted cash and available capacity on our revolving credit facility, and other financial covenants that began January 1, 2022. Refer to Note 12 – Debt and Finance Obligations of the Notes to Condensed Consolidated Financial Statements (Part I, Item 1 of this Form 10-Q) for additional information.</w:t>
      </w:r>
    </w:p>
    <w:p>
      <w:pPr>
        <w:spacing w:after="0" w:line="146"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As of June 30, 2022, we held approximately $52.2 million of our cash and cash equivalents outside of the United States, consisting of $26.7 million in Canada, $7.6 million in the United Kingdom, $6.7 million in the Netherlands, $5.8 million in Iceland, $3.1 million in the United Arab Emirates, and $2.3 million in certain other countries.</w:t>
      </w:r>
    </w:p>
    <w:p>
      <w:pPr>
        <w:spacing w:after="0" w:line="135"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We believe that our existing sources of liquidity will be sufficient to fund operations and projected capital outlays, including approximately $100 million in capital expenditures for at least the next 12 months.</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Cash Flows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Activities</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40" w:type="dxa"/>
            <w:vAlign w:val="bottom"/>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766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3"/>
          </w:tcPr>
          <w:p>
            <w:pPr>
              <w:jc w:val="right"/>
              <w:ind w:right="33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66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554"/>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6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Net loss</w:t>
            </w: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(10,181</w:t>
            </w:r>
          </w:p>
        </w:tc>
        <w:tc>
          <w:tcPr>
            <w:tcW w:w="260" w:type="dxa"/>
            <w:vAlign w:val="bottom"/>
            <w:shd w:val="clear" w:color="auto" w:fill="CFF0FC"/>
          </w:tcPr>
          <w:p>
            <w:pPr>
              <w:jc w:val="right"/>
              <w:ind w:right="121"/>
              <w:spacing w:after="0"/>
              <w:rPr>
                <w:sz w:val="20"/>
                <w:szCs w:val="20"/>
                <w:color w:val="auto"/>
              </w:rPr>
            </w:pPr>
            <w:r>
              <w:rPr>
                <w:rFonts w:ascii="Times New Roman" w:cs="Times New Roman" w:eastAsia="Times New Roman" w:hAnsi="Times New Roman"/>
                <w:sz w:val="16"/>
                <w:szCs w:val="16"/>
                <w:color w:val="auto"/>
                <w:w w:val="74"/>
              </w:rPr>
              <w:t>)</w:t>
            </w:r>
          </w:p>
        </w:tc>
        <w:tc>
          <w:tcPr>
            <w:tcW w:w="600" w:type="dxa"/>
            <w:vAlign w:val="bottom"/>
            <w:shd w:val="clear" w:color="auto" w:fill="CFF0FC"/>
          </w:tcPr>
          <w:p>
            <w:pPr>
              <w:jc w:val="right"/>
              <w:ind w:right="41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(88,058</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26,486</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26,510</w:t>
            </w: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Deferred income taxes</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(962 )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(4,253 )</w:t>
            </w: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from discontinued operations</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(327 )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(286 )</w:t>
            </w:r>
          </w:p>
        </w:tc>
      </w:tr>
      <w:tr>
        <w:trPr>
          <w:trHeight w:val="216"/>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Restructuring charges</w:t>
            </w:r>
          </w:p>
        </w:tc>
        <w:tc>
          <w:tcPr>
            <w:tcW w:w="360" w:type="dxa"/>
            <w:vAlign w:val="bottom"/>
            <w:shd w:val="clear" w:color="auto" w:fill="CFF0FC"/>
          </w:tcPr>
          <w:p>
            <w:pPr>
              <w:spacing w:after="0"/>
              <w:rPr>
                <w:sz w:val="18"/>
                <w:szCs w:val="18"/>
                <w:color w:val="auto"/>
              </w:rPr>
            </w:pP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2,080</w:t>
            </w:r>
          </w:p>
        </w:tc>
        <w:tc>
          <w:tcPr>
            <w:tcW w:w="260" w:type="dxa"/>
            <w:vAlign w:val="bottom"/>
            <w:shd w:val="clear" w:color="auto" w:fill="CFF0FC"/>
          </w:tcPr>
          <w:p>
            <w:pPr>
              <w:spacing w:after="0"/>
              <w:rPr>
                <w:sz w:val="18"/>
                <w:szCs w:val="18"/>
                <w:color w:val="auto"/>
              </w:rPr>
            </w:pP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3,613</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Impairment charges</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583</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18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Gains on dispositions of property and other assets</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121"/>
              <w:spacing w:after="0"/>
              <w:rPr>
                <w:sz w:val="20"/>
                <w:szCs w:val="20"/>
                <w:color w:val="auto"/>
              </w:rPr>
            </w:pPr>
            <w:r>
              <w:rPr>
                <w:rFonts w:ascii="Times New Roman" w:cs="Times New Roman" w:eastAsia="Times New Roman" w:hAnsi="Times New Roman"/>
                <w:sz w:val="18"/>
                <w:szCs w:val="18"/>
                <w:color w:val="auto"/>
              </w:rPr>
              <w:t>(154 )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(9,360 )</w:t>
            </w: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Share-based compensation expense</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5,469</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4,216</w:t>
            </w:r>
          </w:p>
        </w:tc>
        <w:tc>
          <w:tcPr>
            <w:tcW w:w="100" w:type="dxa"/>
            <w:vAlign w:val="bottom"/>
          </w:tcPr>
          <w:p>
            <w:pPr>
              <w:spacing w:after="0"/>
              <w:rPr>
                <w:sz w:val="18"/>
                <w:szCs w:val="18"/>
                <w:color w:val="auto"/>
              </w:rPr>
            </w:pPr>
          </w:p>
        </w:tc>
      </w:tr>
      <w:tr>
        <w:trPr>
          <w:trHeight w:val="216"/>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Multi-employer pension plan withdrawal</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201"/>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shd w:val="clear" w:color="auto" w:fill="CFF0FC"/>
          </w:tcPr>
          <w:p>
            <w:pPr>
              <w:spacing w:after="0"/>
              <w:rPr>
                <w:sz w:val="18"/>
                <w:szCs w:val="18"/>
                <w:color w:val="auto"/>
              </w:rPr>
            </w:pP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non-cash items, net</w:t>
            </w:r>
          </w:p>
        </w:tc>
        <w:tc>
          <w:tcPr>
            <w:tcW w:w="3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5,384</w:t>
            </w: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(33 )</w:t>
            </w:r>
          </w:p>
        </w:tc>
      </w:tr>
      <w:tr>
        <w:trPr>
          <w:trHeight w:val="216"/>
        </w:trPr>
        <w:tc>
          <w:tcPr>
            <w:tcW w:w="766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15,640</w:t>
            </w:r>
          </w:p>
        </w:tc>
        <w:tc>
          <w:tcPr>
            <w:tcW w:w="260" w:type="dxa"/>
            <w:vAlign w:val="bottom"/>
            <w:tcBorders>
              <w:bottom w:val="single" w:sz="8" w:color="CFF0FC"/>
            </w:tcBorders>
            <w:shd w:val="clear" w:color="auto" w:fill="CFF0FC"/>
          </w:tcPr>
          <w:p>
            <w:pPr>
              <w:spacing w:after="0"/>
              <w:rPr>
                <w:sz w:val="18"/>
                <w:szCs w:val="18"/>
                <w:color w:val="auto"/>
              </w:rPr>
            </w:pPr>
          </w:p>
        </w:tc>
        <w:tc>
          <w:tcPr>
            <w:tcW w:w="60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28,045</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Net cash provided by (used in) operating activities</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44,018</w:t>
            </w:r>
          </w:p>
        </w:tc>
        <w:tc>
          <w:tcPr>
            <w:tcW w:w="260" w:type="dxa"/>
            <w:vAlign w:val="bottom"/>
          </w:tcPr>
          <w:p>
            <w:pPr>
              <w:spacing w:after="0"/>
              <w:rPr>
                <w:sz w:val="18"/>
                <w:szCs w:val="18"/>
                <w:color w:val="auto"/>
              </w:rPr>
            </w:pPr>
          </w:p>
        </w:tc>
        <w:tc>
          <w:tcPr>
            <w:tcW w:w="60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(39,549 )</w:t>
            </w:r>
          </w:p>
        </w:tc>
      </w:tr>
      <w:tr>
        <w:trPr>
          <w:trHeight w:val="20"/>
        </w:trPr>
        <w:tc>
          <w:tcPr>
            <w:tcW w:w="76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5836285</wp:posOffset>
            </wp:positionH>
            <wp:positionV relativeFrom="paragraph">
              <wp:posOffset>-170815</wp:posOffset>
            </wp:positionV>
            <wp:extent cx="68580" cy="8255"/>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6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65">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change in net cash provided by (used in) operating activities of $83.6 million was primarily due to improved operating results at GES and Pursuit, offset in part by a decrease to working capital.</w:t>
      </w:r>
    </w:p>
    <w:p>
      <w:pPr>
        <w:spacing w:after="0" w:line="1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85"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b w:val="1"/>
          <w:bCs w:val="1"/>
          <w:i w:val="1"/>
          <w:iCs w:val="1"/>
          <w:color w:val="auto"/>
        </w:rPr>
        <w:t>Investing Activities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40" w:type="dxa"/>
            <w:vAlign w:val="bottom"/>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766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3"/>
          </w:tcPr>
          <w:p>
            <w:pPr>
              <w:jc w:val="right"/>
              <w:ind w:right="33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66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558"/>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614"/>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Capital expenditures</w:t>
            </w:r>
          </w:p>
        </w:tc>
        <w:tc>
          <w:tcPr>
            <w:tcW w:w="360" w:type="dxa"/>
            <w:vAlign w:val="bottom"/>
            <w:shd w:val="clear" w:color="auto" w:fill="CFF0FC"/>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(31,639</w:t>
            </w:r>
          </w:p>
        </w:tc>
        <w:tc>
          <w:tcPr>
            <w:tcW w:w="260" w:type="dxa"/>
            <w:vAlign w:val="bottom"/>
            <w:shd w:val="clear" w:color="auto" w:fill="CFF0FC"/>
          </w:tcPr>
          <w:p>
            <w:pPr>
              <w:jc w:val="right"/>
              <w:ind w:right="121"/>
              <w:spacing w:after="0"/>
              <w:rPr>
                <w:sz w:val="20"/>
                <w:szCs w:val="20"/>
                <w:color w:val="auto"/>
              </w:rPr>
            </w:pPr>
            <w:r>
              <w:rPr>
                <w:rFonts w:ascii="Times New Roman" w:cs="Times New Roman" w:eastAsia="Times New Roman" w:hAnsi="Times New Roman"/>
                <w:sz w:val="16"/>
                <w:szCs w:val="16"/>
                <w:color w:val="auto"/>
                <w:w w:val="74"/>
              </w:rPr>
              <w:t>)</w:t>
            </w:r>
          </w:p>
        </w:tc>
        <w:tc>
          <w:tcPr>
            <w:tcW w:w="600" w:type="dxa"/>
            <w:vAlign w:val="bottom"/>
            <w:shd w:val="clear" w:color="auto" w:fill="CFF0FC"/>
          </w:tcPr>
          <w:p>
            <w:pPr>
              <w:jc w:val="right"/>
              <w:ind w:right="41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(24,763</w:t>
            </w:r>
          </w:p>
        </w:tc>
        <w:tc>
          <w:tcPr>
            <w:tcW w:w="1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paid for acquisitions, net</w:t>
            </w:r>
          </w:p>
        </w:tc>
        <w:tc>
          <w:tcPr>
            <w:tcW w:w="360" w:type="dxa"/>
            <w:vAlign w:val="bottom"/>
          </w:tcPr>
          <w:p>
            <w:pPr>
              <w:spacing w:after="0"/>
              <w:rPr>
                <w:sz w:val="18"/>
                <w:szCs w:val="18"/>
                <w:color w:val="auto"/>
              </w:rPr>
            </w:pP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(25,494 )</w:t>
            </w:r>
          </w:p>
        </w:tc>
        <w:tc>
          <w:tcPr>
            <w:tcW w:w="600" w:type="dxa"/>
            <w:vAlign w:val="bottom"/>
          </w:tcPr>
          <w:p>
            <w:pPr>
              <w:spacing w:after="0"/>
              <w:rPr>
                <w:sz w:val="18"/>
                <w:szCs w:val="18"/>
                <w:color w:val="auto"/>
              </w:rPr>
            </w:pP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(7,606 )</w:t>
            </w:r>
          </w:p>
        </w:tc>
      </w:tr>
      <w:tr>
        <w:trPr>
          <w:trHeight w:val="216"/>
        </w:trPr>
        <w:tc>
          <w:tcPr>
            <w:tcW w:w="766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Proceeds from dispositions of property and other assets</w:t>
            </w:r>
          </w:p>
        </w:tc>
        <w:tc>
          <w:tcPr>
            <w:tcW w:w="360" w:type="dxa"/>
            <w:vAlign w:val="bottom"/>
            <w:tcBorders>
              <w:bottom w:val="single" w:sz="8" w:color="auto"/>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161</w:t>
            </w:r>
          </w:p>
        </w:tc>
        <w:tc>
          <w:tcPr>
            <w:tcW w:w="260" w:type="dxa"/>
            <w:vAlign w:val="bottom"/>
            <w:tcBorders>
              <w:bottom w:val="single" w:sz="8" w:color="CFF0FC"/>
            </w:tcBorders>
            <w:shd w:val="clear" w:color="auto" w:fill="CFF0FC"/>
          </w:tcPr>
          <w:p>
            <w:pPr>
              <w:spacing w:after="0"/>
              <w:rPr>
                <w:sz w:val="18"/>
                <w:szCs w:val="18"/>
                <w:color w:val="auto"/>
              </w:rPr>
            </w:pPr>
          </w:p>
        </w:tc>
        <w:tc>
          <w:tcPr>
            <w:tcW w:w="600" w:type="dxa"/>
            <w:vAlign w:val="bottom"/>
            <w:tcBorders>
              <w:bottom w:val="single" w:sz="8" w:color="auto"/>
            </w:tcBorders>
            <w:shd w:val="clear" w:color="auto" w:fill="CFF0FC"/>
          </w:tcPr>
          <w:p>
            <w:pPr>
              <w:spacing w:after="0"/>
              <w:rPr>
                <w:sz w:val="18"/>
                <w:szCs w:val="18"/>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14,227</w:t>
            </w:r>
          </w:p>
        </w:tc>
        <w:tc>
          <w:tcPr>
            <w:tcW w:w="100" w:type="dxa"/>
            <w:vAlign w:val="bottom"/>
            <w:tcBorders>
              <w:bottom w:val="single" w:sz="8" w:color="CFF0FC"/>
            </w:tcBorders>
            <w:shd w:val="clear" w:color="auto" w:fill="CFF0FC"/>
          </w:tcPr>
          <w:p>
            <w:pPr>
              <w:spacing w:after="0"/>
              <w:rPr>
                <w:sz w:val="18"/>
                <w:szCs w:val="18"/>
                <w:color w:val="auto"/>
              </w:rPr>
            </w:pPr>
          </w:p>
        </w:tc>
      </w:tr>
      <w:tr>
        <w:trPr>
          <w:trHeight w:val="209"/>
        </w:trPr>
        <w:tc>
          <w:tcPr>
            <w:tcW w:w="7660" w:type="dxa"/>
            <w:vAlign w:val="bottom"/>
          </w:tcPr>
          <w:p>
            <w:pPr>
              <w:ind w:left="200"/>
              <w:spacing w:after="0"/>
              <w:rPr>
                <w:sz w:val="20"/>
                <w:szCs w:val="20"/>
                <w:color w:val="auto"/>
              </w:rPr>
            </w:pPr>
            <w:r>
              <w:rPr>
                <w:rFonts w:ascii="Times New Roman" w:cs="Times New Roman" w:eastAsia="Times New Roman" w:hAnsi="Times New Roman"/>
                <w:sz w:val="18"/>
                <w:szCs w:val="18"/>
                <w:b w:val="1"/>
                <w:bCs w:val="1"/>
                <w:color w:val="auto"/>
              </w:rPr>
              <w:t>Net cash used in investing activities</w:t>
            </w: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44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(56,972 )</w:t>
            </w:r>
          </w:p>
        </w:tc>
        <w:tc>
          <w:tcPr>
            <w:tcW w:w="600" w:type="dxa"/>
            <w:vAlign w:val="bottom"/>
          </w:tcPr>
          <w:p>
            <w:pPr>
              <w:jc w:val="right"/>
              <w:ind w:right="410"/>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(18,142 )</w:t>
            </w:r>
          </w:p>
        </w:tc>
      </w:tr>
      <w:tr>
        <w:trPr>
          <w:trHeight w:val="20"/>
        </w:trPr>
        <w:tc>
          <w:tcPr>
            <w:tcW w:w="76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5836285</wp:posOffset>
            </wp:positionH>
            <wp:positionV relativeFrom="paragraph">
              <wp:posOffset>-170815</wp:posOffset>
            </wp:positionV>
            <wp:extent cx="68580" cy="8255"/>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6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68">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increase in net cash used in investing activities of $38.8 million was primarily due to the Glacier Raft Company acquisition and an increase in capital expenditures, whereas in the 2021 period we received proceeds of $14.1 million primarily from the sale of a GES warehouse in Orlando, offset in part by cash paid for the acquisition of the Golden Skybridge in 2021.</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Financing Activities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76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40" w:type="dxa"/>
            <w:vAlign w:val="bottom"/>
            <w:gridSpan w:val="3"/>
          </w:tcPr>
          <w:p>
            <w:pPr>
              <w:jc w:val="right"/>
              <w:ind w:right="10"/>
              <w:spacing w:after="0"/>
              <w:rPr>
                <w:sz w:val="20"/>
                <w:szCs w:val="20"/>
                <w:color w:val="auto"/>
              </w:rPr>
            </w:pPr>
            <w:r>
              <w:rPr>
                <w:rFonts w:ascii="Times New Roman" w:cs="Times New Roman" w:eastAsia="Times New Roman" w:hAnsi="Times New Roman"/>
                <w:sz w:val="14"/>
                <w:szCs w:val="14"/>
                <w:b w:val="1"/>
                <w:bCs w:val="1"/>
                <w:color w:val="auto"/>
              </w:rPr>
              <w:t>Six Months Ended</w:t>
            </w:r>
          </w:p>
        </w:tc>
        <w:tc>
          <w:tcPr>
            <w:tcW w:w="108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187"/>
        </w:trPr>
        <w:tc>
          <w:tcPr>
            <w:tcW w:w="766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040" w:type="dxa"/>
            <w:vAlign w:val="bottom"/>
            <w:tcBorders>
              <w:bottom w:val="single" w:sz="8" w:color="auto"/>
            </w:tcBorders>
            <w:gridSpan w:val="3"/>
          </w:tcPr>
          <w:p>
            <w:pPr>
              <w:jc w:val="right"/>
              <w:ind w:right="31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10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169"/>
        </w:trPr>
        <w:tc>
          <w:tcPr>
            <w:tcW w:w="7660" w:type="dxa"/>
            <w:vAlign w:val="bottom"/>
          </w:tcPr>
          <w:p>
            <w:pPr>
              <w:ind w:left="20"/>
              <w:spacing w:after="0"/>
              <w:rPr>
                <w:sz w:val="20"/>
                <w:szCs w:val="20"/>
                <w:color w:val="auto"/>
              </w:rPr>
            </w:pPr>
            <w:r>
              <w:rPr>
                <w:rFonts w:ascii="Times New Roman" w:cs="Times New Roman" w:eastAsia="Times New Roman" w:hAnsi="Times New Roman"/>
                <w:sz w:val="14"/>
                <w:szCs w:val="14"/>
                <w:i w:val="1"/>
                <w:iCs w:val="1"/>
                <w:color w:val="auto"/>
              </w:rPr>
              <w:t>(in thousands)</w:t>
            </w:r>
          </w:p>
        </w:tc>
        <w:tc>
          <w:tcPr>
            <w:tcW w:w="3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536"/>
              <w:spacing w:after="0"/>
              <w:rPr>
                <w:sz w:val="20"/>
                <w:szCs w:val="20"/>
                <w:color w:val="auto"/>
              </w:rPr>
            </w:pPr>
            <w:r>
              <w:rPr>
                <w:rFonts w:ascii="Times New Roman" w:cs="Times New Roman" w:eastAsia="Times New Roman" w:hAnsi="Times New Roman"/>
                <w:sz w:val="14"/>
                <w:szCs w:val="14"/>
                <w:b w:val="1"/>
                <w:bCs w:val="1"/>
                <w:color w:val="auto"/>
              </w:rPr>
              <w:t>2022</w:t>
            </w:r>
          </w:p>
        </w:tc>
        <w:tc>
          <w:tcPr>
            <w:tcW w:w="260" w:type="dxa"/>
            <w:vAlign w:val="bottom"/>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tcPr>
          <w:p>
            <w:pPr>
              <w:jc w:val="right"/>
              <w:ind w:right="612"/>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4"/>
                <w:szCs w:val="14"/>
                <w:color w:val="auto"/>
              </w:rPr>
            </w:pPr>
          </w:p>
        </w:tc>
      </w:tr>
      <w:tr>
        <w:trPr>
          <w:trHeight w:val="209"/>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Proceeds from borrowings</w:t>
            </w:r>
          </w:p>
        </w:tc>
        <w:tc>
          <w:tcPr>
            <w:tcW w:w="360" w:type="dxa"/>
            <w:vAlign w:val="bottom"/>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54,668</w:t>
            </w:r>
          </w:p>
        </w:tc>
        <w:tc>
          <w:tcPr>
            <w:tcW w:w="260" w:type="dxa"/>
            <w:vAlign w:val="bottom"/>
            <w:shd w:val="clear" w:color="auto" w:fill="CFF0FC"/>
          </w:tcPr>
          <w:p>
            <w:pPr>
              <w:spacing w:after="0"/>
              <w:rPr>
                <w:sz w:val="18"/>
                <w:szCs w:val="18"/>
                <w:color w:val="auto"/>
              </w:rPr>
            </w:pPr>
          </w:p>
        </w:tc>
        <w:tc>
          <w:tcPr>
            <w:tcW w:w="600" w:type="dxa"/>
            <w:vAlign w:val="bottom"/>
            <w:shd w:val="clear" w:color="auto" w:fill="CFF0FC"/>
          </w:tcPr>
          <w:p>
            <w:pPr>
              <w:jc w:val="right"/>
              <w:ind w:right="41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65,608</w:t>
            </w:r>
          </w:p>
        </w:tc>
        <w:tc>
          <w:tcPr>
            <w:tcW w:w="100" w:type="dxa"/>
            <w:vAlign w:val="bottom"/>
            <w:shd w:val="clear" w:color="auto" w:fill="CFF0FC"/>
          </w:tcPr>
          <w:p>
            <w:pPr>
              <w:spacing w:after="0"/>
              <w:rPr>
                <w:sz w:val="18"/>
                <w:szCs w:val="18"/>
                <w:color w:val="auto"/>
              </w:rPr>
            </w:pP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Payments on debt and finance obligations</w:t>
            </w:r>
          </w:p>
        </w:tc>
        <w:tc>
          <w:tcPr>
            <w:tcW w:w="360" w:type="dxa"/>
            <w:vAlign w:val="bottom"/>
          </w:tcPr>
          <w:p>
            <w:pPr>
              <w:spacing w:after="0"/>
              <w:rPr>
                <w:sz w:val="18"/>
                <w:szCs w:val="18"/>
                <w:color w:val="auto"/>
              </w:rPr>
            </w:pPr>
          </w:p>
        </w:tc>
        <w:tc>
          <w:tcPr>
            <w:tcW w:w="14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(38,728 )</w:t>
            </w:r>
          </w:p>
        </w:tc>
        <w:tc>
          <w:tcPr>
            <w:tcW w:w="60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(9,027 )</w:t>
            </w:r>
          </w:p>
        </w:tc>
      </w:tr>
      <w:tr>
        <w:trPr>
          <w:trHeight w:val="216"/>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Dividends paid on preferred stock</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200"/>
              <w:spacing w:after="0"/>
              <w:rPr>
                <w:sz w:val="20"/>
                <w:szCs w:val="20"/>
                <w:color w:val="auto"/>
              </w:rPr>
            </w:pPr>
            <w:r>
              <w:rPr>
                <w:rFonts w:ascii="Times New Roman" w:cs="Times New Roman" w:eastAsia="Times New Roman" w:hAnsi="Times New Roman"/>
                <w:sz w:val="18"/>
                <w:szCs w:val="18"/>
                <w:color w:val="auto"/>
              </w:rPr>
              <w:t>(3,900 )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Distributions to noncontrolling interest, net of contributions from noncontrolling interest</w:t>
            </w:r>
          </w:p>
        </w:tc>
        <w:tc>
          <w:tcPr>
            <w:tcW w:w="360" w:type="dxa"/>
            <w:vAlign w:val="bottom"/>
          </w:tcPr>
          <w:p>
            <w:pPr>
              <w:spacing w:after="0"/>
              <w:rPr>
                <w:sz w:val="18"/>
                <w:szCs w:val="18"/>
                <w:color w:val="auto"/>
              </w:rPr>
            </w:pPr>
          </w:p>
        </w:tc>
        <w:tc>
          <w:tcPr>
            <w:tcW w:w="14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(570 )</w:t>
            </w:r>
          </w:p>
        </w:tc>
        <w:tc>
          <w:tcPr>
            <w:tcW w:w="60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(678 )</w:t>
            </w:r>
          </w:p>
        </w:tc>
      </w:tr>
      <w:tr>
        <w:trPr>
          <w:trHeight w:val="216"/>
        </w:trPr>
        <w:tc>
          <w:tcPr>
            <w:tcW w:w="766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Payments of debt issuance costs</w:t>
            </w:r>
          </w:p>
        </w:tc>
        <w:tc>
          <w:tcPr>
            <w:tcW w:w="360" w:type="dxa"/>
            <w:vAlign w:val="bottom"/>
            <w:shd w:val="clear" w:color="auto" w:fill="CFF0FC"/>
          </w:tcPr>
          <w:p>
            <w:pPr>
              <w:spacing w:after="0"/>
              <w:rPr>
                <w:sz w:val="18"/>
                <w:szCs w:val="18"/>
                <w:color w:val="auto"/>
              </w:rPr>
            </w:pPr>
          </w:p>
        </w:tc>
        <w:tc>
          <w:tcPr>
            <w:tcW w:w="1440" w:type="dxa"/>
            <w:vAlign w:val="bottom"/>
            <w:gridSpan w:val="2"/>
            <w:shd w:val="clear" w:color="auto" w:fill="CFF0FC"/>
          </w:tcPr>
          <w:p>
            <w:pPr>
              <w:jc w:val="right"/>
              <w:ind w:right="200"/>
              <w:spacing w:after="0"/>
              <w:rPr>
                <w:sz w:val="20"/>
                <w:szCs w:val="20"/>
                <w:color w:val="auto"/>
              </w:rPr>
            </w:pPr>
            <w:r>
              <w:rPr>
                <w:rFonts w:ascii="Times New Roman" w:cs="Times New Roman" w:eastAsia="Times New Roman" w:hAnsi="Times New Roman"/>
                <w:sz w:val="18"/>
                <w:szCs w:val="18"/>
                <w:color w:val="auto"/>
              </w:rPr>
              <w:t>(418 )</w:t>
            </w:r>
          </w:p>
        </w:tc>
        <w:tc>
          <w:tcPr>
            <w:tcW w:w="60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ind w:right="40"/>
              <w:spacing w:after="0"/>
              <w:rPr>
                <w:sz w:val="20"/>
                <w:szCs w:val="20"/>
                <w:color w:val="auto"/>
              </w:rPr>
            </w:pPr>
            <w:r>
              <w:rPr>
                <w:rFonts w:ascii="Times New Roman" w:cs="Times New Roman" w:eastAsia="Times New Roman" w:hAnsi="Times New Roman"/>
                <w:sz w:val="18"/>
                <w:szCs w:val="18"/>
                <w:color w:val="auto"/>
              </w:rPr>
              <w:t>(128 )</w:t>
            </w:r>
          </w:p>
        </w:tc>
      </w:tr>
      <w:tr>
        <w:trPr>
          <w:trHeight w:val="216"/>
        </w:trPr>
        <w:tc>
          <w:tcPr>
            <w:tcW w:w="76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Payment of payroll taxes on stock-based compensation through shares withheld or repurchased</w:t>
            </w:r>
          </w:p>
        </w:tc>
        <w:tc>
          <w:tcPr>
            <w:tcW w:w="360" w:type="dxa"/>
            <w:vAlign w:val="bottom"/>
          </w:tcPr>
          <w:p>
            <w:pPr>
              <w:spacing w:after="0"/>
              <w:rPr>
                <w:sz w:val="18"/>
                <w:szCs w:val="18"/>
                <w:color w:val="auto"/>
              </w:rPr>
            </w:pPr>
          </w:p>
        </w:tc>
        <w:tc>
          <w:tcPr>
            <w:tcW w:w="14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(537 )</w:t>
            </w:r>
          </w:p>
        </w:tc>
        <w:tc>
          <w:tcPr>
            <w:tcW w:w="600" w:type="dxa"/>
            <w:vAlign w:val="bottom"/>
          </w:tcPr>
          <w:p>
            <w:pPr>
              <w:spacing w:after="0"/>
              <w:rPr>
                <w:sz w:val="18"/>
                <w:szCs w:val="18"/>
                <w:color w:val="auto"/>
              </w:rPr>
            </w:pPr>
          </w:p>
        </w:tc>
        <w:tc>
          <w:tcPr>
            <w:tcW w:w="11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(601 )</w:t>
            </w:r>
          </w:p>
        </w:tc>
      </w:tr>
      <w:tr>
        <w:trPr>
          <w:trHeight w:val="249"/>
        </w:trPr>
        <w:tc>
          <w:tcPr>
            <w:tcW w:w="7660" w:type="dxa"/>
            <w:vAlign w:val="bottom"/>
            <w:tcBorders>
              <w:bottom w:val="single" w:sz="8" w:color="CFF0FC"/>
            </w:tcBorders>
            <w:shd w:val="clear" w:color="auto" w:fill="CFF0FC"/>
          </w:tcPr>
          <w:p>
            <w:pPr>
              <w:ind w:left="200"/>
              <w:spacing w:after="0"/>
              <w:rPr>
                <w:sz w:val="20"/>
                <w:szCs w:val="20"/>
                <w:color w:val="auto"/>
              </w:rPr>
            </w:pPr>
            <w:r>
              <w:rPr>
                <w:rFonts w:ascii="Times New Roman" w:cs="Times New Roman" w:eastAsia="Times New Roman" w:hAnsi="Times New Roman"/>
                <w:sz w:val="18"/>
                <w:szCs w:val="18"/>
                <w:b w:val="1"/>
                <w:bCs w:val="1"/>
                <w:color w:val="auto"/>
              </w:rPr>
              <w:t>Net cash provided by financing activities</w:t>
            </w:r>
          </w:p>
        </w:tc>
        <w:tc>
          <w:tcPr>
            <w:tcW w:w="360" w:type="dxa"/>
            <w:vAlign w:val="bottom"/>
            <w:tcBorders>
              <w:top w:val="single" w:sz="8" w:color="auto"/>
              <w:bottom w:val="single" w:sz="8" w:color="auto"/>
            </w:tcBorders>
            <w:shd w:val="clear" w:color="auto" w:fill="CFF0FC"/>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10,515</w:t>
            </w:r>
          </w:p>
        </w:tc>
        <w:tc>
          <w:tcPr>
            <w:tcW w:w="260" w:type="dxa"/>
            <w:vAlign w:val="bottom"/>
            <w:tcBorders>
              <w:bottom w:val="single" w:sz="8" w:color="CFF0FC"/>
            </w:tcBorders>
            <w:shd w:val="clear" w:color="auto" w:fill="CFF0FC"/>
          </w:tcPr>
          <w:p>
            <w:pPr>
              <w:spacing w:after="0"/>
              <w:rPr>
                <w:sz w:val="21"/>
                <w:szCs w:val="21"/>
                <w:color w:val="auto"/>
              </w:rPr>
            </w:pPr>
          </w:p>
        </w:tc>
        <w:tc>
          <w:tcPr>
            <w:tcW w:w="600" w:type="dxa"/>
            <w:vAlign w:val="bottom"/>
            <w:tcBorders>
              <w:top w:val="single" w:sz="8" w:color="auto"/>
              <w:bottom w:val="single" w:sz="8" w:color="auto"/>
            </w:tcBorders>
            <w:shd w:val="clear" w:color="auto" w:fill="CFF0FC"/>
          </w:tcPr>
          <w:p>
            <w:pPr>
              <w:jc w:val="right"/>
              <w:ind w:right="410"/>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55,174</w:t>
            </w:r>
          </w:p>
        </w:tc>
        <w:tc>
          <w:tcPr>
            <w:tcW w:w="100" w:type="dxa"/>
            <w:vAlign w:val="bottom"/>
            <w:tcBorders>
              <w:bottom w:val="single" w:sz="8" w:color="CFF0FC"/>
            </w:tcBorders>
            <w:shd w:val="clear" w:color="auto" w:fill="CFF0FC"/>
          </w:tcPr>
          <w:p>
            <w:pPr>
              <w:spacing w:after="0"/>
              <w:rPr>
                <w:sz w:val="21"/>
                <w:szCs w:val="2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5836285</wp:posOffset>
            </wp:positionH>
            <wp:positionV relativeFrom="paragraph">
              <wp:posOffset>-24765</wp:posOffset>
            </wp:positionV>
            <wp:extent cx="68580" cy="8255"/>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6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5836285</wp:posOffset>
            </wp:positionH>
            <wp:positionV relativeFrom="paragraph">
              <wp:posOffset>-7620</wp:posOffset>
            </wp:positionV>
            <wp:extent cx="68580" cy="8255"/>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7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-24765</wp:posOffset>
            </wp:positionV>
            <wp:extent cx="68580" cy="8255"/>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71">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-7620</wp:posOffset>
            </wp:positionV>
            <wp:extent cx="68580" cy="8255"/>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72">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7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decrease in net cash provided by financing activities of $44.7 million was primarily due to net debt proceeds of $15.9 million during the six months ended June 30, 2022 compared to $56.6 million during the six months ended June 30, 2021.</w:t>
      </w:r>
    </w:p>
    <w:p>
      <w:pPr>
        <w:spacing w:after="0" w:line="26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Debt and Finance Obligations</w:t>
      </w:r>
    </w:p>
    <w:p>
      <w:pPr>
        <w:spacing w:after="0" w:line="107"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Refer to Note 12 – Debt and Finance Obligations of the Notes to Condensed Consolidated Financial Statements (Part I, Item 1 of this Form 10-Q) for further discussion, all of which is incorporated by reference herein.</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Share Repurchases</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Our Board of Directors previously authorized us to repurchase shares of our common stock from time to time at prevailing market prices. Effective February 7, 2019, our Board of Directors authorized the repurchase of an additional 500,000 shares. In March 2020, our Board of Directors suspended our share repurchase program for the foreseeable future. As of June 30, 2022, 546,283 shares remained available for repurchase. The Board of Directors’ authorization does not have an expiration date.</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Additionally, we repurchased shares related to tax withholding requirements on vested restricted share-based awards.</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107"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Refer to “Management’s Discussion and Analysis of Financial Condition and Results of Operations” (Part II, Item 7) of our 2021 Form 10-K for a discussion of our critical accounting policies and estimates.</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Impact of Recent Accounting Pronouncements</w:t>
      </w:r>
    </w:p>
    <w:p>
      <w:pPr>
        <w:spacing w:after="0" w:line="107" w:lineRule="exact"/>
        <w:rPr>
          <w:sz w:val="20"/>
          <w:szCs w:val="20"/>
          <w:color w:val="auto"/>
        </w:rPr>
      </w:pPr>
    </w:p>
    <w:p>
      <w:pPr>
        <w:jc w:val="both"/>
        <w:spacing w:after="0" w:line="281" w:lineRule="auto"/>
        <w:rPr>
          <w:sz w:val="20"/>
          <w:szCs w:val="20"/>
          <w:color w:val="auto"/>
        </w:rPr>
      </w:pPr>
      <w:r>
        <w:rPr>
          <w:rFonts w:ascii="Times New Roman" w:cs="Times New Roman" w:eastAsia="Times New Roman" w:hAnsi="Times New Roman"/>
          <w:sz w:val="18"/>
          <w:szCs w:val="18"/>
          <w:color w:val="auto"/>
        </w:rPr>
        <w:t>Refer to Note 1 – Overview and Basis of Presentation of the Notes to Condensed Consolidated Financial Statements (Part I, Item 1 of this Form 10-Q) for further information.</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Non-GAAP Measure</w:t>
      </w:r>
    </w:p>
    <w:p>
      <w:pPr>
        <w:spacing w:after="0" w:line="107"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In addition to disclosing financial results that are determined in accordance with United States generally accepted accounting principles (“GAAP”), we also disclose segment operating income (loss). Our use of segment operating income (loss) is supplemental to, but not as a substitute for, other measures of financial performance reported in accordance with GAAP. As not all companies use identical calculations, segment operating income (loss) may not be comparable to similarly titled measures used by other companies. We believe</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40" w:name="page41"/>
    <w:bookmarkEnd w:id="40"/>
    <w:p>
      <w:pPr>
        <w:jc w:val="both"/>
        <w:spacing w:after="0" w:line="281" w:lineRule="auto"/>
        <w:rPr>
          <w:sz w:val="20"/>
          <w:szCs w:val="20"/>
          <w:color w:val="auto"/>
        </w:rPr>
      </w:pPr>
      <w:r>
        <w:rPr>
          <w:rFonts w:ascii="Times New Roman" w:cs="Times New Roman" w:eastAsia="Times New Roman" w:hAnsi="Times New Roman"/>
          <w:sz w:val="18"/>
          <w:szCs w:val="18"/>
          <w:color w:val="auto"/>
        </w:rPr>
        <w:t>that our use of segment operating income (loss) provides useful information to investors regarding our results of operations for trending, analyzing, and benchmarking our performance and the value of our business.</w:t>
      </w:r>
    </w:p>
    <w:p>
      <w:pPr>
        <w:spacing w:after="0" w:line="91"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18"/>
          <w:szCs w:val="18"/>
          <w:b w:val="1"/>
          <w:bCs w:val="1"/>
          <w:color w:val="auto"/>
        </w:rPr>
        <w:t xml:space="preserve">“Segment operating income (loss)” </w:t>
      </w:r>
      <w:r>
        <w:rPr>
          <w:rFonts w:ascii="Times New Roman" w:cs="Times New Roman" w:eastAsia="Times New Roman" w:hAnsi="Times New Roman"/>
          <w:sz w:val="18"/>
          <w:szCs w:val="18"/>
          <w:color w:val="auto"/>
        </w:rPr>
        <w:t>is net income (loss) attributable to Viad before income (loss) from discontinued operations, corporate activities,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interest expense and interest income, income taxes, restructuring charges, impairment charges, multi-employer pension plan withdrawal, and certain other corporate expenses that are not allocated to the reportable segments and the reduction for income (loss) attributable to noncontrolling interests. Segment operating income (loss) is used to measure the profit and performance of our operating segments to facilitate period-to-period comparisons. Refer to Note 23 – Segment Information of the Notes to Condensed Consolidated Financial Statements (Part I, Item 1 of this Form 10-Q) for a reconciliation of segment operating income (loss) to income (loss) from continuing operations before income taxes.</w:t>
      </w:r>
    </w:p>
    <w:p>
      <w:pPr>
        <w:spacing w:after="0" w:line="123"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We believe segment operating income (loss) is a useful operating metric as it eliminates potential variations arising from taxes, debt service costs, impairment charges, restructuring charges, the reduction of income (loss) attributable to non-controlling interests, and the effects of discontinued operations, resulting in an additional measure considered to be indicative of our ongoing operations and segment performance. Although we use segment operating income (loss) to assess the performance of our business, the use of this measure is limited because this measure does not consider material costs, expenses, and other items necessary to operate our business. As segment operating income (loss) does not consider these items, net income (loss) attributable to Viad should be considered as an important measure of financial performance because it provides a more complete measure of our performance.</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QUANTITATIVE AND QUALITATIVE DISCLOSURES ABOUT MARKET RISK</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market risk exposure relates to fluctuations in foreign exchange rates and interest rates. Foreign exchange risk is the risk that fluctuating exchange rates will adversely affect our financial condition or results of operations. Interest rate risk is the risk that changing interest rates will adversely affect our financial position or results of operations.</w:t>
      </w:r>
    </w:p>
    <w:p>
      <w:pPr>
        <w:spacing w:after="0" w:line="115"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18"/>
          <w:szCs w:val="18"/>
          <w:color w:val="auto"/>
        </w:rPr>
        <w:t>Our foreign operations are primarily in Canada, the United Kingdom, Iceland, the Netherlands, and Germany. The functional currency of our foreign subsidiaries is their local currency. Accordingly, for purposes of consolidation, we translate the assets and liabilities of our foreign subsidiaries into U.S. dollars at the foreign exchange rates in effect at the balance sheet date. The unrealized gains or losses resulting from the translation of these foreign denominated assets and liabilities are included as a component of accumulated other comprehensive income (loss) in the Condensed Consolidated Balance Sheets. As a result, significant fluctuations in foreign exchange rates relative to the U.S. dollar may result in material changes to our net equity position reported in the Condensed Consolidated Balance Sheets. We do not currently hedge our equity risk arising from the translation of foreign denominated assets and liabilities. We recorded cumulative unrealized foreign currency translation losses in stockholders’ equity of $24.3 million as of June 30, 2022 and $16.2 million as of December 31, 2021. We recorded unrealized foreign currency translation losses in other comprehensive income (loss) of $8.1 million during the six months ended June 30, 2022 and gains of $7.7 million during the six months ended June 30, 2021.</w:t>
      </w:r>
    </w:p>
    <w:p>
      <w:pPr>
        <w:spacing w:after="0" w:line="129"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For purposes of consolidation, revenue, expenses, gains, and losses related to our foreign operations are translated into U.S. dollars at the average foreign exchange rates for the period. As a result, our consolidated results of operations are exposed to fluctuations in foreign exchange rates as revenue and segment operating income (loss) of our foreign operations, when translated, may vary from period to period, even when the functional currency amounts have not changed. Such fluctuations may adversely impact overall expected profitability and historical period-to-period comparisons. We do not currently hedge our net earnings exposure arising from the translation of our foreign revenue and segment operating income (loss).</w:t>
      </w:r>
    </w:p>
    <w:p>
      <w:pPr>
        <w:spacing w:after="0" w:line="139" w:lineRule="exact"/>
        <w:rPr>
          <w:sz w:val="20"/>
          <w:szCs w:val="20"/>
          <w:color w:val="auto"/>
        </w:rPr>
      </w:pPr>
    </w:p>
    <w:p>
      <w:pPr>
        <w:jc w:val="both"/>
        <w:spacing w:after="0" w:line="250" w:lineRule="auto"/>
        <w:rPr>
          <w:sz w:val="20"/>
          <w:szCs w:val="20"/>
          <w:color w:val="auto"/>
        </w:rPr>
      </w:pPr>
      <w:r>
        <w:rPr>
          <w:rFonts w:ascii="Times New Roman" w:cs="Times New Roman" w:eastAsia="Times New Roman" w:hAnsi="Times New Roman"/>
          <w:sz w:val="18"/>
          <w:szCs w:val="18"/>
          <w:color w:val="auto"/>
        </w:rPr>
        <w:t>We are exposed to foreign exchange transaction risk, as our foreign subsidiaries have certain revenue transactions and loans denominated in currencies other than the functional currency of the respective subsidiary. As of June 30, 2022 and December 31, 2021, we did not have any outstanding foreign currency forward contracts.</w:t>
      </w:r>
    </w:p>
    <w:p>
      <w:pPr>
        <w:spacing w:after="0" w:line="13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are exposed to short-term and long-term interest rate risk on certain of our debt obligations.</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do not currently use derivative financial instruments to hedge cash flows for such obligations.</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1" w:right="339" w:bottom="144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18"/>
          <w:szCs w:val="18"/>
          <w:b w:val="1"/>
          <w:bCs w:val="1"/>
          <w:color w:val="auto"/>
        </w:rPr>
        <w:t>Item 4. CONTROLS AND PROCEDURES</w:t>
      </w:r>
    </w:p>
    <w:p>
      <w:pPr>
        <w:spacing w:after="0" w:line="121"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18"/>
          <w:szCs w:val="18"/>
          <w:color w:val="auto"/>
        </w:rPr>
        <w:t>We have established disclosure controls and procedures that are designed to ensure that information required to be disclosed in our reports filed or submitted under the Securities Exchange Act of 1934, as amended, is recorded, processed, summarized, and reported within the time periods specified in the SEC’s rules and forms, and such information is accumulated and communicated to our management, including our Chief Executive Officer (“CEO”) and Chief Financial Officer (“CFO”), as appropriate, to allow timely decisions regarding required disclosure. Management, together with our CEO and CFO, evaluated the effectiveness of our disclosure controls and procedures as of June 30, 2022. Based on this evaluation, the CEO and CFO concluded that our disclosure controls and procedures were effective as of June 30, 2022.</w:t>
      </w:r>
    </w:p>
    <w:p>
      <w:pPr>
        <w:spacing w:after="0" w:line="145" w:lineRule="exact"/>
        <w:rPr>
          <w:sz w:val="20"/>
          <w:szCs w:val="20"/>
          <w:color w:val="auto"/>
        </w:rPr>
      </w:pPr>
    </w:p>
    <w:p>
      <w:pPr>
        <w:jc w:val="both"/>
        <w:ind w:right="20"/>
        <w:spacing w:after="0" w:line="266" w:lineRule="auto"/>
        <w:rPr>
          <w:sz w:val="20"/>
          <w:szCs w:val="20"/>
          <w:color w:val="auto"/>
        </w:rPr>
      </w:pPr>
      <w:r>
        <w:rPr>
          <w:rFonts w:ascii="Times New Roman" w:cs="Times New Roman" w:eastAsia="Times New Roman" w:hAnsi="Times New Roman"/>
          <w:sz w:val="18"/>
          <w:szCs w:val="18"/>
          <w:color w:val="auto"/>
        </w:rPr>
        <w:t>There were no changes in our internal control over financial reporting during the three months ended June 30, 2022 that have materially affected, or are reasonably likely to materially affect, our internal control over financial reporting.</w:t>
      </w:r>
    </w:p>
    <w:p>
      <w:pPr>
        <w:spacing w:after="0" w:line="16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42" w:name="page43"/>
    <w:bookmarkEnd w:id="42"/>
    <w:p>
      <w:pPr>
        <w:jc w:val="center"/>
        <w:spacing w:after="0"/>
        <w:rPr>
          <w:sz w:val="20"/>
          <w:szCs w:val="20"/>
          <w:color w:val="auto"/>
        </w:rPr>
      </w:pPr>
      <w:r>
        <w:rPr>
          <w:rFonts w:ascii="Times New Roman" w:cs="Times New Roman" w:eastAsia="Times New Roman" w:hAnsi="Times New Roman"/>
          <w:sz w:val="18"/>
          <w:szCs w:val="18"/>
          <w:b w:val="1"/>
          <w:bCs w:val="1"/>
          <w:color w:val="auto"/>
        </w:rPr>
        <w:t>PART II - OTHER INFORMATION</w:t>
      </w: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 LEGAL PROCEEDINGS</w:t>
      </w:r>
    </w:p>
    <w:p>
      <w:pPr>
        <w:spacing w:after="0" w:line="1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Refer to Note 21 – Litigation, Claims, Contingencies, and Other of the Notes to Condensed Consolidated Financial Statements (Part I, Item 1 of this Form 10-Q) for information regarding legal proceedings in which we are involved, which information is incorporated by reference herein.</w:t>
      </w: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1A. RISK FACTORS</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addition to other information set forth in this report, careful consideration should be given to the factors discussed in Part I, Item 1A – Risk Factors and Part II, Item 7 – Management’s Discussion and Analysis of Financial Condition and Results of Operations of our 2021 Form 10-K, which could materially affect our business, financial condition, or future results.</w:t>
      </w:r>
    </w:p>
    <w:p>
      <w:pPr>
        <w:spacing w:after="0" w:line="2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UNREGISTERED SALES OF EQUITY SECURITIES AND USE OF PROCEEDS</w:t>
      </w:r>
    </w:p>
    <w:p>
      <w:pPr>
        <w:spacing w:after="0" w:line="10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following table summarizes the total number of shares of our common stock that were repurchased during the three months ended June 30, 2022 pursuant to publicly announced plans or programs, as well as certain previously owned shares of common stock that were surrendered by employees, former employees, and non-employee directors for tax withholding requirements on vested share-based awards.</w:t>
      </w:r>
    </w:p>
    <w:p>
      <w:pPr>
        <w:spacing w:after="0" w:line="1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ISSUER PURCHASES OF EQUITY SECURITIES</w:t>
      </w: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4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540" w:type="dxa"/>
            <w:vAlign w:val="bottom"/>
          </w:tcPr>
          <w:p>
            <w:pPr>
              <w:jc w:val="center"/>
              <w:ind w:left="168"/>
              <w:spacing w:after="0"/>
              <w:rPr>
                <w:sz w:val="20"/>
                <w:szCs w:val="20"/>
                <w:color w:val="auto"/>
              </w:rPr>
            </w:pPr>
            <w:r>
              <w:rPr>
                <w:rFonts w:ascii="Times New Roman" w:cs="Times New Roman" w:eastAsia="Times New Roman" w:hAnsi="Times New Roman"/>
                <w:sz w:val="14"/>
                <w:szCs w:val="14"/>
                <w:b w:val="1"/>
                <w:bCs w:val="1"/>
                <w:color w:val="auto"/>
              </w:rPr>
              <w:t>Total Number of</w:t>
            </w: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Maximum Number</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354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540" w:type="dxa"/>
            <w:vAlign w:val="bottom"/>
          </w:tcPr>
          <w:p>
            <w:pPr>
              <w:jc w:val="center"/>
              <w:ind w:left="168"/>
              <w:spacing w:after="0" w:line="149" w:lineRule="exact"/>
              <w:rPr>
                <w:sz w:val="20"/>
                <w:szCs w:val="20"/>
                <w:color w:val="auto"/>
              </w:rPr>
            </w:pPr>
            <w:r>
              <w:rPr>
                <w:rFonts w:ascii="Times New Roman" w:cs="Times New Roman" w:eastAsia="Times New Roman" w:hAnsi="Times New Roman"/>
                <w:sz w:val="14"/>
                <w:szCs w:val="14"/>
                <w:b w:val="1"/>
                <w:bCs w:val="1"/>
                <w:color w:val="auto"/>
              </w:rPr>
              <w:t>Shares</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of Shares</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354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64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Average Price</w:t>
            </w:r>
          </w:p>
        </w:tc>
        <w:tc>
          <w:tcPr>
            <w:tcW w:w="260" w:type="dxa"/>
            <w:vAlign w:val="bottom"/>
          </w:tcPr>
          <w:p>
            <w:pPr>
              <w:spacing w:after="0"/>
              <w:rPr>
                <w:sz w:val="13"/>
                <w:szCs w:val="13"/>
                <w:color w:val="auto"/>
              </w:rPr>
            </w:pPr>
          </w:p>
        </w:tc>
        <w:tc>
          <w:tcPr>
            <w:tcW w:w="1540" w:type="dxa"/>
            <w:vAlign w:val="bottom"/>
          </w:tcPr>
          <w:p>
            <w:pPr>
              <w:jc w:val="center"/>
              <w:ind w:left="168"/>
              <w:spacing w:after="0" w:line="151" w:lineRule="exact"/>
              <w:rPr>
                <w:sz w:val="20"/>
                <w:szCs w:val="20"/>
                <w:color w:val="auto"/>
              </w:rPr>
            </w:pPr>
            <w:r>
              <w:rPr>
                <w:rFonts w:ascii="Times New Roman" w:cs="Times New Roman" w:eastAsia="Times New Roman" w:hAnsi="Times New Roman"/>
                <w:sz w:val="14"/>
                <w:szCs w:val="14"/>
                <w:b w:val="1"/>
                <w:bCs w:val="1"/>
                <w:color w:val="auto"/>
              </w:rPr>
              <w:t>Purchased as Part of</w:t>
            </w: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40" w:type="dxa"/>
            <w:vAlign w:val="bottom"/>
          </w:tcPr>
          <w:p>
            <w:pPr>
              <w:jc w:val="center"/>
              <w:spacing w:after="0" w:line="151" w:lineRule="exact"/>
              <w:rPr>
                <w:sz w:val="20"/>
                <w:szCs w:val="20"/>
                <w:color w:val="auto"/>
              </w:rPr>
            </w:pPr>
            <w:r>
              <w:rPr>
                <w:rFonts w:ascii="Times New Roman" w:cs="Times New Roman" w:eastAsia="Times New Roman" w:hAnsi="Times New Roman"/>
                <w:sz w:val="14"/>
                <w:szCs w:val="14"/>
                <w:b w:val="1"/>
                <w:bCs w:val="1"/>
                <w:color w:val="auto"/>
              </w:rPr>
              <w:t>That May Yet Be</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354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640" w:type="dxa"/>
            <w:vAlign w:val="bottom"/>
            <w:gridSpan w:val="2"/>
            <w:vMerge w:val="continue"/>
          </w:tcPr>
          <w:p>
            <w:pPr>
              <w:spacing w:after="0"/>
              <w:rPr>
                <w:sz w:val="12"/>
                <w:szCs w:val="12"/>
                <w:color w:val="auto"/>
              </w:rPr>
            </w:pPr>
          </w:p>
        </w:tc>
        <w:tc>
          <w:tcPr>
            <w:tcW w:w="260" w:type="dxa"/>
            <w:vAlign w:val="bottom"/>
          </w:tcPr>
          <w:p>
            <w:pPr>
              <w:spacing w:after="0"/>
              <w:rPr>
                <w:sz w:val="12"/>
                <w:szCs w:val="12"/>
                <w:color w:val="auto"/>
              </w:rPr>
            </w:pPr>
          </w:p>
        </w:tc>
        <w:tc>
          <w:tcPr>
            <w:tcW w:w="1540" w:type="dxa"/>
            <w:vAlign w:val="bottom"/>
          </w:tcPr>
          <w:p>
            <w:pPr>
              <w:jc w:val="center"/>
              <w:ind w:left="168"/>
              <w:spacing w:after="0" w:line="149" w:lineRule="exact"/>
              <w:rPr>
                <w:sz w:val="20"/>
                <w:szCs w:val="20"/>
                <w:color w:val="auto"/>
              </w:rPr>
            </w:pPr>
            <w:r>
              <w:rPr>
                <w:rFonts w:ascii="Times New Roman" w:cs="Times New Roman" w:eastAsia="Times New Roman" w:hAnsi="Times New Roman"/>
                <w:sz w:val="14"/>
                <w:szCs w:val="14"/>
                <w:b w:val="1"/>
                <w:bCs w:val="1"/>
                <w:color w:val="auto"/>
              </w:rPr>
              <w:t>Publicly</w:t>
            </w:r>
          </w:p>
        </w:tc>
        <w:tc>
          <w:tcPr>
            <w:tcW w:w="2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Purchased</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0"/>
        </w:trPr>
        <w:tc>
          <w:tcPr>
            <w:tcW w:w="3540" w:type="dxa"/>
            <w:vAlign w:val="bottom"/>
          </w:tcPr>
          <w:p>
            <w:pPr>
              <w:spacing w:after="0"/>
              <w:rPr>
                <w:sz w:val="13"/>
                <w:szCs w:val="13"/>
                <w:color w:val="auto"/>
              </w:rPr>
            </w:pPr>
          </w:p>
        </w:tc>
        <w:tc>
          <w:tcPr>
            <w:tcW w:w="1420" w:type="dxa"/>
            <w:vAlign w:val="bottom"/>
          </w:tcPr>
          <w:p>
            <w:pPr>
              <w:jc w:val="center"/>
              <w:ind w:left="248"/>
              <w:spacing w:after="0" w:line="159" w:lineRule="exact"/>
              <w:rPr>
                <w:sz w:val="20"/>
                <w:szCs w:val="20"/>
                <w:color w:val="auto"/>
              </w:rPr>
            </w:pPr>
            <w:r>
              <w:rPr>
                <w:rFonts w:ascii="Times New Roman" w:cs="Times New Roman" w:eastAsia="Times New Roman" w:hAnsi="Times New Roman"/>
                <w:sz w:val="14"/>
                <w:szCs w:val="14"/>
                <w:b w:val="1"/>
                <w:bCs w:val="1"/>
                <w:color w:val="auto"/>
              </w:rPr>
              <w:t>Total Number of</w:t>
            </w:r>
          </w:p>
        </w:tc>
        <w:tc>
          <w:tcPr>
            <w:tcW w:w="3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180" w:type="dxa"/>
            <w:vAlign w:val="bottom"/>
          </w:tcPr>
          <w:p>
            <w:pPr>
              <w:jc w:val="center"/>
              <w:ind w:left="381"/>
              <w:spacing w:after="0" w:line="159" w:lineRule="exact"/>
              <w:rPr>
                <w:sz w:val="20"/>
                <w:szCs w:val="20"/>
                <w:color w:val="auto"/>
              </w:rPr>
            </w:pPr>
            <w:r>
              <w:rPr>
                <w:rFonts w:ascii="Times New Roman" w:cs="Times New Roman" w:eastAsia="Times New Roman" w:hAnsi="Times New Roman"/>
                <w:sz w:val="14"/>
                <w:szCs w:val="14"/>
                <w:b w:val="1"/>
                <w:bCs w:val="1"/>
                <w:color w:val="auto"/>
              </w:rPr>
              <w:t>Paid</w:t>
            </w:r>
          </w:p>
        </w:tc>
        <w:tc>
          <w:tcPr>
            <w:tcW w:w="4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540" w:type="dxa"/>
            <w:vAlign w:val="bottom"/>
          </w:tcPr>
          <w:p>
            <w:pPr>
              <w:jc w:val="center"/>
              <w:ind w:left="168"/>
              <w:spacing w:after="0" w:line="159" w:lineRule="exact"/>
              <w:rPr>
                <w:sz w:val="20"/>
                <w:szCs w:val="20"/>
                <w:color w:val="auto"/>
              </w:rPr>
            </w:pPr>
            <w:r>
              <w:rPr>
                <w:rFonts w:ascii="Times New Roman" w:cs="Times New Roman" w:eastAsia="Times New Roman" w:hAnsi="Times New Roman"/>
                <w:sz w:val="14"/>
                <w:szCs w:val="14"/>
                <w:b w:val="1"/>
                <w:bCs w:val="1"/>
                <w:color w:val="auto"/>
              </w:rPr>
              <w:t>Announced Plans or</w:t>
            </w:r>
          </w:p>
        </w:tc>
        <w:tc>
          <w:tcPr>
            <w:tcW w:w="2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40" w:type="dxa"/>
            <w:vAlign w:val="bottom"/>
          </w:tcPr>
          <w:p>
            <w:pPr>
              <w:jc w:val="center"/>
              <w:spacing w:after="0" w:line="159" w:lineRule="exact"/>
              <w:rPr>
                <w:sz w:val="20"/>
                <w:szCs w:val="20"/>
                <w:color w:val="auto"/>
              </w:rPr>
            </w:pPr>
            <w:r>
              <w:rPr>
                <w:rFonts w:ascii="Times New Roman" w:cs="Times New Roman" w:eastAsia="Times New Roman" w:hAnsi="Times New Roman"/>
                <w:sz w:val="14"/>
                <w:szCs w:val="14"/>
                <w:b w:val="1"/>
                <w:bCs w:val="1"/>
                <w:color w:val="auto"/>
              </w:rPr>
              <w:t>Under the Plans</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354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Period</w:t>
            </w:r>
          </w:p>
        </w:tc>
        <w:tc>
          <w:tcPr>
            <w:tcW w:w="1420" w:type="dxa"/>
            <w:vAlign w:val="bottom"/>
            <w:tcBorders>
              <w:bottom w:val="single" w:sz="8" w:color="auto"/>
            </w:tcBorders>
          </w:tcPr>
          <w:p>
            <w:pPr>
              <w:jc w:val="center"/>
              <w:ind w:left="228"/>
              <w:spacing w:after="0"/>
              <w:rPr>
                <w:sz w:val="20"/>
                <w:szCs w:val="20"/>
                <w:color w:val="auto"/>
              </w:rPr>
            </w:pPr>
            <w:r>
              <w:rPr>
                <w:rFonts w:ascii="Times New Roman" w:cs="Times New Roman" w:eastAsia="Times New Roman" w:hAnsi="Times New Roman"/>
                <w:sz w:val="14"/>
                <w:szCs w:val="14"/>
                <w:b w:val="1"/>
                <w:bCs w:val="1"/>
                <w:color w:val="auto"/>
              </w:rPr>
              <w:t>Shares Purchased</w:t>
            </w:r>
          </w:p>
        </w:tc>
        <w:tc>
          <w:tcPr>
            <w:tcW w:w="300" w:type="dxa"/>
            <w:vAlign w:val="bottom"/>
            <w:tcBorders>
              <w:bottom w:val="single" w:sz="8" w:color="auto"/>
            </w:tcBorders>
          </w:tcPr>
          <w:p>
            <w:pPr>
              <w:spacing w:after="0"/>
              <w:rPr>
                <w:sz w:val="16"/>
                <w:szCs w:val="16"/>
                <w:color w:val="auto"/>
              </w:rPr>
            </w:pPr>
          </w:p>
        </w:tc>
        <w:tc>
          <w:tcPr>
            <w:tcW w:w="300" w:type="dxa"/>
            <w:vAlign w:val="bottom"/>
          </w:tcPr>
          <w:p>
            <w:pPr>
              <w:spacing w:after="0"/>
              <w:rPr>
                <w:sz w:val="16"/>
                <w:szCs w:val="16"/>
                <w:color w:val="auto"/>
              </w:rPr>
            </w:pPr>
          </w:p>
        </w:tc>
        <w:tc>
          <w:tcPr>
            <w:tcW w:w="1180" w:type="dxa"/>
            <w:vAlign w:val="bottom"/>
            <w:tcBorders>
              <w:bottom w:val="single" w:sz="8" w:color="auto"/>
            </w:tcBorders>
          </w:tcPr>
          <w:p>
            <w:pPr>
              <w:jc w:val="center"/>
              <w:ind w:left="381"/>
              <w:spacing w:after="0"/>
              <w:rPr>
                <w:sz w:val="20"/>
                <w:szCs w:val="20"/>
                <w:color w:val="auto"/>
              </w:rPr>
            </w:pPr>
            <w:r>
              <w:rPr>
                <w:rFonts w:ascii="Times New Roman" w:cs="Times New Roman" w:eastAsia="Times New Roman" w:hAnsi="Times New Roman"/>
                <w:sz w:val="14"/>
                <w:szCs w:val="14"/>
                <w:b w:val="1"/>
                <w:bCs w:val="1"/>
                <w:color w:val="auto"/>
              </w:rPr>
              <w:t>Per Share</w:t>
            </w:r>
          </w:p>
        </w:tc>
        <w:tc>
          <w:tcPr>
            <w:tcW w:w="460" w:type="dxa"/>
            <w:vAlign w:val="bottom"/>
            <w:tcBorders>
              <w:bottom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1540" w:type="dxa"/>
            <w:vAlign w:val="bottom"/>
            <w:tcBorders>
              <w:bottom w:val="single" w:sz="8" w:color="auto"/>
            </w:tcBorders>
          </w:tcPr>
          <w:p>
            <w:pPr>
              <w:jc w:val="center"/>
              <w:ind w:left="148"/>
              <w:spacing w:after="0"/>
              <w:rPr>
                <w:sz w:val="20"/>
                <w:szCs w:val="20"/>
                <w:color w:val="auto"/>
              </w:rPr>
            </w:pPr>
            <w:r>
              <w:rPr>
                <w:rFonts w:ascii="Times New Roman" w:cs="Times New Roman" w:eastAsia="Times New Roman" w:hAnsi="Times New Roman"/>
                <w:sz w:val="14"/>
                <w:szCs w:val="14"/>
                <w:b w:val="1"/>
                <w:bCs w:val="1"/>
                <w:color w:val="auto"/>
              </w:rPr>
              <w:t>Programs</w:t>
            </w:r>
          </w:p>
        </w:tc>
        <w:tc>
          <w:tcPr>
            <w:tcW w:w="240" w:type="dxa"/>
            <w:vAlign w:val="bottom"/>
            <w:tcBorders>
              <w:bottom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16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or Programs</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3540" w:type="dxa"/>
            <w:vAlign w:val="bottom"/>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April 1, 2022 - April 30, 2022</w:t>
            </w:r>
          </w:p>
        </w:tc>
        <w:tc>
          <w:tcPr>
            <w:tcW w:w="1420" w:type="dxa"/>
            <w:vAlign w:val="bottom"/>
            <w:shd w:val="clear" w:color="auto" w:fill="CFF0FC"/>
          </w:tcPr>
          <w:p>
            <w:pPr>
              <w:spacing w:after="0"/>
              <w:rPr>
                <w:sz w:val="18"/>
                <w:szCs w:val="18"/>
                <w:color w:val="auto"/>
              </w:rPr>
            </w:pPr>
          </w:p>
        </w:tc>
        <w:tc>
          <w:tcPr>
            <w:tcW w:w="30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300" w:type="dxa"/>
            <w:vAlign w:val="bottom"/>
            <w:shd w:val="clear" w:color="auto" w:fill="CFF0FC"/>
          </w:tcPr>
          <w:p>
            <w:pPr>
              <w:spacing w:after="0"/>
              <w:rPr>
                <w:sz w:val="18"/>
                <w:szCs w:val="18"/>
                <w:color w:val="auto"/>
              </w:rPr>
            </w:pPr>
          </w:p>
        </w:tc>
        <w:tc>
          <w:tcPr>
            <w:tcW w:w="1180" w:type="dxa"/>
            <w:vAlign w:val="bottom"/>
            <w:shd w:val="clear" w:color="auto" w:fill="CFF0FC"/>
          </w:tcPr>
          <w:p>
            <w:pPr>
              <w:jc w:val="right"/>
              <w:ind w:right="1001"/>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36.00</w:t>
            </w:r>
          </w:p>
        </w:tc>
        <w:tc>
          <w:tcPr>
            <w:tcW w:w="260" w:type="dxa"/>
            <w:vAlign w:val="bottom"/>
            <w:shd w:val="clear" w:color="auto" w:fill="CFF0FC"/>
          </w:tcPr>
          <w:p>
            <w:pPr>
              <w:spacing w:after="0"/>
              <w:rPr>
                <w:sz w:val="18"/>
                <w:szCs w:val="18"/>
                <w:color w:val="auto"/>
              </w:rPr>
            </w:pPr>
          </w:p>
        </w:tc>
        <w:tc>
          <w:tcPr>
            <w:tcW w:w="1540" w:type="dxa"/>
            <w:vAlign w:val="bottom"/>
            <w:shd w:val="clear" w:color="auto" w:fill="CFF0FC"/>
          </w:tcPr>
          <w:p>
            <w:pPr>
              <w:spacing w:after="0"/>
              <w:rPr>
                <w:sz w:val="18"/>
                <w:szCs w:val="18"/>
                <w:color w:val="auto"/>
              </w:rPr>
            </w:pPr>
          </w:p>
        </w:tc>
        <w:tc>
          <w:tcPr>
            <w:tcW w:w="240" w:type="dxa"/>
            <w:vAlign w:val="bottom"/>
            <w:shd w:val="clear" w:color="auto" w:fill="CFF0FC"/>
          </w:tcPr>
          <w:p>
            <w:pPr>
              <w:ind w:left="40"/>
              <w:spacing w:after="0"/>
              <w:rPr>
                <w:sz w:val="20"/>
                <w:szCs w:val="20"/>
                <w:color w:val="auto"/>
              </w:rPr>
            </w:pPr>
            <w:r>
              <w:rPr>
                <w:rFonts w:ascii="Times New Roman" w:cs="Times New Roman" w:eastAsia="Times New Roman" w:hAnsi="Times New Roman"/>
                <w:sz w:val="18"/>
                <w:szCs w:val="18"/>
                <w:color w:val="auto"/>
                <w:w w:val="99"/>
              </w:rPr>
              <w:t>—</w:t>
            </w:r>
          </w:p>
        </w:tc>
        <w:tc>
          <w:tcPr>
            <w:tcW w:w="260" w:type="dxa"/>
            <w:vAlign w:val="bottom"/>
            <w:shd w:val="clear" w:color="auto" w:fill="CFF0FC"/>
          </w:tcPr>
          <w:p>
            <w:pPr>
              <w:spacing w:after="0"/>
              <w:rPr>
                <w:sz w:val="18"/>
                <w:szCs w:val="18"/>
                <w:color w:val="auto"/>
              </w:rPr>
            </w:pPr>
          </w:p>
        </w:tc>
        <w:tc>
          <w:tcPr>
            <w:tcW w:w="16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546,283</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May 1, 2022 - May 31, 2022</w:t>
            </w:r>
          </w:p>
        </w:tc>
        <w:tc>
          <w:tcPr>
            <w:tcW w:w="14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w:t>
            </w:r>
          </w:p>
        </w:tc>
        <w:tc>
          <w:tcPr>
            <w:tcW w:w="1480" w:type="dxa"/>
            <w:vAlign w:val="bottom"/>
            <w:gridSpan w:val="2"/>
          </w:tcPr>
          <w:p>
            <w:pPr>
              <w:jc w:val="right"/>
              <w:ind w:right="1001"/>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33.10</w:t>
            </w: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240" w:type="dxa"/>
            <w:vAlign w:val="bottom"/>
          </w:tcPr>
          <w:p>
            <w:pPr>
              <w:ind w:left="40"/>
              <w:spacing w:after="0"/>
              <w:rPr>
                <w:sz w:val="20"/>
                <w:szCs w:val="20"/>
                <w:color w:val="auto"/>
              </w:rPr>
            </w:pPr>
            <w:r>
              <w:rPr>
                <w:rFonts w:ascii="Times New Roman" w:cs="Times New Roman" w:eastAsia="Times New Roman" w:hAnsi="Times New Roman"/>
                <w:sz w:val="18"/>
                <w:szCs w:val="18"/>
                <w:color w:val="auto"/>
                <w:w w:val="99"/>
              </w:rPr>
              <w:t>—</w:t>
            </w:r>
          </w:p>
        </w:tc>
        <w:tc>
          <w:tcPr>
            <w:tcW w:w="1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546,283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40" w:type="dxa"/>
            <w:vAlign w:val="bottom"/>
            <w:tcBorders>
              <w:bottom w:val="single" w:sz="8" w:color="CFF0FC"/>
            </w:tcBorders>
            <w:shd w:val="clear" w:color="auto" w:fill="CFF0FC"/>
          </w:tcPr>
          <w:p>
            <w:pPr>
              <w:ind w:left="20"/>
              <w:spacing w:after="0"/>
              <w:rPr>
                <w:sz w:val="20"/>
                <w:szCs w:val="20"/>
                <w:color w:val="auto"/>
              </w:rPr>
            </w:pPr>
            <w:r>
              <w:rPr>
                <w:rFonts w:ascii="Times New Roman" w:cs="Times New Roman" w:eastAsia="Times New Roman" w:hAnsi="Times New Roman"/>
                <w:sz w:val="18"/>
                <w:szCs w:val="18"/>
                <w:color w:val="auto"/>
              </w:rPr>
              <w:t>June 1, 2022 - June 30, 2022</w:t>
            </w:r>
          </w:p>
        </w:tc>
        <w:tc>
          <w:tcPr>
            <w:tcW w:w="1420" w:type="dxa"/>
            <w:vAlign w:val="bottom"/>
            <w:tcBorders>
              <w:bottom w:val="single" w:sz="8" w:color="auto"/>
            </w:tcBorders>
            <w:shd w:val="clear" w:color="auto" w:fill="CFF0FC"/>
          </w:tcPr>
          <w:p>
            <w:pPr>
              <w:spacing w:after="0"/>
              <w:rPr>
                <w:sz w:val="18"/>
                <w:szCs w:val="18"/>
                <w:color w:val="auto"/>
              </w:rPr>
            </w:pPr>
          </w:p>
        </w:tc>
        <w:tc>
          <w:tcPr>
            <w:tcW w:w="30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Borders>
              <w:bottom w:val="single" w:sz="8" w:color="CFF0FC"/>
            </w:tcBorders>
            <w:shd w:val="clear" w:color="auto" w:fill="CFF0FC"/>
          </w:tcPr>
          <w:p>
            <w:pPr>
              <w:spacing w:after="0"/>
              <w:rPr>
                <w:sz w:val="18"/>
                <w:szCs w:val="18"/>
                <w:color w:val="auto"/>
              </w:rPr>
            </w:pPr>
          </w:p>
        </w:tc>
        <w:tc>
          <w:tcPr>
            <w:tcW w:w="1180" w:type="dxa"/>
            <w:vAlign w:val="bottom"/>
            <w:tcBorders>
              <w:bottom w:val="single" w:sz="8" w:color="auto"/>
            </w:tcBorders>
            <w:shd w:val="clear" w:color="auto" w:fill="CFF0FC"/>
          </w:tcPr>
          <w:p>
            <w:pPr>
              <w:jc w:val="right"/>
              <w:ind w:right="1001"/>
              <w:spacing w:after="0"/>
              <w:rPr>
                <w:sz w:val="20"/>
                <w:szCs w:val="20"/>
                <w:color w:val="auto"/>
              </w:rPr>
            </w:pPr>
            <w:r>
              <w:rPr>
                <w:rFonts w:ascii="Times New Roman" w:cs="Times New Roman" w:eastAsia="Times New Roman" w:hAnsi="Times New Roman"/>
                <w:sz w:val="18"/>
                <w:szCs w:val="18"/>
                <w:color w:val="auto"/>
                <w:w w:val="88"/>
              </w:rPr>
              <w:t>$</w:t>
            </w:r>
          </w:p>
        </w:tc>
        <w:tc>
          <w:tcPr>
            <w:tcW w:w="46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bottom w:val="single" w:sz="8" w:color="CFF0FC"/>
            </w:tcBorders>
            <w:shd w:val="clear" w:color="auto" w:fill="CFF0FC"/>
          </w:tcPr>
          <w:p>
            <w:pPr>
              <w:spacing w:after="0"/>
              <w:rPr>
                <w:sz w:val="18"/>
                <w:szCs w:val="18"/>
                <w:color w:val="auto"/>
              </w:rPr>
            </w:pPr>
          </w:p>
        </w:tc>
        <w:tc>
          <w:tcPr>
            <w:tcW w:w="1540" w:type="dxa"/>
            <w:vAlign w:val="bottom"/>
            <w:tcBorders>
              <w:bottom w:val="single" w:sz="8" w:color="auto"/>
            </w:tcBorders>
            <w:shd w:val="clear" w:color="auto" w:fill="CFF0FC"/>
          </w:tcPr>
          <w:p>
            <w:pPr>
              <w:spacing w:after="0"/>
              <w:rPr>
                <w:sz w:val="18"/>
                <w:szCs w:val="18"/>
                <w:color w:val="auto"/>
              </w:rPr>
            </w:pPr>
          </w:p>
        </w:tc>
        <w:tc>
          <w:tcPr>
            <w:tcW w:w="240" w:type="dxa"/>
            <w:vAlign w:val="bottom"/>
            <w:tcBorders>
              <w:bottom w:val="single" w:sz="8" w:color="auto"/>
            </w:tcBorders>
            <w:shd w:val="clear" w:color="auto" w:fill="CFF0FC"/>
          </w:tcPr>
          <w:p>
            <w:pPr>
              <w:ind w:left="40"/>
              <w:spacing w:after="0"/>
              <w:rPr>
                <w:sz w:val="20"/>
                <w:szCs w:val="20"/>
                <w:color w:val="auto"/>
              </w:rPr>
            </w:pPr>
            <w:r>
              <w:rPr>
                <w:rFonts w:ascii="Times New Roman" w:cs="Times New Roman" w:eastAsia="Times New Roman" w:hAnsi="Times New Roman"/>
                <w:sz w:val="18"/>
                <w:szCs w:val="18"/>
                <w:color w:val="auto"/>
                <w:w w:val="99"/>
              </w:rPr>
              <w:t>—</w:t>
            </w:r>
          </w:p>
        </w:tc>
        <w:tc>
          <w:tcPr>
            <w:tcW w:w="260" w:type="dxa"/>
            <w:vAlign w:val="bottom"/>
            <w:tcBorders>
              <w:bottom w:val="single" w:sz="8" w:color="CFF0FC"/>
            </w:tcBorders>
            <w:shd w:val="clear" w:color="auto" w:fill="CFF0FC"/>
          </w:tcPr>
          <w:p>
            <w:pPr>
              <w:spacing w:after="0"/>
              <w:rPr>
                <w:sz w:val="18"/>
                <w:szCs w:val="18"/>
                <w:color w:val="auto"/>
              </w:rPr>
            </w:pPr>
          </w:p>
        </w:tc>
        <w:tc>
          <w:tcPr>
            <w:tcW w:w="16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546,283</w:t>
            </w:r>
          </w:p>
        </w:tc>
        <w:tc>
          <w:tcPr>
            <w:tcW w:w="100" w:type="dxa"/>
            <w:vAlign w:val="bottom"/>
            <w:tcBorders>
              <w:bottom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5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142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137</w:t>
            </w:r>
          </w:p>
        </w:tc>
        <w:tc>
          <w:tcPr>
            <w:tcW w:w="1480" w:type="dxa"/>
            <w:vAlign w:val="bottom"/>
            <w:gridSpan w:val="2"/>
          </w:tcPr>
          <w:p>
            <w:pPr>
              <w:jc w:val="right"/>
              <w:ind w:right="1001"/>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33.78</w:t>
            </w:r>
          </w:p>
        </w:tc>
        <w:tc>
          <w:tcPr>
            <w:tcW w:w="26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240" w:type="dxa"/>
            <w:vAlign w:val="bottom"/>
          </w:tcPr>
          <w:p>
            <w:pPr>
              <w:ind w:left="40"/>
              <w:spacing w:after="0"/>
              <w:rPr>
                <w:sz w:val="20"/>
                <w:szCs w:val="20"/>
                <w:color w:val="auto"/>
              </w:rPr>
            </w:pPr>
            <w:r>
              <w:rPr>
                <w:rFonts w:ascii="Times New Roman" w:cs="Times New Roman" w:eastAsia="Times New Roman" w:hAnsi="Times New Roman"/>
                <w:sz w:val="18"/>
                <w:szCs w:val="18"/>
                <w:color w:val="auto"/>
                <w:w w:val="99"/>
              </w:rPr>
              <w:t>—</w:t>
            </w:r>
          </w:p>
        </w:tc>
        <w:tc>
          <w:tcPr>
            <w:tcW w:w="1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546,283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3344545</wp:posOffset>
            </wp:positionH>
            <wp:positionV relativeFrom="paragraph">
              <wp:posOffset>-170815</wp:posOffset>
            </wp:positionV>
            <wp:extent cx="76835" cy="8255"/>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76">
                      <a:extLst>
                        <a:ext uri="{28A0092B-C50C-407E-A947-70E740481C1C}"/>
                      </a:extLst>
                    </a:blip>
                    <a:srcRect/>
                    <a:stretch>
                      <a:fillRect/>
                    </a:stretch>
                  </pic:blipFill>
                  <pic:spPr bwMode="auto">
                    <a:xfrm>
                      <a:off x="0" y="0"/>
                      <a:ext cx="76835" cy="8255"/>
                    </a:xfrm>
                    <a:prstGeom prst="rect">
                      <a:avLst/>
                    </a:prstGeom>
                    <a:noFill/>
                  </pic:spPr>
                </pic:pic>
              </a:graphicData>
            </a:graphic>
          </wp:anchor>
        </w:drawing>
        <w:drawing>
          <wp:anchor simplePos="0" relativeHeight="251657728" behindDoc="1" locked="0" layoutInCell="0" allowOverlap="1">
            <wp:simplePos x="0" y="0"/>
            <wp:positionH relativeFrom="column">
              <wp:posOffset>4568825</wp:posOffset>
            </wp:positionH>
            <wp:positionV relativeFrom="paragraph">
              <wp:posOffset>-170815</wp:posOffset>
            </wp:positionV>
            <wp:extent cx="68580" cy="8255"/>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77">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5861685</wp:posOffset>
            </wp:positionH>
            <wp:positionV relativeFrom="paragraph">
              <wp:posOffset>-170815</wp:posOffset>
            </wp:positionV>
            <wp:extent cx="68580" cy="8255"/>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78">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-170815</wp:posOffset>
            </wp:positionV>
            <wp:extent cx="68580" cy="8255"/>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79">
                      <a:extLst>
                        <a:ext uri="{28A0092B-C50C-407E-A947-70E740481C1C}"/>
                      </a:extLst>
                    </a:blip>
                    <a:srcRect/>
                    <a:stretch>
                      <a:fillRect/>
                    </a:stretch>
                  </pic:blipFill>
                  <pic:spPr bwMode="auto">
                    <a:xfrm>
                      <a:off x="0" y="0"/>
                      <a:ext cx="68580" cy="8255"/>
                    </a:xfrm>
                    <a:prstGeom prst="rect">
                      <a:avLst/>
                    </a:prstGeom>
                    <a:noFill/>
                  </pic:spPr>
                </pic:pic>
              </a:graphicData>
            </a:graphic>
          </wp:anchor>
        </w:drawing>
      </w:r>
    </w:p>
    <w:p>
      <w:pPr>
        <w:spacing w:after="0" w:line="272"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18"/>
          <w:szCs w:val="18"/>
          <w:color w:val="auto"/>
        </w:rPr>
        <w:t>Pursuant to previously announced authorizations, our Board of Directors authorized us to repurchase shares of our common stock from time to time at prevailing market prices. Effective February 7, 2019, our Board of Directors authorized the repurchase of an additional 500,000 shares. In March 2020, our Board of Directors suspended future dividend payments and our share repurchase program for the foreseeable future. The Board of Directors’ authorization does not have an expiration date. During the second quarter of 2022, certain previously owned shares of common stock were surrendered by employees, former employees, and non-employee directors for tax withholding requirements on vested share-based awards.</w:t>
      </w:r>
    </w:p>
    <w:p>
      <w:pPr>
        <w:spacing w:after="0" w:line="1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43" w:name="page44"/>
    <w:bookmarkEnd w:id="43"/>
    <w:p>
      <w:pPr>
        <w:spacing w:after="0"/>
        <w:rPr>
          <w:sz w:val="20"/>
          <w:szCs w:val="20"/>
          <w:color w:val="auto"/>
        </w:rPr>
      </w:pPr>
      <w:r>
        <w:rPr>
          <w:rFonts w:ascii="Times New Roman" w:cs="Times New Roman" w:eastAsia="Times New Roman" w:hAnsi="Times New Roman"/>
          <w:sz w:val="18"/>
          <w:szCs w:val="18"/>
          <w:b w:val="1"/>
          <w:bCs w:val="1"/>
          <w:color w:val="auto"/>
        </w:rPr>
        <w:t>Item 6. EXHIBITS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86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8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7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5"/>
          </w:tcPr>
          <w:p>
            <w:pPr>
              <w:ind w:left="420"/>
              <w:spacing w:after="0"/>
              <w:rPr>
                <w:sz w:val="20"/>
                <w:szCs w:val="20"/>
                <w:color w:val="auto"/>
              </w:rPr>
            </w:pPr>
            <w:r>
              <w:rPr>
                <w:rFonts w:ascii="Times New Roman" w:cs="Times New Roman" w:eastAsia="Times New Roman" w:hAnsi="Times New Roman"/>
                <w:sz w:val="14"/>
                <w:szCs w:val="14"/>
                <w:b w:val="1"/>
                <w:bCs w:val="1"/>
                <w:color w:val="auto"/>
              </w:rPr>
              <w:t>Incorporated by Reference</w:t>
            </w: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860" w:type="dxa"/>
            <w:vAlign w:val="bottom"/>
            <w:vMerge w:val="continue"/>
          </w:tcPr>
          <w:p>
            <w:pPr>
              <w:spacing w:after="0"/>
              <w:rPr>
                <w:sz w:val="10"/>
                <w:szCs w:val="10"/>
                <w:color w:val="auto"/>
              </w:rPr>
            </w:pPr>
          </w:p>
        </w:tc>
        <w:tc>
          <w:tcPr>
            <w:tcW w:w="800" w:type="dxa"/>
            <w:vAlign w:val="bottom"/>
          </w:tcPr>
          <w:p>
            <w:pPr>
              <w:spacing w:after="0"/>
              <w:rPr>
                <w:sz w:val="10"/>
                <w:szCs w:val="10"/>
                <w:color w:val="auto"/>
              </w:rPr>
            </w:pPr>
          </w:p>
        </w:tc>
        <w:tc>
          <w:tcPr>
            <w:tcW w:w="5580" w:type="dxa"/>
            <w:vAlign w:val="bottom"/>
            <w:gridSpan w:val="10"/>
            <w:vMerge w:val="restart"/>
          </w:tcPr>
          <w:p>
            <w:pPr>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100" w:type="dxa"/>
            <w:vAlign w:val="bottom"/>
            <w:vMerge w:val="restart"/>
          </w:tcPr>
          <w:p>
            <w:pPr>
              <w:spacing w:after="0"/>
              <w:rPr>
                <w:sz w:val="10"/>
                <w:szCs w:val="10"/>
                <w:color w:val="auto"/>
              </w:rPr>
            </w:pPr>
          </w:p>
        </w:tc>
        <w:tc>
          <w:tcPr>
            <w:tcW w:w="6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Form</w:t>
            </w:r>
          </w:p>
        </w:tc>
        <w:tc>
          <w:tcPr>
            <w:tcW w:w="100" w:type="dxa"/>
            <w:vAlign w:val="bottom"/>
          </w:tcPr>
          <w:p>
            <w:pPr>
              <w:spacing w:after="0"/>
              <w:rPr>
                <w:sz w:val="10"/>
                <w:szCs w:val="10"/>
                <w:color w:val="auto"/>
              </w:rPr>
            </w:pPr>
          </w:p>
        </w:tc>
        <w:tc>
          <w:tcPr>
            <w:tcW w:w="1200" w:type="dxa"/>
            <w:vAlign w:val="bottom"/>
          </w:tcPr>
          <w:p>
            <w:pPr>
              <w:ind w:left="400"/>
              <w:spacing w:after="0" w:line="117" w:lineRule="exact"/>
              <w:rPr>
                <w:sz w:val="20"/>
                <w:szCs w:val="20"/>
                <w:color w:val="auto"/>
              </w:rPr>
            </w:pPr>
            <w:r>
              <w:rPr>
                <w:rFonts w:ascii="Times New Roman" w:cs="Times New Roman" w:eastAsia="Times New Roman" w:hAnsi="Times New Roman"/>
                <w:sz w:val="13"/>
                <w:szCs w:val="13"/>
                <w:b w:val="1"/>
                <w:bCs w:val="1"/>
                <w:color w:val="auto"/>
              </w:rPr>
              <w:t>Period</w:t>
            </w:r>
          </w:p>
        </w:tc>
        <w:tc>
          <w:tcPr>
            <w:tcW w:w="100" w:type="dxa"/>
            <w:vAlign w:val="bottom"/>
          </w:tcPr>
          <w:p>
            <w:pPr>
              <w:spacing w:after="0"/>
              <w:rPr>
                <w:sz w:val="10"/>
                <w:szCs w:val="10"/>
                <w:color w:val="auto"/>
              </w:rPr>
            </w:pPr>
          </w:p>
        </w:tc>
        <w:tc>
          <w:tcPr>
            <w:tcW w:w="6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20" w:type="dxa"/>
            <w:vAlign w:val="bottom"/>
            <w:vMerge w:val="restart"/>
          </w:tcPr>
          <w:p>
            <w:pPr>
              <w:spacing w:after="0"/>
              <w:rPr>
                <w:sz w:val="10"/>
                <w:szCs w:val="10"/>
                <w:color w:val="auto"/>
              </w:rPr>
            </w:pPr>
          </w:p>
        </w:tc>
        <w:tc>
          <w:tcPr>
            <w:tcW w:w="140" w:type="dxa"/>
            <w:vAlign w:val="bottom"/>
            <w:vMerge w:val="restart"/>
          </w:tcPr>
          <w:p>
            <w:pPr>
              <w:spacing w:after="0"/>
              <w:rPr>
                <w:sz w:val="10"/>
                <w:szCs w:val="10"/>
                <w:color w:val="auto"/>
              </w:rPr>
            </w:pPr>
          </w:p>
        </w:tc>
        <w:tc>
          <w:tcPr>
            <w:tcW w:w="1040" w:type="dxa"/>
            <w:vAlign w:val="bottom"/>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Filing Date</w:t>
            </w:r>
          </w:p>
        </w:tc>
        <w:tc>
          <w:tcPr>
            <w:tcW w:w="0" w:type="dxa"/>
            <w:vAlign w:val="bottom"/>
          </w:tcPr>
          <w:p>
            <w:pPr>
              <w:spacing w:after="0"/>
              <w:rPr>
                <w:sz w:val="1"/>
                <w:szCs w:val="1"/>
                <w:color w:val="auto"/>
              </w:rPr>
            </w:pPr>
          </w:p>
        </w:tc>
      </w:tr>
      <w:tr>
        <w:trPr>
          <w:trHeight w:val="187"/>
        </w:trPr>
        <w:tc>
          <w:tcPr>
            <w:tcW w:w="86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800" w:type="dxa"/>
            <w:vAlign w:val="bottom"/>
          </w:tcPr>
          <w:p>
            <w:pPr>
              <w:spacing w:after="0"/>
              <w:rPr>
                <w:sz w:val="16"/>
                <w:szCs w:val="16"/>
                <w:color w:val="auto"/>
              </w:rPr>
            </w:pPr>
          </w:p>
        </w:tc>
        <w:tc>
          <w:tcPr>
            <w:tcW w:w="5580" w:type="dxa"/>
            <w:vAlign w:val="bottom"/>
            <w:tcBorders>
              <w:bottom w:val="single" w:sz="8" w:color="auto"/>
            </w:tcBorders>
            <w:gridSpan w:val="10"/>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Borders>
              <w:bottom w:val="single" w:sz="8" w:color="auto"/>
            </w:tcBorders>
          </w:tcPr>
          <w:p>
            <w:pPr>
              <w:ind w:left="380"/>
              <w:spacing w:after="0"/>
              <w:rPr>
                <w:sz w:val="20"/>
                <w:szCs w:val="20"/>
                <w:color w:val="auto"/>
              </w:rPr>
            </w:pPr>
            <w:r>
              <w:rPr>
                <w:rFonts w:ascii="Times New Roman" w:cs="Times New Roman" w:eastAsia="Times New Roman" w:hAnsi="Times New Roman"/>
                <w:sz w:val="14"/>
                <w:szCs w:val="14"/>
                <w:b w:val="1"/>
                <w:bCs w:val="1"/>
                <w:color w:val="auto"/>
              </w:rPr>
              <w:t>Ending</w:t>
            </w:r>
          </w:p>
        </w:tc>
        <w:tc>
          <w:tcPr>
            <w:tcW w:w="100" w:type="dxa"/>
            <w:vAlign w:val="bottom"/>
          </w:tcPr>
          <w:p>
            <w:pPr>
              <w:spacing w:after="0"/>
              <w:rPr>
                <w:sz w:val="16"/>
                <w:szCs w:val="16"/>
                <w:color w:val="auto"/>
              </w:rPr>
            </w:pPr>
          </w:p>
        </w:tc>
        <w:tc>
          <w:tcPr>
            <w:tcW w:w="6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0" w:type="dxa"/>
            <w:vAlign w:val="bottom"/>
            <w:tcBorders>
              <w:bottom w:val="single" w:sz="8" w:color="auto"/>
            </w:tcBorders>
            <w:vMerge w:val="continue"/>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58"/>
        </w:trPr>
        <w:tc>
          <w:tcPr>
            <w:tcW w:w="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w:t>
            </w:r>
          </w:p>
        </w:tc>
        <w:tc>
          <w:tcPr>
            <w:tcW w:w="800" w:type="dxa"/>
            <w:vAlign w:val="bottom"/>
          </w:tcPr>
          <w:p>
            <w:pPr>
              <w:spacing w:after="0"/>
              <w:rPr>
                <w:sz w:val="24"/>
                <w:szCs w:val="24"/>
                <w:color w:val="auto"/>
              </w:rPr>
            </w:pPr>
          </w:p>
        </w:tc>
        <w:tc>
          <w:tcPr>
            <w:tcW w:w="5680" w:type="dxa"/>
            <w:vAlign w:val="bottom"/>
            <w:gridSpan w:val="11"/>
          </w:tcPr>
          <w:p>
            <w:pPr>
              <w:spacing w:after="0"/>
              <w:rPr>
                <w:rFonts w:ascii="Times New Roman" w:cs="Times New Roman" w:eastAsia="Times New Roman" w:hAnsi="Times New Roman"/>
                <w:sz w:val="18"/>
                <w:szCs w:val="18"/>
                <w:color w:val="0000FF"/>
              </w:rPr>
            </w:pPr>
            <w:hyperlink r:id="rId481">
              <w:r>
                <w:rPr>
                  <w:rFonts w:ascii="Times New Roman" w:cs="Times New Roman" w:eastAsia="Times New Roman" w:hAnsi="Times New Roman"/>
                  <w:sz w:val="18"/>
                  <w:szCs w:val="18"/>
                  <w:color w:val="0000FF"/>
                </w:rPr>
                <w:t>2017 Viad Corp Omnibus Incentive Plan, amended and restated effective</w:t>
              </w:r>
            </w:hyperlink>
          </w:p>
        </w:tc>
        <w:tc>
          <w:tcPr>
            <w:tcW w:w="6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8-K</w:t>
            </w: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700" w:type="dxa"/>
            <w:vAlign w:val="bottom"/>
            <w:gridSpan w:val="2"/>
            <w:vMerge w:val="restart"/>
          </w:tcPr>
          <w:p>
            <w:pPr>
              <w:jc w:val="right"/>
              <w:ind w:right="68"/>
              <w:spacing w:after="0"/>
              <w:rPr>
                <w:sz w:val="20"/>
                <w:szCs w:val="20"/>
                <w:color w:val="auto"/>
              </w:rPr>
            </w:pPr>
            <w:r>
              <w:rPr>
                <w:rFonts w:ascii="Times New Roman" w:cs="Times New Roman" w:eastAsia="Times New Roman" w:hAnsi="Times New Roman"/>
                <w:sz w:val="18"/>
                <w:szCs w:val="18"/>
                <w:color w:val="auto"/>
              </w:rPr>
              <w:t>10.1</w:t>
            </w: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vMerge w:val="restart"/>
          </w:tcPr>
          <w:p>
            <w:pPr>
              <w:ind w:left="80"/>
              <w:spacing w:after="0"/>
              <w:rPr>
                <w:sz w:val="20"/>
                <w:szCs w:val="20"/>
                <w:color w:val="auto"/>
              </w:rPr>
            </w:pPr>
            <w:r>
              <w:rPr>
                <w:rFonts w:ascii="Times New Roman" w:cs="Times New Roman" w:eastAsia="Times New Roman" w:hAnsi="Times New Roman"/>
                <w:sz w:val="18"/>
                <w:szCs w:val="18"/>
                <w:color w:val="auto"/>
              </w:rPr>
              <w:t>5/26/2022</w:t>
            </w:r>
          </w:p>
        </w:tc>
        <w:tc>
          <w:tcPr>
            <w:tcW w:w="0" w:type="dxa"/>
            <w:vAlign w:val="bottom"/>
          </w:tcPr>
          <w:p>
            <w:pPr>
              <w:spacing w:after="0"/>
              <w:rPr>
                <w:sz w:val="1"/>
                <w:szCs w:val="1"/>
                <w:color w:val="auto"/>
              </w:rPr>
            </w:pPr>
          </w:p>
        </w:tc>
      </w:tr>
      <w:tr>
        <w:trPr>
          <w:trHeight w:val="169"/>
        </w:trPr>
        <w:tc>
          <w:tcPr>
            <w:tcW w:w="8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60" w:type="dxa"/>
            <w:vAlign w:val="bottom"/>
            <w:tcBorders>
              <w:top w:val="single" w:sz="8" w:color="0000FF"/>
              <w:bottom w:val="single" w:sz="8" w:color="0000FF"/>
            </w:tcBorders>
          </w:tcPr>
          <w:p>
            <w:pPr>
              <w:spacing w:after="0" w:line="169" w:lineRule="exact"/>
              <w:rPr>
                <w:rFonts w:ascii="Times New Roman" w:cs="Times New Roman" w:eastAsia="Times New Roman" w:hAnsi="Times New Roman"/>
                <w:sz w:val="18"/>
                <w:szCs w:val="18"/>
                <w:color w:val="0000FF"/>
                <w:w w:val="99"/>
              </w:rPr>
            </w:pPr>
            <w:hyperlink r:id="rId481">
              <w:r>
                <w:rPr>
                  <w:rFonts w:ascii="Times New Roman" w:cs="Times New Roman" w:eastAsia="Times New Roman" w:hAnsi="Times New Roman"/>
                  <w:sz w:val="18"/>
                  <w:szCs w:val="18"/>
                  <w:color w:val="0000FF"/>
                  <w:w w:val="99"/>
                </w:rPr>
                <w:t>May 24, 2022.</w:t>
              </w:r>
            </w:hyperlink>
          </w:p>
        </w:tc>
        <w:tc>
          <w:tcPr>
            <w:tcW w:w="20" w:type="dxa"/>
            <w:vAlign w:val="bottom"/>
            <w:tcBorders>
              <w:top w:val="single" w:sz="8" w:color="0000FF"/>
              <w:bottom w:val="single" w:sz="8" w:color="0000EE"/>
            </w:tcBorders>
          </w:tcPr>
          <w:p>
            <w:pPr>
              <w:spacing w:after="0"/>
              <w:rPr>
                <w:sz w:val="14"/>
                <w:szCs w:val="14"/>
                <w:color w:val="auto"/>
              </w:rPr>
            </w:pPr>
          </w:p>
        </w:tc>
        <w:tc>
          <w:tcPr>
            <w:tcW w:w="4220" w:type="dxa"/>
            <w:vAlign w:val="bottom"/>
            <w:tcBorders>
              <w:top w:val="single" w:sz="8" w:color="0000FF"/>
            </w:tcBorders>
            <w:gridSpan w:val="5"/>
          </w:tcPr>
          <w:p>
            <w:pPr>
              <w:spacing w:after="0"/>
              <w:rPr>
                <w:sz w:val="14"/>
                <w:szCs w:val="14"/>
                <w:color w:val="auto"/>
              </w:rPr>
            </w:pPr>
          </w:p>
        </w:tc>
        <w:tc>
          <w:tcPr>
            <w:tcW w:w="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gridSpan w:val="2"/>
          </w:tcPr>
          <w:p>
            <w:pPr>
              <w:spacing w:after="0"/>
              <w:rPr>
                <w:sz w:val="14"/>
                <w:szCs w:val="14"/>
                <w:color w:val="auto"/>
              </w:rPr>
            </w:pPr>
          </w:p>
        </w:tc>
        <w:tc>
          <w:tcPr>
            <w:tcW w:w="6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70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85"/>
        </w:trPr>
        <w:tc>
          <w:tcPr>
            <w:tcW w:w="86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31.1</w:t>
            </w:r>
          </w:p>
        </w:tc>
        <w:tc>
          <w:tcPr>
            <w:tcW w:w="8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Certification of Chief Executive Officer of Viad Corp pursuant to Section</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86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2880" w:type="dxa"/>
            <w:vAlign w:val="bottom"/>
            <w:tcBorders>
              <w:top w:val="single" w:sz="8" w:color="0000FF"/>
              <w:bottom w:val="single" w:sz="8" w:color="0000FF"/>
            </w:tcBorders>
            <w:gridSpan w:val="4"/>
          </w:tcPr>
          <w:p>
            <w:pPr>
              <w:spacing w:after="0" w:line="169" w:lineRule="exact"/>
              <w:rPr>
                <w:sz w:val="20"/>
                <w:szCs w:val="20"/>
                <w:color w:val="auto"/>
              </w:rPr>
            </w:pPr>
            <w:r>
              <w:rPr>
                <w:rFonts w:ascii="Times New Roman" w:cs="Times New Roman" w:eastAsia="Times New Roman" w:hAnsi="Times New Roman"/>
                <w:sz w:val="18"/>
                <w:szCs w:val="18"/>
                <w:color w:val="0000FF"/>
                <w:w w:val="99"/>
              </w:rPr>
              <w:t>302 of the Sarbanes-Oxley Act of 2002.</w:t>
            </w:r>
          </w:p>
        </w:tc>
        <w:tc>
          <w:tcPr>
            <w:tcW w:w="20" w:type="dxa"/>
            <w:vAlign w:val="bottom"/>
            <w:tcBorders>
              <w:top w:val="single" w:sz="8" w:color="0000FF"/>
              <w:bottom w:val="single" w:sz="8" w:color="0000EE"/>
            </w:tcBorders>
          </w:tcPr>
          <w:p>
            <w:pPr>
              <w:spacing w:after="0"/>
              <w:rPr>
                <w:sz w:val="14"/>
                <w:szCs w:val="14"/>
                <w:color w:val="auto"/>
              </w:rPr>
            </w:pPr>
          </w:p>
        </w:tc>
        <w:tc>
          <w:tcPr>
            <w:tcW w:w="2440" w:type="dxa"/>
            <w:vAlign w:val="bottom"/>
            <w:tcBorders>
              <w:top w:val="single" w:sz="8" w:color="0000FF"/>
            </w:tcBorders>
            <w:gridSpan w:val="3"/>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gridSpan w:val="2"/>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85"/>
        </w:trPr>
        <w:tc>
          <w:tcPr>
            <w:tcW w:w="86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31.2</w:t>
            </w:r>
          </w:p>
        </w:tc>
        <w:tc>
          <w:tcPr>
            <w:tcW w:w="8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Certification of Chief Financial Officer of Viad Corp pursuant to Section 302</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86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5560" w:type="dxa"/>
            <w:vAlign w:val="bottom"/>
            <w:tcBorders>
              <w:top w:val="single" w:sz="8" w:color="0000FF"/>
            </w:tcBorders>
            <w:gridSpan w:val="9"/>
          </w:tcPr>
          <w:p>
            <w:pPr>
              <w:spacing w:after="0" w:line="169" w:lineRule="exact"/>
              <w:rPr>
                <w:sz w:val="20"/>
                <w:szCs w:val="20"/>
                <w:color w:val="auto"/>
              </w:rPr>
            </w:pPr>
            <w:r>
              <w:rPr>
                <w:rFonts w:ascii="Times New Roman" w:cs="Times New Roman" w:eastAsia="Times New Roman" w:hAnsi="Times New Roman"/>
                <w:sz w:val="18"/>
                <w:szCs w:val="18"/>
                <w:color w:val="0000FF"/>
              </w:rPr>
              <w:t>of the Sarbanes-Oxley Act of 2002</w:t>
            </w:r>
            <w:r>
              <w:rPr>
                <w:rFonts w:ascii="Times New Roman" w:cs="Times New Roman" w:eastAsia="Times New Roman" w:hAnsi="Times New Roman"/>
                <w:sz w:val="18"/>
                <w:szCs w:val="18"/>
                <w:color w:val="000000"/>
              </w:rPr>
              <w:t>.</w:t>
            </w:r>
          </w:p>
        </w:tc>
        <w:tc>
          <w:tcPr>
            <w:tcW w:w="120" w:type="dxa"/>
            <w:vAlign w:val="bottom"/>
            <w:gridSpan w:val="2"/>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540" w:type="dxa"/>
            <w:vAlign w:val="bottom"/>
            <w:tcBorders>
              <w:left w:val="single" w:sz="8" w:color="0000EE"/>
              <w:right w:val="single" w:sz="8" w:color="0000EE"/>
            </w:tcBorders>
            <w:gridSpan w:val="3"/>
            <w:shd w:val="clear" w:color="auto" w:fill="0000FF"/>
          </w:tcPr>
          <w:p>
            <w:pPr>
              <w:spacing w:after="0" w:line="20" w:lineRule="exact"/>
              <w:rPr>
                <w:sz w:val="1"/>
                <w:szCs w:val="1"/>
                <w:color w:val="auto"/>
              </w:rPr>
            </w:pPr>
          </w:p>
        </w:tc>
        <w:tc>
          <w:tcPr>
            <w:tcW w:w="2120" w:type="dxa"/>
            <w:vAlign w:val="bottom"/>
            <w:gridSpan w:val="3"/>
          </w:tcPr>
          <w:p>
            <w:pPr>
              <w:spacing w:after="0" w:line="20" w:lineRule="exact"/>
              <w:rPr>
                <w:sz w:val="1"/>
                <w:szCs w:val="1"/>
                <w:color w:val="auto"/>
              </w:rPr>
            </w:pPr>
          </w:p>
        </w:tc>
        <w:tc>
          <w:tcPr>
            <w:tcW w:w="1020" w:type="dxa"/>
            <w:vAlign w:val="bottom"/>
            <w:gridSpan w:val="5"/>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73"/>
        </w:trPr>
        <w:tc>
          <w:tcPr>
            <w:tcW w:w="86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32.1</w:t>
            </w:r>
          </w:p>
        </w:tc>
        <w:tc>
          <w:tcPr>
            <w:tcW w:w="800" w:type="dxa"/>
            <w:vAlign w:val="bottom"/>
            <w:vMerge w:val="restart"/>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0000FF"/>
              </w:rPr>
              <w:t>Certifications of Chief Executive Officer and Chief Financial Officer of Viad</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60" w:type="dxa"/>
            <w:vAlign w:val="bottom"/>
            <w:vMerge w:val="continue"/>
          </w:tcPr>
          <w:p>
            <w:pPr>
              <w:spacing w:after="0" w:line="20" w:lineRule="exact"/>
              <w:rPr>
                <w:sz w:val="1"/>
                <w:szCs w:val="1"/>
                <w:color w:val="auto"/>
              </w:rPr>
            </w:pPr>
          </w:p>
        </w:tc>
        <w:tc>
          <w:tcPr>
            <w:tcW w:w="800" w:type="dxa"/>
            <w:vAlign w:val="bottom"/>
            <w:vMerge w:val="continue"/>
          </w:tcPr>
          <w:p>
            <w:pPr>
              <w:spacing w:after="0" w:line="20" w:lineRule="exact"/>
              <w:rPr>
                <w:sz w:val="1"/>
                <w:szCs w:val="1"/>
                <w:color w:val="auto"/>
              </w:rPr>
            </w:pPr>
          </w:p>
        </w:tc>
        <w:tc>
          <w:tcPr>
            <w:tcW w:w="4660" w:type="dxa"/>
            <w:vAlign w:val="bottom"/>
            <w:tcBorders>
              <w:left w:val="single" w:sz="8" w:color="0000EE"/>
            </w:tcBorders>
            <w:gridSpan w:val="6"/>
            <w:shd w:val="clear" w:color="auto" w:fill="0000FF"/>
          </w:tcPr>
          <w:p>
            <w:pPr>
              <w:spacing w:after="0" w:line="20" w:lineRule="exact"/>
              <w:rPr>
                <w:sz w:val="1"/>
                <w:szCs w:val="1"/>
                <w:color w:val="auto"/>
              </w:rPr>
            </w:pPr>
          </w:p>
        </w:tc>
        <w:tc>
          <w:tcPr>
            <w:tcW w:w="900" w:type="dxa"/>
            <w:vAlign w:val="bottom"/>
            <w:gridSpan w:val="3"/>
            <w:shd w:val="clear" w:color="auto" w:fill="0000FF"/>
          </w:tcPr>
          <w:p>
            <w:pPr>
              <w:spacing w:after="0" w:line="20" w:lineRule="exact"/>
              <w:rPr>
                <w:sz w:val="1"/>
                <w:szCs w:val="1"/>
                <w:color w:val="auto"/>
              </w:rPr>
            </w:pPr>
          </w:p>
        </w:tc>
        <w:tc>
          <w:tcPr>
            <w:tcW w:w="120" w:type="dxa"/>
            <w:vAlign w:val="bottom"/>
            <w:gridSpan w:val="2"/>
            <w:vMerge w:val="restart"/>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860" w:type="dxa"/>
            <w:vAlign w:val="bottom"/>
            <w:vMerge w:val="continue"/>
          </w:tcPr>
          <w:p>
            <w:pPr>
              <w:spacing w:after="0"/>
              <w:rPr>
                <w:sz w:val="14"/>
                <w:szCs w:val="14"/>
                <w:color w:val="auto"/>
              </w:rPr>
            </w:pPr>
          </w:p>
        </w:tc>
        <w:tc>
          <w:tcPr>
            <w:tcW w:w="800" w:type="dxa"/>
            <w:vAlign w:val="bottom"/>
            <w:vMerge w:val="continue"/>
          </w:tcPr>
          <w:p>
            <w:pPr>
              <w:spacing w:after="0"/>
              <w:rPr>
                <w:sz w:val="14"/>
                <w:szCs w:val="14"/>
                <w:color w:val="auto"/>
              </w:rPr>
            </w:pPr>
          </w:p>
        </w:tc>
        <w:tc>
          <w:tcPr>
            <w:tcW w:w="5560" w:type="dxa"/>
            <w:vAlign w:val="bottom"/>
            <w:gridSpan w:val="9"/>
          </w:tcPr>
          <w:p>
            <w:pPr>
              <w:spacing w:after="0" w:line="169" w:lineRule="exact"/>
              <w:rPr>
                <w:sz w:val="20"/>
                <w:szCs w:val="20"/>
                <w:color w:val="auto"/>
              </w:rPr>
            </w:pPr>
            <w:r>
              <w:rPr>
                <w:rFonts w:ascii="Times New Roman" w:cs="Times New Roman" w:eastAsia="Times New Roman" w:hAnsi="Times New Roman"/>
                <w:sz w:val="18"/>
                <w:szCs w:val="18"/>
                <w:color w:val="0000FF"/>
              </w:rPr>
              <w:t>Corp pursuant to Section 906 of the Sarbanes-Oxley Act of 2002</w:t>
            </w:r>
            <w:r>
              <w:rPr>
                <w:rFonts w:ascii="Times New Roman" w:cs="Times New Roman" w:eastAsia="Times New Roman" w:hAnsi="Times New Roman"/>
                <w:sz w:val="18"/>
                <w:szCs w:val="18"/>
                <w:color w:val="000000"/>
              </w:rPr>
              <w:t>.</w:t>
            </w:r>
          </w:p>
        </w:tc>
        <w:tc>
          <w:tcPr>
            <w:tcW w:w="120" w:type="dxa"/>
            <w:vAlign w:val="bottom"/>
            <w:gridSpan w:val="2"/>
            <w:vMerge w:val="continue"/>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8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660" w:type="dxa"/>
            <w:vAlign w:val="bottom"/>
            <w:tcBorders>
              <w:left w:val="single" w:sz="8" w:color="0000EE"/>
            </w:tcBorders>
            <w:gridSpan w:val="6"/>
            <w:shd w:val="clear" w:color="auto" w:fill="0000FF"/>
          </w:tcPr>
          <w:p>
            <w:pPr>
              <w:spacing w:after="0" w:line="20" w:lineRule="exact"/>
              <w:rPr>
                <w:sz w:val="1"/>
                <w:szCs w:val="1"/>
                <w:color w:val="auto"/>
              </w:rPr>
            </w:pPr>
          </w:p>
        </w:tc>
        <w:tc>
          <w:tcPr>
            <w:tcW w:w="1020" w:type="dxa"/>
            <w:vAlign w:val="bottom"/>
            <w:gridSpan w:val="5"/>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5"/>
        </w:trPr>
        <w:tc>
          <w:tcPr>
            <w:tcW w:w="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101.INS</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Instance Document</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101.SCH</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Schema Document.</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93"/>
        </w:trPr>
        <w:tc>
          <w:tcPr>
            <w:tcW w:w="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101.CAL</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Calculation Linkbase Document.</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101.LAB</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Label Linkbase Document.</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93"/>
        </w:trPr>
        <w:tc>
          <w:tcPr>
            <w:tcW w:w="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101.PRE</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Presentation Linkbase Document</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93"/>
        </w:trPr>
        <w:tc>
          <w:tcPr>
            <w:tcW w:w="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101.DEF</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Inline XBRL Taxonomy Extension Definition Linkbase Document.</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104</w:t>
            </w:r>
          </w:p>
        </w:tc>
        <w:tc>
          <w:tcPr>
            <w:tcW w:w="8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8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Cover Page Interactive Data File</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70" w:lineRule="exact"/>
        <w:rPr>
          <w:sz w:val="20"/>
          <w:szCs w:val="20"/>
          <w:color w:val="auto"/>
        </w:rPr>
      </w:pPr>
    </w:p>
    <w:p>
      <w:pPr>
        <w:ind w:left="580" w:hanging="559"/>
        <w:spacing w:after="0"/>
        <w:tabs>
          <w:tab w:leader="none" w:pos="5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11" w:lineRule="exact"/>
        <w:rPr>
          <w:sz w:val="20"/>
          <w:szCs w:val="20"/>
          <w:color w:val="auto"/>
        </w:rPr>
      </w:pPr>
    </w:p>
    <w:p>
      <w:pPr>
        <w:ind w:left="580" w:hanging="559"/>
        <w:spacing w:after="0"/>
        <w:tabs>
          <w:tab w:leader="none" w:pos="5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Furnished herewith.</w:t>
      </w:r>
    </w:p>
    <w:p>
      <w:pPr>
        <w:ind w:left="580" w:right="20" w:hanging="559"/>
        <w:spacing w:after="0" w:line="226" w:lineRule="auto"/>
        <w:tabs>
          <w:tab w:leader="none" w:pos="5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Inline XBRL Instance Document and Cover Page Interactive Data File do not appear in the Interactive Data File because their XBRL tags are embedded within the Inline XBRL document.</w:t>
      </w:r>
    </w:p>
    <w:p>
      <w:pPr>
        <w:spacing w:after="0" w:line="1" w:lineRule="exact"/>
        <w:rPr>
          <w:rFonts w:ascii="Times New Roman" w:cs="Times New Roman" w:eastAsia="Times New Roman" w:hAnsi="Times New Roman"/>
          <w:sz w:val="18"/>
          <w:szCs w:val="18"/>
          <w:color w:val="auto"/>
        </w:rPr>
      </w:pPr>
    </w:p>
    <w:p>
      <w:pPr>
        <w:ind w:left="580" w:hanging="559"/>
        <w:spacing w:after="0"/>
        <w:tabs>
          <w:tab w:leader="none" w:pos="5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Submitted electronically herewith.</w:t>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64135</wp:posOffset>
            </wp:positionV>
            <wp:extent cx="7157720" cy="42545"/>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3" w:right="339" w:bottom="1440" w:gutter="0" w:footer="0" w:header="0"/>
        </w:sectPr>
      </w:pPr>
    </w:p>
    <w:bookmarkStart w:id="44" w:name="page45"/>
    <w:bookmarkEnd w:id="44"/>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80" w:type="dxa"/>
            <w:vAlign w:val="bottom"/>
          </w:tcPr>
          <w:p>
            <w:pPr>
              <w:spacing w:after="0"/>
              <w:rPr>
                <w:sz w:val="19"/>
                <w:szCs w:val="19"/>
                <w:color w:val="auto"/>
              </w:rPr>
            </w:pPr>
          </w:p>
        </w:tc>
        <w:tc>
          <w:tcPr>
            <w:tcW w:w="3680" w:type="dxa"/>
            <w:vAlign w:val="bottom"/>
          </w:tcPr>
          <w:p>
            <w:pPr>
              <w:spacing w:after="0"/>
              <w:rPr>
                <w:sz w:val="19"/>
                <w:szCs w:val="19"/>
                <w:color w:val="auto"/>
              </w:rPr>
            </w:pPr>
          </w:p>
        </w:tc>
        <w:tc>
          <w:tcPr>
            <w:tcW w:w="7420" w:type="dxa"/>
            <w:vAlign w:val="bottom"/>
            <w:gridSpan w:val="2"/>
          </w:tcPr>
          <w:p>
            <w:pPr>
              <w:ind w:left="2000"/>
              <w:spacing w:after="0"/>
              <w:rPr>
                <w:sz w:val="20"/>
                <w:szCs w:val="20"/>
                <w:color w:val="auto"/>
              </w:rPr>
            </w:pPr>
            <w:r>
              <w:rPr>
                <w:rFonts w:ascii="Times New Roman" w:cs="Times New Roman" w:eastAsia="Times New Roman" w:hAnsi="Times New Roman"/>
                <w:sz w:val="18"/>
                <w:szCs w:val="18"/>
                <w:b w:val="1"/>
                <w:bCs w:val="1"/>
                <w:color w:val="auto"/>
              </w:rPr>
              <w:t>VIAD CORP</w:t>
            </w:r>
          </w:p>
        </w:tc>
        <w:tc>
          <w:tcPr>
            <w:tcW w:w="60" w:type="dxa"/>
            <w:vAlign w:val="bottom"/>
          </w:tcPr>
          <w:p>
            <w:pPr>
              <w:spacing w:after="0"/>
              <w:rPr>
                <w:sz w:val="19"/>
                <w:szCs w:val="19"/>
                <w:color w:val="auto"/>
              </w:rPr>
            </w:pPr>
          </w:p>
        </w:tc>
      </w:tr>
      <w:tr>
        <w:trPr>
          <w:trHeight w:val="234"/>
        </w:trPr>
        <w:tc>
          <w:tcPr>
            <w:tcW w:w="80" w:type="dxa"/>
            <w:vAlign w:val="bottom"/>
          </w:tcPr>
          <w:p>
            <w:pPr>
              <w:spacing w:after="0"/>
              <w:rPr>
                <w:sz w:val="20"/>
                <w:szCs w:val="20"/>
                <w:color w:val="auto"/>
              </w:rPr>
            </w:pPr>
          </w:p>
        </w:tc>
        <w:tc>
          <w:tcPr>
            <w:tcW w:w="3680" w:type="dxa"/>
            <w:vAlign w:val="bottom"/>
          </w:tcPr>
          <w:p>
            <w:pPr>
              <w:spacing w:after="0"/>
              <w:rPr>
                <w:sz w:val="20"/>
                <w:szCs w:val="20"/>
                <w:color w:val="auto"/>
              </w:rPr>
            </w:pPr>
          </w:p>
        </w:tc>
        <w:tc>
          <w:tcPr>
            <w:tcW w:w="7420" w:type="dxa"/>
            <w:vAlign w:val="bottom"/>
            <w:gridSpan w:val="2"/>
          </w:tcPr>
          <w:p>
            <w:pPr>
              <w:ind w:left="2000"/>
              <w:spacing w:after="0"/>
              <w:rPr>
                <w:sz w:val="20"/>
                <w:szCs w:val="20"/>
                <w:color w:val="auto"/>
              </w:rPr>
            </w:pPr>
            <w:r>
              <w:rPr>
                <w:rFonts w:ascii="Times New Roman" w:cs="Times New Roman" w:eastAsia="Times New Roman" w:hAnsi="Times New Roman"/>
                <w:sz w:val="18"/>
                <w:szCs w:val="18"/>
                <w:color w:val="auto"/>
              </w:rPr>
              <w:t>(Registrant)</w:t>
            </w:r>
          </w:p>
        </w:tc>
        <w:tc>
          <w:tcPr>
            <w:tcW w:w="60" w:type="dxa"/>
            <w:vAlign w:val="bottom"/>
          </w:tcPr>
          <w:p>
            <w:pPr>
              <w:spacing w:after="0"/>
              <w:rPr>
                <w:sz w:val="20"/>
                <w:szCs w:val="20"/>
                <w:color w:val="auto"/>
              </w:rPr>
            </w:pPr>
          </w:p>
        </w:tc>
      </w:tr>
      <w:tr>
        <w:trPr>
          <w:trHeight w:val="472"/>
        </w:trPr>
        <w:tc>
          <w:tcPr>
            <w:tcW w:w="80" w:type="dxa"/>
            <w:vAlign w:val="bottom"/>
          </w:tcPr>
          <w:p>
            <w:pPr>
              <w:spacing w:after="0"/>
              <w:rPr>
                <w:sz w:val="24"/>
                <w:szCs w:val="24"/>
                <w:color w:val="auto"/>
              </w:rPr>
            </w:pPr>
          </w:p>
        </w:tc>
        <w:tc>
          <w:tcPr>
            <w:tcW w:w="36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August 5, 2022</w:t>
            </w:r>
          </w:p>
        </w:tc>
        <w:tc>
          <w:tcPr>
            <w:tcW w:w="7420" w:type="dxa"/>
            <w:vAlign w:val="bottom"/>
            <w:gridSpan w:val="2"/>
          </w:tcPr>
          <w:p>
            <w:pPr>
              <w:ind w:left="2000"/>
              <w:spacing w:after="0"/>
              <w:rPr>
                <w:sz w:val="20"/>
                <w:szCs w:val="20"/>
                <w:color w:val="auto"/>
              </w:rPr>
            </w:pPr>
            <w:r>
              <w:rPr>
                <w:rFonts w:ascii="Times New Roman" w:cs="Times New Roman" w:eastAsia="Times New Roman" w:hAnsi="Times New Roman"/>
                <w:sz w:val="18"/>
                <w:szCs w:val="18"/>
                <w:color w:val="auto"/>
              </w:rPr>
              <w:t>By:   /s/ Leslie S. Striedel</w:t>
            </w:r>
          </w:p>
        </w:tc>
        <w:tc>
          <w:tcPr>
            <w:tcW w:w="60" w:type="dxa"/>
            <w:vAlign w:val="bottom"/>
          </w:tcPr>
          <w:p>
            <w:pPr>
              <w:spacing w:after="0"/>
              <w:rPr>
                <w:sz w:val="24"/>
                <w:szCs w:val="24"/>
                <w:color w:val="auto"/>
              </w:rPr>
            </w:pPr>
          </w:p>
        </w:tc>
      </w:tr>
      <w:tr>
        <w:trPr>
          <w:trHeight w:val="191"/>
        </w:trPr>
        <w:tc>
          <w:tcPr>
            <w:tcW w:w="80" w:type="dxa"/>
            <w:vAlign w:val="bottom"/>
          </w:tcPr>
          <w:p>
            <w:pPr>
              <w:spacing w:after="0"/>
              <w:rPr>
                <w:sz w:val="16"/>
                <w:szCs w:val="16"/>
                <w:color w:val="auto"/>
              </w:rPr>
            </w:pPr>
          </w:p>
        </w:tc>
        <w:tc>
          <w:tcPr>
            <w:tcW w:w="3680" w:type="dxa"/>
            <w:vAlign w:val="bottom"/>
            <w:tcBorders>
              <w:top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(Date)</w:t>
            </w:r>
          </w:p>
        </w:tc>
        <w:tc>
          <w:tcPr>
            <w:tcW w:w="2380" w:type="dxa"/>
            <w:vAlign w:val="bottom"/>
          </w:tcPr>
          <w:p>
            <w:pPr>
              <w:spacing w:after="0"/>
              <w:rPr>
                <w:sz w:val="16"/>
                <w:szCs w:val="16"/>
                <w:color w:val="auto"/>
              </w:rPr>
            </w:pPr>
          </w:p>
        </w:tc>
        <w:tc>
          <w:tcPr>
            <w:tcW w:w="5040" w:type="dxa"/>
            <w:vAlign w:val="bottom"/>
            <w:tcBorders>
              <w:top w:val="single" w:sz="8" w:color="auto"/>
            </w:tcBorders>
          </w:tcPr>
          <w:p>
            <w:pPr>
              <w:ind w:left="120"/>
              <w:spacing w:after="0" w:line="191" w:lineRule="exact"/>
              <w:rPr>
                <w:sz w:val="20"/>
                <w:szCs w:val="20"/>
                <w:color w:val="auto"/>
              </w:rPr>
            </w:pPr>
            <w:r>
              <w:rPr>
                <w:rFonts w:ascii="Times New Roman" w:cs="Times New Roman" w:eastAsia="Times New Roman" w:hAnsi="Times New Roman"/>
                <w:sz w:val="18"/>
                <w:szCs w:val="18"/>
                <w:color w:val="auto"/>
              </w:rPr>
              <w:t>Leslie S. Striedel</w:t>
            </w:r>
          </w:p>
        </w:tc>
        <w:tc>
          <w:tcPr>
            <w:tcW w:w="60" w:type="dxa"/>
            <w:vAlign w:val="bottom"/>
          </w:tcPr>
          <w:p>
            <w:pPr>
              <w:spacing w:after="0"/>
              <w:rPr>
                <w:sz w:val="16"/>
                <w:szCs w:val="16"/>
                <w:color w:val="auto"/>
              </w:rPr>
            </w:pPr>
          </w:p>
        </w:tc>
      </w:tr>
      <w:tr>
        <w:trPr>
          <w:trHeight w:val="234"/>
        </w:trPr>
        <w:tc>
          <w:tcPr>
            <w:tcW w:w="80" w:type="dxa"/>
            <w:vAlign w:val="bottom"/>
          </w:tcPr>
          <w:p>
            <w:pPr>
              <w:spacing w:after="0"/>
              <w:rPr>
                <w:sz w:val="20"/>
                <w:szCs w:val="20"/>
                <w:color w:val="auto"/>
              </w:rPr>
            </w:pPr>
          </w:p>
        </w:tc>
        <w:tc>
          <w:tcPr>
            <w:tcW w:w="3680" w:type="dxa"/>
            <w:vAlign w:val="bottom"/>
          </w:tcPr>
          <w:p>
            <w:pPr>
              <w:spacing w:after="0"/>
              <w:rPr>
                <w:sz w:val="20"/>
                <w:szCs w:val="20"/>
                <w:color w:val="auto"/>
              </w:rPr>
            </w:pPr>
          </w:p>
        </w:tc>
        <w:tc>
          <w:tcPr>
            <w:tcW w:w="2380" w:type="dxa"/>
            <w:vAlign w:val="bottom"/>
          </w:tcPr>
          <w:p>
            <w:pPr>
              <w:spacing w:after="0"/>
              <w:rPr>
                <w:sz w:val="20"/>
                <w:szCs w:val="20"/>
                <w:color w:val="auto"/>
              </w:rPr>
            </w:pPr>
          </w:p>
        </w:tc>
        <w:tc>
          <w:tcPr>
            <w:tcW w:w="50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Chief Accounting Officer and Duly Authorized Officer</w:t>
            </w:r>
          </w:p>
        </w:tc>
        <w:tc>
          <w:tcPr>
            <w:tcW w:w="60" w:type="dxa"/>
            <w:vAlign w:val="bottom"/>
          </w:tcPr>
          <w:p>
            <w:pPr>
              <w:spacing w:after="0"/>
              <w:rPr>
                <w:sz w:val="20"/>
                <w:szCs w:val="20"/>
                <w:color w:val="auto"/>
              </w:rPr>
            </w:pPr>
          </w:p>
        </w:tc>
      </w:tr>
      <w:tr>
        <w:trPr>
          <w:trHeight w:val="849"/>
        </w:trPr>
        <w:tc>
          <w:tcPr>
            <w:tcW w:w="8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238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rPr>
              <w:t>43</w:t>
            </w:r>
          </w:p>
        </w:tc>
        <w:tc>
          <w:tcPr>
            <w:tcW w:w="504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101"/>
        </w:trPr>
        <w:tc>
          <w:tcPr>
            <w:tcW w:w="80" w:type="dxa"/>
            <w:vAlign w:val="bottom"/>
            <w:tcBorders>
              <w:bottom w:val="single" w:sz="8" w:color="9A9A9A"/>
            </w:tcBorders>
          </w:tcPr>
          <w:p>
            <w:pPr>
              <w:spacing w:after="0"/>
              <w:rPr>
                <w:sz w:val="8"/>
                <w:szCs w:val="8"/>
                <w:color w:val="auto"/>
              </w:rPr>
            </w:pPr>
          </w:p>
        </w:tc>
        <w:tc>
          <w:tcPr>
            <w:tcW w:w="3680" w:type="dxa"/>
            <w:vAlign w:val="bottom"/>
            <w:tcBorders>
              <w:bottom w:val="single" w:sz="8" w:color="9A9A9A"/>
            </w:tcBorders>
          </w:tcPr>
          <w:p>
            <w:pPr>
              <w:spacing w:after="0"/>
              <w:rPr>
                <w:sz w:val="8"/>
                <w:szCs w:val="8"/>
                <w:color w:val="auto"/>
              </w:rPr>
            </w:pPr>
          </w:p>
        </w:tc>
        <w:tc>
          <w:tcPr>
            <w:tcW w:w="2380" w:type="dxa"/>
            <w:vAlign w:val="bottom"/>
            <w:tcBorders>
              <w:bottom w:val="single" w:sz="8" w:color="9A9A9A"/>
            </w:tcBorders>
          </w:tcPr>
          <w:p>
            <w:pPr>
              <w:spacing w:after="0"/>
              <w:rPr>
                <w:sz w:val="8"/>
                <w:szCs w:val="8"/>
                <w:color w:val="auto"/>
              </w:rPr>
            </w:pPr>
          </w:p>
        </w:tc>
        <w:tc>
          <w:tcPr>
            <w:tcW w:w="504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7116445</wp:posOffset>
            </wp:positionH>
            <wp:positionV relativeFrom="paragraph">
              <wp:posOffset>-29210</wp:posOffset>
            </wp:positionV>
            <wp:extent cx="33655" cy="42545"/>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8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3655" cy="42545"/>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84">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45" w:name="page46"/>
    <w:bookmarkEnd w:id="45"/>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Steven W. Moster, certify that:</w:t>
      </w:r>
    </w:p>
    <w:p>
      <w:pPr>
        <w:spacing w:after="0" w:line="211" w:lineRule="exact"/>
        <w:rPr>
          <w:sz w:val="20"/>
          <w:szCs w:val="20"/>
          <w:color w:val="auto"/>
        </w:rPr>
      </w:pPr>
    </w:p>
    <w:p>
      <w:pPr>
        <w:ind w:left="320" w:hanging="312"/>
        <w:spacing w:after="0"/>
        <w:tabs>
          <w:tab w:leader="none" w:pos="32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Viad Corp;</w:t>
      </w:r>
    </w:p>
    <w:p>
      <w:pPr>
        <w:spacing w:after="0" w:line="211" w:lineRule="exact"/>
        <w:rPr>
          <w:rFonts w:ascii="Times New Roman" w:cs="Times New Roman" w:eastAsia="Times New Roman" w:hAnsi="Times New Roman"/>
          <w:sz w:val="18"/>
          <w:szCs w:val="18"/>
          <w:color w:val="auto"/>
        </w:rPr>
      </w:pPr>
    </w:p>
    <w:p>
      <w:pPr>
        <w:ind w:right="280" w:firstLine="8"/>
        <w:spacing w:after="0" w:line="312" w:lineRule="auto"/>
        <w:tabs>
          <w:tab w:leader="none" w:pos="315" w:val="left"/>
        </w:tabs>
        <w:numPr>
          <w:ilvl w:val="0"/>
          <w:numId w:val="2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5" w:lineRule="exact"/>
        <w:rPr>
          <w:rFonts w:ascii="Times New Roman" w:cs="Times New Roman" w:eastAsia="Times New Roman" w:hAnsi="Times New Roman"/>
          <w:sz w:val="17"/>
          <w:szCs w:val="17"/>
          <w:color w:val="auto"/>
        </w:rPr>
      </w:pPr>
    </w:p>
    <w:p>
      <w:pPr>
        <w:ind w:right="420" w:firstLine="8"/>
        <w:spacing w:after="0" w:line="266" w:lineRule="auto"/>
        <w:tabs>
          <w:tab w:leader="none" w:pos="31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4" w:lineRule="exact"/>
        <w:rPr>
          <w:rFonts w:ascii="Times New Roman" w:cs="Times New Roman" w:eastAsia="Times New Roman" w:hAnsi="Times New Roman"/>
          <w:sz w:val="18"/>
          <w:szCs w:val="18"/>
          <w:color w:val="auto"/>
        </w:rPr>
      </w:pPr>
    </w:p>
    <w:p>
      <w:pPr>
        <w:ind w:right="100" w:firstLine="8"/>
        <w:spacing w:after="0" w:line="250" w:lineRule="auto"/>
        <w:tabs>
          <w:tab w:leader="none" w:pos="31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5" w:lineRule="exact"/>
        <w:rPr>
          <w:rFonts w:ascii="Times New Roman" w:cs="Times New Roman" w:eastAsia="Times New Roman" w:hAnsi="Times New Roman"/>
          <w:sz w:val="18"/>
          <w:szCs w:val="18"/>
          <w:color w:val="auto"/>
        </w:rPr>
      </w:pPr>
    </w:p>
    <w:p>
      <w:pPr>
        <w:ind w:right="420" w:firstLine="304"/>
        <w:spacing w:after="0" w:line="258" w:lineRule="auto"/>
        <w:tabs>
          <w:tab w:leader="none" w:pos="61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68" w:lineRule="exact"/>
        <w:rPr>
          <w:rFonts w:ascii="Times New Roman" w:cs="Times New Roman" w:eastAsia="Times New Roman" w:hAnsi="Times New Roman"/>
          <w:sz w:val="18"/>
          <w:szCs w:val="18"/>
          <w:color w:val="auto"/>
        </w:rPr>
      </w:pPr>
    </w:p>
    <w:p>
      <w:pPr>
        <w:ind w:right="40" w:firstLine="304"/>
        <w:spacing w:after="0" w:line="258" w:lineRule="auto"/>
        <w:tabs>
          <w:tab w:leader="none" w:pos="62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68" w:lineRule="exact"/>
        <w:rPr>
          <w:rFonts w:ascii="Times New Roman" w:cs="Times New Roman" w:eastAsia="Times New Roman" w:hAnsi="Times New Roman"/>
          <w:sz w:val="18"/>
          <w:szCs w:val="18"/>
          <w:color w:val="auto"/>
        </w:rPr>
      </w:pPr>
    </w:p>
    <w:p>
      <w:pPr>
        <w:ind w:right="920" w:firstLine="304"/>
        <w:spacing w:after="0" w:line="281" w:lineRule="auto"/>
        <w:tabs>
          <w:tab w:leader="none" w:pos="61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9" w:lineRule="exact"/>
        <w:rPr>
          <w:rFonts w:ascii="Times New Roman" w:cs="Times New Roman" w:eastAsia="Times New Roman" w:hAnsi="Times New Roman"/>
          <w:sz w:val="18"/>
          <w:szCs w:val="18"/>
          <w:color w:val="auto"/>
        </w:rPr>
      </w:pPr>
    </w:p>
    <w:p>
      <w:pPr>
        <w:ind w:right="260" w:firstLine="304"/>
        <w:spacing w:after="0" w:line="258" w:lineRule="auto"/>
        <w:tabs>
          <w:tab w:leader="none" w:pos="62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8" w:lineRule="exact"/>
        <w:rPr>
          <w:rFonts w:ascii="Times New Roman" w:cs="Times New Roman" w:eastAsia="Times New Roman" w:hAnsi="Times New Roman"/>
          <w:sz w:val="18"/>
          <w:szCs w:val="18"/>
          <w:color w:val="auto"/>
        </w:rPr>
      </w:pPr>
    </w:p>
    <w:p>
      <w:pPr>
        <w:ind w:right="360" w:firstLine="8"/>
        <w:spacing w:after="0" w:line="266" w:lineRule="auto"/>
        <w:tabs>
          <w:tab w:leader="none" w:pos="31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74" w:lineRule="exact"/>
        <w:rPr>
          <w:rFonts w:ascii="Times New Roman" w:cs="Times New Roman" w:eastAsia="Times New Roman" w:hAnsi="Times New Roman"/>
          <w:sz w:val="18"/>
          <w:szCs w:val="18"/>
          <w:color w:val="auto"/>
        </w:rPr>
      </w:pPr>
    </w:p>
    <w:p>
      <w:pPr>
        <w:ind w:right="320" w:firstLine="304"/>
        <w:spacing w:after="0" w:line="266" w:lineRule="auto"/>
        <w:tabs>
          <w:tab w:leader="none" w:pos="61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right="280" w:firstLine="304"/>
        <w:spacing w:after="0" w:line="266" w:lineRule="auto"/>
        <w:tabs>
          <w:tab w:leader="none" w:pos="626" w:val="left"/>
        </w:tabs>
        <w:numPr>
          <w:ilvl w:val="1"/>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88" w:lineRule="exact"/>
        <w:rPr>
          <w:sz w:val="20"/>
          <w:szCs w:val="20"/>
          <w:color w:val="auto"/>
        </w:rPr>
      </w:pPr>
    </w:p>
    <w:p>
      <w:pPr>
        <w:ind w:left="20"/>
        <w:spacing w:after="0"/>
        <w:tabs>
          <w:tab w:leader="none" w:pos="7300" w:val="left"/>
        </w:tabs>
        <w:rPr>
          <w:sz w:val="20"/>
          <w:szCs w:val="20"/>
          <w:color w:val="auto"/>
        </w:rPr>
      </w:pPr>
      <w:r>
        <w:rPr>
          <w:rFonts w:ascii="Times New Roman" w:cs="Times New Roman" w:eastAsia="Times New Roman" w:hAnsi="Times New Roman"/>
          <w:sz w:val="18"/>
          <w:szCs w:val="18"/>
          <w:color w:val="auto"/>
        </w:rPr>
        <w:t>Date: August 5, 2022</w:t>
      </w:r>
      <w:r>
        <w:rPr>
          <w:sz w:val="20"/>
          <w:szCs w:val="20"/>
          <w:color w:val="auto"/>
        </w:rPr>
        <w:tab/>
      </w:r>
      <w:r>
        <w:rPr>
          <w:rFonts w:ascii="Times New Roman" w:cs="Times New Roman" w:eastAsia="Times New Roman" w:hAnsi="Times New Roman"/>
          <w:sz w:val="17"/>
          <w:szCs w:val="17"/>
          <w:color w:val="auto"/>
        </w:rPr>
        <w:t>By: /s/ Steven W. Moster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4645660</wp:posOffset>
            </wp:positionH>
            <wp:positionV relativeFrom="paragraph">
              <wp:posOffset>17145</wp:posOffset>
            </wp:positionV>
            <wp:extent cx="2491740" cy="8255"/>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85">
                      <a:extLst>
                        <a:ext uri="{28A0092B-C50C-407E-A947-70E740481C1C}"/>
                      </a:extLst>
                    </a:blip>
                    <a:srcRect/>
                    <a:stretch>
                      <a:fillRect/>
                    </a:stretch>
                  </pic:blipFill>
                  <pic:spPr bwMode="auto">
                    <a:xfrm>
                      <a:off x="0" y="0"/>
                      <a:ext cx="2491740" cy="8255"/>
                    </a:xfrm>
                    <a:prstGeom prst="rect">
                      <a:avLst/>
                    </a:prstGeom>
                    <a:noFill/>
                  </pic:spPr>
                </pic:pic>
              </a:graphicData>
            </a:graphic>
          </wp:anchor>
        </w:drawing>
      </w:r>
    </w:p>
    <w:p>
      <w:pPr>
        <w:spacing w:after="0" w:line="43"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Steven W. Moster</w:t>
      </w:r>
    </w:p>
    <w:p>
      <w:pPr>
        <w:spacing w:after="0" w:line="49"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201295</wp:posOffset>
            </wp:positionV>
            <wp:extent cx="7157720" cy="42545"/>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46" w:name="page47"/>
    <w:bookmarkEnd w:id="46"/>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Ellen M. Ingersoll, certify that:</w:t>
      </w:r>
    </w:p>
    <w:p>
      <w:pPr>
        <w:spacing w:after="0" w:line="211" w:lineRule="exact"/>
        <w:rPr>
          <w:sz w:val="20"/>
          <w:szCs w:val="20"/>
          <w:color w:val="auto"/>
        </w:rPr>
      </w:pPr>
    </w:p>
    <w:p>
      <w:pPr>
        <w:ind w:left="320" w:hanging="312"/>
        <w:spacing w:after="0"/>
        <w:tabs>
          <w:tab w:leader="none" w:pos="32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Viad Corp;</w:t>
      </w:r>
    </w:p>
    <w:p>
      <w:pPr>
        <w:spacing w:after="0" w:line="224" w:lineRule="exact"/>
        <w:rPr>
          <w:rFonts w:ascii="Times New Roman" w:cs="Times New Roman" w:eastAsia="Times New Roman" w:hAnsi="Times New Roman"/>
          <w:sz w:val="18"/>
          <w:szCs w:val="18"/>
          <w:color w:val="auto"/>
        </w:rPr>
      </w:pPr>
    </w:p>
    <w:p>
      <w:pPr>
        <w:ind w:right="280" w:firstLine="8"/>
        <w:spacing w:after="0" w:line="295" w:lineRule="auto"/>
        <w:tabs>
          <w:tab w:leader="none" w:pos="315" w:val="left"/>
        </w:tabs>
        <w:numPr>
          <w:ilvl w:val="0"/>
          <w:numId w:val="2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9" w:lineRule="exact"/>
        <w:rPr>
          <w:rFonts w:ascii="Times New Roman" w:cs="Times New Roman" w:eastAsia="Times New Roman" w:hAnsi="Times New Roman"/>
          <w:sz w:val="17"/>
          <w:szCs w:val="17"/>
          <w:color w:val="auto"/>
        </w:rPr>
      </w:pPr>
    </w:p>
    <w:p>
      <w:pPr>
        <w:ind w:right="420" w:firstLine="8"/>
        <w:spacing w:after="0" w:line="281" w:lineRule="auto"/>
        <w:tabs>
          <w:tab w:leader="none" w:pos="31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9" w:lineRule="exact"/>
        <w:rPr>
          <w:rFonts w:ascii="Times New Roman" w:cs="Times New Roman" w:eastAsia="Times New Roman" w:hAnsi="Times New Roman"/>
          <w:sz w:val="18"/>
          <w:szCs w:val="18"/>
          <w:color w:val="auto"/>
        </w:rPr>
      </w:pPr>
    </w:p>
    <w:p>
      <w:pPr>
        <w:ind w:right="100" w:firstLine="8"/>
        <w:spacing w:after="0" w:line="250" w:lineRule="auto"/>
        <w:tabs>
          <w:tab w:leader="none" w:pos="31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9" w:lineRule="exact"/>
        <w:rPr>
          <w:rFonts w:ascii="Times New Roman" w:cs="Times New Roman" w:eastAsia="Times New Roman" w:hAnsi="Times New Roman"/>
          <w:sz w:val="18"/>
          <w:szCs w:val="18"/>
          <w:color w:val="auto"/>
        </w:rPr>
      </w:pPr>
    </w:p>
    <w:p>
      <w:pPr>
        <w:ind w:right="420" w:firstLine="304"/>
        <w:spacing w:after="0" w:line="250" w:lineRule="auto"/>
        <w:tabs>
          <w:tab w:leader="none" w:pos="61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9" w:lineRule="exact"/>
        <w:rPr>
          <w:rFonts w:ascii="Times New Roman" w:cs="Times New Roman" w:eastAsia="Times New Roman" w:hAnsi="Times New Roman"/>
          <w:sz w:val="18"/>
          <w:szCs w:val="18"/>
          <w:color w:val="auto"/>
        </w:rPr>
      </w:pPr>
    </w:p>
    <w:p>
      <w:pPr>
        <w:ind w:right="40" w:firstLine="304"/>
        <w:spacing w:after="0" w:line="250" w:lineRule="auto"/>
        <w:tabs>
          <w:tab w:leader="none" w:pos="62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9" w:lineRule="exact"/>
        <w:rPr>
          <w:rFonts w:ascii="Times New Roman" w:cs="Times New Roman" w:eastAsia="Times New Roman" w:hAnsi="Times New Roman"/>
          <w:sz w:val="18"/>
          <w:szCs w:val="18"/>
          <w:color w:val="auto"/>
        </w:rPr>
      </w:pPr>
    </w:p>
    <w:p>
      <w:pPr>
        <w:ind w:right="920" w:firstLine="304"/>
        <w:spacing w:after="0" w:line="266" w:lineRule="auto"/>
        <w:tabs>
          <w:tab w:leader="none" w:pos="61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ind w:right="260" w:firstLine="304"/>
        <w:spacing w:after="0" w:line="258" w:lineRule="auto"/>
        <w:tabs>
          <w:tab w:leader="none" w:pos="62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68" w:lineRule="exact"/>
        <w:rPr>
          <w:rFonts w:ascii="Times New Roman" w:cs="Times New Roman" w:eastAsia="Times New Roman" w:hAnsi="Times New Roman"/>
          <w:sz w:val="18"/>
          <w:szCs w:val="18"/>
          <w:color w:val="auto"/>
        </w:rPr>
      </w:pPr>
    </w:p>
    <w:p>
      <w:pPr>
        <w:ind w:right="360" w:firstLine="8"/>
        <w:spacing w:after="0" w:line="281" w:lineRule="auto"/>
        <w:tabs>
          <w:tab w:leader="none" w:pos="315"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9" w:lineRule="exact"/>
        <w:rPr>
          <w:rFonts w:ascii="Times New Roman" w:cs="Times New Roman" w:eastAsia="Times New Roman" w:hAnsi="Times New Roman"/>
          <w:sz w:val="18"/>
          <w:szCs w:val="18"/>
          <w:color w:val="auto"/>
        </w:rPr>
      </w:pPr>
    </w:p>
    <w:p>
      <w:pPr>
        <w:ind w:right="320" w:firstLine="304"/>
        <w:spacing w:after="0" w:line="266" w:lineRule="auto"/>
        <w:tabs>
          <w:tab w:leader="none" w:pos="61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right="280" w:firstLine="304"/>
        <w:spacing w:after="0" w:line="281" w:lineRule="auto"/>
        <w:tabs>
          <w:tab w:leader="none" w:pos="626"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63" w:lineRule="exact"/>
        <w:rPr>
          <w:sz w:val="20"/>
          <w:szCs w:val="20"/>
          <w:color w:val="auto"/>
        </w:rPr>
      </w:pPr>
    </w:p>
    <w:p>
      <w:pPr>
        <w:ind w:left="20"/>
        <w:spacing w:after="0"/>
        <w:tabs>
          <w:tab w:leader="none" w:pos="7300" w:val="left"/>
        </w:tabs>
        <w:rPr>
          <w:sz w:val="20"/>
          <w:szCs w:val="20"/>
          <w:color w:val="auto"/>
        </w:rPr>
      </w:pPr>
      <w:r>
        <w:rPr>
          <w:rFonts w:ascii="Times New Roman" w:cs="Times New Roman" w:eastAsia="Times New Roman" w:hAnsi="Times New Roman"/>
          <w:sz w:val="18"/>
          <w:szCs w:val="18"/>
          <w:color w:val="auto"/>
        </w:rPr>
        <w:t>Date: August 5, 2022</w:t>
      </w:r>
      <w:r>
        <w:rPr>
          <w:sz w:val="20"/>
          <w:szCs w:val="20"/>
          <w:color w:val="auto"/>
        </w:rPr>
        <w:tab/>
      </w:r>
      <w:r>
        <w:rPr>
          <w:rFonts w:ascii="Times New Roman" w:cs="Times New Roman" w:eastAsia="Times New Roman" w:hAnsi="Times New Roman"/>
          <w:sz w:val="18"/>
          <w:szCs w:val="18"/>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4645660</wp:posOffset>
            </wp:positionH>
            <wp:positionV relativeFrom="paragraph">
              <wp:posOffset>17145</wp:posOffset>
            </wp:positionV>
            <wp:extent cx="2491740" cy="8255"/>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87">
                      <a:extLst>
                        <a:ext uri="{28A0092B-C50C-407E-A947-70E740481C1C}"/>
                      </a:extLst>
                    </a:blip>
                    <a:srcRect/>
                    <a:stretch>
                      <a:fillRect/>
                    </a:stretch>
                  </pic:blipFill>
                  <pic:spPr bwMode="auto">
                    <a:xfrm>
                      <a:off x="0" y="0"/>
                      <a:ext cx="2491740" cy="8255"/>
                    </a:xfrm>
                    <a:prstGeom prst="rect">
                      <a:avLst/>
                    </a:prstGeom>
                    <a:noFill/>
                  </pic:spPr>
                </pic:pic>
              </a:graphicData>
            </a:graphic>
          </wp:anchor>
        </w:drawing>
      </w:r>
    </w:p>
    <w:p>
      <w:pPr>
        <w:spacing w:after="0" w:line="43"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Ellen M. Ingersoll</w:t>
      </w:r>
    </w:p>
    <w:p>
      <w:pPr>
        <w:spacing w:after="0" w:line="49"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338455</wp:posOffset>
            </wp:positionV>
            <wp:extent cx="7157720" cy="42545"/>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47" w:name="page48"/>
    <w:bookmarkEnd w:id="47"/>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Certifications of</w:t>
      </w:r>
    </w:p>
    <w:p>
      <w:pPr>
        <w:jc w:val="center"/>
        <w:spacing w:after="0" w:line="234" w:lineRule="auto"/>
        <w:rPr>
          <w:sz w:val="20"/>
          <w:szCs w:val="20"/>
          <w:color w:val="auto"/>
        </w:rPr>
      </w:pPr>
      <w:r>
        <w:rPr>
          <w:rFonts w:ascii="Times New Roman" w:cs="Times New Roman" w:eastAsia="Times New Roman" w:hAnsi="Times New Roman"/>
          <w:sz w:val="18"/>
          <w:szCs w:val="18"/>
          <w:b w:val="1"/>
          <w:bCs w:val="1"/>
          <w:color w:val="auto"/>
        </w:rPr>
        <w:t>Chief Executive Officer and Chief Financial Officer</w:t>
      </w: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Pursuant To 18 U.S.C. Section 1350, As Adopted Pursuant To Section 906 of the</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Sarbanes-Oxley Act of 2002</w:t>
      </w:r>
    </w:p>
    <w:p>
      <w:pPr>
        <w:spacing w:after="0" w:line="193"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I, Steven W. Moster, Chief Executive Officer of Viad Corp, certify, pursuant to 18 U.S.C. Section 1350, as adopted pursuant to Section 906 of the Sarbanes-Oxley Act of 2002, that Viad Corp’s Quarterly Report on Form 10-Q for the three months ended June 30, 2022, fully complies with the requirements of Section 13(a) or 15(d) of the Securities Exchange Act of 1934 and the information contained in Viad Corp’s Quarterly Report on Form 10-Q fairly presents, in all material respects, Viad Corp’s financial condition and results of operations.</w:t>
      </w:r>
    </w:p>
    <w:p>
      <w:pPr>
        <w:spacing w:after="0" w:line="216" w:lineRule="exact"/>
        <w:rPr>
          <w:sz w:val="20"/>
          <w:szCs w:val="20"/>
          <w:color w:val="auto"/>
        </w:rPr>
      </w:pPr>
    </w:p>
    <w:p>
      <w:pPr>
        <w:ind w:left="20"/>
        <w:spacing w:after="0"/>
        <w:tabs>
          <w:tab w:leader="none" w:pos="6740" w:val="left"/>
        </w:tabs>
        <w:rPr>
          <w:sz w:val="20"/>
          <w:szCs w:val="20"/>
          <w:color w:val="auto"/>
        </w:rPr>
      </w:pPr>
      <w:r>
        <w:rPr>
          <w:rFonts w:ascii="Times New Roman" w:cs="Times New Roman" w:eastAsia="Times New Roman" w:hAnsi="Times New Roman"/>
          <w:sz w:val="18"/>
          <w:szCs w:val="18"/>
          <w:color w:val="auto"/>
        </w:rPr>
        <w:t>Date: August 5, 2022</w:t>
      </w:r>
      <w:r>
        <w:rPr>
          <w:sz w:val="20"/>
          <w:szCs w:val="20"/>
          <w:color w:val="auto"/>
        </w:rPr>
        <w:tab/>
      </w:r>
      <w:r>
        <w:rPr>
          <w:rFonts w:ascii="Times New Roman" w:cs="Times New Roman" w:eastAsia="Times New Roman" w:hAnsi="Times New Roman"/>
          <w:sz w:val="17"/>
          <w:szCs w:val="17"/>
          <w:color w:val="auto"/>
        </w:rPr>
        <w:t>By: /s/ Steven W. Moster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4286250</wp:posOffset>
            </wp:positionH>
            <wp:positionV relativeFrom="paragraph">
              <wp:posOffset>17145</wp:posOffset>
            </wp:positionV>
            <wp:extent cx="2851150" cy="8255"/>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89">
                      <a:extLst>
                        <a:ext uri="{28A0092B-C50C-407E-A947-70E740481C1C}"/>
                      </a:extLst>
                    </a:blip>
                    <a:srcRect/>
                    <a:stretch>
                      <a:fillRect/>
                    </a:stretch>
                  </pic:blipFill>
                  <pic:spPr bwMode="auto">
                    <a:xfrm>
                      <a:off x="0" y="0"/>
                      <a:ext cx="2851150" cy="8255"/>
                    </a:xfrm>
                    <a:prstGeom prst="rect">
                      <a:avLst/>
                    </a:prstGeom>
                    <a:noFill/>
                  </pic:spPr>
                </pic:pic>
              </a:graphicData>
            </a:graphic>
          </wp:anchor>
        </w:drawing>
      </w:r>
    </w:p>
    <w:p>
      <w:pPr>
        <w:spacing w:after="0" w:line="21"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Steven W. Moster</w:t>
      </w:r>
    </w:p>
    <w:p>
      <w:pPr>
        <w:spacing w:after="0" w:line="9"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President and Chief Executive Officer</w:t>
      </w:r>
    </w:p>
    <w:p>
      <w:pPr>
        <w:spacing w:after="0" w:line="200" w:lineRule="exact"/>
        <w:rPr>
          <w:sz w:val="20"/>
          <w:szCs w:val="20"/>
          <w:color w:val="auto"/>
        </w:rPr>
      </w:pPr>
    </w:p>
    <w:p>
      <w:pPr>
        <w:spacing w:after="0" w:line="222" w:lineRule="exact"/>
        <w:rPr>
          <w:sz w:val="20"/>
          <w:szCs w:val="20"/>
          <w:color w:val="auto"/>
        </w:rPr>
      </w:pPr>
    </w:p>
    <w:p>
      <w:pPr>
        <w:ind w:right="20"/>
        <w:spacing w:after="0" w:line="250" w:lineRule="auto"/>
        <w:rPr>
          <w:sz w:val="20"/>
          <w:szCs w:val="20"/>
          <w:color w:val="auto"/>
        </w:rPr>
      </w:pPr>
      <w:r>
        <w:rPr>
          <w:rFonts w:ascii="Times New Roman" w:cs="Times New Roman" w:eastAsia="Times New Roman" w:hAnsi="Times New Roman"/>
          <w:sz w:val="18"/>
          <w:szCs w:val="18"/>
          <w:color w:val="auto"/>
        </w:rPr>
        <w:t>I, Ellen M. Ingersoll, Chief Financial Officer of Viad Corp, certify, pursuant to 18 U.S.C. Section 1350, as adopted pursuant to Section 906 of the Sarbanes-Oxley Act of 2002, that Viad Corp’s Quarterly Report on Form 10-Q for the three months ended June 30, 2022, fully complies with the requirements of Section 13(a) or 15(d) of the Securities Exchange Act of 1934 and the information contained in Viad Corp’s Quarterly Report on Form 10-Q fairly presents, in all material respects, Viad Corp’s financial condition and results of operations.</w:t>
      </w:r>
    </w:p>
    <w:p>
      <w:pPr>
        <w:spacing w:after="0" w:line="216" w:lineRule="exact"/>
        <w:rPr>
          <w:sz w:val="20"/>
          <w:szCs w:val="20"/>
          <w:color w:val="auto"/>
        </w:rPr>
      </w:pPr>
    </w:p>
    <w:p>
      <w:pPr>
        <w:ind w:left="20"/>
        <w:spacing w:after="0"/>
        <w:tabs>
          <w:tab w:leader="none" w:pos="6740" w:val="left"/>
        </w:tabs>
        <w:rPr>
          <w:sz w:val="20"/>
          <w:szCs w:val="20"/>
          <w:color w:val="auto"/>
        </w:rPr>
      </w:pPr>
      <w:r>
        <w:rPr>
          <w:rFonts w:ascii="Times New Roman" w:cs="Times New Roman" w:eastAsia="Times New Roman" w:hAnsi="Times New Roman"/>
          <w:sz w:val="18"/>
          <w:szCs w:val="18"/>
          <w:color w:val="auto"/>
        </w:rPr>
        <w:t>Date: August 5, 2022</w:t>
      </w:r>
      <w:r>
        <w:rPr>
          <w:sz w:val="20"/>
          <w:szCs w:val="20"/>
          <w:color w:val="auto"/>
        </w:rPr>
        <w:tab/>
      </w:r>
      <w:r>
        <w:rPr>
          <w:rFonts w:ascii="Times New Roman" w:cs="Times New Roman" w:eastAsia="Times New Roman" w:hAnsi="Times New Roman"/>
          <w:sz w:val="18"/>
          <w:szCs w:val="18"/>
          <w:color w:val="auto"/>
        </w:rPr>
        <w:t>By: /s/ Ellen M. Ingersoll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4286250</wp:posOffset>
            </wp:positionH>
            <wp:positionV relativeFrom="paragraph">
              <wp:posOffset>17145</wp:posOffset>
            </wp:positionV>
            <wp:extent cx="2851150" cy="825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90">
                      <a:extLst>
                        <a:ext uri="{28A0092B-C50C-407E-A947-70E740481C1C}"/>
                      </a:extLst>
                    </a:blip>
                    <a:srcRect/>
                    <a:stretch>
                      <a:fillRect/>
                    </a:stretch>
                  </pic:blipFill>
                  <pic:spPr bwMode="auto">
                    <a:xfrm>
                      <a:off x="0" y="0"/>
                      <a:ext cx="2851150" cy="8255"/>
                    </a:xfrm>
                    <a:prstGeom prst="rect">
                      <a:avLst/>
                    </a:prstGeom>
                    <a:noFill/>
                  </pic:spPr>
                </pic:pic>
              </a:graphicData>
            </a:graphic>
          </wp:anchor>
        </w:drawing>
      </w:r>
    </w:p>
    <w:p>
      <w:pPr>
        <w:spacing w:after="0" w:line="21"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Ellen M. Ingersoll</w:t>
      </w:r>
    </w:p>
    <w:p>
      <w:pPr>
        <w:spacing w:after="0" w:line="9"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327025</wp:posOffset>
            </wp:positionV>
            <wp:extent cx="7157720" cy="42545"/>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19" w:right="339" w:bottom="1440" w:gutter="0" w:footer="0" w:header="0"/>
        </w:sectPr>
      </w:pPr>
    </w:p>
    <w:bookmarkStart w:id="48" w:name="page49"/>
    <w:bookmarkEnd w:id="48"/>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DCC233"/>
    <w:multiLevelType w:val="hybridMultilevel"/>
    <w:lvl w:ilvl="0">
      <w:lvlJc w:val="left"/>
      <w:lvlText w:val="☒"/>
      <w:numFmt w:val="bullet"/>
      <w:start w:val="1"/>
    </w:lvl>
  </w:abstractNum>
  <w:abstractNum w:abstractNumId="1">
    <w:nsid w:val="1BEFD79F"/>
    <w:multiLevelType w:val="hybridMultilevel"/>
    <w:lvl w:ilvl="0">
      <w:lvlJc w:val="left"/>
      <w:lvlText w:val="☐"/>
      <w:numFmt w:val="bullet"/>
      <w:start w:val="1"/>
    </w:lvl>
  </w:abstractNum>
  <w:abstractNum w:abstractNumId="2">
    <w:nsid w:val="41A7C4C9"/>
    <w:multiLevelType w:val="hybridMultilevel"/>
    <w:lvl w:ilvl="0">
      <w:lvlJc w:val="left"/>
      <w:lvlText w:val="(%1)"/>
      <w:numFmt w:val="decimal"/>
      <w:start w:val="1"/>
    </w:lvl>
  </w:abstractNum>
  <w:abstractNum w:abstractNumId="3">
    <w:nsid w:val="6B68079A"/>
    <w:multiLevelType w:val="hybridMultilevel"/>
    <w:lvl w:ilvl="0">
      <w:lvlJc w:val="left"/>
      <w:lvlText w:val="(%1)"/>
      <w:numFmt w:val="decimal"/>
      <w:start w:val="1"/>
    </w:lvl>
  </w:abstractNum>
  <w:abstractNum w:abstractNumId="4">
    <w:nsid w:val="4E6AFB66"/>
    <w:multiLevelType w:val="hybridMultilevel"/>
    <w:lvl w:ilvl="0">
      <w:lvlJc w:val="left"/>
      <w:lvlText w:val="(%1)"/>
      <w:numFmt w:val="decimal"/>
      <w:start w:val="1"/>
    </w:lvl>
  </w:abstractNum>
  <w:abstractNum w:abstractNumId="5">
    <w:nsid w:val="25E45D32"/>
    <w:multiLevelType w:val="hybridMultilevel"/>
    <w:lvl w:ilvl="0">
      <w:lvlJc w:val="left"/>
      <w:lvlText w:val="(%1)"/>
      <w:numFmt w:val="decimal"/>
      <w:start w:val="1"/>
    </w:lvl>
  </w:abstractNum>
  <w:abstractNum w:abstractNumId="6">
    <w:nsid w:val="519B500D"/>
    <w:multiLevelType w:val="hybridMultilevel"/>
    <w:lvl w:ilvl="0">
      <w:lvlJc w:val="left"/>
      <w:lvlText w:val="•"/>
      <w:numFmt w:val="bullet"/>
      <w:start w:val="1"/>
    </w:lvl>
  </w:abstractNum>
  <w:abstractNum w:abstractNumId="7">
    <w:nsid w:val="431BD7B7"/>
    <w:multiLevelType w:val="hybridMultilevel"/>
    <w:lvl w:ilvl="0">
      <w:lvlJc w:val="left"/>
      <w:lvlText w:val="•"/>
      <w:numFmt w:val="bullet"/>
      <w:start w:val="1"/>
    </w:lvl>
    <w:lvl w:ilvl="1">
      <w:lvlJc w:val="left"/>
      <w:lvlText w:val="o"/>
      <w:numFmt w:val="bullet"/>
      <w:start w:val="1"/>
    </w:lvl>
  </w:abstractNum>
  <w:abstractNum w:abstractNumId="8">
    <w:nsid w:val="3F2DBA31"/>
    <w:multiLevelType w:val="hybridMultilevel"/>
    <w:lvl w:ilvl="0">
      <w:lvlJc w:val="left"/>
      <w:lvlText w:val="(%1)"/>
      <w:numFmt w:val="decimal"/>
      <w:start w:val="1"/>
    </w:lvl>
  </w:abstractNum>
  <w:abstractNum w:abstractNumId="9">
    <w:nsid w:val="7C83E458"/>
    <w:multiLevelType w:val="hybridMultilevel"/>
    <w:lvl w:ilvl="0">
      <w:lvlJc w:val="left"/>
      <w:lvlText w:val="(%1)"/>
      <w:numFmt w:val="decimal"/>
      <w:start w:val="1"/>
    </w:lvl>
  </w:abstractNum>
  <w:abstractNum w:abstractNumId="10">
    <w:nsid w:val="257130A3"/>
    <w:multiLevelType w:val="hybridMultilevel"/>
    <w:lvl w:ilvl="0">
      <w:lvlJc w:val="left"/>
      <w:lvlText w:val="(%1)"/>
      <w:numFmt w:val="decimal"/>
      <w:start w:val="1"/>
    </w:lvl>
  </w:abstractNum>
  <w:abstractNum w:abstractNumId="11">
    <w:nsid w:val="62BBD95A"/>
    <w:multiLevelType w:val="hybridMultilevel"/>
    <w:lvl w:ilvl="0">
      <w:lvlJc w:val="left"/>
      <w:lvlText w:val="(%1)"/>
      <w:numFmt w:val="decimal"/>
      <w:start w:val="1"/>
    </w:lvl>
  </w:abstractNum>
  <w:abstractNum w:abstractNumId="12">
    <w:nsid w:val="436C6125"/>
    <w:multiLevelType w:val="hybridMultilevel"/>
    <w:lvl w:ilvl="0">
      <w:lvlJc w:val="left"/>
      <w:lvlText w:val="•"/>
      <w:numFmt w:val="bullet"/>
      <w:start w:val="1"/>
    </w:lvl>
  </w:abstractNum>
  <w:abstractNum w:abstractNumId="13">
    <w:nsid w:val="628C895D"/>
    <w:multiLevelType w:val="hybridMultilevel"/>
    <w:lvl w:ilvl="0">
      <w:lvlJc w:val="left"/>
      <w:lvlText w:val="(%1)"/>
      <w:numFmt w:val="decimal"/>
      <w:start w:val="1"/>
    </w:lvl>
  </w:abstractNum>
  <w:abstractNum w:abstractNumId="14">
    <w:nsid w:val="333AB105"/>
    <w:multiLevelType w:val="hybridMultilevel"/>
    <w:lvl w:ilvl="0">
      <w:lvlJc w:val="left"/>
      <w:lvlText w:val="•"/>
      <w:numFmt w:val="bullet"/>
      <w:start w:val="1"/>
    </w:lvl>
  </w:abstractNum>
  <w:abstractNum w:abstractNumId="15">
    <w:nsid w:val="721DA317"/>
    <w:multiLevelType w:val="hybridMultilevel"/>
    <w:lvl w:ilvl="0">
      <w:lvlJc w:val="left"/>
      <w:lvlText w:val="•"/>
      <w:numFmt w:val="bullet"/>
      <w:start w:val="1"/>
    </w:lvl>
  </w:abstractNum>
  <w:abstractNum w:abstractNumId="16">
    <w:nsid w:val="2443A858"/>
    <w:multiLevelType w:val="hybridMultilevel"/>
    <w:lvl w:ilvl="0">
      <w:lvlJc w:val="left"/>
      <w:lvlText w:val="•"/>
      <w:numFmt w:val="bullet"/>
      <w:start w:val="1"/>
    </w:lvl>
  </w:abstractNum>
  <w:abstractNum w:abstractNumId="17">
    <w:nsid w:val="2D1D5AE9"/>
    <w:multiLevelType w:val="hybridMultilevel"/>
    <w:lvl w:ilvl="0">
      <w:lvlJc w:val="left"/>
      <w:lvlText w:val="(%1)"/>
      <w:numFmt w:val="decimal"/>
      <w:start w:val="1"/>
    </w:lvl>
  </w:abstractNum>
  <w:abstractNum w:abstractNumId="18">
    <w:nsid w:val="6763845E"/>
    <w:multiLevelType w:val="hybridMultilevel"/>
    <w:lvl w:ilvl="0">
      <w:lvlJc w:val="left"/>
      <w:lvlText w:val="•"/>
      <w:numFmt w:val="bullet"/>
      <w:start w:val="1"/>
    </w:lvl>
  </w:abstractNum>
  <w:abstractNum w:abstractNumId="19">
    <w:nsid w:val="75A2A8D4"/>
    <w:multiLevelType w:val="hybridMultilevel"/>
    <w:lvl w:ilvl="0">
      <w:lvlJc w:val="left"/>
      <w:lvlText w:val="•"/>
      <w:numFmt w:val="bullet"/>
      <w:start w:val="1"/>
    </w:lvl>
  </w:abstractNum>
  <w:abstractNum w:abstractNumId="20">
    <w:nsid w:val="8EDBDAB"/>
    <w:multiLevelType w:val="hybridMultilevel"/>
    <w:lvl w:ilvl="0">
      <w:lvlJc w:val="left"/>
      <w:lvlText w:val="(%1)"/>
      <w:numFmt w:val="decimal"/>
      <w:start w:val="1"/>
    </w:lvl>
  </w:abstractNum>
  <w:abstractNum w:abstractNumId="21">
    <w:nsid w:val="79838CB2"/>
    <w:multiLevelType w:val="hybridMultilevel"/>
    <w:lvl w:ilvl="0">
      <w:lvlJc w:val="left"/>
      <w:lvlText w:val="(%1)"/>
      <w:numFmt w:val="decimal"/>
      <w:start w:val="1"/>
    </w:lvl>
  </w:abstractNum>
  <w:abstractNum w:abstractNumId="22">
    <w:nsid w:val="4353D0CD"/>
    <w:multiLevelType w:val="hybridMultilevel"/>
    <w:lvl w:ilvl="0">
      <w:lvlJc w:val="left"/>
      <w:lvlText w:val="*"/>
      <w:numFmt w:val="bullet"/>
      <w:start w:val="1"/>
    </w:lvl>
  </w:abstractNum>
  <w:abstractNum w:abstractNumId="23">
    <w:nsid w:val="B03E0C6"/>
    <w:multiLevelType w:val="hybridMultilevel"/>
    <w:lvl w:ilvl="0">
      <w:lvlJc w:val="left"/>
      <w:lvlText w:val="**"/>
      <w:numFmt w:val="bullet"/>
      <w:start w:val="1"/>
    </w:lvl>
  </w:abstractNum>
  <w:abstractNum w:abstractNumId="24">
    <w:nsid w:val="189A769B"/>
    <w:multiLevelType w:val="hybridMultilevel"/>
    <w:lvl w:ilvl="0">
      <w:lvlJc w:val="left"/>
      <w:lvlText w:val="***"/>
      <w:numFmt w:val="bullet"/>
      <w:start w:val="1"/>
    </w:lvl>
  </w:abstractNum>
  <w:abstractNum w:abstractNumId="25">
    <w:nsid w:val="54E49EB4"/>
    <w:multiLevelType w:val="hybridMultilevel"/>
    <w:lvl w:ilvl="0">
      <w:lvlJc w:val="left"/>
      <w:lvlText w:val="****"/>
      <w:numFmt w:val="bullet"/>
      <w:start w:val="1"/>
    </w:lvl>
  </w:abstractNum>
  <w:abstractNum w:abstractNumId="26">
    <w:nsid w:val="71F32454"/>
    <w:multiLevelType w:val="hybridMultilevel"/>
    <w:lvl w:ilvl="0">
      <w:lvlJc w:val="left"/>
      <w:lvlText w:val="%1."/>
      <w:numFmt w:val="decimal"/>
      <w:start w:val="1"/>
    </w:lvl>
    <w:lvl w:ilvl="1">
      <w:lvlJc w:val="left"/>
      <w:lvlText w:val="%2)"/>
      <w:numFmt w:val="lowerLetter"/>
      <w:start w:val="1"/>
    </w:lvl>
  </w:abstractNum>
  <w:abstractNum w:abstractNumId="27">
    <w:nsid w:val="2CA88611"/>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 Id="rId367" Type="http://schemas.openxmlformats.org/officeDocument/2006/relationships/image" Target="media/image360.png"/><Relationship Id="rId368" Type="http://schemas.openxmlformats.org/officeDocument/2006/relationships/image" Target="media/image361.png"/><Relationship Id="rId369" Type="http://schemas.openxmlformats.org/officeDocument/2006/relationships/image" Target="media/image362.png"/><Relationship Id="rId370" Type="http://schemas.openxmlformats.org/officeDocument/2006/relationships/image" Target="media/image363.png"/><Relationship Id="rId371" Type="http://schemas.openxmlformats.org/officeDocument/2006/relationships/image" Target="media/image364.png"/><Relationship Id="rId372" Type="http://schemas.openxmlformats.org/officeDocument/2006/relationships/image" Target="media/image365.png"/><Relationship Id="rId373" Type="http://schemas.openxmlformats.org/officeDocument/2006/relationships/image" Target="media/image366.png"/><Relationship Id="rId374" Type="http://schemas.openxmlformats.org/officeDocument/2006/relationships/image" Target="media/image367.png"/><Relationship Id="rId375" Type="http://schemas.openxmlformats.org/officeDocument/2006/relationships/image" Target="media/image368.png"/><Relationship Id="rId376" Type="http://schemas.openxmlformats.org/officeDocument/2006/relationships/image" Target="media/image369.png"/><Relationship Id="rId377" Type="http://schemas.openxmlformats.org/officeDocument/2006/relationships/image" Target="media/image370.png"/><Relationship Id="rId378" Type="http://schemas.openxmlformats.org/officeDocument/2006/relationships/image" Target="media/image371.png"/><Relationship Id="rId379" Type="http://schemas.openxmlformats.org/officeDocument/2006/relationships/image" Target="media/image372.png"/><Relationship Id="rId380" Type="http://schemas.openxmlformats.org/officeDocument/2006/relationships/image" Target="media/image373.png"/><Relationship Id="rId381" Type="http://schemas.openxmlformats.org/officeDocument/2006/relationships/image" Target="media/image374.png"/><Relationship Id="rId382" Type="http://schemas.openxmlformats.org/officeDocument/2006/relationships/image" Target="media/image375.png"/><Relationship Id="rId383" Type="http://schemas.openxmlformats.org/officeDocument/2006/relationships/image" Target="media/image376.png"/><Relationship Id="rId384" Type="http://schemas.openxmlformats.org/officeDocument/2006/relationships/image" Target="media/image377.png"/><Relationship Id="rId385" Type="http://schemas.openxmlformats.org/officeDocument/2006/relationships/image" Target="media/image378.png"/><Relationship Id="rId386" Type="http://schemas.openxmlformats.org/officeDocument/2006/relationships/image" Target="media/image379.png"/><Relationship Id="rId387" Type="http://schemas.openxmlformats.org/officeDocument/2006/relationships/image" Target="media/image380.png"/><Relationship Id="rId388" Type="http://schemas.openxmlformats.org/officeDocument/2006/relationships/image" Target="media/image381.png"/><Relationship Id="rId389" Type="http://schemas.openxmlformats.org/officeDocument/2006/relationships/image" Target="media/image382.png"/><Relationship Id="rId390" Type="http://schemas.openxmlformats.org/officeDocument/2006/relationships/image" Target="media/image383.png"/><Relationship Id="rId391" Type="http://schemas.openxmlformats.org/officeDocument/2006/relationships/image" Target="media/image384.png"/><Relationship Id="rId392" Type="http://schemas.openxmlformats.org/officeDocument/2006/relationships/image" Target="media/image385.png"/><Relationship Id="rId393" Type="http://schemas.openxmlformats.org/officeDocument/2006/relationships/image" Target="media/image386.png"/><Relationship Id="rId394" Type="http://schemas.openxmlformats.org/officeDocument/2006/relationships/image" Target="media/image387.png"/><Relationship Id="rId395" Type="http://schemas.openxmlformats.org/officeDocument/2006/relationships/image" Target="media/image388.png"/><Relationship Id="rId396" Type="http://schemas.openxmlformats.org/officeDocument/2006/relationships/image" Target="media/image389.png"/><Relationship Id="rId397" Type="http://schemas.openxmlformats.org/officeDocument/2006/relationships/image" Target="media/image390.png"/><Relationship Id="rId398" Type="http://schemas.openxmlformats.org/officeDocument/2006/relationships/image" Target="media/image391.png"/><Relationship Id="rId399" Type="http://schemas.openxmlformats.org/officeDocument/2006/relationships/image" Target="media/image392.png"/><Relationship Id="rId400" Type="http://schemas.openxmlformats.org/officeDocument/2006/relationships/image" Target="media/image393.png"/><Relationship Id="rId401" Type="http://schemas.openxmlformats.org/officeDocument/2006/relationships/image" Target="media/image394.png"/><Relationship Id="rId402" Type="http://schemas.openxmlformats.org/officeDocument/2006/relationships/image" Target="media/image395.png"/><Relationship Id="rId403" Type="http://schemas.openxmlformats.org/officeDocument/2006/relationships/image" Target="media/image396.png"/><Relationship Id="rId404" Type="http://schemas.openxmlformats.org/officeDocument/2006/relationships/image" Target="media/image397.png"/><Relationship Id="rId405" Type="http://schemas.openxmlformats.org/officeDocument/2006/relationships/image" Target="media/image398.png"/><Relationship Id="rId406" Type="http://schemas.openxmlformats.org/officeDocument/2006/relationships/image" Target="media/image399.png"/><Relationship Id="rId407" Type="http://schemas.openxmlformats.org/officeDocument/2006/relationships/image" Target="media/image400.png"/><Relationship Id="rId408" Type="http://schemas.openxmlformats.org/officeDocument/2006/relationships/image" Target="media/image401.png"/><Relationship Id="rId409" Type="http://schemas.openxmlformats.org/officeDocument/2006/relationships/image" Target="media/image402.png"/><Relationship Id="rId410" Type="http://schemas.openxmlformats.org/officeDocument/2006/relationships/image" Target="media/image403.png"/><Relationship Id="rId411" Type="http://schemas.openxmlformats.org/officeDocument/2006/relationships/image" Target="media/image404.png"/><Relationship Id="rId412" Type="http://schemas.openxmlformats.org/officeDocument/2006/relationships/image" Target="media/image405.png"/><Relationship Id="rId413" Type="http://schemas.openxmlformats.org/officeDocument/2006/relationships/image" Target="media/image406.png"/><Relationship Id="rId414" Type="http://schemas.openxmlformats.org/officeDocument/2006/relationships/image" Target="media/image407.png"/><Relationship Id="rId415" Type="http://schemas.openxmlformats.org/officeDocument/2006/relationships/image" Target="media/image408.png"/><Relationship Id="rId416" Type="http://schemas.openxmlformats.org/officeDocument/2006/relationships/image" Target="media/image409.png"/><Relationship Id="rId417" Type="http://schemas.openxmlformats.org/officeDocument/2006/relationships/image" Target="media/image410.png"/><Relationship Id="rId418" Type="http://schemas.openxmlformats.org/officeDocument/2006/relationships/image" Target="media/image411.png"/><Relationship Id="rId419" Type="http://schemas.openxmlformats.org/officeDocument/2006/relationships/image" Target="media/image412.png"/><Relationship Id="rId420" Type="http://schemas.openxmlformats.org/officeDocument/2006/relationships/image" Target="media/image413.png"/><Relationship Id="rId421" Type="http://schemas.openxmlformats.org/officeDocument/2006/relationships/image" Target="media/image414.png"/><Relationship Id="rId422" Type="http://schemas.openxmlformats.org/officeDocument/2006/relationships/image" Target="media/image415.png"/><Relationship Id="rId423" Type="http://schemas.openxmlformats.org/officeDocument/2006/relationships/image" Target="media/image416.png"/><Relationship Id="rId424" Type="http://schemas.openxmlformats.org/officeDocument/2006/relationships/image" Target="media/image417.png"/><Relationship Id="rId425" Type="http://schemas.openxmlformats.org/officeDocument/2006/relationships/image" Target="media/image418.png"/><Relationship Id="rId426" Type="http://schemas.openxmlformats.org/officeDocument/2006/relationships/image" Target="media/image419.png"/><Relationship Id="rId427" Type="http://schemas.openxmlformats.org/officeDocument/2006/relationships/image" Target="media/image420.png"/><Relationship Id="rId428" Type="http://schemas.openxmlformats.org/officeDocument/2006/relationships/image" Target="media/image421.png"/><Relationship Id="rId429" Type="http://schemas.openxmlformats.org/officeDocument/2006/relationships/image" Target="media/image422.png"/><Relationship Id="rId430" Type="http://schemas.openxmlformats.org/officeDocument/2006/relationships/image" Target="media/image423.png"/><Relationship Id="rId431" Type="http://schemas.openxmlformats.org/officeDocument/2006/relationships/image" Target="media/image424.png"/><Relationship Id="rId432" Type="http://schemas.openxmlformats.org/officeDocument/2006/relationships/image" Target="media/image425.png"/><Relationship Id="rId433" Type="http://schemas.openxmlformats.org/officeDocument/2006/relationships/image" Target="media/image426.png"/><Relationship Id="rId434" Type="http://schemas.openxmlformats.org/officeDocument/2006/relationships/image" Target="media/image427.png"/><Relationship Id="rId435" Type="http://schemas.openxmlformats.org/officeDocument/2006/relationships/image" Target="media/image428.png"/><Relationship Id="rId436" Type="http://schemas.openxmlformats.org/officeDocument/2006/relationships/image" Target="media/image429.png"/><Relationship Id="rId437" Type="http://schemas.openxmlformats.org/officeDocument/2006/relationships/image" Target="media/image430.png"/><Relationship Id="rId438" Type="http://schemas.openxmlformats.org/officeDocument/2006/relationships/image" Target="media/image431.png"/><Relationship Id="rId439" Type="http://schemas.openxmlformats.org/officeDocument/2006/relationships/image" Target="media/image432.png"/><Relationship Id="rId440" Type="http://schemas.openxmlformats.org/officeDocument/2006/relationships/image" Target="media/image433.png"/><Relationship Id="rId441" Type="http://schemas.openxmlformats.org/officeDocument/2006/relationships/image" Target="media/image434.png"/><Relationship Id="rId442" Type="http://schemas.openxmlformats.org/officeDocument/2006/relationships/image" Target="media/image435.png"/><Relationship Id="rId443" Type="http://schemas.openxmlformats.org/officeDocument/2006/relationships/image" Target="media/image436.png"/><Relationship Id="rId444" Type="http://schemas.openxmlformats.org/officeDocument/2006/relationships/image" Target="media/image437.png"/><Relationship Id="rId445" Type="http://schemas.openxmlformats.org/officeDocument/2006/relationships/image" Target="media/image438.png"/><Relationship Id="rId446" Type="http://schemas.openxmlformats.org/officeDocument/2006/relationships/image" Target="media/image439.png"/><Relationship Id="rId447" Type="http://schemas.openxmlformats.org/officeDocument/2006/relationships/image" Target="media/image440.png"/><Relationship Id="rId448" Type="http://schemas.openxmlformats.org/officeDocument/2006/relationships/image" Target="media/image441.png"/><Relationship Id="rId449" Type="http://schemas.openxmlformats.org/officeDocument/2006/relationships/image" Target="media/image442.png"/><Relationship Id="rId450" Type="http://schemas.openxmlformats.org/officeDocument/2006/relationships/image" Target="media/image443.png"/><Relationship Id="rId451" Type="http://schemas.openxmlformats.org/officeDocument/2006/relationships/image" Target="media/image444.png"/><Relationship Id="rId452" Type="http://schemas.openxmlformats.org/officeDocument/2006/relationships/image" Target="media/image445.png"/><Relationship Id="rId453" Type="http://schemas.openxmlformats.org/officeDocument/2006/relationships/image" Target="media/image446.png"/><Relationship Id="rId454" Type="http://schemas.openxmlformats.org/officeDocument/2006/relationships/image" Target="media/image447.png"/><Relationship Id="rId455" Type="http://schemas.openxmlformats.org/officeDocument/2006/relationships/image" Target="media/image448.png"/><Relationship Id="rId456" Type="http://schemas.openxmlformats.org/officeDocument/2006/relationships/image" Target="media/image449.png"/><Relationship Id="rId457" Type="http://schemas.openxmlformats.org/officeDocument/2006/relationships/image" Target="media/image450.png"/><Relationship Id="rId458" Type="http://schemas.openxmlformats.org/officeDocument/2006/relationships/image" Target="media/image451.png"/><Relationship Id="rId459" Type="http://schemas.openxmlformats.org/officeDocument/2006/relationships/image" Target="media/image452.png"/><Relationship Id="rId460" Type="http://schemas.openxmlformats.org/officeDocument/2006/relationships/image" Target="media/image453.png"/><Relationship Id="rId461" Type="http://schemas.openxmlformats.org/officeDocument/2006/relationships/image" Target="media/image454.png"/><Relationship Id="rId462" Type="http://schemas.openxmlformats.org/officeDocument/2006/relationships/image" Target="media/image455.png"/><Relationship Id="rId463" Type="http://schemas.openxmlformats.org/officeDocument/2006/relationships/image" Target="media/image456.png"/><Relationship Id="rId464" Type="http://schemas.openxmlformats.org/officeDocument/2006/relationships/image" Target="media/image457.png"/><Relationship Id="rId465" Type="http://schemas.openxmlformats.org/officeDocument/2006/relationships/image" Target="media/image458.png"/><Relationship Id="rId466" Type="http://schemas.openxmlformats.org/officeDocument/2006/relationships/image" Target="media/image459.png"/><Relationship Id="rId467" Type="http://schemas.openxmlformats.org/officeDocument/2006/relationships/image" Target="media/image460.png"/><Relationship Id="rId468" Type="http://schemas.openxmlformats.org/officeDocument/2006/relationships/image" Target="media/image461.png"/><Relationship Id="rId469" Type="http://schemas.openxmlformats.org/officeDocument/2006/relationships/image" Target="media/image462.png"/><Relationship Id="rId470" Type="http://schemas.openxmlformats.org/officeDocument/2006/relationships/image" Target="media/image463.png"/><Relationship Id="rId471" Type="http://schemas.openxmlformats.org/officeDocument/2006/relationships/image" Target="media/image464.png"/><Relationship Id="rId472" Type="http://schemas.openxmlformats.org/officeDocument/2006/relationships/image" Target="media/image465.png"/><Relationship Id="rId473" Type="http://schemas.openxmlformats.org/officeDocument/2006/relationships/image" Target="media/image466.png"/><Relationship Id="rId474" Type="http://schemas.openxmlformats.org/officeDocument/2006/relationships/image" Target="media/image467.png"/><Relationship Id="rId475" Type="http://schemas.openxmlformats.org/officeDocument/2006/relationships/image" Target="media/image468.png"/><Relationship Id="rId476" Type="http://schemas.openxmlformats.org/officeDocument/2006/relationships/image" Target="media/image469.png"/><Relationship Id="rId477" Type="http://schemas.openxmlformats.org/officeDocument/2006/relationships/image" Target="media/image470.png"/><Relationship Id="rId478" Type="http://schemas.openxmlformats.org/officeDocument/2006/relationships/image" Target="media/image471.png"/><Relationship Id="rId479" Type="http://schemas.openxmlformats.org/officeDocument/2006/relationships/image" Target="media/image472.png"/><Relationship Id="rId480" Type="http://schemas.openxmlformats.org/officeDocument/2006/relationships/image" Target="media/image473.png"/><Relationship Id="rId482" Type="http://schemas.openxmlformats.org/officeDocument/2006/relationships/image" Target="media/image474.png"/><Relationship Id="rId483" Type="http://schemas.openxmlformats.org/officeDocument/2006/relationships/image" Target="media/image475.png"/><Relationship Id="rId484" Type="http://schemas.openxmlformats.org/officeDocument/2006/relationships/image" Target="media/image476.png"/><Relationship Id="rId485" Type="http://schemas.openxmlformats.org/officeDocument/2006/relationships/image" Target="media/image477.png"/><Relationship Id="rId486" Type="http://schemas.openxmlformats.org/officeDocument/2006/relationships/image" Target="media/image478.png"/><Relationship Id="rId487" Type="http://schemas.openxmlformats.org/officeDocument/2006/relationships/image" Target="media/image479.png"/><Relationship Id="rId488" Type="http://schemas.openxmlformats.org/officeDocument/2006/relationships/image" Target="media/image480.png"/><Relationship Id="rId489" Type="http://schemas.openxmlformats.org/officeDocument/2006/relationships/image" Target="media/image481.png"/><Relationship Id="rId490" Type="http://schemas.openxmlformats.org/officeDocument/2006/relationships/image" Target="media/image482.png"/><Relationship Id="rId491" Type="http://schemas.openxmlformats.org/officeDocument/2006/relationships/image" Target="media/image483.png"/><Relationship Id="rId481" Type="http://schemas.openxmlformats.org/officeDocument/2006/relationships/hyperlink" Target="https://www.sec.gov/Archives/edgar/data/884219/000119312522160388/d263744dex10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2022-08-05T14:06:25Z</dcterms:created>
  <dcterms:modified xsi:type="dcterms:W3CDTF">2022-08-05T14:06:25Z</dcterms:modified>
</cp:coreProperties>
</file>