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25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25400"/>
                    </a:xfrm>
                    <a:prstGeom prst="rect">
                      <a:avLst/>
                    </a:prstGeom>
                    <a:noFill/>
                  </pic:spPr>
                </pic:pic>
              </a:graphicData>
            </a:graphic>
          </wp:anchor>
        </w:drawing>
        <w:t>UNITED STATES</w:t>
      </w:r>
    </w:p>
    <w:p>
      <w:pPr>
        <w:spacing w:after="0" w:line="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40"/>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10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12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9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Pursuant to Section 13 or 15(d) of the Securities Exchange Act of 1934</w:t>
      </w:r>
    </w:p>
    <w:p>
      <w:pPr>
        <w:spacing w:after="0" w:line="10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Date of Report (Date of earliest event reported): April 4,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2988310</wp:posOffset>
            </wp:positionH>
            <wp:positionV relativeFrom="paragraph">
              <wp:posOffset>122555</wp:posOffset>
            </wp:positionV>
            <wp:extent cx="1131570" cy="6000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131570" cy="60007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0"/>
          <w:szCs w:val="40"/>
          <w:b w:val="1"/>
          <w:bCs w:val="1"/>
          <w:color w:val="auto"/>
        </w:rPr>
        <w:t>Viad Corp</w:t>
      </w:r>
    </w:p>
    <w:p>
      <w:pPr>
        <w:jc w:val="center"/>
        <w:ind w:right="-39"/>
        <w:spacing w:after="0"/>
        <w:rPr>
          <w:sz w:val="20"/>
          <w:szCs w:val="20"/>
          <w:color w:val="auto"/>
        </w:rPr>
      </w:pPr>
      <w:r>
        <w:rPr>
          <w:rFonts w:ascii="Times New Roman" w:cs="Times New Roman" w:eastAsia="Times New Roman" w:hAnsi="Times New Roman"/>
          <w:sz w:val="14"/>
          <w:szCs w:val="14"/>
          <w:b w:val="1"/>
          <w:bCs w:val="1"/>
          <w:color w:val="auto"/>
        </w:rPr>
        <w:t>(Exact name of registrant as specified in its charter)</w:t>
      </w:r>
    </w:p>
    <w:p>
      <w:pPr>
        <w:spacing w:after="0" w:line="174" w:lineRule="exact"/>
        <w:rPr>
          <w:sz w:val="24"/>
          <w:szCs w:val="24"/>
          <w:color w:val="auto"/>
        </w:rPr>
      </w:pPr>
    </w:p>
    <w:tbl>
      <w:tblPr>
        <w:tblLayout w:type="fixed"/>
        <w:tblInd w:w="700" w:type="dxa"/>
        <w:tblCellMar>
          <w:top w:w="0" w:type="dxa"/>
          <w:left w:w="0" w:type="dxa"/>
          <w:bottom w:w="0" w:type="dxa"/>
          <w:right w:w="0" w:type="dxa"/>
        </w:tblCellMar>
      </w:tblPr>
      <w:tr>
        <w:trPr>
          <w:trHeight w:val="227"/>
        </w:trPr>
        <w:tc>
          <w:tcPr>
            <w:tcW w:w="3240" w:type="dxa"/>
            <w:vAlign w:val="bottom"/>
          </w:tcPr>
          <w:p>
            <w:pPr>
              <w:jc w:val="center"/>
              <w:ind w:right="799"/>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3700" w:type="dxa"/>
            <w:vAlign w:val="bottom"/>
          </w:tcPr>
          <w:p>
            <w:pPr>
              <w:jc w:val="right"/>
              <w:ind w:right="1539"/>
              <w:spacing w:after="0"/>
              <w:rPr>
                <w:sz w:val="20"/>
                <w:szCs w:val="20"/>
                <w:color w:val="auto"/>
              </w:rPr>
            </w:pPr>
            <w:r>
              <w:rPr>
                <w:rFonts w:ascii="Times New Roman" w:cs="Times New Roman" w:eastAsia="Times New Roman" w:hAnsi="Times New Roman"/>
                <w:sz w:val="18"/>
                <w:szCs w:val="18"/>
                <w:b w:val="1"/>
                <w:bCs w:val="1"/>
                <w:color w:val="auto"/>
              </w:rPr>
              <w:t>001-11015</w:t>
            </w:r>
          </w:p>
        </w:tc>
        <w:tc>
          <w:tcPr>
            <w:tcW w:w="2300" w:type="dxa"/>
            <w:vAlign w:val="bottom"/>
          </w:tcPr>
          <w:p>
            <w:pPr>
              <w:jc w:val="center"/>
              <w:ind w:left="1081"/>
              <w:spacing w:after="0"/>
              <w:rPr>
                <w:sz w:val="20"/>
                <w:szCs w:val="20"/>
                <w:color w:val="auto"/>
              </w:rPr>
            </w:pPr>
            <w:r>
              <w:rPr>
                <w:rFonts w:ascii="Times New Roman" w:cs="Times New Roman" w:eastAsia="Times New Roman" w:hAnsi="Times New Roman"/>
                <w:sz w:val="18"/>
                <w:szCs w:val="18"/>
                <w:b w:val="1"/>
                <w:bCs w:val="1"/>
                <w:color w:val="auto"/>
                <w:w w:val="98"/>
              </w:rPr>
              <w:t>36-1169950</w:t>
            </w:r>
          </w:p>
        </w:tc>
        <w:tc>
          <w:tcPr>
            <w:tcW w:w="0" w:type="dxa"/>
            <w:vAlign w:val="bottom"/>
          </w:tcPr>
          <w:p>
            <w:pPr>
              <w:spacing w:after="0"/>
              <w:rPr>
                <w:sz w:val="1"/>
                <w:szCs w:val="1"/>
                <w:color w:val="auto"/>
              </w:rPr>
            </w:pPr>
          </w:p>
        </w:tc>
      </w:tr>
      <w:tr>
        <w:trPr>
          <w:trHeight w:val="149"/>
        </w:trPr>
        <w:tc>
          <w:tcPr>
            <w:tcW w:w="3240" w:type="dxa"/>
            <w:vAlign w:val="bottom"/>
          </w:tcPr>
          <w:p>
            <w:pPr>
              <w:jc w:val="center"/>
              <w:ind w:right="799"/>
              <w:spacing w:after="0" w:line="149" w:lineRule="exact"/>
              <w:rPr>
                <w:sz w:val="20"/>
                <w:szCs w:val="20"/>
                <w:color w:val="auto"/>
              </w:rPr>
            </w:pPr>
            <w:r>
              <w:rPr>
                <w:rFonts w:ascii="Times New Roman" w:cs="Times New Roman" w:eastAsia="Times New Roman" w:hAnsi="Times New Roman"/>
                <w:sz w:val="14"/>
                <w:szCs w:val="14"/>
                <w:b w:val="1"/>
                <w:bCs w:val="1"/>
                <w:color w:val="auto"/>
              </w:rPr>
              <w:t>(State or other jurisdiction</w:t>
            </w:r>
          </w:p>
        </w:tc>
        <w:tc>
          <w:tcPr>
            <w:tcW w:w="3700" w:type="dxa"/>
            <w:vAlign w:val="bottom"/>
          </w:tcPr>
          <w:p>
            <w:pPr>
              <w:jc w:val="center"/>
              <w:ind w:right="239"/>
              <w:spacing w:after="0" w:line="149" w:lineRule="exact"/>
              <w:rPr>
                <w:sz w:val="20"/>
                <w:szCs w:val="20"/>
                <w:color w:val="auto"/>
              </w:rPr>
            </w:pPr>
            <w:r>
              <w:rPr>
                <w:rFonts w:ascii="Times New Roman" w:cs="Times New Roman" w:eastAsia="Times New Roman" w:hAnsi="Times New Roman"/>
                <w:sz w:val="14"/>
                <w:szCs w:val="14"/>
                <w:b w:val="1"/>
                <w:bCs w:val="1"/>
                <w:color w:val="auto"/>
              </w:rPr>
              <w:t>(Commission File Number)</w:t>
            </w:r>
          </w:p>
        </w:tc>
        <w:tc>
          <w:tcPr>
            <w:tcW w:w="2300" w:type="dxa"/>
            <w:vAlign w:val="bottom"/>
          </w:tcPr>
          <w:p>
            <w:pPr>
              <w:jc w:val="center"/>
              <w:ind w:left="1081"/>
              <w:spacing w:after="0" w:line="149" w:lineRule="exact"/>
              <w:rPr>
                <w:sz w:val="20"/>
                <w:szCs w:val="20"/>
                <w:color w:val="auto"/>
              </w:rPr>
            </w:pPr>
            <w:r>
              <w:rPr>
                <w:rFonts w:ascii="Times New Roman" w:cs="Times New Roman" w:eastAsia="Times New Roman" w:hAnsi="Times New Roman"/>
                <w:sz w:val="14"/>
                <w:szCs w:val="14"/>
                <w:b w:val="1"/>
                <w:bCs w:val="1"/>
                <w:color w:val="auto"/>
              </w:rPr>
              <w:t>(IRS Employer</w:t>
            </w:r>
          </w:p>
        </w:tc>
        <w:tc>
          <w:tcPr>
            <w:tcW w:w="0" w:type="dxa"/>
            <w:vAlign w:val="bottom"/>
          </w:tcPr>
          <w:p>
            <w:pPr>
              <w:spacing w:after="0"/>
              <w:rPr>
                <w:sz w:val="1"/>
                <w:szCs w:val="1"/>
                <w:color w:val="auto"/>
              </w:rPr>
            </w:pPr>
          </w:p>
        </w:tc>
      </w:tr>
      <w:tr>
        <w:trPr>
          <w:trHeight w:val="190"/>
        </w:trPr>
        <w:tc>
          <w:tcPr>
            <w:tcW w:w="3240" w:type="dxa"/>
            <w:vAlign w:val="bottom"/>
          </w:tcPr>
          <w:p>
            <w:pPr>
              <w:jc w:val="center"/>
              <w:ind w:right="779"/>
              <w:spacing w:after="0"/>
              <w:rPr>
                <w:sz w:val="20"/>
                <w:szCs w:val="20"/>
                <w:color w:val="auto"/>
              </w:rPr>
            </w:pPr>
            <w:r>
              <w:rPr>
                <w:rFonts w:ascii="Times New Roman" w:cs="Times New Roman" w:eastAsia="Times New Roman" w:hAnsi="Times New Roman"/>
                <w:sz w:val="14"/>
                <w:szCs w:val="14"/>
                <w:b w:val="1"/>
                <w:bCs w:val="1"/>
                <w:color w:val="auto"/>
              </w:rPr>
              <w:t>of incorporation)</w:t>
            </w:r>
          </w:p>
        </w:tc>
        <w:tc>
          <w:tcPr>
            <w:tcW w:w="3700" w:type="dxa"/>
            <w:vAlign w:val="bottom"/>
          </w:tcPr>
          <w:p>
            <w:pPr>
              <w:spacing w:after="0"/>
              <w:rPr>
                <w:sz w:val="16"/>
                <w:szCs w:val="16"/>
                <w:color w:val="auto"/>
              </w:rPr>
            </w:pPr>
          </w:p>
        </w:tc>
        <w:tc>
          <w:tcPr>
            <w:tcW w:w="2300" w:type="dxa"/>
            <w:vAlign w:val="bottom"/>
          </w:tcPr>
          <w:p>
            <w:pPr>
              <w:jc w:val="center"/>
              <w:ind w:left="1081"/>
              <w:spacing w:after="0"/>
              <w:rPr>
                <w:sz w:val="20"/>
                <w:szCs w:val="20"/>
                <w:color w:val="auto"/>
              </w:rPr>
            </w:pPr>
            <w:r>
              <w:rPr>
                <w:rFonts w:ascii="Times New Roman" w:cs="Times New Roman" w:eastAsia="Times New Roman" w:hAnsi="Times New Roman"/>
                <w:sz w:val="14"/>
                <w:szCs w:val="14"/>
                <w:b w:val="1"/>
                <w:bCs w:val="1"/>
                <w:color w:val="auto"/>
              </w:rPr>
              <w:t>Identification No.)</w:t>
            </w:r>
          </w:p>
        </w:tc>
        <w:tc>
          <w:tcPr>
            <w:tcW w:w="0" w:type="dxa"/>
            <w:vAlign w:val="bottom"/>
          </w:tcPr>
          <w:p>
            <w:pPr>
              <w:spacing w:after="0"/>
              <w:rPr>
                <w:sz w:val="1"/>
                <w:szCs w:val="1"/>
                <w:color w:val="auto"/>
              </w:rPr>
            </w:pPr>
          </w:p>
        </w:tc>
      </w:tr>
      <w:tr>
        <w:trPr>
          <w:trHeight w:val="347"/>
        </w:trPr>
        <w:tc>
          <w:tcPr>
            <w:tcW w:w="3240" w:type="dxa"/>
            <w:vAlign w:val="bottom"/>
          </w:tcPr>
          <w:p>
            <w:pPr>
              <w:jc w:val="center"/>
              <w:ind w:right="779"/>
              <w:spacing w:after="0"/>
              <w:rPr>
                <w:sz w:val="20"/>
                <w:szCs w:val="20"/>
                <w:color w:val="auto"/>
              </w:rPr>
            </w:pPr>
            <w:r>
              <w:rPr>
                <w:rFonts w:ascii="Times New Roman" w:cs="Times New Roman" w:eastAsia="Times New Roman" w:hAnsi="Times New Roman"/>
                <w:sz w:val="18"/>
                <w:szCs w:val="18"/>
                <w:b w:val="1"/>
                <w:bCs w:val="1"/>
                <w:color w:val="auto"/>
                <w:w w:val="99"/>
              </w:rPr>
              <w:t>7000 East 1st Avenue</w:t>
            </w:r>
          </w:p>
        </w:tc>
        <w:tc>
          <w:tcPr>
            <w:tcW w:w="3700" w:type="dxa"/>
            <w:vAlign w:val="bottom"/>
          </w:tcPr>
          <w:p>
            <w:pPr>
              <w:spacing w:after="0"/>
              <w:rPr>
                <w:sz w:val="24"/>
                <w:szCs w:val="24"/>
                <w:color w:val="auto"/>
              </w:rPr>
            </w:pPr>
          </w:p>
        </w:tc>
        <w:tc>
          <w:tcPr>
            <w:tcW w:w="2300" w:type="dxa"/>
            <w:vAlign w:val="bottom"/>
            <w:vMerge w:val="restart"/>
          </w:tcPr>
          <w:p>
            <w:pPr>
              <w:jc w:val="center"/>
              <w:ind w:left="1081"/>
              <w:spacing w:after="0"/>
              <w:rPr>
                <w:sz w:val="20"/>
                <w:szCs w:val="20"/>
                <w:color w:val="auto"/>
              </w:rPr>
            </w:pPr>
            <w:r>
              <w:rPr>
                <w:rFonts w:ascii="Times New Roman" w:cs="Times New Roman" w:eastAsia="Times New Roman" w:hAnsi="Times New Roman"/>
                <w:sz w:val="18"/>
                <w:szCs w:val="18"/>
                <w:b w:val="1"/>
                <w:bCs w:val="1"/>
                <w:color w:val="auto"/>
                <w:w w:val="98"/>
              </w:rPr>
              <w:t>85251-4304</w:t>
            </w:r>
          </w:p>
        </w:tc>
        <w:tc>
          <w:tcPr>
            <w:tcW w:w="0" w:type="dxa"/>
            <w:vAlign w:val="bottom"/>
          </w:tcPr>
          <w:p>
            <w:pPr>
              <w:spacing w:after="0"/>
              <w:rPr>
                <w:sz w:val="1"/>
                <w:szCs w:val="1"/>
                <w:color w:val="auto"/>
              </w:rPr>
            </w:pPr>
          </w:p>
        </w:tc>
      </w:tr>
      <w:tr>
        <w:trPr>
          <w:trHeight w:val="205"/>
        </w:trPr>
        <w:tc>
          <w:tcPr>
            <w:tcW w:w="3240" w:type="dxa"/>
            <w:vAlign w:val="bottom"/>
          </w:tcPr>
          <w:p>
            <w:pPr>
              <w:jc w:val="center"/>
              <w:ind w:right="799"/>
              <w:spacing w:after="0" w:line="205" w:lineRule="exact"/>
              <w:rPr>
                <w:sz w:val="20"/>
                <w:szCs w:val="20"/>
                <w:color w:val="auto"/>
              </w:rPr>
            </w:pPr>
            <w:r>
              <w:rPr>
                <w:rFonts w:ascii="Times New Roman" w:cs="Times New Roman" w:eastAsia="Times New Roman" w:hAnsi="Times New Roman"/>
                <w:sz w:val="18"/>
                <w:szCs w:val="18"/>
                <w:b w:val="1"/>
                <w:bCs w:val="1"/>
                <w:color w:val="auto"/>
                <w:w w:val="99"/>
              </w:rPr>
              <w:t>Scottsdale, Arizona</w:t>
            </w:r>
          </w:p>
        </w:tc>
        <w:tc>
          <w:tcPr>
            <w:tcW w:w="3700" w:type="dxa"/>
            <w:vAlign w:val="bottom"/>
          </w:tcPr>
          <w:p>
            <w:pPr>
              <w:spacing w:after="0"/>
              <w:rPr>
                <w:sz w:val="17"/>
                <w:szCs w:val="17"/>
                <w:color w:val="auto"/>
              </w:rPr>
            </w:pPr>
          </w:p>
        </w:tc>
        <w:tc>
          <w:tcPr>
            <w:tcW w:w="23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90"/>
        </w:trPr>
        <w:tc>
          <w:tcPr>
            <w:tcW w:w="3240" w:type="dxa"/>
            <w:vAlign w:val="bottom"/>
          </w:tcPr>
          <w:p>
            <w:pPr>
              <w:jc w:val="center"/>
              <w:ind w:right="779"/>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tc>
        <w:tc>
          <w:tcPr>
            <w:tcW w:w="3700" w:type="dxa"/>
            <w:vAlign w:val="bottom"/>
          </w:tcPr>
          <w:p>
            <w:pPr>
              <w:spacing w:after="0"/>
              <w:rPr>
                <w:sz w:val="16"/>
                <w:szCs w:val="16"/>
                <w:color w:val="auto"/>
              </w:rPr>
            </w:pPr>
          </w:p>
        </w:tc>
        <w:tc>
          <w:tcPr>
            <w:tcW w:w="2300" w:type="dxa"/>
            <w:vAlign w:val="bottom"/>
          </w:tcPr>
          <w:p>
            <w:pPr>
              <w:jc w:val="center"/>
              <w:ind w:left="1081"/>
              <w:spacing w:after="0"/>
              <w:rPr>
                <w:sz w:val="20"/>
                <w:szCs w:val="20"/>
                <w:color w:val="auto"/>
              </w:rPr>
            </w:pPr>
            <w:r>
              <w:rPr>
                <w:rFonts w:ascii="Times New Roman" w:cs="Times New Roman" w:eastAsia="Times New Roman" w:hAnsi="Times New Roman"/>
                <w:sz w:val="14"/>
                <w:szCs w:val="14"/>
                <w:b w:val="1"/>
                <w:bCs w:val="1"/>
                <w:color w:val="auto"/>
              </w:rPr>
              <w:t>(Zip Code)</w:t>
            </w:r>
          </w:p>
        </w:tc>
        <w:tc>
          <w:tcPr>
            <w:tcW w:w="0" w:type="dxa"/>
            <w:vAlign w:val="bottom"/>
          </w:tcPr>
          <w:p>
            <w:pPr>
              <w:spacing w:after="0"/>
              <w:rPr>
                <w:sz w:val="1"/>
                <w:szCs w:val="1"/>
                <w:color w:val="auto"/>
              </w:rPr>
            </w:pPr>
          </w:p>
        </w:tc>
      </w:tr>
    </w:tbl>
    <w:p>
      <w:pPr>
        <w:spacing w:after="0" w:line="8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(602) 207-1000</w:t>
      </w:r>
    </w:p>
    <w:p>
      <w:pPr>
        <w:spacing w:after="0" w:line="10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1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(Former name or former address, if changed since last report)</w:t>
      </w:r>
    </w:p>
    <w:p>
      <w:pPr>
        <w:spacing w:after="0" w:line="97" w:lineRule="exact"/>
        <w:rPr>
          <w:sz w:val="24"/>
          <w:szCs w:val="24"/>
          <w:color w:val="auto"/>
        </w:rPr>
      </w:pPr>
    </w:p>
    <w:p>
      <w:pPr>
        <w:ind w:right="680"/>
        <w:spacing w:after="0" w:line="266"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w:t>
      </w:r>
      <w:r>
        <w:rPr>
          <w:rFonts w:ascii="Times New Roman" w:cs="Times New Roman" w:eastAsia="Times New Roman" w:hAnsi="Times New Roman"/>
          <w:sz w:val="18"/>
          <w:szCs w:val="18"/>
          <w:i w:val="1"/>
          <w:iCs w:val="1"/>
          <w:color w:val="auto"/>
        </w:rPr>
        <w:t>see</w:t>
      </w:r>
      <w:r>
        <w:rPr>
          <w:rFonts w:ascii="Times New Roman" w:cs="Times New Roman" w:eastAsia="Times New Roman" w:hAnsi="Times New Roman"/>
          <w:sz w:val="18"/>
          <w:szCs w:val="18"/>
          <w:color w:val="auto"/>
        </w:rPr>
        <w:t xml:space="preserve"> General Instruction A.2. below):</w:t>
      </w:r>
    </w:p>
    <w:p>
      <w:pPr>
        <w:spacing w:after="0" w:line="149" w:lineRule="exact"/>
        <w:rPr>
          <w:sz w:val="24"/>
          <w:szCs w:val="24"/>
          <w:color w:val="auto"/>
        </w:rPr>
      </w:pPr>
    </w:p>
    <w:p>
      <w:pPr>
        <w:ind w:left="480" w:hanging="459"/>
        <w:spacing w:after="0"/>
        <w:tabs>
          <w:tab w:leader="none" w:pos="48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5" w:lineRule="exact"/>
        <w:rPr>
          <w:rFonts w:ascii="MS PGothic" w:cs="MS PGothic" w:eastAsia="MS PGothic" w:hAnsi="MS PGothic"/>
          <w:sz w:val="18"/>
          <w:szCs w:val="18"/>
          <w:color w:val="auto"/>
        </w:rPr>
      </w:pPr>
    </w:p>
    <w:p>
      <w:pPr>
        <w:ind w:left="480" w:hanging="459"/>
        <w:spacing w:after="0" w:line="234" w:lineRule="auto"/>
        <w:tabs>
          <w:tab w:leader="none" w:pos="48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ind w:left="480" w:hanging="459"/>
        <w:spacing w:after="0" w:line="234" w:lineRule="auto"/>
        <w:tabs>
          <w:tab w:leader="none" w:pos="48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ind w:left="480" w:hanging="459"/>
        <w:spacing w:after="0"/>
        <w:tabs>
          <w:tab w:leader="none" w:pos="48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138"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193"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428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Title of each class</w:t>
            </w:r>
          </w:p>
        </w:tc>
        <w:tc>
          <w:tcPr>
            <w:tcW w:w="120" w:type="dxa"/>
            <w:vAlign w:val="bottom"/>
          </w:tcPr>
          <w:p>
            <w:pPr>
              <w:spacing w:after="0"/>
              <w:rPr>
                <w:sz w:val="13"/>
                <w:szCs w:val="13"/>
                <w:color w:val="auto"/>
              </w:rPr>
            </w:pPr>
          </w:p>
        </w:tc>
        <w:tc>
          <w:tcPr>
            <w:tcW w:w="16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Trading</w:t>
            </w:r>
          </w:p>
        </w:tc>
        <w:tc>
          <w:tcPr>
            <w:tcW w:w="120" w:type="dxa"/>
            <w:vAlign w:val="bottom"/>
          </w:tcPr>
          <w:p>
            <w:pPr>
              <w:spacing w:after="0"/>
              <w:rPr>
                <w:sz w:val="13"/>
                <w:szCs w:val="13"/>
                <w:color w:val="auto"/>
              </w:rPr>
            </w:pPr>
          </w:p>
        </w:tc>
        <w:tc>
          <w:tcPr>
            <w:tcW w:w="504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Name of each exchange on which registered</w:t>
            </w:r>
          </w:p>
        </w:tc>
        <w:tc>
          <w:tcPr>
            <w:tcW w:w="0" w:type="dxa"/>
            <w:vAlign w:val="bottom"/>
          </w:tcPr>
          <w:p>
            <w:pPr>
              <w:spacing w:after="0"/>
              <w:rPr>
                <w:sz w:val="1"/>
                <w:szCs w:val="1"/>
                <w:color w:val="auto"/>
              </w:rPr>
            </w:pPr>
          </w:p>
        </w:tc>
      </w:tr>
      <w:tr>
        <w:trPr>
          <w:trHeight w:val="187"/>
        </w:trPr>
        <w:tc>
          <w:tcPr>
            <w:tcW w:w="4280" w:type="dxa"/>
            <w:vAlign w:val="bottom"/>
            <w:tcBorders>
              <w:bottom w:val="single" w:sz="8" w:color="auto"/>
            </w:tcBorders>
            <w:vMerge w:val="continue"/>
          </w:tcPr>
          <w:p>
            <w:pPr>
              <w:spacing w:after="0"/>
              <w:rPr>
                <w:sz w:val="16"/>
                <w:szCs w:val="16"/>
                <w:color w:val="auto"/>
              </w:rPr>
            </w:pPr>
          </w:p>
        </w:tc>
        <w:tc>
          <w:tcPr>
            <w:tcW w:w="120" w:type="dxa"/>
            <w:vAlign w:val="bottom"/>
          </w:tcPr>
          <w:p>
            <w:pPr>
              <w:spacing w:after="0"/>
              <w:rPr>
                <w:sz w:val="16"/>
                <w:szCs w:val="16"/>
                <w:color w:val="auto"/>
              </w:rPr>
            </w:pPr>
          </w:p>
        </w:tc>
        <w:tc>
          <w:tcPr>
            <w:tcW w:w="16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Symbol(s)</w:t>
            </w:r>
          </w:p>
        </w:tc>
        <w:tc>
          <w:tcPr>
            <w:tcW w:w="120" w:type="dxa"/>
            <w:vAlign w:val="bottom"/>
          </w:tcPr>
          <w:p>
            <w:pPr>
              <w:spacing w:after="0"/>
              <w:rPr>
                <w:sz w:val="16"/>
                <w:szCs w:val="16"/>
                <w:color w:val="auto"/>
              </w:rPr>
            </w:pPr>
          </w:p>
        </w:tc>
        <w:tc>
          <w:tcPr>
            <w:tcW w:w="50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32"/>
        </w:trPr>
        <w:tc>
          <w:tcPr>
            <w:tcW w:w="42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Common Stock, $1.50 Par Value</w:t>
            </w:r>
          </w:p>
        </w:tc>
        <w:tc>
          <w:tcPr>
            <w:tcW w:w="120" w:type="dxa"/>
            <w:vAlign w:val="bottom"/>
          </w:tcPr>
          <w:p>
            <w:pPr>
              <w:spacing w:after="0"/>
              <w:rPr>
                <w:sz w:val="20"/>
                <w:szCs w:val="20"/>
                <w:color w:val="auto"/>
              </w:rPr>
            </w:pPr>
          </w:p>
        </w:tc>
        <w:tc>
          <w:tcPr>
            <w:tcW w:w="16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VVI</w:t>
            </w:r>
          </w:p>
        </w:tc>
        <w:tc>
          <w:tcPr>
            <w:tcW w:w="120" w:type="dxa"/>
            <w:vAlign w:val="bottom"/>
          </w:tcPr>
          <w:p>
            <w:pPr>
              <w:spacing w:after="0"/>
              <w:rPr>
                <w:sz w:val="20"/>
                <w:szCs w:val="20"/>
                <w:color w:val="auto"/>
              </w:rPr>
            </w:pPr>
          </w:p>
        </w:tc>
        <w:tc>
          <w:tcPr>
            <w:tcW w:w="504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New York Stock Exchange</w:t>
            </w:r>
          </w:p>
        </w:tc>
        <w:tc>
          <w:tcPr>
            <w:tcW w:w="0" w:type="dxa"/>
            <w:vAlign w:val="bottom"/>
          </w:tcPr>
          <w:p>
            <w:pPr>
              <w:spacing w:after="0"/>
              <w:rPr>
                <w:sz w:val="1"/>
                <w:szCs w:val="1"/>
                <w:color w:val="auto"/>
              </w:rPr>
            </w:pPr>
          </w:p>
        </w:tc>
      </w:tr>
      <w:tr>
        <w:trPr>
          <w:trHeight w:val="356"/>
        </w:trPr>
        <w:tc>
          <w:tcPr>
            <w:tcW w:w="42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Preferred Stock Purchase Rights</w:t>
            </w:r>
          </w:p>
        </w:tc>
        <w:tc>
          <w:tcPr>
            <w:tcW w:w="1800" w:type="dxa"/>
            <w:vAlign w:val="bottom"/>
            <w:gridSpan w:val="2"/>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w w:val="99"/>
              </w:rPr>
              <w:t>__</w:t>
            </w:r>
          </w:p>
        </w:tc>
        <w:tc>
          <w:tcPr>
            <w:tcW w:w="120" w:type="dxa"/>
            <w:vAlign w:val="bottom"/>
          </w:tcPr>
          <w:p>
            <w:pPr>
              <w:spacing w:after="0"/>
              <w:rPr>
                <w:sz w:val="24"/>
                <w:szCs w:val="24"/>
                <w:color w:val="auto"/>
              </w:rPr>
            </w:pPr>
          </w:p>
        </w:tc>
        <w:tc>
          <w:tcPr>
            <w:tcW w:w="504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New York Stock Exchange</w:t>
            </w:r>
          </w:p>
        </w:tc>
        <w:tc>
          <w:tcPr>
            <w:tcW w:w="0" w:type="dxa"/>
            <w:vAlign w:val="bottom"/>
          </w:tcPr>
          <w:p>
            <w:pPr>
              <w:spacing w:after="0"/>
              <w:rPr>
                <w:sz w:val="1"/>
                <w:szCs w:val="1"/>
                <w:color w:val="auto"/>
              </w:rPr>
            </w:pPr>
          </w:p>
        </w:tc>
      </w:tr>
    </w:tbl>
    <w:p>
      <w:pPr>
        <w:spacing w:after="0" w:line="306" w:lineRule="exact"/>
        <w:rPr>
          <w:sz w:val="24"/>
          <w:szCs w:val="24"/>
          <w:color w:val="auto"/>
        </w:rPr>
      </w:pPr>
    </w:p>
    <w:p>
      <w:pPr>
        <w:ind w:right="1800"/>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 230.405 of this chapter) or Rule 12b-2 of the Securities Exchange Act of 1934 (§ 240.12b-2 of this chapter).</w:t>
      </w:r>
    </w:p>
    <w:p>
      <w:pPr>
        <w:spacing w:after="0" w:line="80"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186" w:lineRule="exact"/>
        <w:rPr>
          <w:sz w:val="24"/>
          <w:szCs w:val="24"/>
          <w:color w:val="auto"/>
        </w:rPr>
      </w:pPr>
    </w:p>
    <w:p>
      <w:pPr>
        <w:ind w:right="160"/>
        <w:spacing w:after="0" w:line="228"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107950</wp:posOffset>
            </wp:positionV>
            <wp:extent cx="71323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159385</wp:posOffset>
            </wp:positionV>
            <wp:extent cx="7132320" cy="25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626745</wp:posOffset>
            </wp:positionV>
            <wp:extent cx="71577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24" w:right="339" w:bottom="1440" w:gutter="0" w:footer="0" w:header="0"/>
        </w:sectPr>
      </w:pPr>
    </w:p>
    <w:bookmarkStart w:id="1" w:name="page2"/>
    <w:bookmarkEnd w:id="1"/>
    <w:p>
      <w:pPr>
        <w:spacing w:after="0" w:line="271" w:lineRule="auto"/>
        <w:rPr>
          <w:sz w:val="20"/>
          <w:szCs w:val="20"/>
          <w:color w:val="auto"/>
        </w:rPr>
      </w:pPr>
      <w:r>
        <w:rPr>
          <w:rFonts w:ascii="Times New Roman" w:cs="Times New Roman" w:eastAsia="Times New Roman" w:hAnsi="Times New Roman"/>
          <w:sz w:val="18"/>
          <w:szCs w:val="18"/>
          <w:b w:val="1"/>
          <w:bCs w:val="1"/>
          <w:color w:val="auto"/>
        </w:rPr>
        <w:t>Item 5.02 Departure of Directors or Certain Officers; Election of Directors; Appointment of Certain Officers; Compensatory Arrangements of Certain Officers</w:t>
      </w:r>
    </w:p>
    <w:p>
      <w:pPr>
        <w:spacing w:after="0" w:line="50" w:lineRule="exact"/>
        <w:rPr>
          <w:sz w:val="20"/>
          <w:szCs w:val="20"/>
          <w:color w:val="auto"/>
        </w:rPr>
      </w:pPr>
    </w:p>
    <w:p>
      <w:pPr>
        <w:ind w:right="40"/>
        <w:spacing w:after="0" w:line="241" w:lineRule="auto"/>
        <w:rPr>
          <w:sz w:val="20"/>
          <w:szCs w:val="20"/>
          <w:color w:val="auto"/>
        </w:rPr>
      </w:pPr>
      <w:r>
        <w:rPr>
          <w:rFonts w:ascii="Times New Roman" w:cs="Times New Roman" w:eastAsia="Times New Roman" w:hAnsi="Times New Roman"/>
          <w:sz w:val="18"/>
          <w:szCs w:val="18"/>
          <w:color w:val="auto"/>
        </w:rPr>
        <w:t>On April 4, 2022, Mr. Sung-Chul Patrick T. LaValley was appointed to the Board of Directors (“Board”) of Viad Corp (the “Company”). Mr. LaValley was appointed by Crestview Partners IV GP, L.P. and affiliated entities (the “Crestview Parties”) pursuant to the terms of the Stockholders Agreement between the Company and the Crestview Parties, and the Certificate of Designations governing the Company’s shares of 5.5% Series A Convertible Preferred Stock held by the Crestview Parties. Mr. LaValley will replace Mr. Kevin M. Rabbitt on the Board, also effective April 4, 2022. Mr. LaValley will serve as a Preferred Director effective immediately, and will be appointed for a term ending at the 2023 annual meeting of stockholders, or until his earlier resignation, retirement, disqualification, death, or removal.</w:t>
      </w:r>
    </w:p>
    <w:p>
      <w:pPr>
        <w:spacing w:after="0" w:line="130" w:lineRule="exact"/>
        <w:rPr>
          <w:sz w:val="20"/>
          <w:szCs w:val="20"/>
          <w:color w:val="auto"/>
        </w:rPr>
      </w:pPr>
    </w:p>
    <w:p>
      <w:pPr>
        <w:ind w:right="240"/>
        <w:spacing w:after="0" w:line="250" w:lineRule="auto"/>
        <w:rPr>
          <w:sz w:val="20"/>
          <w:szCs w:val="20"/>
          <w:color w:val="auto"/>
        </w:rPr>
      </w:pPr>
      <w:r>
        <w:rPr>
          <w:rFonts w:ascii="Times New Roman" w:cs="Times New Roman" w:eastAsia="Times New Roman" w:hAnsi="Times New Roman"/>
          <w:sz w:val="18"/>
          <w:szCs w:val="18"/>
          <w:color w:val="auto"/>
        </w:rPr>
        <w:t>Mr. LaValley is entitled to compensation for service on our Board in accordance with our director compensation policy, which is described in the Company’s proxy statement filed with the Securities and Exchange Commission on March 29, 2021. While Mr. LaValley will receive the Board retainer and fees described therein, he has elected to waive the customary grant of equity for the Company’s Directors for 2022.</w:t>
      </w:r>
    </w:p>
    <w:p>
      <w:pPr>
        <w:spacing w:after="0" w:line="123" w:lineRule="exact"/>
        <w:rPr>
          <w:sz w:val="20"/>
          <w:szCs w:val="20"/>
          <w:color w:val="auto"/>
        </w:rPr>
      </w:pPr>
    </w:p>
    <w:p>
      <w:pPr>
        <w:ind w:right="360"/>
        <w:spacing w:after="0" w:line="266" w:lineRule="auto"/>
        <w:rPr>
          <w:sz w:val="20"/>
          <w:szCs w:val="20"/>
          <w:color w:val="auto"/>
        </w:rPr>
      </w:pPr>
      <w:r>
        <w:rPr>
          <w:rFonts w:ascii="Times New Roman" w:cs="Times New Roman" w:eastAsia="Times New Roman" w:hAnsi="Times New Roman"/>
          <w:sz w:val="18"/>
          <w:szCs w:val="18"/>
          <w:color w:val="auto"/>
        </w:rPr>
        <w:t>With respect to Item 404(a) of Regulation S-K, there are no relationships or related transactions between Mr. LaValley and the Company that would be required to be reported.</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7.01 Regulation FD Disclosure</w:t>
      </w:r>
    </w:p>
    <w:p>
      <w:pPr>
        <w:spacing w:after="0" w:line="108" w:lineRule="exact"/>
        <w:rPr>
          <w:sz w:val="20"/>
          <w:szCs w:val="20"/>
          <w:color w:val="auto"/>
        </w:rPr>
      </w:pPr>
    </w:p>
    <w:p>
      <w:pPr>
        <w:ind w:right="240"/>
        <w:spacing w:after="0" w:line="253" w:lineRule="auto"/>
        <w:rPr>
          <w:sz w:val="20"/>
          <w:szCs w:val="20"/>
          <w:color w:val="auto"/>
        </w:rPr>
      </w:pPr>
      <w:r>
        <w:rPr>
          <w:rFonts w:ascii="Times New Roman" w:cs="Times New Roman" w:eastAsia="Times New Roman" w:hAnsi="Times New Roman"/>
          <w:sz w:val="18"/>
          <w:szCs w:val="18"/>
          <w:color w:val="auto"/>
        </w:rPr>
        <w:t>The information in this Item 7.01 shall not be deemed “filed” for purposes of Section 18 of the Securities Exchange Act of 1934, as amended (the “Exchange Act”), or otherwise subject to the liabilities of that section, nor shall it be deemed incorporated by reference in any filing under the Securities</w:t>
      </w:r>
    </w:p>
    <w:p>
      <w:pPr>
        <w:spacing w:after="0"/>
        <w:rPr>
          <w:sz w:val="20"/>
          <w:szCs w:val="20"/>
          <w:color w:val="auto"/>
        </w:rPr>
      </w:pPr>
      <w:r>
        <w:rPr>
          <w:rFonts w:ascii="Times New Roman" w:cs="Times New Roman" w:eastAsia="Times New Roman" w:hAnsi="Times New Roman"/>
          <w:sz w:val="18"/>
          <w:szCs w:val="18"/>
          <w:color w:val="auto"/>
        </w:rPr>
        <w:t>Act of 1933, as amended, or the Exchange Act, regardless of any general incorporation language in such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481965</wp:posOffset>
            </wp:positionV>
            <wp:extent cx="71577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22" w:right="35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0" w:lineRule="exact"/>
        <w:rPr>
          <w:sz w:val="20"/>
          <w:szCs w:val="20"/>
          <w:color w:val="auto"/>
        </w:rPr>
      </w:pPr>
    </w:p>
    <w:p>
      <w:pPr>
        <w:ind w:right="40"/>
        <w:spacing w:after="0" w:line="243"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95" w:lineRule="exact"/>
        <w:rPr>
          <w:sz w:val="20"/>
          <w:szCs w:val="20"/>
          <w:color w:val="auto"/>
        </w:rPr>
      </w:pPr>
    </w:p>
    <w:p>
      <w:pPr>
        <w:ind w:left="5260"/>
        <w:spacing w:after="0"/>
        <w:rPr>
          <w:sz w:val="20"/>
          <w:szCs w:val="20"/>
          <w:color w:val="auto"/>
        </w:rPr>
      </w:pPr>
      <w:r>
        <w:rPr>
          <w:rFonts w:ascii="Times New Roman" w:cs="Times New Roman" w:eastAsia="Times New Roman" w:hAnsi="Times New Roman"/>
          <w:sz w:val="18"/>
          <w:szCs w:val="18"/>
          <w:color w:val="auto"/>
        </w:rPr>
        <w:t>Viad Corp</w:t>
      </w:r>
    </w:p>
    <w:p>
      <w:pPr>
        <w:spacing w:after="0" w:line="2" w:lineRule="exact"/>
        <w:rPr>
          <w:sz w:val="20"/>
          <w:szCs w:val="20"/>
          <w:color w:val="auto"/>
        </w:rPr>
      </w:pPr>
    </w:p>
    <w:p>
      <w:pPr>
        <w:ind w:left="5260"/>
        <w:spacing w:after="0"/>
        <w:rPr>
          <w:sz w:val="20"/>
          <w:szCs w:val="20"/>
          <w:color w:val="auto"/>
        </w:rPr>
      </w:pPr>
      <w:r>
        <w:rPr>
          <w:rFonts w:ascii="Times New Roman" w:cs="Times New Roman" w:eastAsia="Times New Roman" w:hAnsi="Times New Roman"/>
          <w:sz w:val="18"/>
          <w:szCs w:val="18"/>
          <w:color w:val="auto"/>
        </w:rPr>
        <w:t>(Registrant)</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33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Date: April 5, 2022</w:t>
            </w:r>
          </w:p>
        </w:tc>
        <w:tc>
          <w:tcPr>
            <w:tcW w:w="2680" w:type="dxa"/>
            <w:vAlign w:val="bottom"/>
          </w:tcPr>
          <w:p>
            <w:pPr>
              <w:ind w:left="1920"/>
              <w:spacing w:after="0"/>
              <w:rPr>
                <w:sz w:val="20"/>
                <w:szCs w:val="20"/>
                <w:color w:val="auto"/>
              </w:rPr>
            </w:pPr>
            <w:r>
              <w:rPr>
                <w:rFonts w:ascii="Times New Roman" w:cs="Times New Roman" w:eastAsia="Times New Roman" w:hAnsi="Times New Roman"/>
                <w:sz w:val="18"/>
                <w:szCs w:val="18"/>
                <w:color w:val="auto"/>
              </w:rPr>
              <w:t>By</w:t>
            </w:r>
          </w:p>
        </w:tc>
        <w:tc>
          <w:tcPr>
            <w:tcW w:w="52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 Derek P. Linde</w:t>
            </w:r>
          </w:p>
        </w:tc>
      </w:tr>
      <w:tr>
        <w:trPr>
          <w:trHeight w:val="151"/>
        </w:trPr>
        <w:tc>
          <w:tcPr>
            <w:tcW w:w="3340" w:type="dxa"/>
            <w:vAlign w:val="bottom"/>
          </w:tcPr>
          <w:p>
            <w:pPr>
              <w:spacing w:after="0"/>
              <w:rPr>
                <w:sz w:val="13"/>
                <w:szCs w:val="13"/>
                <w:color w:val="auto"/>
              </w:rPr>
            </w:pPr>
          </w:p>
        </w:tc>
        <w:tc>
          <w:tcPr>
            <w:tcW w:w="2680" w:type="dxa"/>
            <w:vAlign w:val="bottom"/>
          </w:tcPr>
          <w:p>
            <w:pPr>
              <w:ind w:left="1920"/>
              <w:spacing w:after="0" w:line="150" w:lineRule="exact"/>
              <w:rPr>
                <w:sz w:val="20"/>
                <w:szCs w:val="20"/>
                <w:color w:val="auto"/>
              </w:rPr>
            </w:pPr>
            <w:r>
              <w:rPr>
                <w:rFonts w:ascii="Times New Roman" w:cs="Times New Roman" w:eastAsia="Times New Roman" w:hAnsi="Times New Roman"/>
                <w:sz w:val="17"/>
                <w:szCs w:val="17"/>
                <w:color w:val="auto"/>
              </w:rPr>
              <w:t>Name:</w:t>
            </w:r>
          </w:p>
        </w:tc>
        <w:tc>
          <w:tcPr>
            <w:tcW w:w="5220" w:type="dxa"/>
            <w:vAlign w:val="bottom"/>
          </w:tcPr>
          <w:p>
            <w:pPr>
              <w:ind w:left="20"/>
              <w:spacing w:after="0" w:line="150" w:lineRule="exact"/>
              <w:rPr>
                <w:sz w:val="20"/>
                <w:szCs w:val="20"/>
                <w:color w:val="auto"/>
              </w:rPr>
            </w:pPr>
            <w:r>
              <w:rPr>
                <w:rFonts w:ascii="Times New Roman" w:cs="Times New Roman" w:eastAsia="Times New Roman" w:hAnsi="Times New Roman"/>
                <w:sz w:val="17"/>
                <w:szCs w:val="17"/>
                <w:color w:val="auto"/>
              </w:rPr>
              <w:t>Derek P. Linde</w:t>
            </w:r>
          </w:p>
        </w:tc>
      </w:tr>
      <w:tr>
        <w:trPr>
          <w:trHeight w:val="234"/>
        </w:trPr>
        <w:tc>
          <w:tcPr>
            <w:tcW w:w="3340" w:type="dxa"/>
            <w:vAlign w:val="bottom"/>
          </w:tcPr>
          <w:p>
            <w:pPr>
              <w:spacing w:after="0"/>
              <w:rPr>
                <w:sz w:val="20"/>
                <w:szCs w:val="20"/>
                <w:color w:val="auto"/>
              </w:rPr>
            </w:pPr>
          </w:p>
        </w:tc>
        <w:tc>
          <w:tcPr>
            <w:tcW w:w="2680" w:type="dxa"/>
            <w:vAlign w:val="bottom"/>
          </w:tcPr>
          <w:p>
            <w:pPr>
              <w:ind w:left="1920"/>
              <w:spacing w:after="0"/>
              <w:rPr>
                <w:sz w:val="20"/>
                <w:szCs w:val="20"/>
                <w:color w:val="auto"/>
              </w:rPr>
            </w:pPr>
            <w:r>
              <w:rPr>
                <w:rFonts w:ascii="Times New Roman" w:cs="Times New Roman" w:eastAsia="Times New Roman" w:hAnsi="Times New Roman"/>
                <w:sz w:val="18"/>
                <w:szCs w:val="18"/>
                <w:color w:val="auto"/>
              </w:rPr>
              <w:t>Title:</w:t>
            </w:r>
          </w:p>
        </w:tc>
        <w:tc>
          <w:tcPr>
            <w:tcW w:w="5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Chief Operating Officer, General Counsel &amp; Corporate Secretary</w:t>
            </w:r>
          </w:p>
        </w:tc>
      </w:tr>
      <w:tr>
        <w:trPr>
          <w:trHeight w:val="749"/>
        </w:trPr>
        <w:tc>
          <w:tcPr>
            <w:tcW w:w="3340" w:type="dxa"/>
            <w:vAlign w:val="bottom"/>
            <w:tcBorders>
              <w:bottom w:val="single" w:sz="8" w:color="9A9A9A"/>
            </w:tcBorders>
          </w:tcPr>
          <w:p>
            <w:pPr>
              <w:spacing w:after="0"/>
              <w:rPr>
                <w:sz w:val="24"/>
                <w:szCs w:val="24"/>
                <w:color w:val="auto"/>
              </w:rPr>
            </w:pPr>
          </w:p>
        </w:tc>
        <w:tc>
          <w:tcPr>
            <w:tcW w:w="2680" w:type="dxa"/>
            <w:vAlign w:val="bottom"/>
            <w:tcBorders>
              <w:bottom w:val="single" w:sz="8" w:color="9A9A9A"/>
            </w:tcBorders>
          </w:tcPr>
          <w:p>
            <w:pPr>
              <w:spacing w:after="0"/>
              <w:rPr>
                <w:sz w:val="24"/>
                <w:szCs w:val="24"/>
                <w:color w:val="auto"/>
              </w:rPr>
            </w:pPr>
          </w:p>
        </w:tc>
        <w:tc>
          <w:tcPr>
            <w:tcW w:w="52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3" w:name="page4"/>
    <w:bookmarkEnd w:id="3"/>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2022-04-05T15:26:08Z</dcterms:created>
  <dcterms:modified xsi:type="dcterms:W3CDTF">2022-04-05T15:26:08Z</dcterms:modified>
</cp:coreProperties>
</file>