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6993890" cy="5937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890" cy="593725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LINDE DEREK P</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7000 E. 1ST AVENUE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VIAD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VVI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0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02/23/2022</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560"/>
        <w:spacing w:after="0"/>
        <w:rPr>
          <w:sz w:val="20"/>
          <w:szCs w:val="20"/>
          <w:color w:val="auto"/>
        </w:rPr>
      </w:pPr>
      <w:r>
        <w:rPr>
          <w:rFonts w:ascii="Arial" w:cs="Arial" w:eastAsia="Arial" w:hAnsi="Arial"/>
          <w:sz w:val="17"/>
          <w:szCs w:val="17"/>
          <w:color w:val="0000FF"/>
        </w:rPr>
        <w:t>General Counsel &amp; Corp Secy</w:t>
      </w:r>
    </w:p>
    <w:p>
      <w:pPr>
        <w:spacing w:after="0" w:line="307"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1160" w:type="dxa"/>
            <w:vAlign w:val="bottom"/>
          </w:tcPr>
          <w:p>
            <w:pPr>
              <w:ind w:left="20"/>
              <w:spacing w:after="0"/>
              <w:rPr>
                <w:sz w:val="20"/>
                <w:szCs w:val="20"/>
                <w:color w:val="auto"/>
              </w:rPr>
            </w:pPr>
            <w:r>
              <w:rPr>
                <w:rFonts w:ascii="Arial" w:cs="Arial" w:eastAsia="Arial" w:hAnsi="Arial"/>
                <w:sz w:val="17"/>
                <w:szCs w:val="17"/>
                <w:color w:val="0000FF"/>
                <w:w w:val="98"/>
              </w:rPr>
              <w:t>SCOTTSDALE</w:t>
            </w:r>
          </w:p>
        </w:tc>
        <w:tc>
          <w:tcPr>
            <w:tcW w:w="900" w:type="dxa"/>
            <w:vAlign w:val="bottom"/>
          </w:tcPr>
          <w:p>
            <w:pPr>
              <w:ind w:left="8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85251</w:t>
            </w:r>
          </w:p>
        </w:tc>
      </w:tr>
      <w:tr>
        <w:trPr>
          <w:trHeight w:val="149"/>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98" w:lineRule="exact"/>
        <w:rPr>
          <w:sz w:val="24"/>
          <w:szCs w:val="24"/>
          <w:color w:val="auto"/>
        </w:rPr>
      </w:pPr>
    </w:p>
    <w:p>
      <w:pPr>
        <w:sectPr>
          <w:pgSz w:w="11900" w:h="16838" w:orient="portrait"/>
          <w:cols w:equalWidth="0" w:num="2">
            <w:col w:w="3760" w:space="160"/>
            <w:col w:w="716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8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80"/>
              <w:spacing w:after="0" w:line="12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0"/>
                <w:szCs w:val="10"/>
                <w:color w:val="auto"/>
              </w:rPr>
            </w:pPr>
          </w:p>
        </w:tc>
        <w:tc>
          <w:tcPr>
            <w:tcW w:w="90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0"/>
                <w:szCs w:val="10"/>
                <w:color w:val="auto"/>
              </w:rPr>
            </w:pPr>
          </w:p>
        </w:tc>
        <w:tc>
          <w:tcPr>
            <w:tcW w:w="12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50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5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2"/>
          </w:tcPr>
          <w:p>
            <w:pPr>
              <w:ind w:left="880"/>
              <w:spacing w:after="0"/>
              <w:rPr>
                <w:sz w:val="20"/>
                <w:szCs w:val="20"/>
                <w:color w:val="auto"/>
              </w:rPr>
            </w:pPr>
            <w:r>
              <w:rPr>
                <w:rFonts w:ascii="Arial" w:cs="Arial" w:eastAsia="Arial" w:hAnsi="Arial"/>
                <w:sz w:val="17"/>
                <w:szCs w:val="17"/>
                <w:color w:val="0000FF"/>
              </w:rPr>
              <w:t>02/23/2022</w:t>
            </w: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jc w:val="center"/>
              <w:ind w:right="21"/>
              <w:spacing w:after="0"/>
              <w:rPr>
                <w:sz w:val="20"/>
                <w:szCs w:val="20"/>
                <w:color w:val="auto"/>
              </w:rPr>
            </w:pPr>
            <w:r>
              <w:rPr>
                <w:rFonts w:ascii="Arial" w:cs="Arial" w:eastAsia="Arial" w:hAnsi="Arial"/>
                <w:sz w:val="17"/>
                <w:szCs w:val="17"/>
                <w:color w:val="0000FF"/>
              </w:rPr>
              <w:t>5,742</w:t>
            </w:r>
            <w:r>
              <w:rPr>
                <w:rFonts w:ascii="Arial" w:cs="Arial" w:eastAsia="Arial" w:hAnsi="Arial"/>
                <w:sz w:val="21"/>
                <w:szCs w:val="21"/>
                <w:color w:val="008000"/>
                <w:vertAlign w:val="superscript"/>
              </w:rPr>
              <w:t>(1)</w:t>
            </w:r>
          </w:p>
        </w:tc>
        <w:tc>
          <w:tcPr>
            <w:tcW w:w="50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A</w:t>
            </w:r>
          </w:p>
        </w:tc>
        <w:tc>
          <w:tcPr>
            <w:tcW w:w="5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15,834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2"/>
          </w:tcPr>
          <w:p>
            <w:pPr>
              <w:ind w:left="880"/>
              <w:spacing w:after="0"/>
              <w:rPr>
                <w:sz w:val="20"/>
                <w:szCs w:val="20"/>
                <w:color w:val="auto"/>
              </w:rPr>
            </w:pPr>
            <w:r>
              <w:rPr>
                <w:rFonts w:ascii="Arial" w:cs="Arial" w:eastAsia="Arial" w:hAnsi="Arial"/>
                <w:sz w:val="17"/>
                <w:szCs w:val="17"/>
                <w:color w:val="0000FF"/>
              </w:rPr>
              <w:t>02/23/2022</w:t>
            </w: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483</w:t>
            </w:r>
            <w:r>
              <w:rPr>
                <w:rFonts w:ascii="Arial" w:cs="Arial" w:eastAsia="Arial" w:hAnsi="Arial"/>
                <w:sz w:val="21"/>
                <w:szCs w:val="21"/>
                <w:color w:val="008000"/>
                <w:vertAlign w:val="superscript"/>
              </w:rPr>
              <w:t>(2)</w:t>
            </w:r>
          </w:p>
        </w:tc>
        <w:tc>
          <w:tcPr>
            <w:tcW w:w="1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D</w:t>
            </w:r>
          </w:p>
        </w:tc>
        <w:tc>
          <w:tcPr>
            <w:tcW w:w="680" w:type="dxa"/>
            <w:vAlign w:val="bottom"/>
            <w:tcBorders>
              <w:bottom w:val="single" w:sz="8" w:color="2C2C2C"/>
            </w:tcBorders>
            <w:gridSpan w:val="3"/>
          </w:tcPr>
          <w:p>
            <w:pPr>
              <w:jc w:val="center"/>
              <w:ind w:right="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34.81</w:t>
            </w:r>
          </w:p>
        </w:tc>
        <w:tc>
          <w:tcPr>
            <w:tcW w:w="12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8"/>
              </w:rPr>
              <w:t>15,351</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0000FF"/>
                <w:w w:val="86"/>
              </w:rPr>
              <w:t>775.4882</w:t>
            </w:r>
            <w:r>
              <w:rPr>
                <w:rFonts w:ascii="Arial" w:cs="Arial" w:eastAsia="Arial" w:hAnsi="Arial"/>
                <w:sz w:val="21"/>
                <w:szCs w:val="21"/>
                <w:color w:val="008000"/>
                <w:w w:val="86"/>
                <w:vertAlign w:val="superscript"/>
              </w:rPr>
              <w:t>(3)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I</w:t>
            </w:r>
          </w:p>
        </w:tc>
        <w:tc>
          <w:tcPr>
            <w:tcW w:w="70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by 401K</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Derek</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and</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46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4"/>
              </w:rPr>
              <w:t>2,274</w:t>
            </w:r>
          </w:p>
        </w:tc>
        <w:tc>
          <w:tcPr>
            <w:tcW w:w="280" w:type="dxa"/>
            <w:vAlign w:val="bottom"/>
          </w:tcPr>
          <w:p>
            <w:pPr>
              <w:spacing w:after="0"/>
              <w:rPr>
                <w:sz w:val="17"/>
                <w:szCs w:val="17"/>
                <w:color w:val="auto"/>
              </w:rPr>
            </w:pPr>
          </w:p>
        </w:tc>
        <w:tc>
          <w:tcPr>
            <w:tcW w:w="66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Laura</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Linde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8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Family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5"/>
          </w:tcPr>
          <w:p>
            <w:pPr>
              <w:spacing w:after="0"/>
              <w:rPr>
                <w:sz w:val="8"/>
                <w:szCs w:val="8"/>
                <w:color w:val="auto"/>
              </w:rPr>
            </w:pPr>
          </w:p>
        </w:tc>
        <w:tc>
          <w:tcPr>
            <w:tcW w:w="2580" w:type="dxa"/>
            <w:vAlign w:val="bottom"/>
            <w:tcBorders>
              <w:bottom w:val="single" w:sz="8" w:color="2C2C2C"/>
            </w:tcBorders>
            <w:gridSpan w:val="6"/>
          </w:tcPr>
          <w:p>
            <w:pPr>
              <w:spacing w:after="0"/>
              <w:rPr>
                <w:sz w:val="8"/>
                <w:szCs w:val="8"/>
                <w:color w:val="auto"/>
              </w:rPr>
            </w:pPr>
          </w:p>
        </w:tc>
        <w:tc>
          <w:tcPr>
            <w:tcW w:w="74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00" w:type="dxa"/>
            <w:vAlign w:val="bottom"/>
            <w:gridSpan w:val="12"/>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11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9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7"/>
              </w:rPr>
              <w:t>Expiration Date</w:t>
            </w:r>
          </w:p>
        </w:tc>
        <w:tc>
          <w:tcPr>
            <w:tcW w:w="600" w:type="dxa"/>
            <w:vAlign w:val="bottom"/>
          </w:tcPr>
          <w:p>
            <w:pPr>
              <w:spacing w:after="0"/>
              <w:rPr>
                <w:sz w:val="11"/>
                <w:szCs w:val="11"/>
                <w:color w:val="auto"/>
              </w:rPr>
            </w:pPr>
          </w:p>
        </w:tc>
        <w:tc>
          <w:tcPr>
            <w:tcW w:w="122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2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2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33.96</w:t>
            </w:r>
          </w:p>
        </w:tc>
        <w:tc>
          <w:tcPr>
            <w:tcW w:w="1040" w:type="dxa"/>
            <w:vAlign w:val="bottom"/>
            <w:vMerge w:val="restart"/>
          </w:tcPr>
          <w:p>
            <w:pPr>
              <w:jc w:val="right"/>
              <w:ind w:right="140"/>
              <w:spacing w:after="0"/>
              <w:rPr>
                <w:sz w:val="20"/>
                <w:szCs w:val="20"/>
                <w:color w:val="auto"/>
              </w:rPr>
            </w:pPr>
            <w:r>
              <w:rPr>
                <w:rFonts w:ascii="Arial" w:cs="Arial" w:eastAsia="Arial" w:hAnsi="Arial"/>
                <w:sz w:val="13"/>
                <w:szCs w:val="13"/>
                <w:color w:val="0000FF"/>
              </w:rPr>
              <w:t>02/23/2022</w:t>
            </w:r>
          </w:p>
        </w:tc>
        <w:tc>
          <w:tcPr>
            <w:tcW w:w="1140" w:type="dxa"/>
            <w:vAlign w:val="bottom"/>
          </w:tcPr>
          <w:p>
            <w:pPr>
              <w:spacing w:after="0"/>
              <w:rPr>
                <w:sz w:val="16"/>
                <w:szCs w:val="16"/>
                <w:color w:val="auto"/>
              </w:rPr>
            </w:pPr>
          </w:p>
        </w:tc>
        <w:tc>
          <w:tcPr>
            <w:tcW w:w="720" w:type="dxa"/>
            <w:vAlign w:val="bottom"/>
            <w:vMerge w:val="restart"/>
          </w:tcPr>
          <w:p>
            <w:pPr>
              <w:ind w:left="160"/>
              <w:spacing w:after="0"/>
              <w:rPr>
                <w:sz w:val="20"/>
                <w:szCs w:val="20"/>
                <w:color w:val="auto"/>
              </w:rPr>
            </w:pPr>
            <w:r>
              <w:rPr>
                <w:rFonts w:ascii="Arial" w:cs="Arial" w:eastAsia="Arial" w:hAnsi="Arial"/>
                <w:sz w:val="13"/>
                <w:szCs w:val="13"/>
                <w:color w:val="0000FF"/>
              </w:rPr>
              <w:t>A</w:t>
            </w:r>
          </w:p>
        </w:tc>
        <w:tc>
          <w:tcPr>
            <w:tcW w:w="580" w:type="dxa"/>
            <w:vAlign w:val="bottom"/>
            <w:vMerge w:val="restart"/>
          </w:tcPr>
          <w:p>
            <w:pPr>
              <w:ind w:left="160"/>
              <w:spacing w:after="0"/>
              <w:rPr>
                <w:sz w:val="20"/>
                <w:szCs w:val="20"/>
                <w:color w:val="auto"/>
              </w:rPr>
            </w:pPr>
            <w:r>
              <w:rPr>
                <w:rFonts w:ascii="Arial" w:cs="Arial" w:eastAsia="Arial" w:hAnsi="Arial"/>
                <w:sz w:val="13"/>
                <w:szCs w:val="13"/>
                <w:color w:val="0000FF"/>
              </w:rPr>
              <w:t>27,576</w:t>
            </w:r>
          </w:p>
        </w:tc>
        <w:tc>
          <w:tcPr>
            <w:tcW w:w="320" w:type="dxa"/>
            <w:vAlign w:val="bottom"/>
          </w:tcPr>
          <w:p>
            <w:pPr>
              <w:spacing w:after="0"/>
              <w:rPr>
                <w:sz w:val="16"/>
                <w:szCs w:val="16"/>
                <w:color w:val="auto"/>
              </w:rPr>
            </w:pPr>
          </w:p>
        </w:tc>
        <w:tc>
          <w:tcPr>
            <w:tcW w:w="760" w:type="dxa"/>
            <w:vAlign w:val="bottom"/>
            <w:gridSpan w:val="2"/>
            <w:vMerge w:val="restart"/>
          </w:tcPr>
          <w:p>
            <w:pPr>
              <w:ind w:left="300"/>
              <w:spacing w:after="0"/>
              <w:rPr>
                <w:sz w:val="20"/>
                <w:szCs w:val="20"/>
                <w:color w:val="auto"/>
              </w:rPr>
            </w:pPr>
            <w:r>
              <w:rPr>
                <w:rFonts w:ascii="Arial" w:cs="Arial" w:eastAsia="Arial" w:hAnsi="Arial"/>
                <w:sz w:val="11"/>
                <w:szCs w:val="11"/>
                <w:color w:val="008000"/>
              </w:rPr>
              <w:t>(4)</w:t>
            </w:r>
          </w:p>
        </w:tc>
        <w:tc>
          <w:tcPr>
            <w:tcW w:w="760" w:type="dxa"/>
            <w:vAlign w:val="bottom"/>
            <w:gridSpan w:val="2"/>
            <w:vMerge w:val="restart"/>
          </w:tcPr>
          <w:p>
            <w:pPr>
              <w:ind w:left="60"/>
              <w:spacing w:after="0"/>
              <w:rPr>
                <w:sz w:val="20"/>
                <w:szCs w:val="20"/>
                <w:color w:val="auto"/>
              </w:rPr>
            </w:pPr>
            <w:r>
              <w:rPr>
                <w:rFonts w:ascii="Arial" w:cs="Arial" w:eastAsia="Arial" w:hAnsi="Arial"/>
                <w:sz w:val="13"/>
                <w:szCs w:val="13"/>
                <w:color w:val="0000FF"/>
              </w:rPr>
              <w:t>02/23/2029</w:t>
            </w:r>
          </w:p>
        </w:tc>
        <w:tc>
          <w:tcPr>
            <w:tcW w:w="640" w:type="dxa"/>
            <w:vAlign w:val="bottom"/>
            <w:gridSpan w:val="2"/>
            <w:vMerge w:val="restart"/>
          </w:tcPr>
          <w:p>
            <w:pPr>
              <w:ind w:left="2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27,576</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vMerge w:val="restart"/>
          </w:tcPr>
          <w:p>
            <w:pPr>
              <w:ind w:left="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880" w:type="dxa"/>
            <w:vAlign w:val="bottom"/>
            <w:gridSpan w:val="2"/>
            <w:vMerge w:val="restart"/>
          </w:tcPr>
          <w:p>
            <w:pPr>
              <w:ind w:left="200"/>
              <w:spacing w:after="0"/>
              <w:rPr>
                <w:sz w:val="20"/>
                <w:szCs w:val="20"/>
                <w:color w:val="auto"/>
              </w:rPr>
            </w:pPr>
            <w:r>
              <w:rPr>
                <w:rFonts w:ascii="Arial" w:cs="Arial" w:eastAsia="Arial" w:hAnsi="Arial"/>
                <w:sz w:val="13"/>
                <w:szCs w:val="13"/>
                <w:color w:val="0000FF"/>
              </w:rPr>
              <w:t>104,184</w:t>
            </w:r>
          </w:p>
        </w:tc>
        <w:tc>
          <w:tcPr>
            <w:tcW w:w="66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3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vMerge w:val="continue"/>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-1920240</wp:posOffset>
            </wp:positionV>
            <wp:extent cx="29210" cy="1925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192532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18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("RSUs") granted on February 23, 2022, pursuant to the 2017 Viad Corp Omnibus Incentive Plan, and will vest in three equal tranches on each of February 23, 2023, February 23, 2024, and February 23, 2025, and are payable in shares of VVI common stock on a one-for-one basis upon vesting.</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were surrendered for taxes in connection with vesting of RSUs granted February 23, 2021, based on the prior day closing stock price.</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Between May 2021 and February 2022, the reporting person acquired 173.4782 shares of VVI common stock under the Viad Corp 401(k) plan.</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vests and becomes exercisable in three equal tranches on each of February 23, 2023, February 23, 2024, and February 23, 2025.</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w w:val="98"/>
              </w:rPr>
              <w:t>/s/ Jonathan A. Massimino as</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02/25/2022</w:t>
            </w:r>
          </w:p>
        </w:tc>
        <w:tc>
          <w:tcPr>
            <w:tcW w:w="0" w:type="dxa"/>
            <w:vAlign w:val="bottom"/>
          </w:tcPr>
          <w:p>
            <w:pPr>
              <w:spacing w:after="0"/>
              <w:rPr>
                <w:sz w:val="1"/>
                <w:szCs w:val="1"/>
                <w:color w:val="auto"/>
              </w:rPr>
            </w:pPr>
          </w:p>
        </w:tc>
      </w:tr>
      <w:tr>
        <w:trPr>
          <w:trHeight w:val="88"/>
        </w:trPr>
        <w:tc>
          <w:tcPr>
            <w:tcW w:w="1120" w:type="dxa"/>
            <w:vAlign w:val="bottom"/>
            <w:tcBorders>
              <w:top w:val="single" w:sz="8" w:color="auto"/>
              <w:bottom w:val="single" w:sz="8" w:color="auto"/>
            </w:tcBorders>
            <w:vMerge w:val="restart"/>
          </w:tcPr>
          <w:p>
            <w:pPr>
              <w:spacing w:after="0" w:line="186" w:lineRule="exact"/>
              <w:rPr>
                <w:sz w:val="20"/>
                <w:szCs w:val="20"/>
                <w:color w:val="auto"/>
              </w:rPr>
            </w:pPr>
            <w:r>
              <w:rPr>
                <w:rFonts w:ascii="Arial" w:cs="Arial" w:eastAsia="Arial" w:hAnsi="Arial"/>
                <w:sz w:val="17"/>
                <w:szCs w:val="17"/>
                <w:color w:val="0000FF"/>
                <w:w w:val="90"/>
              </w:rPr>
              <w:t>Attorney-in-Fact</w:t>
            </w:r>
          </w:p>
        </w:tc>
        <w:tc>
          <w:tcPr>
            <w:tcW w:w="840" w:type="dxa"/>
            <w:vAlign w:val="bottom"/>
            <w:tcBorders>
              <w:top w:val="single" w:sz="8" w:color="auto"/>
              <w:bottom w:val="single" w:sz="8" w:color="auto"/>
            </w:tcBorders>
            <w:vMerge w:val="restart"/>
          </w:tcPr>
          <w:p>
            <w:pPr>
              <w:spacing w:after="0"/>
              <w:rPr>
                <w:sz w:val="7"/>
                <w:szCs w:val="7"/>
                <w:color w:val="auto"/>
              </w:rPr>
            </w:pPr>
          </w:p>
        </w:tc>
        <w:tc>
          <w:tcPr>
            <w:tcW w:w="2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120" w:type="dxa"/>
            <w:vAlign w:val="bottom"/>
            <w:tcBorders>
              <w:bottom w:val="single" w:sz="8" w:color="auto"/>
            </w:tcBorders>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8989"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2022-02-25T14:48:18Z</dcterms:created>
  <dcterms:modified xsi:type="dcterms:W3CDTF">2022-02-25T14:48:18Z</dcterms:modified>
</cp:coreProperties>
</file>