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Coll Denise M</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7000 E. 1ST AVENUE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VIAD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VVI</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9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02/23/2022</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11"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20"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24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SCOTTSDALE</w:t>
            </w:r>
          </w:p>
        </w:tc>
        <w:tc>
          <w:tcPr>
            <w:tcW w:w="880" w:type="dxa"/>
            <w:vAlign w:val="bottom"/>
          </w:tcPr>
          <w:p>
            <w:pPr>
              <w:ind w:left="60"/>
              <w:spacing w:after="0"/>
              <w:rPr>
                <w:sz w:val="20"/>
                <w:szCs w:val="20"/>
                <w:color w:val="auto"/>
              </w:rPr>
            </w:pPr>
            <w:r>
              <w:rPr>
                <w:rFonts w:ascii="Arial" w:cs="Arial" w:eastAsia="Arial" w:hAnsi="Arial"/>
                <w:sz w:val="17"/>
                <w:szCs w:val="17"/>
                <w:color w:val="0000FF"/>
              </w:rPr>
              <w:t>AZ</w:t>
            </w:r>
          </w:p>
        </w:tc>
        <w:tc>
          <w:tcPr>
            <w:tcW w:w="1600" w:type="dxa"/>
            <w:vAlign w:val="bottom"/>
          </w:tcPr>
          <w:p>
            <w:pPr>
              <w:ind w:left="400"/>
              <w:spacing w:after="0"/>
              <w:rPr>
                <w:sz w:val="20"/>
                <w:szCs w:val="20"/>
                <w:color w:val="auto"/>
              </w:rPr>
            </w:pPr>
            <w:r>
              <w:rPr>
                <w:rFonts w:ascii="Arial" w:cs="Arial" w:eastAsia="Arial" w:hAnsi="Arial"/>
                <w:sz w:val="17"/>
                <w:szCs w:val="17"/>
                <w:color w:val="0000FF"/>
              </w:rPr>
              <w:t>85251</w:t>
            </w:r>
          </w:p>
        </w:tc>
      </w:tr>
      <w:tr>
        <w:trPr>
          <w:trHeight w:val="155"/>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880" w:type="dxa"/>
            <w:vAlign w:val="bottom"/>
          </w:tcPr>
          <w:p>
            <w:pPr>
              <w:ind w:left="6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92"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6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60"/>
              <w:spacing w:after="0" w:line="131"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6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4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2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6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2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8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2"/>
          </w:tcPr>
          <w:p>
            <w:pPr>
              <w:ind w:left="660"/>
              <w:spacing w:after="0"/>
              <w:rPr>
                <w:sz w:val="20"/>
                <w:szCs w:val="20"/>
                <w:color w:val="auto"/>
              </w:rPr>
            </w:pPr>
            <w:r>
              <w:rPr>
                <w:rFonts w:ascii="Arial" w:cs="Arial" w:eastAsia="Arial" w:hAnsi="Arial"/>
                <w:sz w:val="17"/>
                <w:szCs w:val="17"/>
                <w:color w:val="0000FF"/>
              </w:rPr>
              <w:t>02/23/2022</w:t>
            </w:r>
          </w:p>
        </w:tc>
        <w:tc>
          <w:tcPr>
            <w:tcW w:w="4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A</w:t>
            </w:r>
          </w:p>
        </w:tc>
        <w:tc>
          <w:tcPr>
            <w:tcW w:w="72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w w:val="89"/>
              </w:rPr>
              <w:t>3,681</w:t>
            </w:r>
            <w:r>
              <w:rPr>
                <w:rFonts w:ascii="Arial" w:cs="Arial" w:eastAsia="Arial" w:hAnsi="Arial"/>
                <w:sz w:val="22"/>
                <w:szCs w:val="22"/>
                <w:color w:val="008000"/>
                <w:w w:val="89"/>
                <w:vertAlign w:val="superscript"/>
              </w:rPr>
              <w:t>(1)</w:t>
            </w:r>
          </w:p>
        </w:tc>
        <w:tc>
          <w:tcPr>
            <w:tcW w:w="42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3"/>
          </w:tcPr>
          <w:p>
            <w:pPr>
              <w:jc w:val="right"/>
              <w:ind w:right="60"/>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0.00</w:t>
            </w:r>
          </w:p>
        </w:tc>
        <w:tc>
          <w:tcPr>
            <w:tcW w:w="120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11,238</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040" w:type="dxa"/>
            <w:vAlign w:val="bottom"/>
            <w:gridSpan w:val="4"/>
          </w:tcPr>
          <w:p>
            <w:pPr>
              <w:ind w:left="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9"/>
              </w:rPr>
              <w:t>Amount of</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0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Restricted Stock Units ("RSUs") granted on February 23, 2022, pursuant to the 2017 Viad Corp Omnibus Incentive Plan, will vest one year from the date of grant, generally subject to continued service as a Director through the vesting date. Each RSU represents a contingent right to receive one share of Common Stock.</w:t>
      </w:r>
    </w:p>
    <w:p>
      <w:pPr>
        <w:spacing w:after="0" w:line="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/s/ Derek P. Linde as Attorney- </w:t>
      </w:r>
      <w:r>
        <w:rPr>
          <w:rFonts w:ascii="Arial" w:cs="Arial" w:eastAsia="Arial" w:hAnsi="Arial"/>
          <w:sz w:val="34"/>
          <w:szCs w:val="34"/>
          <w:color w:val="0000FF"/>
          <w:vertAlign w:val="subscript"/>
        </w:rPr>
        <w:t>02/25/2022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6271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6271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571640" TargetMode="External"/><Relationship Id="rId13" Type="http://schemas.openxmlformats.org/officeDocument/2006/relationships/hyperlink" Target="http://www.sec.gov/cgi-bin/browse-edgar?action=getcompany&amp;CIK=00008842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2022-02-25T13:13:31Z</dcterms:created>
  <dcterms:modified xsi:type="dcterms:W3CDTF">2022-02-25T13:13:31Z</dcterms:modified>
</cp:coreProperties>
</file>