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6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February 10,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2773680</wp:posOffset>
            </wp:positionH>
            <wp:positionV relativeFrom="paragraph">
              <wp:posOffset>171450</wp:posOffset>
            </wp:positionV>
            <wp:extent cx="1628775" cy="8572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28775" cy="8572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VIAD CORP</w:t>
      </w:r>
    </w:p>
    <w:p>
      <w:pPr>
        <w:spacing w:after="0" w:line="38"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32" w:lineRule="exact"/>
        <w:rPr>
          <w:sz w:val="24"/>
          <w:szCs w:val="24"/>
          <w:color w:val="auto"/>
        </w:rPr>
      </w:pPr>
    </w:p>
    <w:tbl>
      <w:tblPr>
        <w:tblLayout w:type="fixed"/>
        <w:tblInd w:w="400" w:type="dxa"/>
        <w:tblCellMar>
          <w:top w:w="0" w:type="dxa"/>
          <w:left w:w="0" w:type="dxa"/>
          <w:bottom w:w="0" w:type="dxa"/>
          <w:right w:w="0" w:type="dxa"/>
        </w:tblCellMar>
      </w:tblPr>
      <w:tr>
        <w:trPr>
          <w:trHeight w:val="216"/>
        </w:trPr>
        <w:tc>
          <w:tcPr>
            <w:tcW w:w="3560" w:type="dxa"/>
            <w:vAlign w:val="bottom"/>
          </w:tcPr>
          <w:p>
            <w:pPr>
              <w:jc w:val="center"/>
              <w:ind w:right="510"/>
              <w:spacing w:after="0"/>
              <w:rPr>
                <w:sz w:val="20"/>
                <w:szCs w:val="20"/>
                <w:color w:val="auto"/>
              </w:rPr>
            </w:pPr>
            <w:r>
              <w:rPr>
                <w:rFonts w:ascii="Arial" w:cs="Arial" w:eastAsia="Arial" w:hAnsi="Arial"/>
                <w:sz w:val="18"/>
                <w:szCs w:val="18"/>
                <w:b w:val="1"/>
                <w:bCs w:val="1"/>
                <w:color w:val="auto"/>
                <w:w w:val="91"/>
              </w:rPr>
              <w:t>Delaware</w:t>
            </w:r>
          </w:p>
        </w:tc>
        <w:tc>
          <w:tcPr>
            <w:tcW w:w="3700" w:type="dxa"/>
            <w:vAlign w:val="bottom"/>
          </w:tcPr>
          <w:p>
            <w:pPr>
              <w:jc w:val="right"/>
              <w:ind w:right="1570"/>
              <w:spacing w:after="0"/>
              <w:rPr>
                <w:sz w:val="20"/>
                <w:szCs w:val="20"/>
                <w:color w:val="auto"/>
              </w:rPr>
            </w:pPr>
            <w:r>
              <w:rPr>
                <w:rFonts w:ascii="Arial" w:cs="Arial" w:eastAsia="Arial" w:hAnsi="Arial"/>
                <w:sz w:val="18"/>
                <w:szCs w:val="18"/>
                <w:b w:val="1"/>
                <w:bCs w:val="1"/>
                <w:color w:val="auto"/>
              </w:rPr>
              <w:t>001-11015</w:t>
            </w:r>
          </w:p>
        </w:tc>
        <w:tc>
          <w:tcPr>
            <w:tcW w:w="2400" w:type="dxa"/>
            <w:vAlign w:val="bottom"/>
          </w:tcPr>
          <w:p>
            <w:pPr>
              <w:jc w:val="center"/>
              <w:ind w:left="930"/>
              <w:spacing w:after="0"/>
              <w:rPr>
                <w:sz w:val="20"/>
                <w:szCs w:val="20"/>
                <w:color w:val="auto"/>
              </w:rPr>
            </w:pPr>
            <w:r>
              <w:rPr>
                <w:rFonts w:ascii="Arial" w:cs="Arial" w:eastAsia="Arial" w:hAnsi="Arial"/>
                <w:sz w:val="18"/>
                <w:szCs w:val="18"/>
                <w:b w:val="1"/>
                <w:bCs w:val="1"/>
                <w:color w:val="auto"/>
                <w:w w:val="89"/>
              </w:rPr>
              <w:t>36-1169950</w:t>
            </w:r>
          </w:p>
        </w:tc>
      </w:tr>
      <w:tr>
        <w:trPr>
          <w:trHeight w:val="216"/>
        </w:trPr>
        <w:tc>
          <w:tcPr>
            <w:tcW w:w="3560" w:type="dxa"/>
            <w:vAlign w:val="bottom"/>
          </w:tcPr>
          <w:p>
            <w:pPr>
              <w:jc w:val="center"/>
              <w:ind w:right="510"/>
              <w:spacing w:after="0"/>
              <w:rPr>
                <w:sz w:val="20"/>
                <w:szCs w:val="20"/>
                <w:color w:val="auto"/>
              </w:rPr>
            </w:pPr>
            <w:r>
              <w:rPr>
                <w:rFonts w:ascii="Arial" w:cs="Arial" w:eastAsia="Arial" w:hAnsi="Arial"/>
                <w:sz w:val="18"/>
                <w:szCs w:val="18"/>
                <w:b w:val="1"/>
                <w:bCs w:val="1"/>
                <w:color w:val="auto"/>
                <w:w w:val="90"/>
              </w:rPr>
              <w:t>(State or other jurisdiction</w:t>
            </w:r>
          </w:p>
        </w:tc>
        <w:tc>
          <w:tcPr>
            <w:tcW w:w="3700" w:type="dxa"/>
            <w:vAlign w:val="bottom"/>
          </w:tcPr>
          <w:p>
            <w:pPr>
              <w:spacing w:after="0"/>
              <w:rPr>
                <w:sz w:val="18"/>
                <w:szCs w:val="18"/>
                <w:color w:val="auto"/>
              </w:rPr>
            </w:pPr>
          </w:p>
        </w:tc>
        <w:tc>
          <w:tcPr>
            <w:tcW w:w="2400" w:type="dxa"/>
            <w:vAlign w:val="bottom"/>
          </w:tcPr>
          <w:p>
            <w:pPr>
              <w:jc w:val="center"/>
              <w:ind w:left="91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3560" w:type="dxa"/>
            <w:vAlign w:val="bottom"/>
          </w:tcPr>
          <w:p>
            <w:pPr>
              <w:jc w:val="center"/>
              <w:ind w:right="510"/>
              <w:spacing w:after="0"/>
              <w:rPr>
                <w:sz w:val="20"/>
                <w:szCs w:val="20"/>
                <w:color w:val="auto"/>
              </w:rPr>
            </w:pPr>
            <w:r>
              <w:rPr>
                <w:rFonts w:ascii="Arial" w:cs="Arial" w:eastAsia="Arial" w:hAnsi="Arial"/>
                <w:sz w:val="18"/>
                <w:szCs w:val="18"/>
                <w:b w:val="1"/>
                <w:bCs w:val="1"/>
                <w:color w:val="auto"/>
                <w:w w:val="91"/>
              </w:rPr>
              <w:t>of incorporation)</w:t>
            </w:r>
          </w:p>
        </w:tc>
        <w:tc>
          <w:tcPr>
            <w:tcW w:w="3700" w:type="dxa"/>
            <w:vAlign w:val="bottom"/>
          </w:tcPr>
          <w:p>
            <w:pPr>
              <w:jc w:val="center"/>
              <w:ind w:right="290"/>
              <w:spacing w:after="0"/>
              <w:rPr>
                <w:sz w:val="20"/>
                <w:szCs w:val="20"/>
                <w:color w:val="auto"/>
              </w:rPr>
            </w:pPr>
            <w:r>
              <w:rPr>
                <w:rFonts w:ascii="Arial" w:cs="Arial" w:eastAsia="Arial" w:hAnsi="Arial"/>
                <w:sz w:val="18"/>
                <w:szCs w:val="18"/>
                <w:b w:val="1"/>
                <w:bCs w:val="1"/>
                <w:color w:val="auto"/>
                <w:w w:val="90"/>
              </w:rPr>
              <w:t>(Commission File Number)</w:t>
            </w:r>
          </w:p>
        </w:tc>
        <w:tc>
          <w:tcPr>
            <w:tcW w:w="2400" w:type="dxa"/>
            <w:vAlign w:val="bottom"/>
          </w:tcPr>
          <w:p>
            <w:pPr>
              <w:jc w:val="center"/>
              <w:ind w:left="91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3560" w:type="dxa"/>
            <w:vAlign w:val="bottom"/>
          </w:tcPr>
          <w:p>
            <w:pPr>
              <w:jc w:val="center"/>
              <w:ind w:right="510"/>
              <w:spacing w:after="0"/>
              <w:rPr>
                <w:sz w:val="20"/>
                <w:szCs w:val="20"/>
                <w:color w:val="auto"/>
              </w:rPr>
            </w:pPr>
            <w:r>
              <w:rPr>
                <w:rFonts w:ascii="Arial" w:cs="Arial" w:eastAsia="Arial" w:hAnsi="Arial"/>
                <w:sz w:val="18"/>
                <w:szCs w:val="18"/>
                <w:b w:val="1"/>
                <w:bCs w:val="1"/>
                <w:color w:val="auto"/>
                <w:w w:val="95"/>
              </w:rPr>
              <w:t>7000 E. 1ST AVENUE</w:t>
            </w:r>
          </w:p>
        </w:tc>
        <w:tc>
          <w:tcPr>
            <w:tcW w:w="370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216"/>
        </w:trPr>
        <w:tc>
          <w:tcPr>
            <w:tcW w:w="3560" w:type="dxa"/>
            <w:vAlign w:val="bottom"/>
          </w:tcPr>
          <w:p>
            <w:pPr>
              <w:jc w:val="center"/>
              <w:ind w:right="510"/>
              <w:spacing w:after="0"/>
              <w:rPr>
                <w:sz w:val="20"/>
                <w:szCs w:val="20"/>
                <w:color w:val="auto"/>
              </w:rPr>
            </w:pPr>
            <w:r>
              <w:rPr>
                <w:rFonts w:ascii="Arial" w:cs="Arial" w:eastAsia="Arial" w:hAnsi="Arial"/>
                <w:sz w:val="18"/>
                <w:szCs w:val="18"/>
                <w:b w:val="1"/>
                <w:bCs w:val="1"/>
                <w:color w:val="auto"/>
                <w:w w:val="96"/>
              </w:rPr>
              <w:t>SCOTTSDALE, Arizona</w:t>
            </w:r>
          </w:p>
        </w:tc>
        <w:tc>
          <w:tcPr>
            <w:tcW w:w="3700" w:type="dxa"/>
            <w:vAlign w:val="bottom"/>
          </w:tcPr>
          <w:p>
            <w:pPr>
              <w:spacing w:after="0"/>
              <w:rPr>
                <w:sz w:val="18"/>
                <w:szCs w:val="18"/>
                <w:color w:val="auto"/>
              </w:rPr>
            </w:pPr>
          </w:p>
        </w:tc>
        <w:tc>
          <w:tcPr>
            <w:tcW w:w="2400" w:type="dxa"/>
            <w:vAlign w:val="bottom"/>
          </w:tcPr>
          <w:p>
            <w:pPr>
              <w:jc w:val="center"/>
              <w:ind w:left="910"/>
              <w:spacing w:after="0"/>
              <w:rPr>
                <w:sz w:val="20"/>
                <w:szCs w:val="20"/>
                <w:color w:val="auto"/>
              </w:rPr>
            </w:pPr>
            <w:r>
              <w:rPr>
                <w:rFonts w:ascii="Arial" w:cs="Arial" w:eastAsia="Arial" w:hAnsi="Arial"/>
                <w:sz w:val="18"/>
                <w:szCs w:val="18"/>
                <w:b w:val="1"/>
                <w:bCs w:val="1"/>
                <w:color w:val="auto"/>
                <w:w w:val="91"/>
              </w:rPr>
              <w:t>85251-4304</w:t>
            </w:r>
          </w:p>
        </w:tc>
      </w:tr>
      <w:tr>
        <w:trPr>
          <w:trHeight w:val="234"/>
        </w:trPr>
        <w:tc>
          <w:tcPr>
            <w:tcW w:w="3560" w:type="dxa"/>
            <w:vAlign w:val="bottom"/>
          </w:tcPr>
          <w:p>
            <w:pPr>
              <w:jc w:val="center"/>
              <w:ind w:right="510"/>
              <w:spacing w:after="0"/>
              <w:rPr>
                <w:sz w:val="20"/>
                <w:szCs w:val="20"/>
                <w:color w:val="auto"/>
              </w:rPr>
            </w:pPr>
            <w:r>
              <w:rPr>
                <w:rFonts w:ascii="Arial" w:cs="Arial" w:eastAsia="Arial" w:hAnsi="Arial"/>
                <w:sz w:val="18"/>
                <w:szCs w:val="18"/>
                <w:b w:val="1"/>
                <w:bCs w:val="1"/>
                <w:color w:val="auto"/>
                <w:w w:val="88"/>
              </w:rPr>
              <w:t>(Address of principal executive offices)</w:t>
            </w:r>
          </w:p>
        </w:tc>
        <w:tc>
          <w:tcPr>
            <w:tcW w:w="3700" w:type="dxa"/>
            <w:vAlign w:val="bottom"/>
          </w:tcPr>
          <w:p>
            <w:pPr>
              <w:spacing w:after="0"/>
              <w:rPr>
                <w:sz w:val="20"/>
                <w:szCs w:val="20"/>
                <w:color w:val="auto"/>
              </w:rPr>
            </w:pPr>
          </w:p>
        </w:tc>
        <w:tc>
          <w:tcPr>
            <w:tcW w:w="2400" w:type="dxa"/>
            <w:vAlign w:val="bottom"/>
          </w:tcPr>
          <w:p>
            <w:pPr>
              <w:jc w:val="center"/>
              <w:ind w:left="910"/>
              <w:spacing w:after="0"/>
              <w:rPr>
                <w:sz w:val="20"/>
                <w:szCs w:val="20"/>
                <w:color w:val="auto"/>
              </w:rPr>
            </w:pPr>
            <w:r>
              <w:rPr>
                <w:rFonts w:ascii="Arial" w:cs="Arial" w:eastAsia="Arial" w:hAnsi="Arial"/>
                <w:sz w:val="18"/>
                <w:szCs w:val="18"/>
                <w:b w:val="1"/>
                <w:bCs w:val="1"/>
                <w:color w:val="auto"/>
                <w:w w:val="94"/>
              </w:rPr>
              <w:t>(Zip Code)</w:t>
            </w:r>
          </w:p>
        </w:tc>
      </w:tr>
    </w:tbl>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(602) 207-1000</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38"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197"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500" w:type="dxa"/>
            <w:vAlign w:val="bottom"/>
          </w:tcPr>
          <w:p>
            <w:pPr>
              <w:spacing w:after="0"/>
              <w:rPr>
                <w:sz w:val="20"/>
                <w:szCs w:val="20"/>
                <w:color w:val="auto"/>
              </w:rPr>
            </w:pPr>
            <w:r>
              <w:rPr>
                <w:rFonts w:ascii="Arial" w:cs="Arial" w:eastAsia="Arial" w:hAnsi="Arial"/>
                <w:sz w:val="18"/>
                <w:szCs w:val="18"/>
                <w:color w:val="auto"/>
                <w:w w:val="97"/>
              </w:rPr>
              <w:t>Securities registered pursuant to Section 12(b) of the Act:</w:t>
            </w:r>
          </w:p>
        </w:tc>
        <w:tc>
          <w:tcPr>
            <w:tcW w:w="1840" w:type="dxa"/>
            <w:vAlign w:val="bottom"/>
          </w:tcPr>
          <w:p>
            <w:pPr>
              <w:spacing w:after="0"/>
              <w:rPr>
                <w:sz w:val="20"/>
                <w:szCs w:val="20"/>
                <w:color w:val="auto"/>
              </w:rPr>
            </w:pPr>
          </w:p>
        </w:tc>
        <w:tc>
          <w:tcPr>
            <w:tcW w:w="4900" w:type="dxa"/>
            <w:vAlign w:val="bottom"/>
          </w:tcPr>
          <w:p>
            <w:pPr>
              <w:spacing w:after="0"/>
              <w:rPr>
                <w:sz w:val="20"/>
                <w:szCs w:val="20"/>
                <w:color w:val="auto"/>
              </w:rPr>
            </w:pPr>
          </w:p>
        </w:tc>
      </w:tr>
      <w:tr>
        <w:trPr>
          <w:trHeight w:val="441"/>
        </w:trPr>
        <w:tc>
          <w:tcPr>
            <w:tcW w:w="4500" w:type="dxa"/>
            <w:vAlign w:val="bottom"/>
          </w:tcPr>
          <w:p>
            <w:pPr>
              <w:spacing w:after="0"/>
              <w:rPr>
                <w:sz w:val="24"/>
                <w:szCs w:val="24"/>
                <w:color w:val="auto"/>
              </w:rPr>
            </w:pPr>
          </w:p>
        </w:tc>
        <w:tc>
          <w:tcPr>
            <w:tcW w:w="1840" w:type="dxa"/>
            <w:vAlign w:val="bottom"/>
          </w:tcPr>
          <w:p>
            <w:pPr>
              <w:jc w:val="center"/>
              <w:ind w:right="250"/>
              <w:spacing w:after="0"/>
              <w:rPr>
                <w:sz w:val="20"/>
                <w:szCs w:val="20"/>
                <w:color w:val="auto"/>
              </w:rPr>
            </w:pPr>
            <w:r>
              <w:rPr>
                <w:rFonts w:ascii="Arial" w:cs="Arial" w:eastAsia="Arial" w:hAnsi="Arial"/>
                <w:sz w:val="18"/>
                <w:szCs w:val="18"/>
                <w:b w:val="1"/>
                <w:bCs w:val="1"/>
                <w:color w:val="auto"/>
                <w:w w:val="93"/>
              </w:rPr>
              <w:t>Trading</w:t>
            </w:r>
          </w:p>
        </w:tc>
        <w:tc>
          <w:tcPr>
            <w:tcW w:w="4900" w:type="dxa"/>
            <w:vAlign w:val="bottom"/>
          </w:tcPr>
          <w:p>
            <w:pPr>
              <w:spacing w:after="0"/>
              <w:rPr>
                <w:sz w:val="24"/>
                <w:szCs w:val="24"/>
                <w:color w:val="auto"/>
              </w:rPr>
            </w:pPr>
          </w:p>
        </w:tc>
      </w:tr>
      <w:tr>
        <w:trPr>
          <w:trHeight w:val="241"/>
        </w:trPr>
        <w:tc>
          <w:tcPr>
            <w:tcW w:w="4500" w:type="dxa"/>
            <w:vAlign w:val="bottom"/>
            <w:tcBorders>
              <w:bottom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86"/>
              </w:rPr>
              <w:t>Title of each class</w:t>
            </w:r>
          </w:p>
        </w:tc>
        <w:tc>
          <w:tcPr>
            <w:tcW w:w="1840" w:type="dxa"/>
            <w:vAlign w:val="bottom"/>
            <w:tcBorders>
              <w:bottom w:val="single" w:sz="8" w:color="auto"/>
            </w:tcBorders>
          </w:tcPr>
          <w:p>
            <w:pPr>
              <w:jc w:val="center"/>
              <w:ind w:right="250"/>
              <w:spacing w:after="0"/>
              <w:rPr>
                <w:sz w:val="20"/>
                <w:szCs w:val="20"/>
                <w:color w:val="auto"/>
              </w:rPr>
            </w:pPr>
            <w:r>
              <w:rPr>
                <w:rFonts w:ascii="Arial" w:cs="Arial" w:eastAsia="Arial" w:hAnsi="Arial"/>
                <w:sz w:val="18"/>
                <w:szCs w:val="18"/>
                <w:b w:val="1"/>
                <w:bCs w:val="1"/>
                <w:color w:val="auto"/>
                <w:w w:val="89"/>
              </w:rPr>
              <w:t>Symbol(s)</w:t>
            </w:r>
          </w:p>
        </w:tc>
        <w:tc>
          <w:tcPr>
            <w:tcW w:w="490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198"/>
        </w:trPr>
        <w:tc>
          <w:tcPr>
            <w:tcW w:w="4500" w:type="dxa"/>
            <w:vAlign w:val="bottom"/>
          </w:tcPr>
          <w:p>
            <w:pPr>
              <w:jc w:val="center"/>
              <w:ind w:right="130"/>
              <w:spacing w:after="0" w:line="198" w:lineRule="exact"/>
              <w:rPr>
                <w:sz w:val="20"/>
                <w:szCs w:val="20"/>
                <w:color w:val="auto"/>
              </w:rPr>
            </w:pPr>
            <w:r>
              <w:rPr>
                <w:rFonts w:ascii="Arial" w:cs="Arial" w:eastAsia="Arial" w:hAnsi="Arial"/>
                <w:sz w:val="18"/>
                <w:szCs w:val="18"/>
                <w:b w:val="1"/>
                <w:bCs w:val="1"/>
                <w:color w:val="auto"/>
                <w:w w:val="90"/>
              </w:rPr>
              <w:t>Common Stock, $1.50 Par Value</w:t>
            </w:r>
          </w:p>
        </w:tc>
        <w:tc>
          <w:tcPr>
            <w:tcW w:w="1840" w:type="dxa"/>
            <w:vAlign w:val="bottom"/>
          </w:tcPr>
          <w:p>
            <w:pPr>
              <w:jc w:val="center"/>
              <w:ind w:right="250"/>
              <w:spacing w:after="0" w:line="198" w:lineRule="exact"/>
              <w:rPr>
                <w:sz w:val="20"/>
                <w:szCs w:val="20"/>
                <w:color w:val="auto"/>
              </w:rPr>
            </w:pPr>
            <w:r>
              <w:rPr>
                <w:rFonts w:ascii="Arial" w:cs="Arial" w:eastAsia="Arial" w:hAnsi="Arial"/>
                <w:sz w:val="18"/>
                <w:szCs w:val="18"/>
                <w:b w:val="1"/>
                <w:bCs w:val="1"/>
                <w:color w:val="auto"/>
              </w:rPr>
              <w:t>VVI</w:t>
            </w:r>
          </w:p>
        </w:tc>
        <w:tc>
          <w:tcPr>
            <w:tcW w:w="4900" w:type="dxa"/>
            <w:vAlign w:val="bottom"/>
          </w:tcPr>
          <w:p>
            <w:pPr>
              <w:jc w:val="center"/>
              <w:ind w:right="50"/>
              <w:spacing w:after="0" w:line="198" w:lineRule="exact"/>
              <w:rPr>
                <w:sz w:val="20"/>
                <w:szCs w:val="20"/>
                <w:color w:val="auto"/>
              </w:rPr>
            </w:pPr>
            <w:r>
              <w:rPr>
                <w:rFonts w:ascii="Arial" w:cs="Arial" w:eastAsia="Arial" w:hAnsi="Arial"/>
                <w:sz w:val="18"/>
                <w:szCs w:val="18"/>
                <w:b w:val="1"/>
                <w:bCs w:val="1"/>
                <w:color w:val="auto"/>
                <w:w w:val="90"/>
              </w:rPr>
              <w:t>New York Stock Exchange</w:t>
            </w:r>
          </w:p>
        </w:tc>
      </w:tr>
      <w:tr>
        <w:trPr>
          <w:trHeight w:val="234"/>
        </w:trPr>
        <w:tc>
          <w:tcPr>
            <w:tcW w:w="4500" w:type="dxa"/>
            <w:vAlign w:val="bottom"/>
          </w:tcPr>
          <w:p>
            <w:pPr>
              <w:jc w:val="center"/>
              <w:ind w:right="110"/>
              <w:spacing w:after="0"/>
              <w:rPr>
                <w:sz w:val="20"/>
                <w:szCs w:val="20"/>
                <w:color w:val="auto"/>
              </w:rPr>
            </w:pPr>
            <w:r>
              <w:rPr>
                <w:rFonts w:ascii="Arial" w:cs="Arial" w:eastAsia="Arial" w:hAnsi="Arial"/>
                <w:sz w:val="18"/>
                <w:szCs w:val="18"/>
                <w:b w:val="1"/>
                <w:bCs w:val="1"/>
                <w:color w:val="auto"/>
                <w:w w:val="88"/>
              </w:rPr>
              <w:t>Preferred Stock Purchase Rights</w:t>
            </w:r>
          </w:p>
        </w:tc>
        <w:tc>
          <w:tcPr>
            <w:tcW w:w="1840" w:type="dxa"/>
            <w:vAlign w:val="bottom"/>
          </w:tcPr>
          <w:p>
            <w:pPr>
              <w:jc w:val="center"/>
              <w:ind w:right="250"/>
              <w:spacing w:after="0"/>
              <w:rPr>
                <w:sz w:val="20"/>
                <w:szCs w:val="20"/>
                <w:color w:val="auto"/>
              </w:rPr>
            </w:pPr>
            <w:r>
              <w:rPr>
                <w:rFonts w:ascii="Arial" w:cs="Arial" w:eastAsia="Arial" w:hAnsi="Arial"/>
                <w:sz w:val="18"/>
                <w:szCs w:val="18"/>
                <w:color w:val="auto"/>
                <w:w w:val="89"/>
              </w:rPr>
              <w:t>__</w:t>
            </w:r>
          </w:p>
        </w:tc>
        <w:tc>
          <w:tcPr>
            <w:tcW w:w="4900" w:type="dxa"/>
            <w:vAlign w:val="bottom"/>
          </w:tcPr>
          <w:p>
            <w:pPr>
              <w:jc w:val="center"/>
              <w:ind w:right="50"/>
              <w:spacing w:after="0"/>
              <w:rPr>
                <w:sz w:val="20"/>
                <w:szCs w:val="20"/>
                <w:color w:val="auto"/>
              </w:rPr>
            </w:pPr>
            <w:r>
              <w:rPr>
                <w:rFonts w:ascii="Arial" w:cs="Arial" w:eastAsia="Arial" w:hAnsi="Arial"/>
                <w:sz w:val="18"/>
                <w:szCs w:val="18"/>
                <w:b w:val="1"/>
                <w:bCs w:val="1"/>
                <w:color w:val="auto"/>
                <w:w w:val="90"/>
              </w:rPr>
              <w:t>New York Stock Exchange</w:t>
            </w:r>
          </w:p>
        </w:tc>
      </w:tr>
    </w:tbl>
    <w:p>
      <w:pPr>
        <w:spacing w:after="0" w:line="229"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16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85"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99060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2"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56"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On February 10, 2022, we issued a press release announcing our earnings for the fourth quarter and full year ended December 31, 2021. A copy of the earnings press release is furnished as Exhibit 99.1 to this current report.</w:t>
      </w:r>
    </w:p>
    <w:p>
      <w:pPr>
        <w:spacing w:after="0" w:line="19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This press release, including Exhibit 99.1, will not be deemed “filed” for purposes of Section 18 of the Securities Exchange Act of 1934, as amended (the “Exchange Act”), or otherwise subject to the liabilities of that section and it will not be incorporated by reference in any filing under the Securities Act of 1933, as amended (the “Securities Act”), or the Exchange Act, except as expressly set forth by specific reference in such a filing.</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56" w:lineRule="exact"/>
        <w:rPr>
          <w:sz w:val="20"/>
          <w:szCs w:val="20"/>
          <w:color w:val="auto"/>
        </w:rPr>
      </w:pPr>
    </w:p>
    <w:p>
      <w:pPr>
        <w:ind w:left="60"/>
        <w:spacing w:after="0"/>
        <w:rPr>
          <w:sz w:val="20"/>
          <w:szCs w:val="20"/>
          <w:color w:val="auto"/>
        </w:rPr>
      </w:pPr>
      <w:r>
        <w:rPr>
          <w:rFonts w:ascii="Arial" w:cs="Arial" w:eastAsia="Arial" w:hAnsi="Arial"/>
          <w:sz w:val="18"/>
          <w:szCs w:val="18"/>
          <w:color w:val="auto"/>
        </w:rPr>
        <w:t>(d) Exhibits</w:t>
      </w:r>
    </w:p>
    <w:p>
      <w:pPr>
        <w:spacing w:after="0" w:line="24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Exhibit</w:t>
      </w:r>
    </w:p>
    <w:p>
      <w:pPr>
        <w:spacing w:after="0" w:line="27" w:lineRule="exact"/>
        <w:rPr>
          <w:sz w:val="20"/>
          <w:szCs w:val="20"/>
          <w:color w:val="auto"/>
        </w:rPr>
      </w:pPr>
    </w:p>
    <w:p>
      <w:pPr>
        <w:ind w:left="80"/>
        <w:spacing w:after="0"/>
        <w:tabs>
          <w:tab w:leader="none" w:pos="1020" w:val="left"/>
        </w:tabs>
        <w:rPr>
          <w:sz w:val="20"/>
          <w:szCs w:val="20"/>
          <w:color w:val="auto"/>
        </w:rPr>
      </w:pPr>
      <w:r>
        <w:rPr>
          <w:rFonts w:ascii="Arial" w:cs="Arial" w:eastAsia="Arial" w:hAnsi="Arial"/>
          <w:sz w:val="18"/>
          <w:szCs w:val="18"/>
          <w:b w:val="1"/>
          <w:bCs w:val="1"/>
          <w:color w:val="auto"/>
        </w:rPr>
        <w:t>Number</w:t>
      </w:r>
      <w:r>
        <w:rPr>
          <w:sz w:val="20"/>
          <w:szCs w:val="20"/>
          <w:color w:val="auto"/>
        </w:rPr>
        <w:tab/>
      </w:r>
      <w:r>
        <w:rPr>
          <w:rFonts w:ascii="Arial" w:cs="Arial" w:eastAsia="Arial" w:hAnsi="Arial"/>
          <w:sz w:val="18"/>
          <w:szCs w:val="18"/>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18" w:lineRule="exact"/>
        <w:rPr>
          <w:sz w:val="20"/>
          <w:szCs w:val="20"/>
          <w:color w:val="auto"/>
        </w:rPr>
      </w:pPr>
    </w:p>
    <w:p>
      <w:pPr>
        <w:ind w:left="240"/>
        <w:spacing w:after="0"/>
        <w:tabs>
          <w:tab w:leader="none" w:pos="1060" w:val="left"/>
        </w:tabs>
        <w:rPr>
          <w:rFonts w:ascii="Arial" w:cs="Arial" w:eastAsia="Arial" w:hAnsi="Arial"/>
          <w:sz w:val="15"/>
          <w:szCs w:val="15"/>
          <w:u w:val="single" w:color="auto"/>
          <w:color w:val="0000EE"/>
        </w:rPr>
      </w:pPr>
      <w:hyperlink w:anchor="page4">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4">
        <w:r>
          <w:rPr>
            <w:rFonts w:ascii="Arial" w:cs="Arial" w:eastAsia="Arial" w:hAnsi="Arial"/>
            <w:sz w:val="15"/>
            <w:szCs w:val="15"/>
            <w:u w:val="single" w:color="auto"/>
            <w:color w:val="0000EE"/>
          </w:rPr>
          <w:t>Viad Corp Press Release dated February 10, 2022</w:t>
        </w:r>
      </w:hyperlink>
    </w:p>
    <w:p>
      <w:pPr>
        <w:spacing w:after="0" w:line="23" w:lineRule="exact"/>
        <w:rPr>
          <w:sz w:val="20"/>
          <w:szCs w:val="20"/>
          <w:color w:val="auto"/>
        </w:rPr>
      </w:pPr>
    </w:p>
    <w:p>
      <w:pPr>
        <w:ind w:left="280"/>
        <w:spacing w:after="0"/>
        <w:tabs>
          <w:tab w:leader="none" w:pos="106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391795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60"/>
          </w:cols>
          <w:pgMar w:left="320" w:top="364" w:right="51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5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Viad Corp</w:t>
      </w:r>
    </w:p>
    <w:p>
      <w:pPr>
        <w:spacing w:after="0" w:line="23"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(Registrant)</w:t>
      </w:r>
    </w:p>
    <w:p>
      <w:pPr>
        <w:spacing w:after="0" w:line="211" w:lineRule="exact"/>
        <w:rPr>
          <w:sz w:val="20"/>
          <w:szCs w:val="20"/>
          <w:color w:val="auto"/>
        </w:rPr>
      </w:pPr>
    </w:p>
    <w:p>
      <w:pPr>
        <w:spacing w:after="0"/>
        <w:tabs>
          <w:tab w:leader="none" w:pos="5680" w:val="left"/>
        </w:tabs>
        <w:rPr>
          <w:sz w:val="20"/>
          <w:szCs w:val="20"/>
          <w:color w:val="auto"/>
        </w:rPr>
      </w:pPr>
      <w:r>
        <w:rPr>
          <w:rFonts w:ascii="Arial" w:cs="Arial" w:eastAsia="Arial" w:hAnsi="Arial"/>
          <w:sz w:val="18"/>
          <w:szCs w:val="18"/>
          <w:color w:val="auto"/>
        </w:rPr>
        <w:t>February 10, 2022</w:t>
      </w:r>
      <w:r>
        <w:rPr>
          <w:sz w:val="20"/>
          <w:szCs w:val="20"/>
          <w:color w:val="auto"/>
        </w:rPr>
        <w:tab/>
      </w:r>
      <w:r>
        <w:rPr>
          <w:rFonts w:ascii="Arial" w:cs="Arial" w:eastAsia="Arial" w:hAnsi="Arial"/>
          <w:sz w:val="16"/>
          <w:szCs w:val="16"/>
          <w:color w:val="auto"/>
        </w:rPr>
        <w:t>By: /s/ Leslie S. Striedel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3828415</wp:posOffset>
            </wp:positionH>
            <wp:positionV relativeFrom="paragraph">
              <wp:posOffset>14605</wp:posOffset>
            </wp:positionV>
            <wp:extent cx="330898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08985" cy="17145"/>
                    </a:xfrm>
                    <a:prstGeom prst="rect">
                      <a:avLst/>
                    </a:prstGeom>
                    <a:noFill/>
                  </pic:spPr>
                </pic:pic>
              </a:graphicData>
            </a:graphic>
          </wp:anchor>
        </w:drawing>
      </w:r>
    </w:p>
    <w:p>
      <w:pPr>
        <w:spacing w:after="0" w:line="17" w:lineRule="exact"/>
        <w:rPr>
          <w:sz w:val="20"/>
          <w:szCs w:val="20"/>
          <w:color w:val="auto"/>
        </w:rPr>
      </w:pPr>
    </w:p>
    <w:p>
      <w:pPr>
        <w:ind w:left="6020"/>
        <w:spacing w:after="0"/>
        <w:rPr>
          <w:sz w:val="20"/>
          <w:szCs w:val="20"/>
          <w:color w:val="auto"/>
        </w:rPr>
      </w:pPr>
      <w:r>
        <w:rPr>
          <w:rFonts w:ascii="Arial" w:cs="Arial" w:eastAsia="Arial" w:hAnsi="Arial"/>
          <w:sz w:val="18"/>
          <w:szCs w:val="18"/>
          <w:color w:val="auto"/>
        </w:rPr>
        <w:t>Leslie S. Striedel</w:t>
      </w:r>
    </w:p>
    <w:p>
      <w:pPr>
        <w:spacing w:after="0" w:line="23" w:lineRule="exact"/>
        <w:rPr>
          <w:sz w:val="20"/>
          <w:szCs w:val="20"/>
          <w:color w:val="auto"/>
        </w:rPr>
      </w:pPr>
    </w:p>
    <w:p>
      <w:pPr>
        <w:ind w:left="6020"/>
        <w:spacing w:after="0"/>
        <w:rPr>
          <w:sz w:val="20"/>
          <w:szCs w:val="20"/>
          <w:color w:val="auto"/>
        </w:rPr>
      </w:pPr>
      <w:r>
        <w:rPr>
          <w:rFonts w:ascii="Arial" w:cs="Arial" w:eastAsia="Arial" w:hAnsi="Arial"/>
          <w:sz w:val="18"/>
          <w:szCs w:val="18"/>
          <w:color w:val="auto"/>
        </w:rPr>
        <w:t>Chief Accounting Officer</w:t>
      </w:r>
    </w:p>
    <w:p>
      <w:pPr>
        <w:sectPr>
          <w:pgSz w:w="11900" w:h="16838" w:orient="portrait"/>
          <w:cols w:equalWidth="0" w:num="1">
            <w:col w:w="11200"/>
          </w:cols>
          <w:pgMar w:left="320" w:top="121" w:right="37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Viad Corp Reports Results for the 2021 Fourth Quarter and Full Year</w:t>
      </w:r>
    </w:p>
    <w:p>
      <w:pPr>
        <w:spacing w:after="0" w:line="242" w:lineRule="exact"/>
        <w:rPr>
          <w:sz w:val="20"/>
          <w:szCs w:val="20"/>
          <w:color w:val="auto"/>
        </w:rPr>
      </w:pPr>
    </w:p>
    <w:p>
      <w:pPr>
        <w:ind w:left="340" w:hanging="332"/>
        <w:spacing w:after="0"/>
        <w:tabs>
          <w:tab w:leader="none" w:pos="3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Delivers significant improvement in full year results with continued recovery at both Pursuit and GES</w:t>
      </w:r>
    </w:p>
    <w:p>
      <w:pPr>
        <w:spacing w:after="0" w:line="27" w:lineRule="exact"/>
        <w:rPr>
          <w:rFonts w:ascii="Arial" w:cs="Arial" w:eastAsia="Arial" w:hAnsi="Arial"/>
          <w:sz w:val="18"/>
          <w:szCs w:val="18"/>
          <w:b w:val="1"/>
          <w:bCs w:val="1"/>
          <w:color w:val="auto"/>
        </w:rPr>
      </w:pPr>
    </w:p>
    <w:p>
      <w:pPr>
        <w:ind w:left="340" w:hanging="332"/>
        <w:spacing w:after="0"/>
        <w:tabs>
          <w:tab w:leader="none" w:pos="3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Pursuit fourth quarter revenue exceeds pre-COVID levels driven by new attractions</w:t>
      </w:r>
    </w:p>
    <w:p>
      <w:pPr>
        <w:spacing w:after="0" w:line="9" w:lineRule="exact"/>
        <w:rPr>
          <w:rFonts w:ascii="Arial" w:cs="Arial" w:eastAsia="Arial" w:hAnsi="Arial"/>
          <w:sz w:val="18"/>
          <w:szCs w:val="18"/>
          <w:b w:val="1"/>
          <w:bCs w:val="1"/>
          <w:color w:val="auto"/>
        </w:rPr>
      </w:pPr>
    </w:p>
    <w:p>
      <w:pPr>
        <w:ind w:left="340" w:hanging="332"/>
        <w:spacing w:after="0"/>
        <w:tabs>
          <w:tab w:leader="none" w:pos="3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GES fourth quarter revenue increases 38% on sequential quarter basis</w:t>
      </w:r>
    </w:p>
    <w:p>
      <w:pPr>
        <w:spacing w:after="0" w:line="200" w:lineRule="exact"/>
        <w:rPr>
          <w:sz w:val="20"/>
          <w:szCs w:val="20"/>
          <w:color w:val="auto"/>
        </w:rPr>
      </w:pPr>
    </w:p>
    <w:p>
      <w:pPr>
        <w:spacing w:after="0" w:line="277"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 xml:space="preserve">SCOTTSDALE, February 10, 2022 </w:t>
      </w:r>
      <w:r>
        <w:rPr>
          <w:rFonts w:ascii="Arial" w:cs="Arial" w:eastAsia="Arial" w:hAnsi="Arial"/>
          <w:sz w:val="18"/>
          <w:szCs w:val="18"/>
          <w:color w:val="auto"/>
        </w:rPr>
        <w:t>-- Viad Corp (NYSE: VVI), a leading provider of experiential leisure travel and live events and marketing</w:t>
      </w:r>
      <w:r>
        <w:rPr>
          <w:rFonts w:ascii="Arial" w:cs="Arial" w:eastAsia="Arial" w:hAnsi="Arial"/>
          <w:sz w:val="18"/>
          <w:szCs w:val="18"/>
          <w:b w:val="1"/>
          <w:bCs w:val="1"/>
          <w:color w:val="auto"/>
        </w:rPr>
        <w:t xml:space="preserve"> </w:t>
      </w:r>
      <w:r>
        <w:rPr>
          <w:rFonts w:ascii="Arial" w:cs="Arial" w:eastAsia="Arial" w:hAnsi="Arial"/>
          <w:sz w:val="18"/>
          <w:szCs w:val="18"/>
          <w:color w:val="auto"/>
        </w:rPr>
        <w:t>experiences, today reported financial results for the 2021 fourth quarter and full year.</w:t>
      </w:r>
    </w:p>
    <w:p>
      <w:pPr>
        <w:spacing w:after="0" w:line="19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Steve Moster, president and chief executive officer, commented, “Both Pursuit and GES finished 2021 with solid fourth quarter results. Pursuit revenue exceeded pre-COVID levels during the quarter primarily driven by our new world-class attractions that opened this year, and GES’ fourth quarter revenue grew 38% on a sequential quarter basis.”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Fourth Quarter and Full Year 2021 Results</w:t>
      </w:r>
    </w:p>
    <w:p>
      <w:pPr>
        <w:spacing w:after="0" w:line="25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Fourth quarter revenue was $183.6 million, up from $27.9 million in the 2020 fourth quarter. Fourth quarter net loss attributable to Viad improved to a net loss of $22.5 million and our consolidated adjusted EBITDA* improved to negative $3.8 million, as compared to a net loss of $50.5 million and negative adjusted EBITDA* of $32.8 million in the 2020 fourth quarter.</w:t>
      </w:r>
    </w:p>
    <w:p>
      <w:pPr>
        <w:spacing w:after="0" w:line="211"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Full year revenue was $507.3 million, up from $415.4 million in 2020. Full year net loss attributable to Viad improved to $92.7 million and our consolidated adjusted EBITDA* improved to positive $1.3 million, as compared to a net loss of $374.1 million and negative adjusted EBITDA* of $56.8 million in 2020.</w:t>
      </w:r>
    </w:p>
    <w:p>
      <w:pPr>
        <w:spacing w:after="0" w:line="2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These improvements relative to the prior year primarily reflect accelerating activity in leisure travel and in-person events as the world emerges from COVID lock-downs and finds safe ways to travel and convene.</w:t>
      </w:r>
    </w:p>
    <w:p>
      <w:pPr>
        <w:spacing w:after="0" w:line="197"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i w:val="1"/>
          <w:iCs w:val="1"/>
          <w:color w:val="auto"/>
        </w:rPr>
        <w:t>* Refer to Table 2 of this press release for a discussion and reconciliation of this non-GAAP financial measure to its most directly comparable GAAP financial measure.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color w:val="auto"/>
        </w:rPr>
        <w:t>- Page 2 -</w:t>
      </w:r>
    </w:p>
    <w:p>
      <w:pPr>
        <w:spacing w:after="0" w:line="200" w:lineRule="exact"/>
        <w:rPr>
          <w:sz w:val="20"/>
          <w:szCs w:val="20"/>
          <w:color w:val="auto"/>
        </w:rPr>
      </w:pPr>
    </w:p>
    <w:p>
      <w:pPr>
        <w:spacing w:after="0" w:line="24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Moster commented, “With a strong rebound in leisure travel, the return of in-person events, and great execution by our teams, the company delivered positive adjusted EBITDA for the 2021 full year. We are very pleased with the actions we have taken to invest in new high-margin experiences at Pursuit, transform GES’ cost structure, and increase our financial flexibility to support our growth initiatives. We are well-positioned for continued improvement in profitability as our industries continue to recover.”</w:t>
      </w:r>
    </w:p>
    <w:p>
      <w:pPr>
        <w:spacing w:after="0" w:line="214"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Regarding Pursuit, Moster commented, “At Pursuit, our seasonally slow fourth quarter revenue of $23.4 million exceeded the amount generated in the pre-pandemic 2019 fourth quarter primarily due to our new attractions that opened this year, which contributed approximately $5 million in incremental revenue during the quarter. For the full year, Pursuit revenue of $187 million reached approximately 84% of the amount generated in 2019, reflecting $15.6 million of incremental revenue from our new experiences and strong leisure travel demand. Pursuit’s full year adjusted EBITDA of $42.7 million increased by $52.4 million year-over-year. We saw exceptionally strong visitation during peak season this year at our Glacier and Alaska experiences, and we expect that to continue into 2022, combined with improved visitation across our Canadian experiences with the border now open. Our three new high-margin attractions will have a full season of operations in 2022, and we will welcome the opening of our new 88-room hotel in Jasper ahead of this peak season.”</w:t>
      </w:r>
    </w:p>
    <w:p>
      <w:pPr>
        <w:spacing w:after="0" w:line="19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Regarding GES, Moster commented, “At GES, our fourth quarter revenue of $160.2 million increased 38% from the third quarter and reached 57% of the amount generated in the 2019 fourth quarter. GES’ fourth quarter adjusted EBITDA increased $32.5 million year-over-year and achieved a more than 20% flow-through on incremental year-over-year revenue. We are very pleased with the transformational changes we made to significantly improve our cost structure and how our team worked closely to manage our variable costs against the event activity during the quarter. As we head into 2022, we look forward to continuing to produce extraordinary live events, partnering with new Brand Experiences clients, and utilizing our low-cost model to maximize profitability.”</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 and Balance Sheet Highlights</w:t>
      </w:r>
    </w:p>
    <w:p>
      <w:pPr>
        <w:spacing w:after="0" w:line="256"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Our 2021 fourth quarter cash flow from operations was an outflow of approximately $35 million, our capital expenditures totaled approximately $13 million, and we paid approximately $2 million in cash dividends on our convertible preferred equity and a $1 million principal payment on our Term Loan B.</w:t>
      </w:r>
    </w:p>
    <w:p>
      <w:pPr>
        <w:spacing w:after="0" w:line="2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At December 31, 2021, our cash and cash equivalents were approximately $62 million and we had approximately $87 million of capacity available on our revolving credit facility ($100 million total facility size, less approximately $13 million in letters of credit). Our debt totaled approximately $474 million, including $399 million outstanding on our Term Loan B, financing lease obligations of approximately $63 million (which primarily comprises real estate leases at Pursuit), and approximately $12 million in other debt.</w:t>
      </w:r>
    </w:p>
    <w:p>
      <w:pPr>
        <w:spacing w:after="0" w:line="21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Moster commented, “Our teams have done and continue to do a fantastic job responding to the challenges of the COVID pandemic to maintain a solid liquidity position while also making investments to continue Pursuit’s growth journey. We are excited about the investments we made to open three new Pursuit attractions during 2021 that will deliver incremental cash flow and help propel us back to an accelerated growth trajectory. Additionally, our new 88-room hotel in Jasper is on track to open ahead of this peak tourism season in the early-summer. We continue to actively pursue other compelling investments, including new FlyOver locations and acquisitions in iconic locations.”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2022 Outlook</w:t>
      </w:r>
    </w:p>
    <w:p>
      <w:pPr>
        <w:spacing w:after="0" w:line="256"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Moster said, “Having finished 2021 on much stronger footing than we started, we have much reason to be excited about the year ahead. At this time last year, the live event industry was still largely shut down and the Canadian border was closed to international travel, and that remained the case until the 2021 third quarter. Fast forward to today, and major live events are taking place around the world and Canada is welcoming international visitors. We have three new Pursuit experiences online and a fourth set to open this summer. GES is successfully servicing clients with its new lower-cost model and businesses are gradually lifting corporate travel restrictions as vaccines and mitigation efforts are proving effective.”</w:t>
      </w:r>
    </w:p>
    <w:p>
      <w:pPr>
        <w:spacing w:after="0" w:line="20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Moster continued, “Without question we are still operating in a very dynamic environment, and our teams have demonstrated their ability to anticipate challenges and respond very well. Although the Omicron variant is resulting in some near-term disruption to first quarter activity, we expect to deliver significant growth in full year 2022 revenue and adjusted EBITDA at both Pursuit and GES.”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color w:val="auto"/>
        </w:rPr>
        <w:t>- Page 3 -</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Full Year 2022</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expect Pursuit’s full year 2022 adjusted EBITDA to be near or above pre-pandemic levels with several new experiences online and improvements in long-haul international travel.</w:t>
      </w:r>
    </w:p>
    <w:p>
      <w:pPr>
        <w:spacing w:after="0" w:line="19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expect GES’ full year 2022 adjusted EBITDA to be above breakeven with the acceleration of live event activity as we move past the near-term disruption to first quarter events caused by the Omicron variant.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First Quarter 2022</w:t>
      </w:r>
    </w:p>
    <w:p>
      <w:pPr>
        <w:spacing w:after="0" w:line="25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expect Pursuit’s first quarter 2022 revenue to be approximately double the revenue generated in the 2019 first quarter, with a higher seasonal adjusted EBITDA loss. Revenue from new experiences is anticipated to more than offset lower international visitation to the Banff area during this seasonally slow period.</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expect GES’ first quarter 2022 revenue to be approximately 50% lower than the revenue generated in the 2019 first quarter, with a flow-through on the revenue decline of about 20% to adjusted EBITDA versus the 2019 quarter. GES’s revenue during the early part of the first quarter is being impacted by Omicron. We are preparing for an acceleration of event activity beginning in March.</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These expectations are subject to the impact of COVID, including the Omicron variant.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Details</w:t>
      </w:r>
    </w:p>
    <w:p>
      <w:pPr>
        <w:spacing w:after="0" w:line="256"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 xml:space="preserve">To join the live conference call, please register at least 10 minutes before the start of the call using the following link: </w:t>
      </w:r>
      <w:r>
        <w:rPr>
          <w:rFonts w:ascii="Arial" w:cs="Arial" w:eastAsia="Arial" w:hAnsi="Arial"/>
          <w:sz w:val="18"/>
          <w:szCs w:val="18"/>
          <w:color w:val="0D0DE7"/>
        </w:rPr>
        <w:t xml:space="preserve">https://www.incommglobalevents.com/registration/q4inc/9713/viad-corp-fourth-quarter-2021-earnings-call/. </w:t>
      </w:r>
      <w:r>
        <w:rPr>
          <w:rFonts w:ascii="Arial" w:cs="Arial" w:eastAsia="Arial" w:hAnsi="Arial"/>
          <w:sz w:val="18"/>
          <w:szCs w:val="18"/>
          <w:color w:val="000000"/>
        </w:rPr>
        <w:t>After registering, an email confirmation will</w:t>
      </w:r>
      <w:r>
        <w:rPr>
          <w:rFonts w:ascii="Arial" w:cs="Arial" w:eastAsia="Arial" w:hAnsi="Arial"/>
          <w:sz w:val="18"/>
          <w:szCs w:val="18"/>
          <w:color w:val="0D0DE7"/>
        </w:rPr>
        <w:t xml:space="preserve"> </w:t>
      </w:r>
      <w:r>
        <w:rPr>
          <w:rFonts w:ascii="Arial" w:cs="Arial" w:eastAsia="Arial" w:hAnsi="Arial"/>
          <w:sz w:val="18"/>
          <w:szCs w:val="18"/>
          <w:color w:val="000000"/>
        </w:rPr>
        <w:t>be sent that includes dial-in information as well as unique codes for entry into the live call. Registration will be open throughout the call. However, we recommend that you register a day in advance to ensure access for the full call.</w:t>
      </w:r>
    </w:p>
    <w:p>
      <w:pPr>
        <w:spacing w:after="0" w:line="214"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 xml:space="preserve">A live audio webcast of the call will also be available in listen-only mode through the </w:t>
      </w:r>
      <w:r>
        <w:rPr>
          <w:rFonts w:ascii="Arial" w:cs="Arial" w:eastAsia="Arial" w:hAnsi="Arial"/>
          <w:sz w:val="16"/>
          <w:szCs w:val="16"/>
          <w:color w:val="0D0DE7"/>
        </w:rPr>
        <w:t>"Investors"</w:t>
      </w:r>
      <w:r>
        <w:rPr>
          <w:rFonts w:ascii="Arial" w:cs="Arial" w:eastAsia="Arial" w:hAnsi="Arial"/>
          <w:sz w:val="16"/>
          <w:szCs w:val="16"/>
          <w:color w:val="auto"/>
        </w:rPr>
        <w:t xml:space="preserve"> section of our website. A replay of the webcast will be available on our website shortly after the call and, for a limited time, by calling (866) 813-9403 or (929) 458-6194 and entering the conference ID 511621.</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Viad</w:t>
      </w:r>
    </w:p>
    <w:p>
      <w:pPr>
        <w:spacing w:after="0" w:line="25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 xml:space="preserve">Viad (NYSE: VVI) is a leading provider of experiential leisure travel and live events and marketing experiences that generates revenue and shareholder value through two businesses: Pursuit and GES. Pursuit is a collection of inspiring and unforgettable travel experiences in Alaska, Montana, the Canadian Rockies, Vancouver, Reykjavik, and Las Vegas, as well as a new experience planned in Toronto. Pursuit’s collection includes attractions, lodges and hotels, and sightseeing tours that connect guests with iconic places. GES is a global, full-service live events company offering a comprehensive range of services to the world's leading brands and event organizers. Our business strategy focuses on providing superior experiential services to our customers and sustainable returns on invested capital to our shareholders. Viad is an S&amp;P SmallCap 600 company. For more information, visit </w:t>
      </w:r>
      <w:r>
        <w:rPr>
          <w:rFonts w:ascii="Arial" w:cs="Arial" w:eastAsia="Arial" w:hAnsi="Arial"/>
          <w:sz w:val="16"/>
          <w:szCs w:val="16"/>
          <w:color w:val="0D0DE7"/>
        </w:rPr>
        <w:t>www.viad.com.</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color w:val="auto"/>
        </w:rPr>
        <w:t>- Page 4 -</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56"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This press release contains a number of forward-looking statements.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intentions or goals also are forward-looking statements. These forward-looking statements are not historical facts and are subject to a host of risks and uncertainties, many of which are beyond our control, which could cause actual results to differ materially from those in the forward-looking statements.</w:t>
      </w:r>
    </w:p>
    <w:p>
      <w:pPr>
        <w:spacing w:after="0" w:line="20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Important factors that could cause actual results to differ materially from those described in our forward-looking statements include, but are not limited to, the following:</w:t>
      </w:r>
    </w:p>
    <w:p>
      <w:pPr>
        <w:spacing w:after="0" w:line="197"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of the COVID-19 pandemic on our financial condition, liquidity, and cash flow;</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anticipate and adjust for the impact of the COVID-19 pandemic on our businesses;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general economic uncertainty in key global markets and a worsening of global economic conditions;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travel industry disruptions;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successfully integrate and achieve established financial and strategic goals from acquisitions;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dependence on large exhibition event clients;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importance of key members of our account teams to our business relationships;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competitive nature of the industries in which we operate;</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unanticipated delays and cost overruns of our capital projects, and our ability to achieve established financial and strategic goals for such projects;</w:t>
      </w:r>
    </w:p>
    <w:p>
      <w:pPr>
        <w:spacing w:after="0" w:line="32" w:lineRule="exact"/>
        <w:rPr>
          <w:rFonts w:ascii="Arial" w:cs="Arial" w:eastAsia="Arial" w:hAnsi="Arial"/>
          <w:sz w:val="16"/>
          <w:szCs w:val="16"/>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seasonality of our businesses;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transportation disruptions and increases in transportation costs;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natural disasters, weather conditions, and other catastrophic events;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multi-employer pension plan funding obligations;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exposure to labor cost increases and work stoppages related to unionized employees;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liabilities relating to prior and discontinued operations;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effects of show rotation on our periodic results and operating margins;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exposure to currency exchange rate fluctuations;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exposure to cybersecurity attacks and threats;</w:t>
      </w:r>
    </w:p>
    <w:p>
      <w:pPr>
        <w:spacing w:after="0" w:line="9"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compliance with laws governing the storage, collection, handling, and transfer of personal data and our exposure to legal claims and fines for data breaches or improper handling of such data; and</w:t>
      </w: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affecting the London Inter-bank Offered Rate.</w:t>
      </w:r>
    </w:p>
    <w:p>
      <w:pPr>
        <w:spacing w:after="0" w:line="23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For a more complete discussion of the risks and uncertainties that may affect our business or financial results, please see Item 1A, “Risk Factors,” of our most recent annual report on Form 10-K and our most recent quarterly report on Form 10-Q filed with the SEC. We disclaim and do not undertake any obligation to update or revise any forward-looking statement in this press release except as required by applicable law or regulation.</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Forward-Looking Non-GAAP Measures</w:t>
      </w:r>
    </w:p>
    <w:p>
      <w:pPr>
        <w:spacing w:after="0" w:line="25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has not quantitatively reconciled its guidance for adjusted EBITDA to its respective most comparable GAAP measure because certain reconciling items that impact this metric including, provision for income taxes, interest expense, restructuring or impairment charges, acquisition-related costs, and attraction start-up costs have not occurred, are out of the company’s control, or cannot be reasonably predicted. Accordingly, reconciliations to the nearest GAAP financial measure are not available without unreasonable effort. Please note that the unavailable reconciling items could significantly impact the company’s results as reported under GAAP.</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Carrie Long or Michelle Porhola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Investor Relations</w:t>
      </w:r>
    </w:p>
    <w:p>
      <w:pPr>
        <w:spacing w:after="0" w:line="9" w:lineRule="exact"/>
        <w:rPr>
          <w:sz w:val="20"/>
          <w:szCs w:val="20"/>
          <w:color w:val="auto"/>
        </w:rPr>
      </w:pPr>
    </w:p>
    <w:p>
      <w:pPr>
        <w:ind w:left="440" w:hanging="432"/>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t>207-2681</w:t>
      </w:r>
    </w:p>
    <w:p>
      <w:pPr>
        <w:spacing w:after="0" w:line="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0D0DE7"/>
        </w:rPr>
        <w:t>ir@viad.com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391795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8" w:name="page9"/>
    <w:bookmarkEnd w:id="8"/>
    <w:p>
      <w:pPr>
        <w:spacing w:after="0" w:line="2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VIAD CORP AND SUBSIDIARIES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TABLE ONE - QUARTERLY AND FULL YEAR RESULTS</w:t>
      </w:r>
    </w:p>
    <w:p>
      <w:pPr>
        <w:jc w:val="center"/>
        <w:spacing w:after="0"/>
        <w:rPr>
          <w:sz w:val="20"/>
          <w:szCs w:val="20"/>
          <w:color w:val="auto"/>
        </w:rPr>
      </w:pPr>
      <w:r>
        <w:rPr>
          <w:rFonts w:ascii="Arial" w:cs="Arial" w:eastAsia="Arial" w:hAnsi="Arial"/>
          <w:sz w:val="22"/>
          <w:szCs w:val="22"/>
          <w:b w:val="1"/>
          <w:bCs w:val="1"/>
          <w:color w:val="auto"/>
        </w:rPr>
        <w:t>(UNAUDITED)</w:t>
      </w: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2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800" w:type="dxa"/>
            <w:vAlign w:val="bottom"/>
            <w:tcBorders>
              <w:bottom w:val="single" w:sz="8" w:color="auto"/>
            </w:tcBorders>
            <w:gridSpan w:val="10"/>
          </w:tcPr>
          <w:p>
            <w:pPr>
              <w:jc w:val="right"/>
              <w:ind w:right="710"/>
              <w:spacing w:after="0"/>
              <w:rPr>
                <w:sz w:val="20"/>
                <w:szCs w:val="20"/>
                <w:color w:val="auto"/>
              </w:rPr>
            </w:pPr>
            <w:r>
              <w:rPr>
                <w:rFonts w:ascii="Arial" w:cs="Arial" w:eastAsia="Arial" w:hAnsi="Arial"/>
                <w:sz w:val="18"/>
                <w:szCs w:val="18"/>
                <w:color w:val="auto"/>
              </w:rPr>
              <w:t>Three months ended December 31,</w:t>
            </w: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gridSpan w:val="7"/>
          </w:tcPr>
          <w:p>
            <w:pPr>
              <w:jc w:val="right"/>
              <w:ind w:right="470"/>
              <w:spacing w:after="0"/>
              <w:rPr>
                <w:sz w:val="20"/>
                <w:szCs w:val="20"/>
                <w:color w:val="auto"/>
              </w:rPr>
            </w:pPr>
            <w:r>
              <w:rPr>
                <w:rFonts w:ascii="Arial" w:cs="Arial" w:eastAsia="Arial" w:hAnsi="Arial"/>
                <w:sz w:val="18"/>
                <w:szCs w:val="18"/>
                <w:color w:val="auto"/>
              </w:rPr>
              <w:t>Year ended December 31,</w:t>
            </w:r>
          </w:p>
        </w:tc>
        <w:tc>
          <w:tcPr>
            <w:tcW w:w="100" w:type="dxa"/>
            <w:vAlign w:val="bottom"/>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r>
      <w:tr>
        <w:trPr>
          <w:trHeight w:val="223"/>
        </w:trPr>
        <w:tc>
          <w:tcPr>
            <w:tcW w:w="3280" w:type="dxa"/>
            <w:vAlign w:val="bottom"/>
          </w:tcPr>
          <w:p>
            <w:pPr>
              <w:spacing w:after="0"/>
              <w:rPr>
                <w:sz w:val="20"/>
                <w:szCs w:val="20"/>
                <w:color w:val="auto"/>
              </w:rPr>
            </w:pPr>
            <w:r>
              <w:rPr>
                <w:rFonts w:ascii="Arial" w:cs="Arial" w:eastAsia="Arial" w:hAnsi="Arial"/>
                <w:sz w:val="18"/>
                <w:szCs w:val="18"/>
                <w:color w:val="auto"/>
              </w:rPr>
              <w:t>(in thousands, except per share data)</w:t>
            </w:r>
          </w:p>
        </w:tc>
        <w:tc>
          <w:tcPr>
            <w:tcW w:w="140" w:type="dxa"/>
            <w:vAlign w:val="bottom"/>
          </w:tcPr>
          <w:p>
            <w:pPr>
              <w:spacing w:after="0"/>
              <w:rPr>
                <w:sz w:val="19"/>
                <w:szCs w:val="19"/>
                <w:color w:val="auto"/>
              </w:rPr>
            </w:pPr>
          </w:p>
        </w:tc>
        <w:tc>
          <w:tcPr>
            <w:tcW w:w="760" w:type="dxa"/>
            <w:vAlign w:val="bottom"/>
          </w:tcPr>
          <w:p>
            <w:pPr>
              <w:jc w:val="right"/>
              <w:ind w:right="230"/>
              <w:spacing w:after="0"/>
              <w:rPr>
                <w:sz w:val="20"/>
                <w:szCs w:val="20"/>
                <w:color w:val="auto"/>
              </w:rPr>
            </w:pPr>
            <w:r>
              <w:rPr>
                <w:rFonts w:ascii="Arial" w:cs="Arial" w:eastAsia="Arial" w:hAnsi="Arial"/>
                <w:sz w:val="18"/>
                <w:szCs w:val="18"/>
                <w:color w:val="auto"/>
              </w:rPr>
              <w:t>2021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jc w:val="right"/>
              <w:ind w:right="210"/>
              <w:spacing w:after="0"/>
              <w:rPr>
                <w:sz w:val="20"/>
                <w:szCs w:val="20"/>
                <w:color w:val="auto"/>
              </w:rPr>
            </w:pPr>
            <w:r>
              <w:rPr>
                <w:rFonts w:ascii="Arial" w:cs="Arial" w:eastAsia="Arial" w:hAnsi="Arial"/>
                <w:sz w:val="18"/>
                <w:szCs w:val="18"/>
                <w:color w:val="auto"/>
              </w:rPr>
              <w:t>2020</w:t>
            </w:r>
          </w:p>
        </w:tc>
        <w:tc>
          <w:tcPr>
            <w:tcW w:w="120" w:type="dxa"/>
            <w:vAlign w:val="bottom"/>
          </w:tcPr>
          <w:p>
            <w:pPr>
              <w:spacing w:after="0"/>
              <w:rPr>
                <w:sz w:val="19"/>
                <w:szCs w:val="19"/>
                <w:color w:val="auto"/>
              </w:rPr>
            </w:pPr>
          </w:p>
        </w:tc>
        <w:tc>
          <w:tcPr>
            <w:tcW w:w="880" w:type="dxa"/>
            <w:vAlign w:val="bottom"/>
            <w:gridSpan w:val="2"/>
          </w:tcPr>
          <w:p>
            <w:pPr>
              <w:jc w:val="right"/>
              <w:ind w:right="70"/>
              <w:spacing w:after="0"/>
              <w:rPr>
                <w:sz w:val="20"/>
                <w:szCs w:val="20"/>
                <w:color w:val="auto"/>
              </w:rPr>
            </w:pPr>
            <w:r>
              <w:rPr>
                <w:rFonts w:ascii="Arial" w:cs="Arial" w:eastAsia="Arial" w:hAnsi="Arial"/>
                <w:sz w:val="18"/>
                <w:szCs w:val="18"/>
                <w:color w:val="auto"/>
                <w:w w:val="89"/>
              </w:rPr>
              <w:t>$ Change</w:t>
            </w:r>
          </w:p>
        </w:tc>
        <w:tc>
          <w:tcPr>
            <w:tcW w:w="100" w:type="dxa"/>
            <w:vAlign w:val="bottom"/>
          </w:tcPr>
          <w:p>
            <w:pPr>
              <w:spacing w:after="0"/>
              <w:rPr>
                <w:sz w:val="19"/>
                <w:szCs w:val="19"/>
                <w:color w:val="auto"/>
              </w:rPr>
            </w:pPr>
          </w:p>
        </w:tc>
        <w:tc>
          <w:tcPr>
            <w:tcW w:w="960" w:type="dxa"/>
            <w:vAlign w:val="bottom"/>
            <w:gridSpan w:val="2"/>
          </w:tcPr>
          <w:p>
            <w:pPr>
              <w:jc w:val="right"/>
              <w:ind w:right="110"/>
              <w:spacing w:after="0"/>
              <w:rPr>
                <w:sz w:val="20"/>
                <w:szCs w:val="20"/>
                <w:color w:val="auto"/>
              </w:rPr>
            </w:pPr>
            <w:r>
              <w:rPr>
                <w:rFonts w:ascii="Arial" w:cs="Arial" w:eastAsia="Arial" w:hAnsi="Arial"/>
                <w:sz w:val="18"/>
                <w:szCs w:val="18"/>
                <w:color w:val="auto"/>
                <w:w w:val="87"/>
              </w:rPr>
              <w:t>% Change</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jc w:val="right"/>
              <w:ind w:right="230"/>
              <w:spacing w:after="0"/>
              <w:rPr>
                <w:sz w:val="20"/>
                <w:szCs w:val="20"/>
                <w:color w:val="auto"/>
              </w:rPr>
            </w:pPr>
            <w:r>
              <w:rPr>
                <w:rFonts w:ascii="Arial" w:cs="Arial" w:eastAsia="Arial" w:hAnsi="Arial"/>
                <w:sz w:val="18"/>
                <w:szCs w:val="18"/>
                <w:color w:val="auto"/>
                <w:w w:val="99"/>
              </w:rPr>
              <w:t>2021</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ind w:right="210"/>
              <w:spacing w:after="0"/>
              <w:rPr>
                <w:sz w:val="20"/>
                <w:szCs w:val="20"/>
                <w:color w:val="auto"/>
              </w:rPr>
            </w:pPr>
            <w:r>
              <w:rPr>
                <w:rFonts w:ascii="Arial" w:cs="Arial" w:eastAsia="Arial" w:hAnsi="Arial"/>
                <w:sz w:val="18"/>
                <w:szCs w:val="18"/>
                <w:color w:val="auto"/>
              </w:rPr>
              <w:t>2020</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70"/>
              <w:spacing w:after="0"/>
              <w:rPr>
                <w:sz w:val="20"/>
                <w:szCs w:val="20"/>
                <w:color w:val="auto"/>
              </w:rPr>
            </w:pPr>
            <w:r>
              <w:rPr>
                <w:rFonts w:ascii="Arial" w:cs="Arial" w:eastAsia="Arial" w:hAnsi="Arial"/>
                <w:sz w:val="18"/>
                <w:szCs w:val="18"/>
                <w:color w:val="auto"/>
                <w:w w:val="85"/>
              </w:rPr>
              <w:t>Change</w:t>
            </w:r>
          </w:p>
        </w:tc>
        <w:tc>
          <w:tcPr>
            <w:tcW w:w="100" w:type="dxa"/>
            <w:vAlign w:val="bottom"/>
          </w:tcPr>
          <w:p>
            <w:pPr>
              <w:spacing w:after="0"/>
              <w:rPr>
                <w:sz w:val="19"/>
                <w:szCs w:val="19"/>
                <w:color w:val="auto"/>
              </w:rPr>
            </w:pPr>
          </w:p>
        </w:tc>
        <w:tc>
          <w:tcPr>
            <w:tcW w:w="960" w:type="dxa"/>
            <w:vAlign w:val="bottom"/>
          </w:tcPr>
          <w:p>
            <w:pPr>
              <w:jc w:val="right"/>
              <w:ind w:right="110"/>
              <w:spacing w:after="0"/>
              <w:rPr>
                <w:sz w:val="20"/>
                <w:szCs w:val="20"/>
                <w:color w:val="auto"/>
              </w:rPr>
            </w:pPr>
            <w:r>
              <w:rPr>
                <w:rFonts w:ascii="Arial" w:cs="Arial" w:eastAsia="Arial" w:hAnsi="Arial"/>
                <w:sz w:val="18"/>
                <w:szCs w:val="18"/>
                <w:color w:val="auto"/>
                <w:w w:val="87"/>
              </w:rPr>
              <w:t>% Change</w:t>
            </w:r>
          </w:p>
        </w:tc>
      </w:tr>
      <w:tr>
        <w:trPr>
          <w:trHeight w:val="216"/>
        </w:trPr>
        <w:tc>
          <w:tcPr>
            <w:tcW w:w="3280" w:type="dxa"/>
            <w:vAlign w:val="bottom"/>
          </w:tcPr>
          <w:p>
            <w:pPr>
              <w:spacing w:after="0"/>
              <w:rPr>
                <w:sz w:val="20"/>
                <w:szCs w:val="20"/>
                <w:color w:val="auto"/>
              </w:rPr>
            </w:pPr>
            <w:r>
              <w:rPr>
                <w:rFonts w:ascii="Arial" w:cs="Arial" w:eastAsia="Arial" w:hAnsi="Arial"/>
                <w:sz w:val="18"/>
                <w:szCs w:val="18"/>
                <w:b w:val="1"/>
                <w:bCs w:val="1"/>
                <w:color w:val="auto"/>
              </w:rPr>
              <w:t>Revenue:</w:t>
            </w: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GES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8"/>
              </w:rPr>
              <w:t>160,183</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18,695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8"/>
              </w:rPr>
              <w:t>141,488</w:t>
            </w:r>
          </w:p>
        </w:tc>
        <w:tc>
          <w:tcPr>
            <w:tcW w:w="1060" w:type="dxa"/>
            <w:vAlign w:val="bottom"/>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5"/>
              </w:rPr>
              <w:t>320,292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8"/>
              </w:rPr>
              <w:t>338,625</w:t>
            </w:r>
          </w:p>
        </w:tc>
        <w:tc>
          <w:tcPr>
            <w:tcW w:w="28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(18,333)</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w:t>
            </w:r>
          </w:p>
        </w:tc>
      </w:tr>
      <w:tr>
        <w:trPr>
          <w:trHeight w:val="223"/>
        </w:trPr>
        <w:tc>
          <w:tcPr>
            <w:tcW w:w="3280" w:type="dxa"/>
            <w:vAlign w:val="bottom"/>
          </w:tcPr>
          <w:p>
            <w:pPr>
              <w:spacing w:after="0"/>
              <w:rPr>
                <w:sz w:val="20"/>
                <w:szCs w:val="20"/>
                <w:color w:val="auto"/>
              </w:rPr>
            </w:pPr>
            <w:r>
              <w:rPr>
                <w:rFonts w:ascii="Arial" w:cs="Arial" w:eastAsia="Arial" w:hAnsi="Arial"/>
                <w:sz w:val="18"/>
                <w:szCs w:val="18"/>
                <w:color w:val="auto"/>
              </w:rPr>
              <w:t>Pursuit</w:t>
            </w:r>
          </w:p>
        </w:tc>
        <w:tc>
          <w:tcPr>
            <w:tcW w:w="140" w:type="dxa"/>
            <w:vAlign w:val="bottom"/>
          </w:tcPr>
          <w:p>
            <w:pPr>
              <w:spacing w:after="0"/>
              <w:rPr>
                <w:sz w:val="19"/>
                <w:szCs w:val="19"/>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23,390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9,208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14,182</w:t>
            </w:r>
          </w:p>
        </w:tc>
        <w:tc>
          <w:tcPr>
            <w:tcW w:w="106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w w:val="95"/>
              </w:rPr>
              <w:t>187,048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76,810</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w w:val="89"/>
              </w:rPr>
              <w:t>110,238</w:t>
            </w:r>
          </w:p>
        </w:tc>
        <w:tc>
          <w:tcPr>
            <w:tcW w:w="10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r>
      <w:tr>
        <w:trPr>
          <w:trHeight w:val="257"/>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revenue</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8"/>
              </w:rPr>
              <w:t>183,573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27,903</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8"/>
              </w:rPr>
              <w:t>155,670</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top w:val="single" w:sz="8" w:color="auto"/>
              <w:bottom w:val="single" w:sz="8" w:color="auto"/>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5"/>
              </w:rPr>
              <w:t>507,340</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8"/>
              </w:rPr>
              <w:t>415,435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91,905</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22.1%</w:t>
            </w:r>
          </w:p>
        </w:tc>
      </w:tr>
      <w:tr>
        <w:trPr>
          <w:trHeight w:val="209"/>
        </w:trPr>
        <w:tc>
          <w:tcPr>
            <w:tcW w:w="3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Segment operating income (loss):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GES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4,689</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(34,447)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39,136</w:t>
            </w:r>
          </w:p>
        </w:tc>
        <w:tc>
          <w:tcPr>
            <w:tcW w:w="106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(51,611)</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(73,897)</w:t>
            </w:r>
          </w:p>
        </w:tc>
        <w:tc>
          <w:tcPr>
            <w:tcW w:w="28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22,286</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30.2%</w:t>
            </w:r>
          </w:p>
        </w:tc>
      </w:tr>
      <w:tr>
        <w:trPr>
          <w:trHeight w:val="223"/>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Pursuit</w:t>
            </w:r>
          </w:p>
        </w:tc>
        <w:tc>
          <w:tcPr>
            <w:tcW w:w="14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(18,574)</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(15,844)</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(2,730)</w:t>
            </w:r>
          </w:p>
        </w:tc>
        <w:tc>
          <w:tcPr>
            <w:tcW w:w="1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4,609</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(42,343)</w:t>
            </w: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46,952</w:t>
            </w:r>
          </w:p>
        </w:tc>
        <w:tc>
          <w:tcPr>
            <w:tcW w:w="1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16"/>
        </w:trPr>
        <w:tc>
          <w:tcPr>
            <w:tcW w:w="3280" w:type="dxa"/>
            <w:vAlign w:val="bottom"/>
          </w:tcPr>
          <w:p>
            <w:pPr>
              <w:spacing w:after="0"/>
              <w:rPr>
                <w:sz w:val="20"/>
                <w:szCs w:val="20"/>
                <w:color w:val="auto"/>
              </w:rPr>
            </w:pPr>
            <w:r>
              <w:rPr>
                <w:rFonts w:ascii="Arial" w:cs="Arial" w:eastAsia="Arial" w:hAnsi="Arial"/>
                <w:sz w:val="18"/>
                <w:szCs w:val="18"/>
                <w:b w:val="1"/>
                <w:bCs w:val="1"/>
                <w:color w:val="auto"/>
              </w:rPr>
              <w:t>Segment operating loss</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(13,885)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(50,291)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b w:val="1"/>
                <w:bCs w:val="1"/>
                <w:color w:val="auto"/>
              </w:rPr>
              <w:t>36,406</w:t>
            </w:r>
          </w:p>
        </w:tc>
        <w:tc>
          <w:tcPr>
            <w:tcW w:w="1060" w:type="dxa"/>
            <w:vAlign w:val="bottom"/>
            <w:gridSpan w:val="3"/>
          </w:tcPr>
          <w:p>
            <w:pPr>
              <w:jc w:val="right"/>
              <w:spacing w:after="0"/>
              <w:rPr>
                <w:sz w:val="20"/>
                <w:szCs w:val="20"/>
                <w:color w:val="auto"/>
              </w:rPr>
            </w:pPr>
            <w:r>
              <w:rPr>
                <w:rFonts w:ascii="Arial" w:cs="Arial" w:eastAsia="Arial" w:hAnsi="Arial"/>
                <w:sz w:val="18"/>
                <w:szCs w:val="18"/>
                <w:b w:val="1"/>
                <w:bCs w:val="1"/>
                <w:color w:val="auto"/>
              </w:rPr>
              <w:t>72.4%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(47,002)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w w:val="90"/>
              </w:rPr>
              <w:t>(116,240)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b w:val="1"/>
                <w:bCs w:val="1"/>
                <w:color w:val="auto"/>
              </w:rPr>
              <w:t>69,238</w:t>
            </w:r>
          </w:p>
        </w:tc>
        <w:tc>
          <w:tcPr>
            <w:tcW w:w="1060" w:type="dxa"/>
            <w:vAlign w:val="bottom"/>
            <w:gridSpan w:val="2"/>
          </w:tcPr>
          <w:p>
            <w:pPr>
              <w:jc w:val="right"/>
              <w:spacing w:after="0"/>
              <w:rPr>
                <w:sz w:val="20"/>
                <w:szCs w:val="20"/>
                <w:color w:val="auto"/>
              </w:rPr>
            </w:pPr>
            <w:r>
              <w:rPr>
                <w:rFonts w:ascii="Arial" w:cs="Arial" w:eastAsia="Arial" w:hAnsi="Arial"/>
                <w:sz w:val="18"/>
                <w:szCs w:val="18"/>
                <w:b w:val="1"/>
                <w:bCs w:val="1"/>
                <w:color w:val="auto"/>
              </w:rPr>
              <w:t>59.6%</w:t>
            </w: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Corporate eliminations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65</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Corporate activities (Note A)</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(3,585)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(2,785)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(800)</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-28.7%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(11,689)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(8,687)</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(3,002)</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-34.6%</w:t>
            </w: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Restructuring charges (Note B)</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803</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75.0%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(6,066)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(13,440)</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7,374</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54.9%</w:t>
            </w: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Impairment charges (Note C)</w:t>
            </w:r>
          </w:p>
        </w:tc>
        <w:tc>
          <w:tcPr>
            <w:tcW w:w="14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gridSpan w:val="3"/>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0"/>
              </w:rPr>
              <w:t>(203,076)</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w w:val="89"/>
              </w:rPr>
              <w:t>203,076</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-100.0%</w:t>
            </w: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Pension plan withdrawal</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405</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87.7%</w:t>
            </w: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Other expense</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(507)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(269)</w:t>
            </w:r>
          </w:p>
        </w:tc>
        <w:tc>
          <w:tcPr>
            <w:tcW w:w="1060" w:type="dxa"/>
            <w:vAlign w:val="bottom"/>
            <w:gridSpan w:val="3"/>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(2,013)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(1,132)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(881)</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-77.8%</w:t>
            </w:r>
          </w:p>
        </w:tc>
      </w:tr>
      <w:tr>
        <w:trPr>
          <w:trHeight w:val="223"/>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Net interest expense (Note D)</w:t>
            </w: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(8,156)</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(3,488)</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(4,668)</w:t>
            </w:r>
          </w:p>
        </w:tc>
        <w:tc>
          <w:tcPr>
            <w:tcW w:w="1060" w:type="dxa"/>
            <w:vAlign w:val="bottom"/>
            <w:gridSpan w:val="3"/>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(28,324)</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(17,887)</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(10,437)</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-58.3%</w:t>
            </w:r>
          </w:p>
        </w:tc>
      </w:tr>
      <w:tr>
        <w:trPr>
          <w:trHeight w:val="202"/>
        </w:trPr>
        <w:tc>
          <w:tcPr>
            <w:tcW w:w="3280" w:type="dxa"/>
            <w:vAlign w:val="bottom"/>
            <w:tcBorders>
              <w:top w:val="single" w:sz="8" w:color="CCEEFF"/>
            </w:tcBorders>
          </w:tcPr>
          <w:p>
            <w:pPr>
              <w:spacing w:after="0" w:line="201" w:lineRule="exact"/>
              <w:rPr>
                <w:sz w:val="20"/>
                <w:szCs w:val="20"/>
                <w:color w:val="auto"/>
              </w:rPr>
            </w:pPr>
            <w:r>
              <w:rPr>
                <w:rFonts w:ascii="Arial" w:cs="Arial" w:eastAsia="Arial" w:hAnsi="Arial"/>
                <w:sz w:val="18"/>
                <w:szCs w:val="18"/>
                <w:color w:val="auto"/>
              </w:rPr>
              <w:t>Loss from continuing operations before</w:t>
            </w:r>
          </w:p>
        </w:tc>
        <w:tc>
          <w:tcPr>
            <w:tcW w:w="14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r>
      <w:tr>
        <w:trPr>
          <w:trHeight w:val="230"/>
        </w:trPr>
        <w:tc>
          <w:tcPr>
            <w:tcW w:w="3280" w:type="dxa"/>
            <w:vAlign w:val="bottom"/>
          </w:tcPr>
          <w:p>
            <w:pPr>
              <w:spacing w:after="0"/>
              <w:rPr>
                <w:sz w:val="20"/>
                <w:szCs w:val="20"/>
                <w:color w:val="auto"/>
              </w:rPr>
            </w:pPr>
            <w:r>
              <w:rPr>
                <w:rFonts w:ascii="Arial" w:cs="Arial" w:eastAsia="Arial" w:hAnsi="Arial"/>
                <w:sz w:val="18"/>
                <w:szCs w:val="18"/>
                <w:color w:val="auto"/>
              </w:rPr>
              <w:t>income taxes</w:t>
            </w:r>
          </w:p>
        </w:tc>
        <w:tc>
          <w:tcPr>
            <w:tcW w:w="1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(26,382)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(57,855)</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31,473</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54.4%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(95,081)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0"/>
              </w:rPr>
              <w:t>(360,859)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w w:val="89"/>
              </w:rPr>
              <w:t>265,778</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73.7%</w:t>
            </w:r>
          </w:p>
        </w:tc>
      </w:tr>
      <w:tr>
        <w:trPr>
          <w:trHeight w:val="223"/>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Income tax (expense) benefit (Note E)</w:t>
            </w:r>
          </w:p>
        </w:tc>
        <w:tc>
          <w:tcPr>
            <w:tcW w:w="14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1,906</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6,208</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(4,302)</w:t>
            </w:r>
          </w:p>
        </w:tc>
        <w:tc>
          <w:tcPr>
            <w:tcW w:w="1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-69.3%</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1,788</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(14,246)</w:t>
            </w: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16,034</w:t>
            </w:r>
          </w:p>
        </w:tc>
        <w:tc>
          <w:tcPr>
            <w:tcW w:w="1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Loss from continuing operations</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(24,476)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(51,647)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27,171</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52.6%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(93,293)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0"/>
              </w:rPr>
              <w:t>(375,105)</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w w:val="89"/>
              </w:rPr>
              <w:t>281,812</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75.1%</w:t>
            </w:r>
          </w:p>
        </w:tc>
      </w:tr>
      <w:tr>
        <w:trPr>
          <w:trHeight w:val="202"/>
        </w:trPr>
        <w:tc>
          <w:tcPr>
            <w:tcW w:w="3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Income (loss) from discontinued operations</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37"/>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(Note F)</w:t>
            </w:r>
          </w:p>
        </w:tc>
        <w:tc>
          <w:tcPr>
            <w:tcW w:w="140" w:type="dxa"/>
            <w:vAlign w:val="bottom"/>
            <w:tcBorders>
              <w:bottom w:val="single" w:sz="8" w:color="auto"/>
            </w:tcBorders>
            <w:shd w:val="clear" w:color="auto" w:fill="CCEEFF"/>
          </w:tcPr>
          <w:p>
            <w:pPr>
              <w:spacing w:after="0"/>
              <w:rPr>
                <w:sz w:val="20"/>
                <w:szCs w:val="20"/>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7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auto"/>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558</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(1,847)</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2,405</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Net loss</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(24,452)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(51,672)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27,220</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52.7%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(92,735)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0"/>
              </w:rPr>
              <w:t>(376,952)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w w:val="89"/>
              </w:rPr>
              <w:t>284,217</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75.4%</w:t>
            </w:r>
          </w:p>
        </w:tc>
      </w:tr>
      <w:tr>
        <w:trPr>
          <w:trHeight w:val="202"/>
        </w:trPr>
        <w:tc>
          <w:tcPr>
            <w:tcW w:w="3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Net (income) loss attributable to</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30"/>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w:t>
            </w:r>
          </w:p>
        </w:tc>
        <w:tc>
          <w:tcPr>
            <w:tcW w:w="14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1,363</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740</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623</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84.2%</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(1,686)</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1,376</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(3,062)</w:t>
            </w:r>
          </w:p>
        </w:tc>
        <w:tc>
          <w:tcPr>
            <w:tcW w:w="106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02"/>
        </w:trPr>
        <w:tc>
          <w:tcPr>
            <w:tcW w:w="3280" w:type="dxa"/>
            <w:vAlign w:val="bottom"/>
          </w:tcPr>
          <w:p>
            <w:pPr>
              <w:spacing w:after="0" w:line="201" w:lineRule="exact"/>
              <w:rPr>
                <w:sz w:val="20"/>
                <w:szCs w:val="20"/>
                <w:color w:val="auto"/>
              </w:rPr>
            </w:pPr>
            <w:r>
              <w:rPr>
                <w:rFonts w:ascii="Arial" w:cs="Arial" w:eastAsia="Arial" w:hAnsi="Arial"/>
                <w:sz w:val="18"/>
                <w:szCs w:val="18"/>
                <w:color w:val="auto"/>
              </w:rPr>
              <w:t>Net loss attributable to redeemable</w:t>
            </w: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37"/>
        </w:trPr>
        <w:tc>
          <w:tcPr>
            <w:tcW w:w="328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140" w:type="dxa"/>
            <w:vAlign w:val="bottom"/>
          </w:tcPr>
          <w:p>
            <w:pPr>
              <w:spacing w:after="0"/>
              <w:rPr>
                <w:sz w:val="20"/>
                <w:szCs w:val="20"/>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545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459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86</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18.7%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1,766</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1,482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284</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19.2%</w:t>
            </w:r>
          </w:p>
        </w:tc>
      </w:tr>
      <w:tr>
        <w:trPr>
          <w:trHeight w:val="257"/>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loss attributable to Viad</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(22,544)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(50,473)</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8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27,929</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55.3%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(92,655)</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0"/>
              </w:rPr>
              <w:t>(374,094)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89"/>
              </w:rPr>
              <w:t>281,439</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75.2%</w:t>
            </w:r>
          </w:p>
        </w:tc>
      </w:tr>
      <w:tr>
        <w:trPr>
          <w:trHeight w:val="210"/>
        </w:trPr>
        <w:tc>
          <w:tcPr>
            <w:tcW w:w="3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Amounts Attributable to Viad:</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Loss from continuing operations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(22,568)</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(50,448)</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27,880</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55.3%</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(93,213)</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0"/>
              </w:rPr>
              <w:t>(372,247)</w:t>
            </w:r>
          </w:p>
        </w:tc>
        <w:tc>
          <w:tcPr>
            <w:tcW w:w="28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color w:val="auto"/>
                <w:w w:val="89"/>
              </w:rPr>
              <w:t>279,034</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75.0%</w:t>
            </w:r>
          </w:p>
        </w:tc>
      </w:tr>
      <w:tr>
        <w:trPr>
          <w:trHeight w:val="202"/>
        </w:trPr>
        <w:tc>
          <w:tcPr>
            <w:tcW w:w="3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Income (loss) from discontinued operations</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37"/>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(Note F)</w:t>
            </w:r>
          </w:p>
        </w:tc>
        <w:tc>
          <w:tcPr>
            <w:tcW w:w="140" w:type="dxa"/>
            <w:vAlign w:val="bottom"/>
            <w:tcBorders>
              <w:bottom w:val="single" w:sz="8" w:color="auto"/>
            </w:tcBorders>
            <w:shd w:val="clear" w:color="auto" w:fill="CCEEFF"/>
          </w:tcPr>
          <w:p>
            <w:pPr>
              <w:spacing w:after="0"/>
              <w:rPr>
                <w:sz w:val="20"/>
                <w:szCs w:val="20"/>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7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auto"/>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558</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(1,847)</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2,405</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16"/>
        </w:trPr>
        <w:tc>
          <w:tcPr>
            <w:tcW w:w="328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(22,544)</w:t>
            </w:r>
          </w:p>
        </w:tc>
        <w:tc>
          <w:tcPr>
            <w:tcW w:w="2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(50,473)</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b w:val="1"/>
                <w:bCs w:val="1"/>
                <w:color w:val="auto"/>
              </w:rPr>
              <w:t>27,929</w:t>
            </w:r>
          </w:p>
        </w:tc>
        <w:tc>
          <w:tcPr>
            <w:tcW w:w="1060" w:type="dxa"/>
            <w:vAlign w:val="bottom"/>
            <w:gridSpan w:val="3"/>
          </w:tcPr>
          <w:p>
            <w:pPr>
              <w:jc w:val="right"/>
              <w:spacing w:after="0"/>
              <w:rPr>
                <w:sz w:val="20"/>
                <w:szCs w:val="20"/>
                <w:color w:val="auto"/>
              </w:rPr>
            </w:pPr>
            <w:r>
              <w:rPr>
                <w:rFonts w:ascii="Arial" w:cs="Arial" w:eastAsia="Arial" w:hAnsi="Arial"/>
                <w:sz w:val="18"/>
                <w:szCs w:val="18"/>
                <w:b w:val="1"/>
                <w:bCs w:val="1"/>
                <w:color w:val="auto"/>
              </w:rPr>
              <w:t>55.3%</w:t>
            </w:r>
          </w:p>
        </w:tc>
        <w:tc>
          <w:tcPr>
            <w:tcW w:w="2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tcPr>
          <w:p>
            <w:pPr>
              <w:jc w:val="right"/>
              <w:spacing w:after="0"/>
              <w:rPr>
                <w:sz w:val="20"/>
                <w:szCs w:val="20"/>
                <w:color w:val="auto"/>
              </w:rPr>
            </w:pPr>
            <w:r>
              <w:rPr>
                <w:rFonts w:ascii="Arial" w:cs="Arial" w:eastAsia="Arial" w:hAnsi="Arial"/>
                <w:sz w:val="18"/>
                <w:szCs w:val="18"/>
                <w:b w:val="1"/>
                <w:bCs w:val="1"/>
                <w:color w:val="auto"/>
              </w:rPr>
              <w:t>(92,655)</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w w:val="90"/>
              </w:rPr>
              <w:t>(374,094)</w:t>
            </w:r>
          </w:p>
        </w:tc>
        <w:tc>
          <w:tcPr>
            <w:tcW w:w="280" w:type="dxa"/>
            <w:vAlign w:val="bottom"/>
            <w:gridSpan w:val="2"/>
          </w:tcPr>
          <w:p>
            <w:pPr>
              <w:jc w:val="right"/>
              <w:ind w:right="7"/>
              <w:spacing w:after="0"/>
              <w:rPr>
                <w:sz w:val="20"/>
                <w:szCs w:val="20"/>
                <w:color w:val="auto"/>
              </w:rPr>
            </w:pPr>
            <w:r>
              <w:rPr>
                <w:rFonts w:ascii="Arial" w:cs="Arial" w:eastAsia="Arial" w:hAnsi="Arial"/>
                <w:sz w:val="18"/>
                <w:szCs w:val="18"/>
                <w:b w:val="1"/>
                <w:bCs w:val="1"/>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b w:val="1"/>
                <w:bCs w:val="1"/>
                <w:color w:val="auto"/>
                <w:w w:val="89"/>
              </w:rPr>
              <w:t>281,439</w:t>
            </w:r>
          </w:p>
        </w:tc>
        <w:tc>
          <w:tcPr>
            <w:tcW w:w="1060" w:type="dxa"/>
            <w:vAlign w:val="bottom"/>
            <w:gridSpan w:val="2"/>
          </w:tcPr>
          <w:p>
            <w:pPr>
              <w:jc w:val="right"/>
              <w:spacing w:after="0"/>
              <w:rPr>
                <w:sz w:val="20"/>
                <w:szCs w:val="20"/>
                <w:color w:val="auto"/>
              </w:rPr>
            </w:pPr>
            <w:r>
              <w:rPr>
                <w:rFonts w:ascii="Arial" w:cs="Arial" w:eastAsia="Arial" w:hAnsi="Arial"/>
                <w:sz w:val="18"/>
                <w:szCs w:val="18"/>
                <w:b w:val="1"/>
                <w:bCs w:val="1"/>
                <w:color w:val="auto"/>
              </w:rPr>
              <w:t>75.2%</w:t>
            </w:r>
          </w:p>
        </w:tc>
      </w:tr>
      <w:tr>
        <w:trPr>
          <w:trHeight w:val="21"/>
        </w:trPr>
        <w:tc>
          <w:tcPr>
            <w:tcW w:w="3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r>
        <w:trPr>
          <w:trHeight w:val="209"/>
        </w:trPr>
        <w:tc>
          <w:tcPr>
            <w:tcW w:w="3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198"/>
        </w:trPr>
        <w:tc>
          <w:tcPr>
            <w:tcW w:w="3280" w:type="dxa"/>
            <w:vAlign w:val="bottom"/>
          </w:tcPr>
          <w:p>
            <w:pPr>
              <w:spacing w:after="0" w:line="198" w:lineRule="exact"/>
              <w:rPr>
                <w:sz w:val="20"/>
                <w:szCs w:val="20"/>
                <w:color w:val="auto"/>
              </w:rPr>
            </w:pPr>
            <w:r>
              <w:rPr>
                <w:rFonts w:ascii="Arial" w:cs="Arial" w:eastAsia="Arial" w:hAnsi="Arial"/>
                <w:sz w:val="18"/>
                <w:szCs w:val="18"/>
                <w:b w:val="1"/>
                <w:bCs w:val="1"/>
                <w:color w:val="auto"/>
                <w:w w:val="97"/>
              </w:rPr>
              <w:t>Loss per common share attributable to</w:t>
            </w: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34"/>
        </w:trPr>
        <w:tc>
          <w:tcPr>
            <w:tcW w:w="3280" w:type="dxa"/>
            <w:vAlign w:val="bottom"/>
          </w:tcPr>
          <w:p>
            <w:pPr>
              <w:spacing w:after="0"/>
              <w:rPr>
                <w:sz w:val="20"/>
                <w:szCs w:val="20"/>
                <w:color w:val="auto"/>
              </w:rPr>
            </w:pPr>
            <w:r>
              <w:rPr>
                <w:rFonts w:ascii="Arial" w:cs="Arial" w:eastAsia="Arial" w:hAnsi="Arial"/>
                <w:sz w:val="18"/>
                <w:szCs w:val="18"/>
                <w:b w:val="1"/>
                <w:bCs w:val="1"/>
                <w:color w:val="auto"/>
              </w:rPr>
              <w:t>Viad (Note G):</w:t>
            </w: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237"/>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Basic loss per common share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1.35</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52.3%</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(18.64)</w:t>
            </w:r>
          </w:p>
        </w:tc>
        <w:tc>
          <w:tcPr>
            <w:tcW w:w="28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13.63</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73.1%</w:t>
            </w:r>
          </w:p>
        </w:tc>
      </w:tr>
      <w:tr>
        <w:trPr>
          <w:trHeight w:val="20"/>
        </w:trPr>
        <w:tc>
          <w:tcPr>
            <w:tcW w:w="32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r>
      <w:tr>
        <w:trPr>
          <w:trHeight w:val="209"/>
        </w:trPr>
        <w:tc>
          <w:tcPr>
            <w:tcW w:w="3280" w:type="dxa"/>
            <w:vAlign w:val="bottom"/>
          </w:tcPr>
          <w:p>
            <w:pPr>
              <w:spacing w:after="0"/>
              <w:rPr>
                <w:sz w:val="20"/>
                <w:szCs w:val="20"/>
                <w:color w:val="auto"/>
              </w:rPr>
            </w:pPr>
            <w:r>
              <w:rPr>
                <w:rFonts w:ascii="Arial" w:cs="Arial" w:eastAsia="Arial" w:hAnsi="Arial"/>
                <w:sz w:val="18"/>
                <w:szCs w:val="18"/>
                <w:color w:val="auto"/>
              </w:rPr>
              <w:t>Diluted loss per common share</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(1.23)</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(2.58)</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1.35</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52.3%</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(5.01)</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(18.64)</w:t>
            </w:r>
          </w:p>
        </w:tc>
        <w:tc>
          <w:tcPr>
            <w:tcW w:w="28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13.63</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73.1%</w:t>
            </w:r>
          </w:p>
        </w:tc>
      </w:tr>
      <w:tr>
        <w:trPr>
          <w:trHeight w:val="21"/>
        </w:trPr>
        <w:tc>
          <w:tcPr>
            <w:tcW w:w="3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r>
        <w:trPr>
          <w:trHeight w:val="209"/>
        </w:trPr>
        <w:tc>
          <w:tcPr>
            <w:tcW w:w="3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198"/>
        </w:trPr>
        <w:tc>
          <w:tcPr>
            <w:tcW w:w="3280" w:type="dxa"/>
            <w:vAlign w:val="bottom"/>
          </w:tcPr>
          <w:p>
            <w:pPr>
              <w:spacing w:after="0" w:line="198" w:lineRule="exact"/>
              <w:rPr>
                <w:sz w:val="20"/>
                <w:szCs w:val="20"/>
                <w:color w:val="auto"/>
              </w:rPr>
            </w:pPr>
            <w:r>
              <w:rPr>
                <w:rFonts w:ascii="Arial" w:cs="Arial" w:eastAsia="Arial" w:hAnsi="Arial"/>
                <w:sz w:val="18"/>
                <w:szCs w:val="18"/>
                <w:b w:val="1"/>
                <w:bCs w:val="1"/>
                <w:color w:val="auto"/>
              </w:rPr>
              <w:t>Weighted-average common shares</w:t>
            </w: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34"/>
        </w:trPr>
        <w:tc>
          <w:tcPr>
            <w:tcW w:w="3280" w:type="dxa"/>
            <w:vAlign w:val="bottom"/>
          </w:tcPr>
          <w:p>
            <w:pPr>
              <w:spacing w:after="0"/>
              <w:rPr>
                <w:sz w:val="20"/>
                <w:szCs w:val="20"/>
                <w:color w:val="auto"/>
              </w:rPr>
            </w:pPr>
            <w:r>
              <w:rPr>
                <w:rFonts w:ascii="Arial" w:cs="Arial" w:eastAsia="Arial" w:hAnsi="Arial"/>
                <w:sz w:val="18"/>
                <w:szCs w:val="18"/>
                <w:b w:val="1"/>
                <w:bCs w:val="1"/>
                <w:color w:val="auto"/>
              </w:rPr>
              <w:t>outstanding:</w:t>
            </w: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202"/>
        </w:trPr>
        <w:tc>
          <w:tcPr>
            <w:tcW w:w="3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Basic weighted-average outstanding</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30"/>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common shares</w:t>
            </w:r>
          </w:p>
        </w:tc>
        <w:tc>
          <w:tcPr>
            <w:tcW w:w="14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20,456</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20,325</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131</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20,411</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20,279</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132</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0.7%</w:t>
            </w:r>
          </w:p>
        </w:tc>
      </w:tr>
      <w:tr>
        <w:trPr>
          <w:trHeight w:val="202"/>
        </w:trPr>
        <w:tc>
          <w:tcPr>
            <w:tcW w:w="3280" w:type="dxa"/>
            <w:vAlign w:val="bottom"/>
          </w:tcPr>
          <w:p>
            <w:pPr>
              <w:spacing w:after="0" w:line="201" w:lineRule="exact"/>
              <w:rPr>
                <w:sz w:val="20"/>
                <w:szCs w:val="20"/>
                <w:color w:val="auto"/>
              </w:rPr>
            </w:pPr>
            <w:r>
              <w:rPr>
                <w:rFonts w:ascii="Arial" w:cs="Arial" w:eastAsia="Arial" w:hAnsi="Arial"/>
                <w:sz w:val="18"/>
                <w:szCs w:val="18"/>
                <w:color w:val="auto"/>
                <w:w w:val="97"/>
              </w:rPr>
              <w:t>Additional dilutive shares related to share-</w:t>
            </w: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37"/>
        </w:trPr>
        <w:tc>
          <w:tcPr>
            <w:tcW w:w="3280" w:type="dxa"/>
            <w:vAlign w:val="bottom"/>
          </w:tcPr>
          <w:p>
            <w:pPr>
              <w:spacing w:after="0"/>
              <w:rPr>
                <w:sz w:val="20"/>
                <w:szCs w:val="20"/>
                <w:color w:val="auto"/>
              </w:rPr>
            </w:pPr>
            <w:r>
              <w:rPr>
                <w:rFonts w:ascii="Arial" w:cs="Arial" w:eastAsia="Arial" w:hAnsi="Arial"/>
                <w:sz w:val="18"/>
                <w:szCs w:val="18"/>
                <w:color w:val="auto"/>
              </w:rPr>
              <w:t>based compensation</w:t>
            </w:r>
          </w:p>
        </w:tc>
        <w:tc>
          <w:tcPr>
            <w:tcW w:w="140" w:type="dxa"/>
            <w:vAlign w:val="bottom"/>
          </w:tcPr>
          <w:p>
            <w:pPr>
              <w:spacing w:after="0"/>
              <w:rPr>
                <w:sz w:val="20"/>
                <w:szCs w:val="20"/>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gridSpan w:val="3"/>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r>
      <w:tr>
        <w:trPr>
          <w:trHeight w:val="202"/>
        </w:trPr>
        <w:tc>
          <w:tcPr>
            <w:tcW w:w="3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Diluted weighted-average outstanding</w:t>
            </w:r>
          </w:p>
        </w:tc>
        <w:tc>
          <w:tcPr>
            <w:tcW w:w="14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r>
      <w:tr>
        <w:trPr>
          <w:trHeight w:val="271"/>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common shares</w:t>
            </w:r>
          </w:p>
        </w:tc>
        <w:tc>
          <w:tcPr>
            <w:tcW w:w="1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20,456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20,325</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131</w:t>
            </w:r>
          </w:p>
        </w:tc>
        <w:tc>
          <w:tcPr>
            <w:tcW w:w="1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20,411</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20,279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132</w:t>
            </w:r>
          </w:p>
        </w:tc>
        <w:tc>
          <w:tcPr>
            <w:tcW w:w="1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0.7%</w:t>
            </w:r>
          </w:p>
        </w:tc>
      </w:tr>
      <w:tr>
        <w:trPr>
          <w:trHeight w:val="210"/>
        </w:trPr>
        <w:tc>
          <w:tcPr>
            <w:tcW w:w="3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40" w:type="dxa"/>
            <w:vAlign w:val="bottom"/>
            <w:gridSpan w:val="4"/>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6"/>
        </w:trPr>
        <w:tc>
          <w:tcPr>
            <w:tcW w:w="3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40" w:type="dxa"/>
            <w:vAlign w:val="bottom"/>
            <w:gridSpan w:val="4"/>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223"/>
        </w:trPr>
        <w:tc>
          <w:tcPr>
            <w:tcW w:w="32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gridSpan w:val="4"/>
          </w:tcPr>
          <w:p>
            <w:pPr>
              <w:jc w:val="right"/>
              <w:ind w:right="90"/>
              <w:spacing w:after="0"/>
              <w:rPr>
                <w:sz w:val="20"/>
                <w:szCs w:val="20"/>
                <w:color w:val="auto"/>
              </w:rPr>
            </w:pPr>
            <w:r>
              <w:rPr>
                <w:rFonts w:ascii="Arial" w:cs="Arial" w:eastAsia="Arial" w:hAnsi="Arial"/>
                <w:sz w:val="18"/>
                <w:szCs w:val="18"/>
                <w:color w:val="auto"/>
                <w:w w:val="96"/>
              </w:rPr>
              <w:t>As of December 31,</w:t>
            </w:r>
          </w:p>
        </w:tc>
        <w:tc>
          <w:tcPr>
            <w:tcW w:w="1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r>
      <w:tr>
        <w:trPr>
          <w:trHeight w:val="202"/>
        </w:trPr>
        <w:tc>
          <w:tcPr>
            <w:tcW w:w="3280" w:type="dxa"/>
            <w:vAlign w:val="bottom"/>
            <w:shd w:val="clear" w:color="auto" w:fill="CCEEFF"/>
          </w:tcPr>
          <w:p>
            <w:pPr>
              <w:spacing w:after="0" w:line="201" w:lineRule="exact"/>
              <w:rPr>
                <w:sz w:val="20"/>
                <w:szCs w:val="20"/>
                <w:color w:val="auto"/>
              </w:rPr>
            </w:pPr>
            <w:r>
              <w:rPr>
                <w:rFonts w:ascii="Arial" w:cs="Arial" w:eastAsia="Arial" w:hAnsi="Arial"/>
                <w:sz w:val="18"/>
                <w:szCs w:val="18"/>
                <w:b w:val="1"/>
                <w:bCs w:val="1"/>
                <w:color w:val="auto"/>
              </w:rPr>
              <w:t>Capitalization Data:</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ind w:right="310"/>
              <w:spacing w:after="0" w:line="201" w:lineRule="exact"/>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310"/>
              <w:spacing w:after="0" w:line="201" w:lineRule="exact"/>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30"/>
        </w:trPr>
        <w:tc>
          <w:tcPr>
            <w:tcW w:w="32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2021</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2020</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1"/>
              </w:rPr>
              <w:t>Change</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5"/>
              </w:rPr>
              <w:t>Change</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4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61,600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39,545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22,055</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55.8%</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Total debt</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8"/>
              </w:rPr>
              <w:t>474,184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5"/>
              </w:rPr>
              <w:t>296,428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8"/>
              </w:rPr>
              <w:t>177,756</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60.0%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Viad shareholders' equity</w:t>
            </w:r>
          </w:p>
        </w:tc>
        <w:tc>
          <w:tcPr>
            <w:tcW w:w="14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6,282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95,955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w w:val="95"/>
              </w:rPr>
              <w:t>(89,673)</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-93.5%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02"/>
        </w:trPr>
        <w:tc>
          <w:tcPr>
            <w:tcW w:w="3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Non-controlling interests (redeemable and</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30"/>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non-redeemable)</w:t>
            </w:r>
          </w:p>
        </w:tc>
        <w:tc>
          <w:tcPr>
            <w:tcW w:w="14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91,000</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83,369</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7,631</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r>
      <w:tr>
        <w:trPr>
          <w:trHeight w:val="202"/>
        </w:trPr>
        <w:tc>
          <w:tcPr>
            <w:tcW w:w="3280" w:type="dxa"/>
            <w:vAlign w:val="bottom"/>
          </w:tcPr>
          <w:p>
            <w:pPr>
              <w:spacing w:after="0" w:line="201" w:lineRule="exact"/>
              <w:rPr>
                <w:sz w:val="20"/>
                <w:szCs w:val="20"/>
                <w:color w:val="auto"/>
              </w:rPr>
            </w:pPr>
            <w:r>
              <w:rPr>
                <w:rFonts w:ascii="Arial" w:cs="Arial" w:eastAsia="Arial" w:hAnsi="Arial"/>
                <w:sz w:val="18"/>
                <w:szCs w:val="18"/>
                <w:color w:val="auto"/>
                <w:w w:val="94"/>
              </w:rPr>
              <w:t>Convertible Series A Preferred Stock (Note</w:t>
            </w: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30"/>
        </w:trPr>
        <w:tc>
          <w:tcPr>
            <w:tcW w:w="3280" w:type="dxa"/>
            <w:vAlign w:val="bottom"/>
          </w:tcPr>
          <w:p>
            <w:pPr>
              <w:spacing w:after="0"/>
              <w:rPr>
                <w:sz w:val="20"/>
                <w:szCs w:val="20"/>
                <w:color w:val="auto"/>
              </w:rPr>
            </w:pPr>
            <w:r>
              <w:rPr>
                <w:rFonts w:ascii="Arial" w:cs="Arial" w:eastAsia="Arial" w:hAnsi="Arial"/>
                <w:sz w:val="18"/>
                <w:szCs w:val="18"/>
                <w:color w:val="auto"/>
              </w:rPr>
              <w:t>H):</w:t>
            </w: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202"/>
        </w:trPr>
        <w:tc>
          <w:tcPr>
            <w:tcW w:w="3280" w:type="dxa"/>
            <w:vAlign w:val="bottom"/>
            <w:shd w:val="clear" w:color="auto" w:fill="CCEEFF"/>
          </w:tcPr>
          <w:p>
            <w:pPr>
              <w:ind w:left="180"/>
              <w:spacing w:after="0" w:line="201" w:lineRule="exact"/>
              <w:rPr>
                <w:sz w:val="20"/>
                <w:szCs w:val="20"/>
                <w:color w:val="auto"/>
              </w:rPr>
            </w:pPr>
            <w:r>
              <w:rPr>
                <w:rFonts w:ascii="Arial" w:cs="Arial" w:eastAsia="Arial" w:hAnsi="Arial"/>
                <w:sz w:val="18"/>
                <w:szCs w:val="18"/>
                <w:color w:val="auto"/>
                <w:w w:val="96"/>
              </w:rPr>
              <w:t>Convertible preferred shares issued and</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30"/>
        </w:trPr>
        <w:tc>
          <w:tcPr>
            <w:tcW w:w="3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outstanding</w:t>
            </w:r>
          </w:p>
        </w:tc>
        <w:tc>
          <w:tcPr>
            <w:tcW w:w="14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8"/>
              </w:rPr>
              <w:t>141,827</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5"/>
              </w:rPr>
              <w:t>138,006</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3,821</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r>
      <w:tr>
        <w:trPr>
          <w:trHeight w:val="230"/>
        </w:trPr>
        <w:tc>
          <w:tcPr>
            <w:tcW w:w="3280" w:type="dxa"/>
            <w:vAlign w:val="bottom"/>
          </w:tcPr>
          <w:p>
            <w:pPr>
              <w:ind w:left="180"/>
              <w:spacing w:after="0"/>
              <w:rPr>
                <w:sz w:val="20"/>
                <w:szCs w:val="20"/>
                <w:color w:val="auto"/>
              </w:rPr>
            </w:pPr>
            <w:r>
              <w:rPr>
                <w:rFonts w:ascii="Arial" w:cs="Arial" w:eastAsia="Arial" w:hAnsi="Arial"/>
                <w:sz w:val="18"/>
                <w:szCs w:val="18"/>
                <w:color w:val="auto"/>
              </w:rPr>
              <w:t>Equivalent number of common shares</w:t>
            </w:r>
          </w:p>
        </w:tc>
        <w:tc>
          <w:tcPr>
            <w:tcW w:w="140" w:type="dxa"/>
            <w:vAlign w:val="bottom"/>
          </w:tcPr>
          <w:p>
            <w:pPr>
              <w:spacing w:after="0"/>
              <w:rPr>
                <w:sz w:val="20"/>
                <w:szCs w:val="20"/>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6,674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6,494</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180</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 Change is greater than +/- 100 percent</w:t>
      </w:r>
    </w:p>
    <w:p>
      <w:pPr>
        <w:sectPr>
          <w:pgSz w:w="11900" w:h="16868" w:orient="portrait"/>
          <w:cols w:equalWidth="0" w:num="1">
            <w:col w:w="11240"/>
          </w:cols>
          <w:pgMar w:left="320" w:top="355" w:right="339" w:bottom="0" w:gutter="0" w:footer="0" w:header="0"/>
        </w:sectPr>
      </w:pPr>
    </w:p>
    <w:bookmarkStart w:id="9" w:name="page10"/>
    <w:bookmarkEnd w:id="9"/>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354330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0" w:name="page11"/>
    <w:bookmarkEnd w:id="10"/>
    <w:p>
      <w:pPr>
        <w:spacing w:after="0" w:line="5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VIAD CORP AND SUBSIDIARIES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TABLE ONE - NOTES TO QUARTERLY AND FULL YEAR RESULTS</w:t>
      </w:r>
    </w:p>
    <w:p>
      <w:pPr>
        <w:jc w:val="center"/>
        <w:spacing w:after="0"/>
        <w:rPr>
          <w:sz w:val="20"/>
          <w:szCs w:val="20"/>
          <w:color w:val="auto"/>
        </w:rPr>
      </w:pPr>
      <w:r>
        <w:rPr>
          <w:rFonts w:ascii="Arial" w:cs="Arial" w:eastAsia="Arial" w:hAnsi="Arial"/>
          <w:sz w:val="22"/>
          <w:szCs w:val="22"/>
          <w:b w:val="1"/>
          <w:bCs w:val="1"/>
          <w:color w:val="auto"/>
        </w:rPr>
        <w:t>(UNAUDITED)</w:t>
      </w:r>
    </w:p>
    <w:p>
      <w:pPr>
        <w:spacing w:after="0" w:line="200" w:lineRule="exact"/>
        <w:rPr>
          <w:sz w:val="20"/>
          <w:szCs w:val="20"/>
          <w:color w:val="auto"/>
        </w:rPr>
      </w:pPr>
    </w:p>
    <w:p>
      <w:pPr>
        <w:spacing w:after="0" w:line="265" w:lineRule="exact"/>
        <w:rPr>
          <w:sz w:val="20"/>
          <w:szCs w:val="20"/>
          <w:color w:val="auto"/>
        </w:rPr>
      </w:pPr>
    </w:p>
    <w:p>
      <w:pPr>
        <w:ind w:left="280" w:right="160" w:hanging="269"/>
        <w:spacing w:after="0" w:line="263" w:lineRule="auto"/>
        <w:rPr>
          <w:sz w:val="20"/>
          <w:szCs w:val="20"/>
          <w:color w:val="auto"/>
        </w:rPr>
      </w:pPr>
      <w:r>
        <w:rPr>
          <w:rFonts w:ascii="Arial" w:cs="Arial" w:eastAsia="Arial" w:hAnsi="Arial"/>
          <w:sz w:val="18"/>
          <w:szCs w:val="18"/>
          <w:color w:val="auto"/>
        </w:rPr>
        <w:t>(A)Corporate Activities — The increase in corporate activities expense during 2021 relative to 2020 was primarily due to higher performance-based compensation expense as we reduced our estimated performance achievement to zero in 2020 as a result of the COVID-19 pandemic, offset in part by fees and expenses related to the equity raise and credit facility amendment in 2020.</w:t>
      </w:r>
    </w:p>
    <w:p>
      <w:pPr>
        <w:spacing w:after="0" w:line="184" w:lineRule="exact"/>
        <w:rPr>
          <w:sz w:val="20"/>
          <w:szCs w:val="20"/>
          <w:color w:val="auto"/>
        </w:rPr>
      </w:pPr>
    </w:p>
    <w:p>
      <w:pPr>
        <w:ind w:left="280" w:hanging="272"/>
        <w:spacing w:after="0" w:line="257" w:lineRule="auto"/>
        <w:tabs>
          <w:tab w:leader="none" w:pos="28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Restructuring Charges — Restructuring charges during 2021 and 2020 were primarily related to facility closures and the elimination of certain positions at GES. In response to the COVID-19 pandemic, we accelerated our transformation and streamlining efforts at GES to significantly reduce costs and create a lower and more flexible cost structure focused on servicing our more profitable market segments, as well as charges related to the closure of GES’ United Kingdom based audio-visual services business in 2020. Restructuring charges in 2020 also included the elimination of certain positions at our corporate office.</w:t>
      </w:r>
    </w:p>
    <w:p>
      <w:pPr>
        <w:spacing w:after="0" w:line="187" w:lineRule="exact"/>
        <w:rPr>
          <w:rFonts w:ascii="Arial" w:cs="Arial" w:eastAsia="Arial" w:hAnsi="Arial"/>
          <w:sz w:val="18"/>
          <w:szCs w:val="18"/>
          <w:color w:val="auto"/>
        </w:rPr>
      </w:pPr>
    </w:p>
    <w:p>
      <w:pPr>
        <w:ind w:left="280" w:right="120" w:hanging="272"/>
        <w:spacing w:after="0" w:line="259" w:lineRule="auto"/>
        <w:tabs>
          <w:tab w:leader="none" w:pos="280" w:val="left"/>
        </w:tabs>
        <w:numPr>
          <w:ilvl w:val="0"/>
          <w:numId w:val="5"/>
        </w:numPr>
        <w:rPr>
          <w:rFonts w:ascii="Arial" w:cs="Arial" w:eastAsia="Arial" w:hAnsi="Arial"/>
          <w:sz w:val="18"/>
          <w:szCs w:val="18"/>
          <w:color w:val="auto"/>
        </w:rPr>
      </w:pPr>
      <w:r>
        <w:rPr>
          <w:rFonts w:ascii="Arial" w:cs="Arial" w:eastAsia="Arial" w:hAnsi="Arial"/>
          <w:sz w:val="18"/>
          <w:szCs w:val="18"/>
          <w:color w:val="auto"/>
        </w:rPr>
        <w:t>Impairment Charges — Due to the deteriorating macroeconomic environment in 2020 related to the COVID-19 pandemic, resulting in disruptions to our operations and the decline in our stock price, we recorded non-cash goodwill impairment charges of $185.8 million, a non-cash impairment charge to intangible assets of $15.7 million related to GES’ United States audio-visual production business, and a fixed asset impairment charge of $1.6 million.</w:t>
      </w:r>
    </w:p>
    <w:p>
      <w:pPr>
        <w:spacing w:after="0" w:line="187" w:lineRule="exact"/>
        <w:rPr>
          <w:sz w:val="20"/>
          <w:szCs w:val="20"/>
          <w:color w:val="auto"/>
        </w:rPr>
      </w:pPr>
    </w:p>
    <w:p>
      <w:pPr>
        <w:ind w:left="280" w:right="40" w:hanging="269"/>
        <w:spacing w:after="0" w:line="263" w:lineRule="auto"/>
        <w:rPr>
          <w:sz w:val="20"/>
          <w:szCs w:val="20"/>
          <w:color w:val="auto"/>
        </w:rPr>
      </w:pPr>
      <w:r>
        <w:rPr>
          <w:rFonts w:ascii="Arial" w:cs="Arial" w:eastAsia="Arial" w:hAnsi="Arial"/>
          <w:sz w:val="18"/>
          <w:szCs w:val="18"/>
          <w:color w:val="auto"/>
        </w:rPr>
        <w:t>(D)Net Interest Expense — The increase in interest expense relative to 2020 was primarily due to higher interest rates and higher debt balances during 2021. Additionally, as a result of the refinance and the repayment of the 2018 Credit Facility, we recorded $2.1 million of interest expense related to the write-off of unamortized debt issuance costs during 2021.</w:t>
      </w:r>
    </w:p>
    <w:p>
      <w:pPr>
        <w:spacing w:after="0" w:line="184" w:lineRule="exact"/>
        <w:rPr>
          <w:sz w:val="20"/>
          <w:szCs w:val="20"/>
          <w:color w:val="auto"/>
        </w:rPr>
      </w:pPr>
    </w:p>
    <w:p>
      <w:pPr>
        <w:ind w:left="280" w:right="60" w:hanging="272"/>
        <w:spacing w:after="0" w:line="275" w:lineRule="auto"/>
        <w:tabs>
          <w:tab w:leader="none" w:pos="280" w:val="left"/>
        </w:tabs>
        <w:numPr>
          <w:ilvl w:val="0"/>
          <w:numId w:val="6"/>
        </w:numPr>
        <w:rPr>
          <w:rFonts w:ascii="Arial" w:cs="Arial" w:eastAsia="Arial" w:hAnsi="Arial"/>
          <w:sz w:val="17"/>
          <w:szCs w:val="17"/>
          <w:color w:val="auto"/>
        </w:rPr>
      </w:pPr>
      <w:r>
        <w:rPr>
          <w:rFonts w:ascii="Arial" w:cs="Arial" w:eastAsia="Arial" w:hAnsi="Arial"/>
          <w:sz w:val="17"/>
          <w:szCs w:val="17"/>
          <w:color w:val="auto"/>
        </w:rPr>
        <w:t>Income Tax (Expense) Benefit – Our effective income tax rate was 2% for 2021 as compared to a negative 4% for 2020. The effective tax rate for 2021 was lower than the blended statutory rate primarily as a result of excluding the tax benefit on losses recognized in the United States, the United Kingdom, and other European countries where we have a valuation allowance. The negative effective tax rate for 2020 was due to the recording of a $25.5 million valuation allowance against our remaining deferred tax assets (net) in the United States, United Kingdom, and other European countries, as well as no tax benefits on non-deductible goodwill impairments and losses recognized in those jurisdictions.</w:t>
      </w:r>
    </w:p>
    <w:p>
      <w:pPr>
        <w:spacing w:after="0" w:line="176" w:lineRule="exact"/>
        <w:rPr>
          <w:rFonts w:ascii="Arial" w:cs="Arial" w:eastAsia="Arial" w:hAnsi="Arial"/>
          <w:sz w:val="17"/>
          <w:szCs w:val="17"/>
          <w:color w:val="auto"/>
        </w:rPr>
      </w:pPr>
    </w:p>
    <w:p>
      <w:pPr>
        <w:ind w:left="280" w:right="160" w:hanging="272"/>
        <w:spacing w:after="0" w:line="277" w:lineRule="auto"/>
        <w:tabs>
          <w:tab w:leader="none" w:pos="28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Income (Loss) from Discontinued Operations — Loss from discontinued operations during 2020 was primarily due to a settlement and legal expenses related to previously sold operations.</w:t>
      </w:r>
    </w:p>
    <w:p>
      <w:pPr>
        <w:spacing w:after="0" w:line="170" w:lineRule="exact"/>
        <w:rPr>
          <w:sz w:val="20"/>
          <w:szCs w:val="20"/>
          <w:color w:val="auto"/>
        </w:rPr>
      </w:pPr>
    </w:p>
    <w:p>
      <w:pPr>
        <w:ind w:left="280" w:right="220" w:hanging="269"/>
        <w:spacing w:after="0" w:line="255" w:lineRule="auto"/>
        <w:rPr>
          <w:sz w:val="20"/>
          <w:szCs w:val="20"/>
          <w:color w:val="auto"/>
        </w:rPr>
      </w:pPr>
      <w:r>
        <w:rPr>
          <w:rFonts w:ascii="Arial" w:cs="Arial" w:eastAsia="Arial" w:hAnsi="Arial"/>
          <w:sz w:val="18"/>
          <w:szCs w:val="18"/>
          <w:color w:val="auto"/>
        </w:rPr>
        <w:t>(G)Income (Loss) per Common Share — We apply the two-class method in calculating income (loss) per common share as preferred stock and unvested share-based payment awards that contain nonforteitable rights to dividends are considered participating securities. Accordingly, such securities are included in the earnings allocation in calculating income per share.</w:t>
      </w:r>
    </w:p>
    <w:p>
      <w:pPr>
        <w:spacing w:after="0" w:line="3" w:lineRule="exact"/>
        <w:rPr>
          <w:sz w:val="20"/>
          <w:szCs w:val="20"/>
          <w:color w:val="auto"/>
        </w:rPr>
      </w:pPr>
    </w:p>
    <w:p>
      <w:pPr>
        <w:ind w:left="280" w:right="140"/>
        <w:spacing w:after="0" w:line="295" w:lineRule="auto"/>
        <w:rPr>
          <w:sz w:val="20"/>
          <w:szCs w:val="20"/>
          <w:color w:val="auto"/>
        </w:rPr>
      </w:pPr>
      <w:r>
        <w:rPr>
          <w:rFonts w:ascii="Arial" w:cs="Arial" w:eastAsia="Arial" w:hAnsi="Arial"/>
          <w:sz w:val="16"/>
          <w:szCs w:val="16"/>
          <w:color w:val="auto"/>
        </w:rPr>
        <w:t>Diluted income (loss) per common share is calculated using the more dilutive of the two-class method or as-converted method. The two-class method uses net income (loss) available to common stockholders and assumes conversion of all potential shares other than participating securities. The as-converted method uses net income (loss) available to common shareholders and assumes conversion of all potential shares including participating securities. Dilutive potential common shares include outstanding stock options, unvested restricted share units and convertible preferred stock.</w:t>
      </w:r>
    </w:p>
    <w:p>
      <w:pPr>
        <w:spacing w:after="0" w:line="161"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Additionally, the adjustment to the carrying value of redeemable non-controlling interests is reflected in income (loss) per common share.</w:t>
      </w:r>
    </w:p>
    <w:p>
      <w:pPr>
        <w:spacing w:after="0" w:line="225"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The components of basic and diluted income (loss) per share are as follows: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520" w:type="dxa"/>
            <w:vAlign w:val="bottom"/>
            <w:tcBorders>
              <w:bottom w:val="single" w:sz="8" w:color="auto"/>
            </w:tcBorders>
            <w:gridSpan w:val="7"/>
          </w:tcPr>
          <w:p>
            <w:pPr>
              <w:jc w:val="right"/>
              <w:ind w:right="490"/>
              <w:spacing w:after="0"/>
              <w:rPr>
                <w:sz w:val="20"/>
                <w:szCs w:val="20"/>
                <w:color w:val="auto"/>
              </w:rPr>
            </w:pPr>
            <w:r>
              <w:rPr>
                <w:rFonts w:ascii="Arial" w:cs="Arial" w:eastAsia="Arial" w:hAnsi="Arial"/>
                <w:sz w:val="18"/>
                <w:szCs w:val="18"/>
                <w:color w:val="auto"/>
              </w:rPr>
              <w:t>Three months ended December 31,</w:t>
            </w: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192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color w:val="auto"/>
                <w:w w:val="87"/>
              </w:rPr>
              <w:t>Year ended December 31,</w:t>
            </w:r>
          </w:p>
        </w:tc>
        <w:tc>
          <w:tcPr>
            <w:tcW w:w="1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r>
      <w:tr>
        <w:trPr>
          <w:trHeight w:val="202"/>
        </w:trPr>
        <w:tc>
          <w:tcPr>
            <w:tcW w:w="3800" w:type="dxa"/>
            <w:vAlign w:val="bottom"/>
          </w:tcPr>
          <w:p>
            <w:pPr>
              <w:spacing w:after="0" w:line="201" w:lineRule="exact"/>
              <w:rPr>
                <w:sz w:val="20"/>
                <w:szCs w:val="20"/>
                <w:color w:val="auto"/>
              </w:rPr>
            </w:pPr>
            <w:r>
              <w:rPr>
                <w:rFonts w:ascii="Arial" w:cs="Arial" w:eastAsia="Arial" w:hAnsi="Arial"/>
                <w:sz w:val="18"/>
                <w:szCs w:val="18"/>
                <w:color w:val="auto"/>
              </w:rPr>
              <w:t>(in thousands)</w:t>
            </w:r>
          </w:p>
        </w:tc>
        <w:tc>
          <w:tcPr>
            <w:tcW w:w="100" w:type="dxa"/>
            <w:vAlign w:val="bottom"/>
          </w:tcPr>
          <w:p>
            <w:pPr>
              <w:spacing w:after="0"/>
              <w:rPr>
                <w:sz w:val="17"/>
                <w:szCs w:val="17"/>
                <w:color w:val="auto"/>
              </w:rPr>
            </w:pPr>
          </w:p>
        </w:tc>
        <w:tc>
          <w:tcPr>
            <w:tcW w:w="800" w:type="dxa"/>
            <w:vAlign w:val="bottom"/>
          </w:tcPr>
          <w:p>
            <w:pPr>
              <w:jc w:val="right"/>
              <w:ind w:right="190"/>
              <w:spacing w:after="0" w:line="201" w:lineRule="exact"/>
              <w:rPr>
                <w:sz w:val="20"/>
                <w:szCs w:val="20"/>
                <w:color w:val="auto"/>
              </w:rPr>
            </w:pPr>
            <w:r>
              <w:rPr>
                <w:rFonts w:ascii="Arial" w:cs="Arial" w:eastAsia="Arial" w:hAnsi="Arial"/>
                <w:sz w:val="18"/>
                <w:szCs w:val="18"/>
                <w:color w:val="auto"/>
              </w:rPr>
              <w:t>2021</w:t>
            </w:r>
          </w:p>
        </w:tc>
        <w:tc>
          <w:tcPr>
            <w:tcW w:w="880" w:type="dxa"/>
            <w:vAlign w:val="bottom"/>
            <w:gridSpan w:val="2"/>
          </w:tcPr>
          <w:p>
            <w:pPr>
              <w:jc w:val="right"/>
              <w:ind w:right="170"/>
              <w:spacing w:after="0" w:line="201" w:lineRule="exact"/>
              <w:rPr>
                <w:sz w:val="20"/>
                <w:szCs w:val="20"/>
                <w:color w:val="auto"/>
              </w:rPr>
            </w:pPr>
            <w:r>
              <w:rPr>
                <w:rFonts w:ascii="Arial" w:cs="Arial" w:eastAsia="Arial" w:hAnsi="Arial"/>
                <w:sz w:val="18"/>
                <w:szCs w:val="18"/>
                <w:color w:val="auto"/>
              </w:rPr>
              <w:t>2020</w:t>
            </w:r>
          </w:p>
        </w:tc>
        <w:tc>
          <w:tcPr>
            <w:tcW w:w="880" w:type="dxa"/>
            <w:vAlign w:val="bottom"/>
            <w:gridSpan w:val="2"/>
          </w:tcPr>
          <w:p>
            <w:pPr>
              <w:jc w:val="right"/>
              <w:ind w:right="310"/>
              <w:spacing w:after="0" w:line="201" w:lineRule="exact"/>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50"/>
              <w:spacing w:after="0" w:line="201"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ind w:right="190"/>
              <w:spacing w:after="0" w:line="201" w:lineRule="exact"/>
              <w:rPr>
                <w:sz w:val="20"/>
                <w:szCs w:val="20"/>
                <w:color w:val="auto"/>
              </w:rPr>
            </w:pPr>
            <w:r>
              <w:rPr>
                <w:rFonts w:ascii="Arial" w:cs="Arial" w:eastAsia="Arial" w:hAnsi="Arial"/>
                <w:sz w:val="18"/>
                <w:szCs w:val="18"/>
                <w:color w:val="auto"/>
              </w:rPr>
              <w:t>2021</w:t>
            </w:r>
          </w:p>
        </w:tc>
        <w:tc>
          <w:tcPr>
            <w:tcW w:w="1000" w:type="dxa"/>
            <w:vAlign w:val="bottom"/>
            <w:gridSpan w:val="3"/>
          </w:tcPr>
          <w:p>
            <w:pPr>
              <w:jc w:val="right"/>
              <w:ind w:right="210"/>
              <w:spacing w:after="0" w:line="201" w:lineRule="exact"/>
              <w:rPr>
                <w:sz w:val="20"/>
                <w:szCs w:val="20"/>
                <w:color w:val="auto"/>
              </w:rPr>
            </w:pPr>
            <w:r>
              <w:rPr>
                <w:rFonts w:ascii="Arial" w:cs="Arial" w:eastAsia="Arial" w:hAnsi="Arial"/>
                <w:sz w:val="18"/>
                <w:szCs w:val="18"/>
                <w:color w:val="auto"/>
              </w:rPr>
              <w:t>2020</w:t>
            </w:r>
          </w:p>
        </w:tc>
        <w:tc>
          <w:tcPr>
            <w:tcW w:w="120" w:type="dxa"/>
            <w:vAlign w:val="bottom"/>
          </w:tcPr>
          <w:p>
            <w:pPr>
              <w:spacing w:after="0"/>
              <w:rPr>
                <w:sz w:val="17"/>
                <w:szCs w:val="17"/>
                <w:color w:val="auto"/>
              </w:rPr>
            </w:pPr>
          </w:p>
        </w:tc>
        <w:tc>
          <w:tcPr>
            <w:tcW w:w="800" w:type="dxa"/>
            <w:vAlign w:val="bottom"/>
          </w:tcPr>
          <w:p>
            <w:pPr>
              <w:jc w:val="right"/>
              <w:ind w:right="30"/>
              <w:spacing w:after="0" w:line="201" w:lineRule="exact"/>
              <w:rPr>
                <w:sz w:val="20"/>
                <w:szCs w:val="20"/>
                <w:color w:val="auto"/>
              </w:rPr>
            </w:pPr>
            <w:r>
              <w:rPr>
                <w:rFonts w:ascii="Arial" w:cs="Arial" w:eastAsia="Arial" w:hAnsi="Arial"/>
                <w:sz w:val="18"/>
                <w:szCs w:val="18"/>
                <w:color w:val="auto"/>
                <w:w w:val="84"/>
              </w:rPr>
              <w:t>$ Change</w:t>
            </w:r>
          </w:p>
        </w:tc>
        <w:tc>
          <w:tcPr>
            <w:tcW w:w="960" w:type="dxa"/>
            <w:vAlign w:val="bottom"/>
            <w:gridSpan w:val="2"/>
          </w:tcPr>
          <w:p>
            <w:pPr>
              <w:jc w:val="right"/>
              <w:ind w:right="350"/>
              <w:spacing w:after="0" w:line="201" w:lineRule="exact"/>
              <w:rPr>
                <w:sz w:val="20"/>
                <w:szCs w:val="20"/>
                <w:color w:val="auto"/>
              </w:rPr>
            </w:pPr>
            <w:r>
              <w:rPr>
                <w:rFonts w:ascii="Arial" w:cs="Arial" w:eastAsia="Arial" w:hAnsi="Arial"/>
                <w:sz w:val="18"/>
                <w:szCs w:val="18"/>
                <w:color w:val="auto"/>
              </w:rPr>
              <w:t>%</w:t>
            </w:r>
          </w:p>
        </w:tc>
      </w:tr>
      <w:tr>
        <w:trPr>
          <w:trHeight w:val="237"/>
        </w:trPr>
        <w:tc>
          <w:tcPr>
            <w:tcW w:w="3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1"/>
              </w:rPr>
              <w:t>Change</w:t>
            </w:r>
          </w:p>
        </w:tc>
        <w:tc>
          <w:tcPr>
            <w:tcW w:w="100" w:type="dxa"/>
            <w:vAlign w:val="bottom"/>
          </w:tcPr>
          <w:p>
            <w:pPr>
              <w:spacing w:after="0"/>
              <w:rPr>
                <w:sz w:val="20"/>
                <w:szCs w:val="20"/>
                <w:color w:val="auto"/>
              </w:rPr>
            </w:pPr>
          </w:p>
        </w:tc>
        <w:tc>
          <w:tcPr>
            <w:tcW w:w="8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5"/>
              </w:rPr>
              <w:t>Change</w:t>
            </w: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5"/>
              </w:rPr>
              <w:t>Change</w:t>
            </w:r>
          </w:p>
        </w:tc>
      </w:tr>
      <w:tr>
        <w:trPr>
          <w:trHeight w:val="216"/>
        </w:trPr>
        <w:tc>
          <w:tcPr>
            <w:tcW w:w="3800" w:type="dxa"/>
            <w:vAlign w:val="bottom"/>
          </w:tcPr>
          <w:p>
            <w:pPr>
              <w:spacing w:after="0"/>
              <w:rPr>
                <w:sz w:val="18"/>
                <w:szCs w:val="18"/>
                <w:color w:val="auto"/>
              </w:rPr>
            </w:pPr>
          </w:p>
        </w:tc>
        <w:tc>
          <w:tcPr>
            <w:tcW w:w="900" w:type="dxa"/>
            <w:vAlign w:val="bottom"/>
            <w:gridSpan w:val="2"/>
          </w:tcPr>
          <w:p>
            <w:pPr>
              <w:spacing w:after="0"/>
              <w:rPr>
                <w:sz w:val="18"/>
                <w:szCs w:val="18"/>
                <w:color w:val="auto"/>
              </w:rPr>
            </w:pPr>
          </w:p>
        </w:tc>
        <w:tc>
          <w:tcPr>
            <w:tcW w:w="880" w:type="dxa"/>
            <w:vAlign w:val="bottom"/>
            <w:gridSpan w:val="2"/>
          </w:tcPr>
          <w:p>
            <w:pPr>
              <w:spacing w:after="0"/>
              <w:rPr>
                <w:sz w:val="18"/>
                <w:szCs w:val="18"/>
                <w:color w:val="auto"/>
              </w:rPr>
            </w:pPr>
          </w:p>
        </w:tc>
        <w:tc>
          <w:tcPr>
            <w:tcW w:w="880" w:type="dxa"/>
            <w:vAlign w:val="bottom"/>
            <w:gridSpan w:val="2"/>
          </w:tcPr>
          <w:p>
            <w:pPr>
              <w:spacing w:after="0"/>
              <w:rPr>
                <w:sz w:val="18"/>
                <w:szCs w:val="18"/>
                <w:color w:val="auto"/>
              </w:rPr>
            </w:pPr>
          </w:p>
        </w:tc>
        <w:tc>
          <w:tcPr>
            <w:tcW w:w="960" w:type="dxa"/>
            <w:vAlign w:val="bottom"/>
            <w:gridSpan w:val="2"/>
          </w:tcPr>
          <w:p>
            <w:pPr>
              <w:spacing w:after="0"/>
              <w:rPr>
                <w:sz w:val="18"/>
                <w:szCs w:val="18"/>
                <w:color w:val="auto"/>
              </w:rPr>
            </w:pPr>
          </w:p>
        </w:tc>
        <w:tc>
          <w:tcPr>
            <w:tcW w:w="200" w:type="dxa"/>
            <w:vAlign w:val="bottom"/>
            <w:gridSpan w:val="2"/>
          </w:tcPr>
          <w:p>
            <w:pPr>
              <w:spacing w:after="0"/>
              <w:rPr>
                <w:sz w:val="18"/>
                <w:szCs w:val="18"/>
                <w:color w:val="auto"/>
              </w:rPr>
            </w:pPr>
          </w:p>
        </w:tc>
        <w:tc>
          <w:tcPr>
            <w:tcW w:w="740" w:type="dxa"/>
            <w:vAlign w:val="bottom"/>
          </w:tcPr>
          <w:p>
            <w:pPr>
              <w:spacing w:after="0"/>
              <w:rPr>
                <w:sz w:val="18"/>
                <w:szCs w:val="18"/>
                <w:color w:val="auto"/>
              </w:rPr>
            </w:pPr>
          </w:p>
        </w:tc>
        <w:tc>
          <w:tcPr>
            <w:tcW w:w="1000" w:type="dxa"/>
            <w:vAlign w:val="bottom"/>
            <w:gridSpan w:val="3"/>
          </w:tcPr>
          <w:p>
            <w:pPr>
              <w:spacing w:after="0"/>
              <w:rPr>
                <w:sz w:val="18"/>
                <w:szCs w:val="18"/>
                <w:color w:val="auto"/>
              </w:rPr>
            </w:pPr>
          </w:p>
        </w:tc>
        <w:tc>
          <w:tcPr>
            <w:tcW w:w="920" w:type="dxa"/>
            <w:vAlign w:val="bottom"/>
            <w:gridSpan w:val="2"/>
          </w:tcPr>
          <w:p>
            <w:pPr>
              <w:spacing w:after="0"/>
              <w:rPr>
                <w:sz w:val="18"/>
                <w:szCs w:val="18"/>
                <w:color w:val="auto"/>
              </w:rPr>
            </w:pPr>
          </w:p>
        </w:tc>
        <w:tc>
          <w:tcPr>
            <w:tcW w:w="960" w:type="dxa"/>
            <w:vAlign w:val="bottom"/>
            <w:gridSpan w:val="2"/>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loss attributable to Viad</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 (22,544)</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 (50,473)</w:t>
            </w:r>
          </w:p>
        </w:tc>
        <w:tc>
          <w:tcPr>
            <w:tcW w:w="8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$ 27,929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55.3%</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(92,655)</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 (374,094)</w:t>
            </w:r>
          </w:p>
        </w:tc>
        <w:tc>
          <w:tcPr>
            <w:tcW w:w="9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$ 281,439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75.2%</w:t>
            </w: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w w:val="94"/>
              </w:rPr>
              <w:t>Convertible preferred stock dividends paid in cash</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(1,950)</w:t>
            </w:r>
          </w:p>
        </w:tc>
        <w:tc>
          <w:tcPr>
            <w:tcW w:w="8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(1,950)</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(3,900)</w:t>
            </w:r>
          </w:p>
        </w:tc>
        <w:tc>
          <w:tcPr>
            <w:tcW w:w="100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(3,900)</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w w:val="96"/>
              </w:rPr>
              <w:t>Convertible preferred stock dividends paid in kind</w:t>
            </w:r>
          </w:p>
        </w:tc>
        <w:tc>
          <w:tcPr>
            <w:tcW w:w="9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(1,872)</w:t>
            </w:r>
          </w:p>
        </w:tc>
        <w:tc>
          <w:tcPr>
            <w:tcW w:w="8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1,872</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(3,821)</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(3,006)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(815)</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-27.1%</w:t>
            </w:r>
          </w:p>
        </w:tc>
      </w:tr>
      <w:tr>
        <w:trPr>
          <w:trHeight w:val="202"/>
        </w:trPr>
        <w:tc>
          <w:tcPr>
            <w:tcW w:w="3800" w:type="dxa"/>
            <w:vAlign w:val="bottom"/>
          </w:tcPr>
          <w:p>
            <w:pPr>
              <w:spacing w:after="0" w:line="201" w:lineRule="exact"/>
              <w:rPr>
                <w:sz w:val="20"/>
                <w:szCs w:val="20"/>
                <w:color w:val="auto"/>
              </w:rPr>
            </w:pPr>
            <w:r>
              <w:rPr>
                <w:rFonts w:ascii="Arial" w:cs="Arial" w:eastAsia="Arial" w:hAnsi="Arial"/>
                <w:sz w:val="18"/>
                <w:szCs w:val="18"/>
                <w:color w:val="auto"/>
                <w:w w:val="93"/>
              </w:rPr>
              <w:t>Adjustment to the redemption value of redeemable</w:t>
            </w: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0"/>
        </w:trPr>
        <w:tc>
          <w:tcPr>
            <w:tcW w:w="380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(706)</w:t>
            </w:r>
          </w:p>
        </w:tc>
        <w:tc>
          <w:tcPr>
            <w:tcW w:w="8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(706)</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(1,797)</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(926)</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(871)</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-94.1%</w:t>
            </w:r>
          </w:p>
        </w:tc>
      </w:tr>
      <w:tr>
        <w:trPr>
          <w:trHeight w:val="216"/>
        </w:trPr>
        <w:tc>
          <w:tcPr>
            <w:tcW w:w="380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6"/>
              </w:rPr>
              <w:t>Undistributed income (loss) attributable to Viad</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(25,200)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(52,345)</w:t>
            </w:r>
          </w:p>
        </w:tc>
        <w:tc>
          <w:tcPr>
            <w:tcW w:w="8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27,145</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(102,173)</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(378,026)</w:t>
            </w:r>
          </w:p>
        </w:tc>
        <w:tc>
          <w:tcPr>
            <w:tcW w:w="9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275,853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73.0%</w:t>
            </w:r>
          </w:p>
        </w:tc>
      </w:tr>
      <w:tr>
        <w:trPr>
          <w:trHeight w:val="223"/>
        </w:trPr>
        <w:tc>
          <w:tcPr>
            <w:tcW w:w="3800" w:type="dxa"/>
            <w:vAlign w:val="bottom"/>
          </w:tcPr>
          <w:p>
            <w:pPr>
              <w:spacing w:after="0"/>
              <w:rPr>
                <w:sz w:val="20"/>
                <w:szCs w:val="20"/>
                <w:color w:val="auto"/>
              </w:rPr>
            </w:pPr>
            <w:r>
              <w:rPr>
                <w:rFonts w:ascii="Arial" w:cs="Arial" w:eastAsia="Arial" w:hAnsi="Arial"/>
                <w:sz w:val="18"/>
                <w:szCs w:val="18"/>
                <w:color w:val="auto"/>
              </w:rPr>
              <w:t>Less: Allocation to participating securities</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r>
      <w:tr>
        <w:trPr>
          <w:trHeight w:val="198"/>
        </w:trPr>
        <w:tc>
          <w:tcPr>
            <w:tcW w:w="380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w w:val="90"/>
              </w:rPr>
              <w:t>Net loss allocated to Viad common shareholders</w:t>
            </w:r>
          </w:p>
        </w:tc>
        <w:tc>
          <w:tcPr>
            <w:tcW w:w="100" w:type="dxa"/>
            <w:vAlign w:val="bottom"/>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r>
      <w:tr>
        <w:trPr>
          <w:trHeight w:val="275"/>
        </w:trPr>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(basic)</w:t>
            </w: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7"/>
              </w:rPr>
              <w:t>$ (25,200)</w:t>
            </w: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7"/>
              </w:rPr>
              <w:t>$ (52,345)</w:t>
            </w:r>
          </w:p>
        </w:tc>
        <w:tc>
          <w:tcPr>
            <w:tcW w:w="8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$ 27,145</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51.9%</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0"/>
              </w:rPr>
              <w:t>(102,173)</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 xml:space="preserve"> (378,026)</w:t>
            </w:r>
          </w:p>
        </w:tc>
        <w:tc>
          <w:tcPr>
            <w:tcW w:w="9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$ 275,853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73.0%</w:t>
            </w:r>
          </w:p>
        </w:tc>
      </w:tr>
      <w:tr>
        <w:trPr>
          <w:trHeight w:val="216"/>
        </w:trPr>
        <w:tc>
          <w:tcPr>
            <w:tcW w:w="380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Add: Allocation to participating securities</w:t>
            </w:r>
          </w:p>
        </w:tc>
        <w:tc>
          <w:tcPr>
            <w:tcW w:w="100" w:type="dxa"/>
            <w:vAlign w:val="bottom"/>
            <w:tcBorders>
              <w:top w:val="single" w:sz="8" w:color="CCEEFF"/>
            </w:tcBorders>
          </w:tcPr>
          <w:p>
            <w:pPr>
              <w:spacing w:after="0"/>
              <w:rPr>
                <w:sz w:val="18"/>
                <w:szCs w:val="18"/>
                <w:color w:val="auto"/>
              </w:rPr>
            </w:pPr>
          </w:p>
        </w:tc>
        <w:tc>
          <w:tcPr>
            <w:tcW w:w="8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7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tcPr>
          <w:p>
            <w:pPr>
              <w:spacing w:after="0"/>
              <w:rPr>
                <w:sz w:val="18"/>
                <w:szCs w:val="18"/>
                <w:color w:val="auto"/>
              </w:rPr>
            </w:pPr>
          </w:p>
        </w:tc>
        <w:tc>
          <w:tcPr>
            <w:tcW w:w="7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tcPr>
          <w:p>
            <w:pPr>
              <w:spacing w:after="0"/>
              <w:rPr>
                <w:sz w:val="18"/>
                <w:szCs w:val="18"/>
                <w:color w:val="auto"/>
              </w:rPr>
            </w:pPr>
          </w:p>
        </w:tc>
        <w:tc>
          <w:tcPr>
            <w:tcW w:w="8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r>
      <w:tr>
        <w:trPr>
          <w:trHeight w:val="198"/>
        </w:trPr>
        <w:tc>
          <w:tcPr>
            <w:tcW w:w="380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w w:val="90"/>
              </w:rPr>
              <w:t>Net loss allocated to Viad common shareholders</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75"/>
        </w:trPr>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(diluted)</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 (25,200)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 (52,345)</w:t>
            </w:r>
          </w:p>
        </w:tc>
        <w:tc>
          <w:tcPr>
            <w:tcW w:w="8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$ 27,145</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51.9%</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0"/>
              </w:rPr>
              <w:t>(102,173)</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 xml:space="preserve"> (378,026)</w:t>
            </w:r>
          </w:p>
        </w:tc>
        <w:tc>
          <w:tcPr>
            <w:tcW w:w="9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$ 275,853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73.0%</w:t>
            </w:r>
          </w:p>
        </w:tc>
      </w:tr>
      <w:tr>
        <w:trPr>
          <w:trHeight w:val="210"/>
        </w:trPr>
        <w:tc>
          <w:tcPr>
            <w:tcW w:w="38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r>
      <w:tr>
        <w:trPr>
          <w:trHeight w:val="198"/>
        </w:trPr>
        <w:tc>
          <w:tcPr>
            <w:tcW w:w="380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w w:val="96"/>
              </w:rPr>
              <w:t>Basic weighted-average outstanding common</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34"/>
        </w:trPr>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shares</w:t>
            </w:r>
          </w:p>
        </w:tc>
        <w:tc>
          <w:tcPr>
            <w:tcW w:w="9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20,456</w:t>
            </w:r>
          </w:p>
        </w:tc>
        <w:tc>
          <w:tcPr>
            <w:tcW w:w="8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20,325</w:t>
            </w:r>
          </w:p>
        </w:tc>
        <w:tc>
          <w:tcPr>
            <w:tcW w:w="8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131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0.6%</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20,411</w:t>
            </w:r>
          </w:p>
        </w:tc>
        <w:tc>
          <w:tcPr>
            <w:tcW w:w="100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20,279</w:t>
            </w:r>
          </w:p>
        </w:tc>
        <w:tc>
          <w:tcPr>
            <w:tcW w:w="9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132</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r>
      <w:tr>
        <w:trPr>
          <w:trHeight w:val="202"/>
        </w:trPr>
        <w:tc>
          <w:tcPr>
            <w:tcW w:w="3800" w:type="dxa"/>
            <w:vAlign w:val="bottom"/>
          </w:tcPr>
          <w:p>
            <w:pPr>
              <w:spacing w:after="0" w:line="201" w:lineRule="exact"/>
              <w:rPr>
                <w:sz w:val="20"/>
                <w:szCs w:val="20"/>
                <w:color w:val="auto"/>
              </w:rPr>
            </w:pPr>
            <w:r>
              <w:rPr>
                <w:rFonts w:ascii="Arial" w:cs="Arial" w:eastAsia="Arial" w:hAnsi="Arial"/>
                <w:sz w:val="18"/>
                <w:szCs w:val="18"/>
                <w:color w:val="auto"/>
                <w:w w:val="98"/>
              </w:rPr>
              <w:t>Additional dilutive shares related to share-based</w:t>
            </w: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7"/>
        </w:trPr>
        <w:tc>
          <w:tcPr>
            <w:tcW w:w="3800" w:type="dxa"/>
            <w:vAlign w:val="bottom"/>
          </w:tcPr>
          <w:p>
            <w:pPr>
              <w:spacing w:after="0"/>
              <w:rPr>
                <w:sz w:val="20"/>
                <w:szCs w:val="20"/>
                <w:color w:val="auto"/>
              </w:rPr>
            </w:pPr>
            <w:r>
              <w:rPr>
                <w:rFonts w:ascii="Arial" w:cs="Arial" w:eastAsia="Arial" w:hAnsi="Arial"/>
                <w:sz w:val="18"/>
                <w:szCs w:val="18"/>
                <w:color w:val="auto"/>
              </w:rPr>
              <w:t>compensation</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r>
      <w:tr>
        <w:trPr>
          <w:trHeight w:val="198"/>
        </w:trPr>
        <w:tc>
          <w:tcPr>
            <w:tcW w:w="380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w w:val="93"/>
              </w:rPr>
              <w:t>Diluted weighted-average outstanding common</w:t>
            </w:r>
          </w:p>
        </w:tc>
        <w:tc>
          <w:tcPr>
            <w:tcW w:w="100" w:type="dxa"/>
            <w:vAlign w:val="bottom"/>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r>
      <w:tr>
        <w:trPr>
          <w:trHeight w:val="275"/>
        </w:trPr>
        <w:tc>
          <w:tcPr>
            <w:tcW w:w="3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shares</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20,456</w:t>
            </w:r>
          </w:p>
        </w:tc>
        <w:tc>
          <w:tcPr>
            <w:tcW w:w="1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20,325</w:t>
            </w:r>
          </w:p>
        </w:tc>
        <w:tc>
          <w:tcPr>
            <w:tcW w:w="1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131</w:t>
            </w:r>
          </w:p>
        </w:tc>
        <w:tc>
          <w:tcPr>
            <w:tcW w:w="1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0.6%</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20,411</w:t>
            </w:r>
          </w:p>
        </w:tc>
        <w:tc>
          <w:tcPr>
            <w:tcW w:w="4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20,279</w:t>
            </w:r>
          </w:p>
        </w:tc>
        <w:tc>
          <w:tcPr>
            <w:tcW w:w="1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132</w:t>
            </w:r>
          </w:p>
        </w:tc>
        <w:tc>
          <w:tcPr>
            <w:tcW w:w="1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0.7%</w:t>
            </w:r>
          </w:p>
        </w:tc>
      </w:tr>
    </w:tbl>
    <w:p>
      <w:pPr>
        <w:spacing w:after="0" w:line="200" w:lineRule="exact"/>
        <w:rPr>
          <w:sz w:val="20"/>
          <w:szCs w:val="20"/>
          <w:color w:val="auto"/>
        </w:rPr>
      </w:pPr>
    </w:p>
    <w:p>
      <w:pPr>
        <w:spacing w:after="0" w:line="245" w:lineRule="exact"/>
        <w:rPr>
          <w:sz w:val="20"/>
          <w:szCs w:val="20"/>
          <w:color w:val="auto"/>
        </w:rPr>
      </w:pPr>
    </w:p>
    <w:p>
      <w:pPr>
        <w:ind w:left="500" w:hanging="492"/>
        <w:spacing w:after="0" w:line="311" w:lineRule="auto"/>
        <w:tabs>
          <w:tab w:leader="none" w:pos="500" w:val="left"/>
        </w:tabs>
        <w:numPr>
          <w:ilvl w:val="0"/>
          <w:numId w:val="7"/>
        </w:numPr>
        <w:rPr>
          <w:rFonts w:ascii="Arial" w:cs="Arial" w:eastAsia="Arial" w:hAnsi="Arial"/>
          <w:sz w:val="16"/>
          <w:szCs w:val="16"/>
          <w:color w:val="auto"/>
        </w:rPr>
      </w:pPr>
      <w:r>
        <w:rPr>
          <w:rFonts w:ascii="Arial" w:cs="Arial" w:eastAsia="Arial" w:hAnsi="Arial"/>
          <w:sz w:val="16"/>
          <w:szCs w:val="16"/>
          <w:color w:val="auto"/>
        </w:rPr>
        <w:t>Convertible Series A Preferred Stock — On August 5, 2020, we entered into an Investment Agreement with funds managed by private equity firm Crestview Partners, relating to the issuance of 135,000 shares of newly issued Convertible Series A Preferred Stock, par value $0.01 per share, for an aggregate purchase price of $135 million or $1,000 per share. The Convertible Series A Preferred Stock carries a 5.5% cumulative quarterly</w:t>
      </w:r>
    </w:p>
    <w:p>
      <w:pPr>
        <w:sectPr>
          <w:pgSz w:w="11900" w:h="16890" w:orient="portrait"/>
          <w:cols w:equalWidth="0" w:num="1">
            <w:col w:w="11240"/>
          </w:cols>
          <w:pgMar w:left="320" w:top="355" w:right="339" w:bottom="0" w:gutter="0" w:footer="0" w:header="0"/>
        </w:sectPr>
      </w:pPr>
    </w:p>
    <w:bookmarkStart w:id="11" w:name="page12"/>
    <w:bookmarkEnd w:id="11"/>
    <w:p>
      <w:pPr>
        <w:ind w:left="500" w:right="60"/>
        <w:spacing w:after="0" w:line="259" w:lineRule="auto"/>
        <w:rPr>
          <w:sz w:val="20"/>
          <w:szCs w:val="20"/>
          <w:color w:val="auto"/>
        </w:rPr>
      </w:pPr>
      <w:r>
        <w:rPr>
          <w:rFonts w:ascii="Arial" w:cs="Arial" w:eastAsia="Arial" w:hAnsi="Arial"/>
          <w:sz w:val="18"/>
          <w:szCs w:val="18"/>
          <w:color w:val="auto"/>
        </w:rPr>
        <w:t>dividend, which is payable in cash or in-kind at Viad’s option and is convertible into shares of our common stock at a conversion price of $21.25 per share. During the twelve months ended December 30, 2021, $7.7 million of dividends were deemed declared of which $3.8 million was paid in-kind during the first and second quarters of 2021 and $3.9 million was paid in cash during the third and fourth quarters of 2021. We intend to pay preferred stock dividends in cash for the foreseeable future.</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700" w:type="dxa"/>
            <w:vAlign w:val="bottom"/>
            <w:gridSpan w:val="6"/>
          </w:tcPr>
          <w:p>
            <w:pPr>
              <w:spacing w:after="0"/>
              <w:rPr>
                <w:sz w:val="20"/>
                <w:szCs w:val="20"/>
                <w:color w:val="auto"/>
              </w:rPr>
            </w:pPr>
            <w:r>
              <w:rPr>
                <w:rFonts w:ascii="Arial" w:cs="Arial" w:eastAsia="Arial" w:hAnsi="Arial"/>
                <w:sz w:val="18"/>
                <w:szCs w:val="18"/>
                <w:color w:val="auto"/>
                <w:w w:val="97"/>
              </w:rPr>
              <w:t>The following table provides a summary of changes in Convertible Series A Preferred Stock shares outstanding:</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r>
      <w:tr>
        <w:trPr>
          <w:trHeight w:val="216"/>
        </w:trPr>
        <w:tc>
          <w:tcPr>
            <w:tcW w:w="4740" w:type="dxa"/>
            <w:vAlign w:val="bottom"/>
          </w:tcPr>
          <w:p>
            <w:pPr>
              <w:spacing w:after="0"/>
              <w:rPr>
                <w:sz w:val="18"/>
                <w:szCs w:val="18"/>
                <w:color w:val="auto"/>
              </w:rPr>
            </w:pPr>
          </w:p>
        </w:tc>
        <w:tc>
          <w:tcPr>
            <w:tcW w:w="3960" w:type="dxa"/>
            <w:vAlign w:val="bottom"/>
            <w:gridSpan w:val="5"/>
          </w:tcPr>
          <w:p>
            <w:pPr>
              <w:jc w:val="center"/>
              <w:ind w:right="1440"/>
              <w:spacing w:after="0"/>
              <w:rPr>
                <w:sz w:val="20"/>
                <w:szCs w:val="20"/>
                <w:color w:val="auto"/>
              </w:rPr>
            </w:pPr>
            <w:r>
              <w:rPr>
                <w:rFonts w:ascii="Arial" w:cs="Arial" w:eastAsia="Arial" w:hAnsi="Arial"/>
                <w:sz w:val="18"/>
                <w:szCs w:val="18"/>
                <w:color w:val="auto"/>
                <w:w w:val="89"/>
              </w:rPr>
              <w:t>Three months ended</w:t>
            </w:r>
          </w:p>
        </w:tc>
        <w:tc>
          <w:tcPr>
            <w:tcW w:w="1660" w:type="dxa"/>
            <w:vAlign w:val="bottom"/>
            <w:gridSpan w:val="3"/>
          </w:tcPr>
          <w:p>
            <w:pPr>
              <w:ind w:left="820"/>
              <w:spacing w:after="0"/>
              <w:rPr>
                <w:sz w:val="20"/>
                <w:szCs w:val="20"/>
                <w:color w:val="auto"/>
              </w:rPr>
            </w:pPr>
            <w:r>
              <w:rPr>
                <w:rFonts w:ascii="Arial" w:cs="Arial" w:eastAsia="Arial" w:hAnsi="Arial"/>
                <w:sz w:val="18"/>
                <w:szCs w:val="18"/>
                <w:color w:val="auto"/>
                <w:w w:val="88"/>
              </w:rPr>
              <w:t>Year ended</w:t>
            </w:r>
          </w:p>
        </w:tc>
        <w:tc>
          <w:tcPr>
            <w:tcW w:w="880" w:type="dxa"/>
            <w:vAlign w:val="bottom"/>
          </w:tcPr>
          <w:p>
            <w:pPr>
              <w:spacing w:after="0"/>
              <w:rPr>
                <w:sz w:val="18"/>
                <w:szCs w:val="18"/>
                <w:color w:val="auto"/>
              </w:rPr>
            </w:pPr>
          </w:p>
        </w:tc>
      </w:tr>
      <w:tr>
        <w:trPr>
          <w:trHeight w:val="237"/>
        </w:trPr>
        <w:tc>
          <w:tcPr>
            <w:tcW w:w="4740" w:type="dxa"/>
            <w:vAlign w:val="bottom"/>
          </w:tcPr>
          <w:p>
            <w:pPr>
              <w:spacing w:after="0"/>
              <w:rPr>
                <w:sz w:val="20"/>
                <w:szCs w:val="20"/>
                <w:color w:val="auto"/>
              </w:rPr>
            </w:pPr>
            <w:r>
              <w:rPr>
                <w:rFonts w:ascii="Arial" w:cs="Arial" w:eastAsia="Arial" w:hAnsi="Arial"/>
                <w:sz w:val="18"/>
                <w:szCs w:val="18"/>
                <w:color w:val="auto"/>
              </w:rPr>
              <w:t>(in thousands)</w:t>
            </w:r>
          </w:p>
        </w:tc>
        <w:tc>
          <w:tcPr>
            <w:tcW w:w="1760" w:type="dxa"/>
            <w:vAlign w:val="bottom"/>
            <w:tcBorders>
              <w:bottom w:val="single" w:sz="8" w:color="auto"/>
            </w:tcBorders>
            <w:gridSpan w:val="3"/>
          </w:tcPr>
          <w:p>
            <w:pPr>
              <w:jc w:val="center"/>
              <w:ind w:left="670"/>
              <w:spacing w:after="0"/>
              <w:rPr>
                <w:sz w:val="20"/>
                <w:szCs w:val="20"/>
                <w:color w:val="auto"/>
              </w:rPr>
            </w:pPr>
            <w:r>
              <w:rPr>
                <w:rFonts w:ascii="Arial" w:cs="Arial" w:eastAsia="Arial" w:hAnsi="Arial"/>
                <w:sz w:val="18"/>
                <w:szCs w:val="18"/>
                <w:color w:val="auto"/>
                <w:w w:val="88"/>
              </w:rPr>
              <w:t>December 31,</w:t>
            </w:r>
          </w:p>
        </w:tc>
        <w:tc>
          <w:tcPr>
            <w:tcW w:w="860" w:type="dxa"/>
            <w:vAlign w:val="bottom"/>
            <w:tcBorders>
              <w:bottom w:val="single" w:sz="8" w:color="auto"/>
            </w:tcBorders>
          </w:tcPr>
          <w:p>
            <w:pPr>
              <w:spacing w:after="0"/>
              <w:rPr>
                <w:sz w:val="20"/>
                <w:szCs w:val="20"/>
                <w:color w:val="auto"/>
              </w:rPr>
            </w:pPr>
          </w:p>
        </w:tc>
        <w:tc>
          <w:tcPr>
            <w:tcW w:w="1340" w:type="dxa"/>
            <w:vAlign w:val="bottom"/>
          </w:tcPr>
          <w:p>
            <w:pPr>
              <w:spacing w:after="0"/>
              <w:rPr>
                <w:sz w:val="20"/>
                <w:szCs w:val="20"/>
                <w:color w:val="auto"/>
              </w:rPr>
            </w:pPr>
          </w:p>
        </w:tc>
        <w:tc>
          <w:tcPr>
            <w:tcW w:w="2540" w:type="dxa"/>
            <w:vAlign w:val="bottom"/>
            <w:tcBorders>
              <w:bottom w:val="single" w:sz="8" w:color="auto"/>
            </w:tcBorders>
            <w:gridSpan w:val="4"/>
          </w:tcPr>
          <w:p>
            <w:pPr>
              <w:jc w:val="right"/>
              <w:ind w:right="730"/>
              <w:spacing w:after="0"/>
              <w:rPr>
                <w:sz w:val="20"/>
                <w:szCs w:val="20"/>
                <w:color w:val="auto"/>
              </w:rPr>
            </w:pPr>
            <w:r>
              <w:rPr>
                <w:rFonts w:ascii="Arial" w:cs="Arial" w:eastAsia="Arial" w:hAnsi="Arial"/>
                <w:sz w:val="18"/>
                <w:szCs w:val="18"/>
                <w:color w:val="auto"/>
              </w:rPr>
              <w:t>December 31,</w:t>
            </w:r>
          </w:p>
        </w:tc>
      </w:tr>
      <w:tr>
        <w:trPr>
          <w:trHeight w:val="202"/>
        </w:trPr>
        <w:tc>
          <w:tcPr>
            <w:tcW w:w="4740" w:type="dxa"/>
            <w:vAlign w:val="bottom"/>
          </w:tcPr>
          <w:p>
            <w:pPr>
              <w:spacing w:after="0" w:line="201" w:lineRule="exact"/>
              <w:rPr>
                <w:sz w:val="20"/>
                <w:szCs w:val="20"/>
                <w:color w:val="auto"/>
              </w:rPr>
            </w:pPr>
            <w:r>
              <w:rPr>
                <w:rFonts w:ascii="Arial" w:cs="Arial" w:eastAsia="Arial" w:hAnsi="Arial"/>
                <w:sz w:val="18"/>
                <w:szCs w:val="18"/>
                <w:color w:val="auto"/>
              </w:rPr>
              <w:t>Convertible Series A Preferred Stock shares issued and</w:t>
            </w:r>
          </w:p>
        </w:tc>
        <w:tc>
          <w:tcPr>
            <w:tcW w:w="1260" w:type="dxa"/>
            <w:vAlign w:val="bottom"/>
          </w:tcPr>
          <w:p>
            <w:pPr>
              <w:jc w:val="right"/>
              <w:ind w:right="410"/>
              <w:spacing w:after="0" w:line="201" w:lineRule="exact"/>
              <w:rPr>
                <w:sz w:val="20"/>
                <w:szCs w:val="20"/>
                <w:color w:val="auto"/>
              </w:rPr>
            </w:pPr>
            <w:r>
              <w:rPr>
                <w:rFonts w:ascii="Arial" w:cs="Arial" w:eastAsia="Arial" w:hAnsi="Arial"/>
                <w:sz w:val="18"/>
                <w:szCs w:val="18"/>
                <w:color w:val="auto"/>
              </w:rPr>
              <w:t>2021</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tcPr>
          <w:p>
            <w:pPr>
              <w:jc w:val="right"/>
              <w:ind w:right="390"/>
              <w:spacing w:after="0" w:line="201" w:lineRule="exact"/>
              <w:rPr>
                <w:sz w:val="20"/>
                <w:szCs w:val="20"/>
                <w:color w:val="auto"/>
              </w:rPr>
            </w:pPr>
            <w:r>
              <w:rPr>
                <w:rFonts w:ascii="Arial" w:cs="Arial" w:eastAsia="Arial" w:hAnsi="Arial"/>
                <w:sz w:val="18"/>
                <w:szCs w:val="18"/>
                <w:color w:val="auto"/>
                <w:w w:val="89"/>
              </w:rPr>
              <w:t>2020</w:t>
            </w:r>
          </w:p>
        </w:tc>
        <w:tc>
          <w:tcPr>
            <w:tcW w:w="1340" w:type="dxa"/>
            <w:vAlign w:val="bottom"/>
          </w:tcPr>
          <w:p>
            <w:pPr>
              <w:spacing w:after="0"/>
              <w:rPr>
                <w:sz w:val="17"/>
                <w:szCs w:val="17"/>
                <w:color w:val="auto"/>
              </w:rPr>
            </w:pPr>
          </w:p>
        </w:tc>
        <w:tc>
          <w:tcPr>
            <w:tcW w:w="1220" w:type="dxa"/>
            <w:vAlign w:val="bottom"/>
          </w:tcPr>
          <w:p>
            <w:pPr>
              <w:jc w:val="right"/>
              <w:ind w:right="390"/>
              <w:spacing w:after="0" w:line="201" w:lineRule="exact"/>
              <w:rPr>
                <w:sz w:val="20"/>
                <w:szCs w:val="20"/>
                <w:color w:val="auto"/>
              </w:rPr>
            </w:pPr>
            <w:r>
              <w:rPr>
                <w:rFonts w:ascii="Arial" w:cs="Arial" w:eastAsia="Arial" w:hAnsi="Arial"/>
                <w:sz w:val="18"/>
                <w:szCs w:val="18"/>
                <w:color w:val="auto"/>
              </w:rPr>
              <w:t>2021</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80" w:type="dxa"/>
            <w:vAlign w:val="bottom"/>
          </w:tcPr>
          <w:p>
            <w:pPr>
              <w:jc w:val="right"/>
              <w:ind w:right="390"/>
              <w:spacing w:after="0" w:line="201" w:lineRule="exact"/>
              <w:rPr>
                <w:sz w:val="20"/>
                <w:szCs w:val="20"/>
                <w:color w:val="auto"/>
              </w:rPr>
            </w:pPr>
            <w:r>
              <w:rPr>
                <w:rFonts w:ascii="Arial" w:cs="Arial" w:eastAsia="Arial" w:hAnsi="Arial"/>
                <w:sz w:val="18"/>
                <w:szCs w:val="18"/>
                <w:color w:val="auto"/>
                <w:w w:val="94"/>
              </w:rPr>
              <w:t>2020</w:t>
            </w:r>
          </w:p>
        </w:tc>
      </w:tr>
      <w:tr>
        <w:trPr>
          <w:trHeight w:val="237"/>
        </w:trPr>
        <w:tc>
          <w:tcPr>
            <w:tcW w:w="4740" w:type="dxa"/>
            <w:vAlign w:val="bottom"/>
          </w:tcPr>
          <w:p>
            <w:pPr>
              <w:spacing w:after="0"/>
              <w:rPr>
                <w:sz w:val="20"/>
                <w:szCs w:val="20"/>
                <w:color w:val="auto"/>
              </w:rPr>
            </w:pPr>
            <w:r>
              <w:rPr>
                <w:rFonts w:ascii="Arial" w:cs="Arial" w:eastAsia="Arial" w:hAnsi="Arial"/>
                <w:sz w:val="18"/>
                <w:szCs w:val="18"/>
                <w:color w:val="auto"/>
              </w:rPr>
              <w:t>outstanding:</w:t>
            </w:r>
          </w:p>
        </w:tc>
        <w:tc>
          <w:tcPr>
            <w:tcW w:w="12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340" w:type="dxa"/>
            <w:vAlign w:val="bottom"/>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Beginning of the period</w:t>
            </w:r>
          </w:p>
        </w:tc>
        <w:tc>
          <w:tcPr>
            <w:tcW w:w="1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141,827</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136,134</w:t>
            </w:r>
          </w:p>
        </w:tc>
        <w:tc>
          <w:tcPr>
            <w:tcW w:w="134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138,006</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New shares issued</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340" w:type="dxa"/>
            <w:vAlign w:val="bottom"/>
          </w:tcPr>
          <w:p>
            <w:pPr>
              <w:spacing w:after="0"/>
              <w:rPr>
                <w:sz w:val="18"/>
                <w:szCs w:val="18"/>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135,000</w:t>
            </w:r>
          </w:p>
        </w:tc>
      </w:tr>
      <w:tr>
        <w:trPr>
          <w:trHeight w:val="223"/>
        </w:trPr>
        <w:tc>
          <w:tcPr>
            <w:tcW w:w="4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Dividends paid in kind</w:t>
            </w:r>
          </w:p>
        </w:tc>
        <w:tc>
          <w:tcPr>
            <w:tcW w:w="12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1,872</w:t>
            </w:r>
          </w:p>
        </w:tc>
        <w:tc>
          <w:tcPr>
            <w:tcW w:w="1340" w:type="dxa"/>
            <w:vAlign w:val="bottom"/>
            <w:tcBorders>
              <w:bottom w:val="single" w:sz="8" w:color="CCEEFF"/>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3,821</w:t>
            </w: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3,006</w:t>
            </w: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End of the period</w:t>
            </w:r>
          </w:p>
        </w:tc>
        <w:tc>
          <w:tcPr>
            <w:tcW w:w="12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141,827</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138,006</w:t>
            </w:r>
          </w:p>
        </w:tc>
        <w:tc>
          <w:tcPr>
            <w:tcW w:w="1340" w:type="dxa"/>
            <w:vAlign w:val="bottom"/>
          </w:tcPr>
          <w:p>
            <w:pPr>
              <w:spacing w:after="0"/>
              <w:rPr>
                <w:sz w:val="18"/>
                <w:szCs w:val="18"/>
                <w:color w:val="auto"/>
              </w:rPr>
            </w:pPr>
          </w:p>
        </w:tc>
        <w:tc>
          <w:tcPr>
            <w:tcW w:w="1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141,827</w:t>
            </w:r>
          </w:p>
        </w:tc>
        <w:tc>
          <w:tcPr>
            <w:tcW w:w="10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138,006</w:t>
            </w:r>
          </w:p>
        </w:tc>
      </w:tr>
      <w:tr>
        <w:trPr>
          <w:trHeight w:val="20"/>
        </w:trPr>
        <w:tc>
          <w:tcPr>
            <w:tcW w:w="474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09"/>
        </w:trPr>
        <w:tc>
          <w:tcPr>
            <w:tcW w:w="4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r>
    </w:tbl>
    <w:p>
      <w:pPr>
        <w:spacing w:after="0"/>
        <w:rPr>
          <w:sz w:val="20"/>
          <w:szCs w:val="20"/>
          <w:color w:val="auto"/>
        </w:rPr>
      </w:pPr>
      <w:r>
        <w:rPr>
          <w:rFonts w:ascii="Arial" w:cs="Arial" w:eastAsia="Arial" w:hAnsi="Arial"/>
          <w:sz w:val="18"/>
          <w:szCs w:val="18"/>
          <w:color w:val="auto"/>
        </w:rPr>
        <w:t>**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TWO - 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IMPORTANT DISCLOSURES REGARDING NON-GAAP FINANCIAL MEASURES</w:t>
      </w:r>
    </w:p>
    <w:p>
      <w:pPr>
        <w:spacing w:after="0" w:line="229"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This document includes the presentation of "Income (Loss) Before Other Items", "Adjusted EBITDA", "Segment Operating Income (Loss)", and "Adjusted Segment Operating Income (Loss)", which are supplemental to results presented under accounting principles generally accepted in the United States of America (“GAAP”) and may not be comparable to similarly titled measures presented by other companies. These non-GAAP measures are utilized by management to facilitate period-to-period comparisons and analysis of Viad’s operating performance and should be considered in addition to, but not as substitutes for, other similar measures reported in accordance with GAAP. The use of these non-GAAP financial measures is limited, compared to the GAAP measure of net income attributable to Viad, because they do not consider a variety of items affecting Viad’s consolidated financial performance as reconciled below. Because these non-GAAP measures do not consider all items affecting Viad’s consolidated financial performance, a user of Viad’s financial information should consider net income attributable to Viad as an important measure of financial performance because it provides a more complete measure of the Company’s performance.</w:t>
      </w:r>
    </w:p>
    <w:p>
      <w:pPr>
        <w:spacing w:after="0" w:line="181"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Income (Loss) Before Other Items, Segment Operating Income (Loss), and Adjusted Segment Operating Income (Loss) are considered useful operating metrics, in addition to net income attributable to Viad, as potential variations arising from non-operational expenses/income are eliminated, thus resulting in additional measures considered to be indicative of Viad’s performance. Management believes that the presentation of Adjusted EBITDA provides useful information to investors regarding Viad’s results of operations for trending, analyzing and benchmarking the performance and value of Viad’s business. Management also believes that the presentation of Adjusted EBITDA for acquisitions and other major capital projects enables investors to assess how effectively management is investing capital into major corporate development projects, both from a valuation and return perspective.</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500" w:type="dxa"/>
            <w:vAlign w:val="bottom"/>
            <w:tcBorders>
              <w:bottom w:val="single" w:sz="8" w:color="auto"/>
            </w:tcBorders>
            <w:gridSpan w:val="7"/>
          </w:tcPr>
          <w:p>
            <w:pPr>
              <w:jc w:val="right"/>
              <w:ind w:right="490"/>
              <w:spacing w:after="0"/>
              <w:rPr>
                <w:sz w:val="20"/>
                <w:szCs w:val="20"/>
                <w:color w:val="auto"/>
              </w:rPr>
            </w:pPr>
            <w:r>
              <w:rPr>
                <w:rFonts w:ascii="Arial" w:cs="Arial" w:eastAsia="Arial" w:hAnsi="Arial"/>
                <w:sz w:val="18"/>
                <w:szCs w:val="18"/>
                <w:color w:val="auto"/>
              </w:rPr>
              <w:t>Three months ended December 31,</w:t>
            </w:r>
          </w:p>
        </w:tc>
        <w:tc>
          <w:tcPr>
            <w:tcW w:w="120" w:type="dxa"/>
            <w:vAlign w:val="bottom"/>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94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color w:val="auto"/>
                <w:w w:val="89"/>
              </w:rPr>
              <w:t>Year ended December 31,</w:t>
            </w:r>
          </w:p>
        </w:tc>
        <w:tc>
          <w:tcPr>
            <w:tcW w:w="1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r>
      <w:tr>
        <w:trPr>
          <w:trHeight w:val="202"/>
        </w:trPr>
        <w:tc>
          <w:tcPr>
            <w:tcW w:w="3800" w:type="dxa"/>
            <w:vAlign w:val="bottom"/>
          </w:tcPr>
          <w:p>
            <w:pPr>
              <w:spacing w:after="0" w:line="201" w:lineRule="exact"/>
              <w:rPr>
                <w:sz w:val="20"/>
                <w:szCs w:val="20"/>
                <w:color w:val="auto"/>
              </w:rPr>
            </w:pPr>
            <w:r>
              <w:rPr>
                <w:rFonts w:ascii="Arial" w:cs="Arial" w:eastAsia="Arial" w:hAnsi="Arial"/>
                <w:sz w:val="18"/>
                <w:szCs w:val="18"/>
                <w:color w:val="auto"/>
              </w:rPr>
              <w:t>(in thousands, except per share data)</w:t>
            </w:r>
          </w:p>
        </w:tc>
        <w:tc>
          <w:tcPr>
            <w:tcW w:w="140" w:type="dxa"/>
            <w:vAlign w:val="bottom"/>
          </w:tcPr>
          <w:p>
            <w:pPr>
              <w:spacing w:after="0"/>
              <w:rPr>
                <w:sz w:val="17"/>
                <w:szCs w:val="17"/>
                <w:color w:val="auto"/>
              </w:rPr>
            </w:pPr>
          </w:p>
        </w:tc>
        <w:tc>
          <w:tcPr>
            <w:tcW w:w="780" w:type="dxa"/>
            <w:vAlign w:val="bottom"/>
          </w:tcPr>
          <w:p>
            <w:pPr>
              <w:jc w:val="right"/>
              <w:ind w:right="170"/>
              <w:spacing w:after="0" w:line="201" w:lineRule="exact"/>
              <w:rPr>
                <w:sz w:val="20"/>
                <w:szCs w:val="20"/>
                <w:color w:val="auto"/>
              </w:rPr>
            </w:pPr>
            <w:r>
              <w:rPr>
                <w:rFonts w:ascii="Arial" w:cs="Arial" w:eastAsia="Arial" w:hAnsi="Arial"/>
                <w:sz w:val="18"/>
                <w:szCs w:val="18"/>
                <w:color w:val="auto"/>
              </w:rPr>
              <w:t>2021</w:t>
            </w:r>
          </w:p>
        </w:tc>
        <w:tc>
          <w:tcPr>
            <w:tcW w:w="900" w:type="dxa"/>
            <w:vAlign w:val="bottom"/>
            <w:gridSpan w:val="2"/>
          </w:tcPr>
          <w:p>
            <w:pPr>
              <w:jc w:val="right"/>
              <w:ind w:right="190"/>
              <w:spacing w:after="0" w:line="201" w:lineRule="exact"/>
              <w:rPr>
                <w:sz w:val="20"/>
                <w:szCs w:val="20"/>
                <w:color w:val="auto"/>
              </w:rPr>
            </w:pPr>
            <w:r>
              <w:rPr>
                <w:rFonts w:ascii="Arial" w:cs="Arial" w:eastAsia="Arial" w:hAnsi="Arial"/>
                <w:sz w:val="18"/>
                <w:szCs w:val="18"/>
                <w:color w:val="auto"/>
              </w:rPr>
              <w:t>2020</w:t>
            </w:r>
          </w:p>
        </w:tc>
        <w:tc>
          <w:tcPr>
            <w:tcW w:w="860" w:type="dxa"/>
            <w:vAlign w:val="bottom"/>
            <w:gridSpan w:val="2"/>
          </w:tcPr>
          <w:p>
            <w:pPr>
              <w:jc w:val="right"/>
              <w:ind w:right="290"/>
              <w:spacing w:after="0" w:line="201" w:lineRule="exact"/>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50"/>
              <w:spacing w:after="0" w:line="201" w:lineRule="exact"/>
              <w:rPr>
                <w:sz w:val="20"/>
                <w:szCs w:val="20"/>
                <w:color w:val="auto"/>
              </w:rPr>
            </w:pPr>
            <w:r>
              <w:rPr>
                <w:rFonts w:ascii="Arial" w:cs="Arial" w:eastAsia="Arial" w:hAnsi="Arial"/>
                <w:sz w:val="18"/>
                <w:szCs w:val="18"/>
                <w:color w:val="auto"/>
              </w:rPr>
              <w:t>%</w:t>
            </w:r>
          </w:p>
        </w:tc>
        <w:tc>
          <w:tcPr>
            <w:tcW w:w="120" w:type="dxa"/>
            <w:vAlign w:val="bottom"/>
          </w:tcPr>
          <w:p>
            <w:pPr>
              <w:spacing w:after="0"/>
              <w:rPr>
                <w:sz w:val="17"/>
                <w:szCs w:val="17"/>
                <w:color w:val="auto"/>
              </w:rPr>
            </w:pPr>
          </w:p>
        </w:tc>
        <w:tc>
          <w:tcPr>
            <w:tcW w:w="780" w:type="dxa"/>
            <w:vAlign w:val="bottom"/>
          </w:tcPr>
          <w:p>
            <w:pPr>
              <w:jc w:val="right"/>
              <w:ind w:right="170"/>
              <w:spacing w:after="0" w:line="201" w:lineRule="exact"/>
              <w:rPr>
                <w:sz w:val="20"/>
                <w:szCs w:val="20"/>
                <w:color w:val="auto"/>
              </w:rPr>
            </w:pPr>
            <w:r>
              <w:rPr>
                <w:rFonts w:ascii="Arial" w:cs="Arial" w:eastAsia="Arial" w:hAnsi="Arial"/>
                <w:sz w:val="18"/>
                <w:szCs w:val="18"/>
                <w:color w:val="auto"/>
              </w:rPr>
              <w:t>2021</w:t>
            </w:r>
          </w:p>
        </w:tc>
        <w:tc>
          <w:tcPr>
            <w:tcW w:w="960" w:type="dxa"/>
            <w:vAlign w:val="bottom"/>
            <w:gridSpan w:val="2"/>
          </w:tcPr>
          <w:p>
            <w:pPr>
              <w:jc w:val="right"/>
              <w:ind w:right="210"/>
              <w:spacing w:after="0" w:line="201" w:lineRule="exact"/>
              <w:rPr>
                <w:sz w:val="20"/>
                <w:szCs w:val="20"/>
                <w:color w:val="auto"/>
              </w:rPr>
            </w:pPr>
            <w:r>
              <w:rPr>
                <w:rFonts w:ascii="Arial" w:cs="Arial" w:eastAsia="Arial" w:hAnsi="Arial"/>
                <w:sz w:val="18"/>
                <w:szCs w:val="18"/>
                <w:color w:val="auto"/>
              </w:rPr>
              <w:t>2020</w:t>
            </w:r>
          </w:p>
        </w:tc>
        <w:tc>
          <w:tcPr>
            <w:tcW w:w="26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w:t>
            </w:r>
          </w:p>
        </w:tc>
        <w:tc>
          <w:tcPr>
            <w:tcW w:w="720" w:type="dxa"/>
            <w:vAlign w:val="bottom"/>
          </w:tcPr>
          <w:p>
            <w:pPr>
              <w:jc w:val="right"/>
              <w:ind w:right="50"/>
              <w:spacing w:after="0" w:line="201" w:lineRule="exact"/>
              <w:rPr>
                <w:sz w:val="20"/>
                <w:szCs w:val="20"/>
                <w:color w:val="auto"/>
              </w:rPr>
            </w:pPr>
            <w:r>
              <w:rPr>
                <w:rFonts w:ascii="Arial" w:cs="Arial" w:eastAsia="Arial" w:hAnsi="Arial"/>
                <w:sz w:val="18"/>
                <w:szCs w:val="18"/>
                <w:color w:val="auto"/>
                <w:w w:val="88"/>
              </w:rPr>
              <w:t>Change</w:t>
            </w:r>
          </w:p>
        </w:tc>
        <w:tc>
          <w:tcPr>
            <w:tcW w:w="960" w:type="dxa"/>
            <w:vAlign w:val="bottom"/>
            <w:gridSpan w:val="2"/>
          </w:tcPr>
          <w:p>
            <w:pPr>
              <w:jc w:val="right"/>
              <w:ind w:right="350"/>
              <w:spacing w:after="0" w:line="201" w:lineRule="exact"/>
              <w:rPr>
                <w:sz w:val="20"/>
                <w:szCs w:val="20"/>
                <w:color w:val="auto"/>
              </w:rPr>
            </w:pPr>
            <w:r>
              <w:rPr>
                <w:rFonts w:ascii="Arial" w:cs="Arial" w:eastAsia="Arial" w:hAnsi="Arial"/>
                <w:sz w:val="18"/>
                <w:szCs w:val="18"/>
                <w:color w:val="auto"/>
              </w:rPr>
              <w:t>%</w:t>
            </w:r>
          </w:p>
        </w:tc>
      </w:tr>
      <w:tr>
        <w:trPr>
          <w:trHeight w:val="237"/>
        </w:trPr>
        <w:tc>
          <w:tcPr>
            <w:tcW w:w="3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1"/>
              </w:rPr>
              <w:t>Change</w:t>
            </w:r>
          </w:p>
        </w:tc>
        <w:tc>
          <w:tcPr>
            <w:tcW w:w="120" w:type="dxa"/>
            <w:vAlign w:val="bottom"/>
          </w:tcPr>
          <w:p>
            <w:pPr>
              <w:spacing w:after="0"/>
              <w:rPr>
                <w:sz w:val="20"/>
                <w:szCs w:val="20"/>
                <w:color w:val="auto"/>
              </w:rPr>
            </w:pPr>
          </w:p>
        </w:tc>
        <w:tc>
          <w:tcPr>
            <w:tcW w:w="8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1"/>
              </w:rPr>
              <w:t>Change</w:t>
            </w:r>
          </w:p>
        </w:tc>
        <w:tc>
          <w:tcPr>
            <w:tcW w:w="120" w:type="dxa"/>
            <w:vAlign w:val="bottom"/>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5"/>
              </w:rPr>
              <w:t>Change</w:t>
            </w:r>
          </w:p>
        </w:tc>
      </w:tr>
      <w:tr>
        <w:trPr>
          <w:trHeight w:val="216"/>
        </w:trPr>
        <w:tc>
          <w:tcPr>
            <w:tcW w:w="3800" w:type="dxa"/>
            <w:vAlign w:val="bottom"/>
          </w:tcPr>
          <w:p>
            <w:pPr>
              <w:spacing w:after="0"/>
              <w:rPr>
                <w:sz w:val="20"/>
                <w:szCs w:val="20"/>
                <w:color w:val="auto"/>
              </w:rPr>
            </w:pPr>
            <w:r>
              <w:rPr>
                <w:rFonts w:ascii="Arial" w:cs="Arial" w:eastAsia="Arial" w:hAnsi="Arial"/>
                <w:sz w:val="18"/>
                <w:szCs w:val="18"/>
                <w:b w:val="1"/>
                <w:bCs w:val="1"/>
                <w:color w:val="auto"/>
              </w:rPr>
              <w:t>Loss before other items:</w:t>
            </w: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Net loss attributable to Viad</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(22,544)</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 (50,473)</w:t>
            </w:r>
          </w:p>
        </w:tc>
        <w:tc>
          <w:tcPr>
            <w:tcW w:w="8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$ 27,929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55.3%</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 (92,655)</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 (374,094)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2"/>
              </w:rPr>
              <w:t>281,439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75.2%</w:t>
            </w:r>
          </w:p>
        </w:tc>
      </w:tr>
      <w:tr>
        <w:trPr>
          <w:trHeight w:val="202"/>
        </w:trPr>
        <w:tc>
          <w:tcPr>
            <w:tcW w:w="3800" w:type="dxa"/>
            <w:vAlign w:val="bottom"/>
          </w:tcPr>
          <w:p>
            <w:pPr>
              <w:ind w:left="120"/>
              <w:spacing w:after="0" w:line="201" w:lineRule="exact"/>
              <w:rPr>
                <w:sz w:val="20"/>
                <w:szCs w:val="20"/>
                <w:color w:val="auto"/>
              </w:rPr>
            </w:pPr>
            <w:r>
              <w:rPr>
                <w:rFonts w:ascii="Arial" w:cs="Arial" w:eastAsia="Arial" w:hAnsi="Arial"/>
                <w:sz w:val="18"/>
                <w:szCs w:val="18"/>
                <w:color w:val="auto"/>
              </w:rPr>
              <w:t>(Income) loss from discontinued operations</w:t>
            </w: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7"/>
        </w:trPr>
        <w:tc>
          <w:tcPr>
            <w:tcW w:w="3800" w:type="dxa"/>
            <w:vAlign w:val="bottom"/>
          </w:tcPr>
          <w:p>
            <w:pPr>
              <w:ind w:left="120"/>
              <w:spacing w:after="0"/>
              <w:rPr>
                <w:sz w:val="20"/>
                <w:szCs w:val="20"/>
                <w:color w:val="auto"/>
              </w:rPr>
            </w:pPr>
            <w:r>
              <w:rPr>
                <w:rFonts w:ascii="Arial" w:cs="Arial" w:eastAsia="Arial" w:hAnsi="Arial"/>
                <w:sz w:val="18"/>
                <w:szCs w:val="18"/>
                <w:color w:val="auto"/>
              </w:rPr>
              <w:t>attributable to Viad</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(24)</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25</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(49)</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(558)</w:t>
            </w:r>
          </w:p>
        </w:tc>
        <w:tc>
          <w:tcPr>
            <w:tcW w:w="960" w:type="dxa"/>
            <w:vAlign w:val="bottom"/>
            <w:gridSpan w:val="2"/>
          </w:tcPr>
          <w:p>
            <w:pPr>
              <w:jc w:val="right"/>
              <w:ind w:right="10"/>
              <w:spacing w:after="0"/>
              <w:rPr>
                <w:sz w:val="20"/>
                <w:szCs w:val="20"/>
                <w:color w:val="auto"/>
              </w:rPr>
            </w:pPr>
            <w:r>
              <w:rPr>
                <w:rFonts w:ascii="Arial" w:cs="Arial" w:eastAsia="Arial" w:hAnsi="Arial"/>
                <w:sz w:val="18"/>
                <w:szCs w:val="18"/>
                <w:color w:val="auto"/>
              </w:rPr>
              <w:t>1,847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(2,405)</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r>
      <w:tr>
        <w:trPr>
          <w:trHeight w:val="202"/>
        </w:trPr>
        <w:tc>
          <w:tcPr>
            <w:tcW w:w="380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w w:val="99"/>
              </w:rPr>
              <w:t>Loss from continuing operations attributable to</w:t>
            </w:r>
          </w:p>
        </w:tc>
        <w:tc>
          <w:tcPr>
            <w:tcW w:w="14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r>
      <w:tr>
        <w:trPr>
          <w:trHeight w:val="230"/>
        </w:trPr>
        <w:tc>
          <w:tcPr>
            <w:tcW w:w="38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Viad</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(22,568)</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(50,448)</w:t>
            </w:r>
          </w:p>
        </w:tc>
        <w:tc>
          <w:tcPr>
            <w:tcW w:w="8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27,880</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55.3%</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(93,213)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(372,247)</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2"/>
              </w:rPr>
              <w:t>279,034</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75.0%</w:t>
            </w:r>
          </w:p>
        </w:tc>
      </w:tr>
      <w:tr>
        <w:trPr>
          <w:trHeight w:val="216"/>
        </w:trPr>
        <w:tc>
          <w:tcPr>
            <w:tcW w:w="3800" w:type="dxa"/>
            <w:vAlign w:val="bottom"/>
          </w:tcPr>
          <w:p>
            <w:pPr>
              <w:ind w:left="120"/>
              <w:spacing w:after="0"/>
              <w:rPr>
                <w:sz w:val="20"/>
                <w:szCs w:val="20"/>
                <w:color w:val="auto"/>
              </w:rPr>
            </w:pPr>
            <w:r>
              <w:rPr>
                <w:rFonts w:ascii="Arial" w:cs="Arial" w:eastAsia="Arial" w:hAnsi="Arial"/>
                <w:sz w:val="18"/>
                <w:szCs w:val="18"/>
                <w:color w:val="auto"/>
              </w:rPr>
              <w:t>Restructuring charges, pre-tax</w:t>
            </w:r>
          </w:p>
        </w:tc>
        <w:tc>
          <w:tcPr>
            <w:tcW w:w="920" w:type="dxa"/>
            <w:vAlign w:val="bottom"/>
            <w:gridSpan w:val="2"/>
          </w:tcPr>
          <w:p>
            <w:pPr>
              <w:jc w:val="right"/>
              <w:ind w:right="10"/>
              <w:spacing w:after="0"/>
              <w:rPr>
                <w:sz w:val="20"/>
                <w:szCs w:val="20"/>
                <w:color w:val="auto"/>
              </w:rPr>
            </w:pPr>
            <w:r>
              <w:rPr>
                <w:rFonts w:ascii="Arial" w:cs="Arial" w:eastAsia="Arial" w:hAnsi="Arial"/>
                <w:sz w:val="18"/>
                <w:szCs w:val="18"/>
                <w:color w:val="auto"/>
              </w:rPr>
              <w:t>267</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1,070</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(803)</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-75.0%</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6,066</w:t>
            </w:r>
          </w:p>
        </w:tc>
        <w:tc>
          <w:tcPr>
            <w:tcW w:w="960" w:type="dxa"/>
            <w:vAlign w:val="bottom"/>
            <w:gridSpan w:val="2"/>
          </w:tcPr>
          <w:p>
            <w:pPr>
              <w:jc w:val="right"/>
              <w:ind w:right="10"/>
              <w:spacing w:after="0"/>
              <w:rPr>
                <w:sz w:val="20"/>
                <w:szCs w:val="20"/>
                <w:color w:val="auto"/>
              </w:rPr>
            </w:pPr>
            <w:r>
              <w:rPr>
                <w:rFonts w:ascii="Arial" w:cs="Arial" w:eastAsia="Arial" w:hAnsi="Arial"/>
                <w:sz w:val="18"/>
                <w:szCs w:val="18"/>
                <w:color w:val="auto"/>
              </w:rPr>
              <w:t>13,440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(7,374)</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-54.9%</w:t>
            </w:r>
          </w:p>
        </w:tc>
      </w:tr>
      <w:tr>
        <w:trPr>
          <w:trHeight w:val="216"/>
        </w:trPr>
        <w:tc>
          <w:tcPr>
            <w:tcW w:w="38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Impairment charges, pre-tax</w:t>
            </w:r>
          </w:p>
        </w:tc>
        <w:tc>
          <w:tcPr>
            <w:tcW w:w="9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203,076</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(203,076)</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16"/>
        </w:trPr>
        <w:tc>
          <w:tcPr>
            <w:tcW w:w="3800" w:type="dxa"/>
            <w:vAlign w:val="bottom"/>
          </w:tcPr>
          <w:p>
            <w:pPr>
              <w:ind w:left="120"/>
              <w:spacing w:after="0"/>
              <w:rPr>
                <w:sz w:val="20"/>
                <w:szCs w:val="20"/>
                <w:color w:val="auto"/>
              </w:rPr>
            </w:pPr>
            <w:r>
              <w:rPr>
                <w:rFonts w:ascii="Arial" w:cs="Arial" w:eastAsia="Arial" w:hAnsi="Arial"/>
                <w:sz w:val="18"/>
                <w:szCs w:val="18"/>
                <w:color w:val="auto"/>
              </w:rPr>
              <w:t>Pension plan withdrawal, pre-tax</w:t>
            </w:r>
          </w:p>
        </w:tc>
        <w:tc>
          <w:tcPr>
            <w:tcW w:w="9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57</w:t>
            </w:r>
          </w:p>
        </w:tc>
        <w:tc>
          <w:tcPr>
            <w:tcW w:w="960" w:type="dxa"/>
            <w:vAlign w:val="bottom"/>
            <w:gridSpan w:val="2"/>
          </w:tcPr>
          <w:p>
            <w:pPr>
              <w:jc w:val="right"/>
              <w:ind w:right="10"/>
              <w:spacing w:after="0"/>
              <w:rPr>
                <w:sz w:val="20"/>
                <w:szCs w:val="20"/>
                <w:color w:val="auto"/>
              </w:rPr>
            </w:pPr>
            <w:r>
              <w:rPr>
                <w:rFonts w:ascii="Arial" w:cs="Arial" w:eastAsia="Arial" w:hAnsi="Arial"/>
                <w:sz w:val="18"/>
                <w:szCs w:val="18"/>
                <w:color w:val="auto"/>
              </w:rPr>
              <w:t>462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(405)</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-87.7%</w:t>
            </w:r>
          </w:p>
        </w:tc>
      </w:tr>
      <w:tr>
        <w:trPr>
          <w:trHeight w:val="216"/>
        </w:trPr>
        <w:tc>
          <w:tcPr>
            <w:tcW w:w="380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6"/>
              </w:rPr>
              <w:t>Restructuring related inventory write-off, pre-tax</w:t>
            </w:r>
          </w:p>
        </w:tc>
        <w:tc>
          <w:tcPr>
            <w:tcW w:w="9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5,300</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(5,300)</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9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5,300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(5,300)</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02"/>
        </w:trPr>
        <w:tc>
          <w:tcPr>
            <w:tcW w:w="3800" w:type="dxa"/>
            <w:vAlign w:val="bottom"/>
          </w:tcPr>
          <w:p>
            <w:pPr>
              <w:ind w:left="120"/>
              <w:spacing w:after="0" w:line="201" w:lineRule="exact"/>
              <w:rPr>
                <w:sz w:val="20"/>
                <w:szCs w:val="20"/>
                <w:color w:val="auto"/>
              </w:rPr>
            </w:pPr>
            <w:r>
              <w:rPr>
                <w:rFonts w:ascii="Arial" w:cs="Arial" w:eastAsia="Arial" w:hAnsi="Arial"/>
                <w:sz w:val="18"/>
                <w:szCs w:val="18"/>
                <w:color w:val="auto"/>
                <w:w w:val="94"/>
              </w:rPr>
              <w:t>Acquisition-related costs and other non-recurring</w:t>
            </w: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0"/>
        </w:trPr>
        <w:tc>
          <w:tcPr>
            <w:tcW w:w="3800" w:type="dxa"/>
            <w:vAlign w:val="bottom"/>
          </w:tcPr>
          <w:p>
            <w:pPr>
              <w:ind w:left="120"/>
              <w:spacing w:after="0"/>
              <w:rPr>
                <w:sz w:val="20"/>
                <w:szCs w:val="20"/>
                <w:color w:val="auto"/>
              </w:rPr>
            </w:pPr>
            <w:r>
              <w:rPr>
                <w:rFonts w:ascii="Arial" w:cs="Arial" w:eastAsia="Arial" w:hAnsi="Arial"/>
                <w:sz w:val="18"/>
                <w:szCs w:val="18"/>
                <w:color w:val="auto"/>
              </w:rPr>
              <w:t>expenses, pre-tax (Note A)</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(113)</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1,398</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(1,511)</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6,211</w:t>
            </w:r>
          </w:p>
        </w:tc>
        <w:tc>
          <w:tcPr>
            <w:tcW w:w="960" w:type="dxa"/>
            <w:vAlign w:val="bottom"/>
            <w:gridSpan w:val="2"/>
          </w:tcPr>
          <w:p>
            <w:pPr>
              <w:jc w:val="right"/>
              <w:ind w:right="10"/>
              <w:spacing w:after="0"/>
              <w:rPr>
                <w:sz w:val="20"/>
                <w:szCs w:val="20"/>
                <w:color w:val="auto"/>
              </w:rPr>
            </w:pPr>
            <w:r>
              <w:rPr>
                <w:rFonts w:ascii="Arial" w:cs="Arial" w:eastAsia="Arial" w:hAnsi="Arial"/>
                <w:sz w:val="18"/>
                <w:szCs w:val="18"/>
                <w:color w:val="auto"/>
              </w:rPr>
              <w:t>6,188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23</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0.4%</w:t>
            </w:r>
          </w:p>
        </w:tc>
      </w:tr>
      <w:tr>
        <w:trPr>
          <w:trHeight w:val="216"/>
        </w:trPr>
        <w:tc>
          <w:tcPr>
            <w:tcW w:w="38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Tax benefit on above items</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8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91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67.9%</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(723)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w:t>
            </w:r>
          </w:p>
        </w:tc>
        <w:tc>
          <w:tcPr>
            <w:tcW w:w="96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23"/>
        </w:trPr>
        <w:tc>
          <w:tcPr>
            <w:tcW w:w="3800" w:type="dxa"/>
            <w:vAlign w:val="bottom"/>
          </w:tcPr>
          <w:p>
            <w:pPr>
              <w:ind w:left="120"/>
              <w:spacing w:after="0"/>
              <w:rPr>
                <w:sz w:val="20"/>
                <w:szCs w:val="20"/>
                <w:color w:val="auto"/>
              </w:rPr>
            </w:pPr>
            <w:r>
              <w:rPr>
                <w:rFonts w:ascii="Arial" w:cs="Arial" w:eastAsia="Arial" w:hAnsi="Arial"/>
                <w:sz w:val="18"/>
                <w:szCs w:val="18"/>
                <w:color w:val="auto"/>
              </w:rPr>
              <w:t>Unfavorable tax matters</w:t>
            </w:r>
          </w:p>
        </w:tc>
        <w:tc>
          <w:tcPr>
            <w:tcW w:w="9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
              <w:spacing w:after="0"/>
              <w:rPr>
                <w:sz w:val="20"/>
                <w:szCs w:val="20"/>
                <w:color w:val="auto"/>
              </w:rPr>
            </w:pPr>
            <w:r>
              <w:rPr>
                <w:rFonts w:ascii="Arial" w:cs="Arial" w:eastAsia="Arial" w:hAnsi="Arial"/>
                <w:sz w:val="18"/>
                <w:szCs w:val="18"/>
                <w:color w:val="auto"/>
              </w:rPr>
              <w:t>25,500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98"/>
              </w:rPr>
              <w:t>(25,500)</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-100.0%</w:t>
            </w:r>
          </w:p>
        </w:tc>
      </w:tr>
      <w:tr>
        <w:trPr>
          <w:trHeight w:val="257"/>
        </w:trPr>
        <w:tc>
          <w:tcPr>
            <w:tcW w:w="38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b w:val="1"/>
                <w:bCs w:val="1"/>
                <w:color w:val="auto"/>
              </w:rPr>
              <w:t>Loss before other items</w:t>
            </w:r>
          </w:p>
        </w:tc>
        <w:tc>
          <w:tcPr>
            <w:tcW w:w="1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7"/>
              </w:rPr>
              <w:t>$ (22,457)</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7"/>
              </w:rPr>
              <w:t>$ (42,814)</w:t>
            </w:r>
          </w:p>
        </w:tc>
        <w:tc>
          <w:tcPr>
            <w:tcW w:w="10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1"/>
              </w:rPr>
              <w:t>$ 20,357</w:t>
            </w:r>
          </w:p>
        </w:tc>
        <w:tc>
          <w:tcPr>
            <w:tcW w:w="12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47.5%</w:t>
            </w:r>
          </w:p>
        </w:tc>
        <w:tc>
          <w:tcPr>
            <w:tcW w:w="1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5"/>
              </w:rPr>
              <w:t>$ (81,602)</w:t>
            </w:r>
          </w:p>
        </w:tc>
        <w:tc>
          <w:tcPr>
            <w:tcW w:w="1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6"/>
              </w:rPr>
              <w:t>$ (118,537)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7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36,935</w:t>
            </w:r>
          </w:p>
        </w:tc>
        <w:tc>
          <w:tcPr>
            <w:tcW w:w="1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31.2%</w:t>
            </w:r>
          </w:p>
        </w:tc>
      </w:tr>
      <w:tr>
        <w:trPr>
          <w:trHeight w:val="210"/>
        </w:trPr>
        <w:tc>
          <w:tcPr>
            <w:tcW w:w="3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bl>
    <w:p>
      <w:pPr>
        <w:spacing w:after="0"/>
        <w:rPr>
          <w:sz w:val="20"/>
          <w:szCs w:val="20"/>
          <w:color w:val="auto"/>
        </w:rPr>
      </w:pPr>
      <w:r>
        <w:rPr>
          <w:rFonts w:ascii="Arial" w:cs="Arial" w:eastAsia="Arial" w:hAnsi="Arial"/>
          <w:sz w:val="18"/>
          <w:szCs w:val="18"/>
          <w:color w:val="auto"/>
        </w:rPr>
        <w:t>The components of income (loss) before other items per share are as follows:</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16"/>
        </w:trPr>
        <w:tc>
          <w:tcPr>
            <w:tcW w:w="3940" w:type="dxa"/>
            <w:vAlign w:val="bottom"/>
          </w:tcPr>
          <w:p>
            <w:pPr>
              <w:ind w:left="120"/>
              <w:spacing w:after="0"/>
              <w:rPr>
                <w:sz w:val="20"/>
                <w:szCs w:val="20"/>
                <w:color w:val="auto"/>
              </w:rPr>
            </w:pPr>
            <w:r>
              <w:rPr>
                <w:rFonts w:ascii="Arial" w:cs="Arial" w:eastAsia="Arial" w:hAnsi="Arial"/>
                <w:sz w:val="18"/>
                <w:szCs w:val="18"/>
                <w:color w:val="auto"/>
              </w:rPr>
              <w:t>Loss before other items (as reconciled above)</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2"/>
              </w:rPr>
              <w:t>(22,457)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(42,814)</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w w:val="98"/>
              </w:rPr>
              <w:t>20,357</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47.5%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(81,602)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0"/>
              </w:rPr>
              <w:t>(118,537)</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36,935</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31.2%</w:t>
            </w:r>
          </w:p>
        </w:tc>
      </w:tr>
      <w:tr>
        <w:trPr>
          <w:trHeight w:val="216"/>
        </w:trPr>
        <w:tc>
          <w:tcPr>
            <w:tcW w:w="394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5"/>
              </w:rPr>
              <w:t>Convertible preferred stock dividends paid in cash</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(1,950)</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(3,900)</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r>
      <w:tr>
        <w:trPr>
          <w:trHeight w:val="223"/>
        </w:trPr>
        <w:tc>
          <w:tcPr>
            <w:tcW w:w="3940" w:type="dxa"/>
            <w:vAlign w:val="bottom"/>
          </w:tcPr>
          <w:p>
            <w:pPr>
              <w:ind w:left="120"/>
              <w:spacing w:after="0"/>
              <w:rPr>
                <w:sz w:val="20"/>
                <w:szCs w:val="20"/>
                <w:color w:val="auto"/>
              </w:rPr>
            </w:pPr>
            <w:r>
              <w:rPr>
                <w:rFonts w:ascii="Arial" w:cs="Arial" w:eastAsia="Arial" w:hAnsi="Arial"/>
                <w:sz w:val="18"/>
                <w:szCs w:val="18"/>
                <w:color w:val="auto"/>
                <w:w w:val="96"/>
              </w:rPr>
              <w:t>Convertible preferred stock dividends paid in kind</w:t>
            </w:r>
          </w:p>
        </w:tc>
        <w:tc>
          <w:tcPr>
            <w:tcW w:w="100" w:type="dxa"/>
            <w:vAlign w:val="bottom"/>
          </w:tcPr>
          <w:p>
            <w:pPr>
              <w:spacing w:after="0"/>
              <w:rPr>
                <w:sz w:val="19"/>
                <w:szCs w:val="19"/>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(1,872)</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1,872</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(3,821)</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(3,006)</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(815)</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-27.1%</w:t>
            </w:r>
          </w:p>
        </w:tc>
      </w:tr>
      <w:tr>
        <w:trPr>
          <w:trHeight w:val="202"/>
        </w:trPr>
        <w:tc>
          <w:tcPr>
            <w:tcW w:w="394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w w:val="98"/>
              </w:rPr>
              <w:t>Undistributed loss before other items attributable</w:t>
            </w:r>
          </w:p>
        </w:tc>
        <w:tc>
          <w:tcPr>
            <w:tcW w:w="10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r>
      <w:tr>
        <w:trPr>
          <w:trHeight w:val="230"/>
        </w:trPr>
        <w:tc>
          <w:tcPr>
            <w:tcW w:w="39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to Viad (Note B)</w:t>
            </w:r>
          </w:p>
        </w:tc>
        <w:tc>
          <w:tcPr>
            <w:tcW w:w="10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(24,407)</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(44,686)</w:t>
            </w: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8"/>
              </w:rPr>
              <w:t>20,279</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45.4%</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(89,323)</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(121,543)</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32,220</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w:t>
            </w:r>
          </w:p>
        </w:tc>
      </w:tr>
      <w:tr>
        <w:trPr>
          <w:trHeight w:val="202"/>
        </w:trPr>
        <w:tc>
          <w:tcPr>
            <w:tcW w:w="3940" w:type="dxa"/>
            <w:vAlign w:val="bottom"/>
          </w:tcPr>
          <w:p>
            <w:pPr>
              <w:ind w:left="120"/>
              <w:spacing w:after="0" w:line="201" w:lineRule="exact"/>
              <w:rPr>
                <w:sz w:val="20"/>
                <w:szCs w:val="20"/>
                <w:color w:val="auto"/>
              </w:rPr>
            </w:pPr>
            <w:r>
              <w:rPr>
                <w:rFonts w:ascii="Arial" w:cs="Arial" w:eastAsia="Arial" w:hAnsi="Arial"/>
                <w:sz w:val="18"/>
                <w:szCs w:val="18"/>
                <w:color w:val="auto"/>
              </w:rPr>
              <w:t>Less: Allocation to participating securities (Note</w:t>
            </w: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7"/>
        </w:trPr>
        <w:tc>
          <w:tcPr>
            <w:tcW w:w="3940" w:type="dxa"/>
            <w:vAlign w:val="bottom"/>
          </w:tcPr>
          <w:p>
            <w:pPr>
              <w:ind w:left="120"/>
              <w:spacing w:after="0"/>
              <w:rPr>
                <w:sz w:val="20"/>
                <w:szCs w:val="20"/>
                <w:color w:val="auto"/>
              </w:rPr>
            </w:pPr>
            <w:r>
              <w:rPr>
                <w:rFonts w:ascii="Arial" w:cs="Arial" w:eastAsia="Arial" w:hAnsi="Arial"/>
                <w:sz w:val="18"/>
                <w:szCs w:val="18"/>
                <w:color w:val="auto"/>
              </w:rPr>
              <w:t>C)</w:t>
            </w:r>
          </w:p>
        </w:tc>
        <w:tc>
          <w:tcPr>
            <w:tcW w:w="100" w:type="dxa"/>
            <w:vAlign w:val="bottom"/>
          </w:tcPr>
          <w:p>
            <w:pPr>
              <w:spacing w:after="0"/>
              <w:rPr>
                <w:sz w:val="20"/>
                <w:szCs w:val="20"/>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r>
      <w:tr>
        <w:trPr>
          <w:trHeight w:val="202"/>
        </w:trPr>
        <w:tc>
          <w:tcPr>
            <w:tcW w:w="394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w w:val="99"/>
              </w:rPr>
              <w:t>Diluted loss before other items allocated to Viad</w:t>
            </w:r>
          </w:p>
        </w:tc>
        <w:tc>
          <w:tcPr>
            <w:tcW w:w="10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r>
      <w:tr>
        <w:trPr>
          <w:trHeight w:val="271"/>
        </w:trPr>
        <w:tc>
          <w:tcPr>
            <w:tcW w:w="39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common shareholders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(24,407)</w:t>
            </w:r>
          </w:p>
        </w:tc>
        <w:tc>
          <w:tcPr>
            <w:tcW w:w="2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(44,686)</w:t>
            </w:r>
          </w:p>
        </w:tc>
        <w:tc>
          <w:tcPr>
            <w:tcW w:w="40" w:type="dxa"/>
            <w:vAlign w:val="bottom"/>
            <w:shd w:val="clear" w:color="auto" w:fill="CCEEFF"/>
          </w:tcPr>
          <w:p>
            <w:pPr>
              <w:spacing w:after="0"/>
              <w:rPr>
                <w:sz w:val="23"/>
                <w:szCs w:val="23"/>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8"/>
              </w:rPr>
              <w:t>20,279</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45.4%</w:t>
            </w:r>
          </w:p>
        </w:tc>
        <w:tc>
          <w:tcPr>
            <w:tcW w:w="9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9"/>
              </w:rPr>
              <w:t>$ (89,323)</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(121,543)</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32,220</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w:t>
            </w:r>
          </w:p>
        </w:tc>
      </w:tr>
      <w:tr>
        <w:trPr>
          <w:trHeight w:val="209"/>
        </w:trPr>
        <w:tc>
          <w:tcPr>
            <w:tcW w:w="394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4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r>
      <w:tr>
        <w:trPr>
          <w:trHeight w:val="202"/>
        </w:trPr>
        <w:tc>
          <w:tcPr>
            <w:tcW w:w="3940" w:type="dxa"/>
            <w:vAlign w:val="bottom"/>
            <w:shd w:val="clear" w:color="auto" w:fill="CCEEFF"/>
          </w:tcPr>
          <w:p>
            <w:pPr>
              <w:ind w:left="120"/>
              <w:spacing w:after="0" w:line="201" w:lineRule="exact"/>
              <w:rPr>
                <w:sz w:val="20"/>
                <w:szCs w:val="20"/>
                <w:color w:val="auto"/>
              </w:rPr>
            </w:pPr>
            <w:r>
              <w:rPr>
                <w:rFonts w:ascii="Arial" w:cs="Arial" w:eastAsia="Arial" w:hAnsi="Arial"/>
                <w:sz w:val="18"/>
                <w:szCs w:val="18"/>
                <w:color w:val="auto"/>
              </w:rPr>
              <w:t>Diluted weighted-average outstanding common</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30"/>
        </w:trPr>
        <w:tc>
          <w:tcPr>
            <w:tcW w:w="39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shares</w:t>
            </w:r>
          </w:p>
        </w:tc>
        <w:tc>
          <w:tcPr>
            <w:tcW w:w="100" w:type="dxa"/>
            <w:vAlign w:val="bottom"/>
            <w:shd w:val="clear" w:color="auto" w:fill="CCEEFF"/>
          </w:tcPr>
          <w:p>
            <w:pPr>
              <w:spacing w:after="0"/>
              <w:rPr>
                <w:sz w:val="20"/>
                <w:szCs w:val="20"/>
                <w:color w:val="auto"/>
              </w:rPr>
            </w:pPr>
          </w:p>
        </w:tc>
        <w:tc>
          <w:tcPr>
            <w:tcW w:w="6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20,456</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8"/>
              </w:rPr>
              <w:t>20,325</w:t>
            </w: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131</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0.6%</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8"/>
              </w:rPr>
              <w:t>20,411</w:t>
            </w: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20,279</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132</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0.7%</w:t>
            </w:r>
          </w:p>
        </w:tc>
      </w:tr>
      <w:tr>
        <w:trPr>
          <w:trHeight w:val="216"/>
        </w:trPr>
        <w:tc>
          <w:tcPr>
            <w:tcW w:w="3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gridSpan w:val="2"/>
          </w:tcPr>
          <w:p>
            <w:pPr>
              <w:spacing w:after="0"/>
              <w:rPr>
                <w:sz w:val="18"/>
                <w:szCs w:val="18"/>
                <w:color w:val="auto"/>
              </w:rPr>
            </w:pPr>
          </w:p>
        </w:tc>
        <w:tc>
          <w:tcPr>
            <w:tcW w:w="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gridSpan w:val="2"/>
          </w:tcPr>
          <w:p>
            <w:pPr>
              <w:spacing w:after="0"/>
              <w:rPr>
                <w:sz w:val="18"/>
                <w:szCs w:val="18"/>
                <w:color w:val="auto"/>
              </w:rPr>
            </w:pPr>
          </w:p>
        </w:tc>
        <w:tc>
          <w:tcPr>
            <w:tcW w:w="660" w:type="dxa"/>
            <w:vAlign w:val="bottom"/>
          </w:tcPr>
          <w:p>
            <w:pPr>
              <w:spacing w:after="0"/>
              <w:rPr>
                <w:sz w:val="18"/>
                <w:szCs w:val="18"/>
                <w:color w:val="auto"/>
              </w:rPr>
            </w:pPr>
          </w:p>
        </w:tc>
        <w:tc>
          <w:tcPr>
            <w:tcW w:w="960" w:type="dxa"/>
            <w:vAlign w:val="bottom"/>
            <w:gridSpan w:val="2"/>
          </w:tcPr>
          <w:p>
            <w:pPr>
              <w:spacing w:after="0"/>
              <w:rPr>
                <w:sz w:val="18"/>
                <w:szCs w:val="18"/>
                <w:color w:val="auto"/>
              </w:rPr>
            </w:pPr>
          </w:p>
        </w:tc>
        <w:tc>
          <w:tcPr>
            <w:tcW w:w="220" w:type="dxa"/>
            <w:vAlign w:val="bottom"/>
            <w:gridSpan w:val="2"/>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gridSpan w:val="2"/>
          </w:tcPr>
          <w:p>
            <w:pPr>
              <w:spacing w:after="0"/>
              <w:rPr>
                <w:sz w:val="18"/>
                <w:szCs w:val="18"/>
                <w:color w:val="auto"/>
              </w:rPr>
            </w:pPr>
          </w:p>
        </w:tc>
        <w:tc>
          <w:tcPr>
            <w:tcW w:w="760" w:type="dxa"/>
            <w:vAlign w:val="bottom"/>
          </w:tcPr>
          <w:p>
            <w:pPr>
              <w:spacing w:after="0"/>
              <w:rPr>
                <w:sz w:val="18"/>
                <w:szCs w:val="18"/>
                <w:color w:val="auto"/>
              </w:rPr>
            </w:pPr>
          </w:p>
        </w:tc>
        <w:tc>
          <w:tcPr>
            <w:tcW w:w="300" w:type="dxa"/>
            <w:vAlign w:val="bottom"/>
            <w:gridSpan w:val="2"/>
          </w:tcPr>
          <w:p>
            <w:pPr>
              <w:spacing w:after="0"/>
              <w:rPr>
                <w:sz w:val="18"/>
                <w:szCs w:val="18"/>
                <w:color w:val="auto"/>
              </w:rPr>
            </w:pPr>
          </w:p>
        </w:tc>
        <w:tc>
          <w:tcPr>
            <w:tcW w:w="680" w:type="dxa"/>
            <w:vAlign w:val="bottom"/>
          </w:tcPr>
          <w:p>
            <w:pPr>
              <w:spacing w:after="0"/>
              <w:rPr>
                <w:sz w:val="18"/>
                <w:szCs w:val="18"/>
                <w:color w:val="auto"/>
              </w:rPr>
            </w:pPr>
          </w:p>
        </w:tc>
        <w:tc>
          <w:tcPr>
            <w:tcW w:w="960" w:type="dxa"/>
            <w:vAlign w:val="bottom"/>
            <w:gridSpan w:val="2"/>
          </w:tcPr>
          <w:p>
            <w:pPr>
              <w:spacing w:after="0"/>
              <w:rPr>
                <w:sz w:val="18"/>
                <w:szCs w:val="18"/>
                <w:color w:val="auto"/>
              </w:rPr>
            </w:pPr>
          </w:p>
        </w:tc>
      </w:tr>
      <w:tr>
        <w:trPr>
          <w:trHeight w:val="256"/>
        </w:trPr>
        <w:tc>
          <w:tcPr>
            <w:tcW w:w="3940" w:type="dxa"/>
            <w:vAlign w:val="bottom"/>
            <w:shd w:val="clear" w:color="auto" w:fill="CCEEFF"/>
          </w:tcPr>
          <w:p>
            <w:pPr>
              <w:ind w:left="120"/>
              <w:spacing w:after="0"/>
              <w:rPr>
                <w:sz w:val="20"/>
                <w:szCs w:val="20"/>
                <w:color w:val="auto"/>
              </w:rPr>
            </w:pPr>
            <w:r>
              <w:rPr>
                <w:rFonts w:ascii="Arial" w:cs="Arial" w:eastAsia="Arial" w:hAnsi="Arial"/>
                <w:sz w:val="18"/>
                <w:szCs w:val="18"/>
                <w:b w:val="1"/>
                <w:bCs w:val="1"/>
                <w:color w:val="auto"/>
              </w:rPr>
              <w:t>Loss before other items per common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(1.19)</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w:t>
            </w:r>
            <w:r>
              <w:rPr>
                <w:rFonts w:ascii="Arial" w:cs="Arial" w:eastAsia="Arial" w:hAnsi="Arial"/>
                <w:sz w:val="18"/>
                <w:szCs w:val="18"/>
                <w:b w:val="1"/>
                <w:bCs w:val="1"/>
                <w:u w:val="single" w:color="auto"/>
                <w:color w:val="auto"/>
              </w:rPr>
              <w:t>20)</w:t>
            </w:r>
          </w:p>
        </w:tc>
        <w:tc>
          <w:tcPr>
            <w:tcW w:w="40" w:type="dxa"/>
            <w:vAlign w:val="bottom"/>
            <w:shd w:val="clear" w:color="auto" w:fill="CCEEFF"/>
          </w:tcPr>
          <w:p>
            <w:pPr>
              <w:spacing w:after="0"/>
              <w:rPr>
                <w:sz w:val="22"/>
                <w:szCs w:val="22"/>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w:t>
            </w:r>
            <w:r>
              <w:rPr>
                <w:rFonts w:ascii="Arial" w:cs="Arial" w:eastAsia="Arial" w:hAnsi="Arial"/>
                <w:sz w:val="18"/>
                <w:szCs w:val="18"/>
                <w:b w:val="1"/>
                <w:bCs w:val="1"/>
                <w:u w:val="single" w:color="auto"/>
                <w:color w:val="auto"/>
              </w:rPr>
              <w:t>01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45.9%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(4.38)</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(5.</w:t>
            </w:r>
            <w:r>
              <w:rPr>
                <w:rFonts w:ascii="Arial" w:cs="Arial" w:eastAsia="Arial" w:hAnsi="Arial"/>
                <w:sz w:val="18"/>
                <w:szCs w:val="18"/>
                <w:b w:val="1"/>
                <w:bCs w:val="1"/>
                <w:u w:val="single" w:color="auto"/>
                <w:color w:val="auto"/>
              </w:rPr>
              <w:t>99)</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1.61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26.9%</w:t>
            </w:r>
          </w:p>
        </w:tc>
      </w:tr>
      <w:tr>
        <w:trPr>
          <w:trHeight w:val="210"/>
        </w:trPr>
        <w:tc>
          <w:tcPr>
            <w:tcW w:w="3940" w:type="dxa"/>
            <w:vAlign w:val="bottom"/>
            <w:tcBorders>
              <w:top w:val="single" w:sz="8" w:color="CCEEFF"/>
            </w:tcBorders>
          </w:tcPr>
          <w:p>
            <w:pPr>
              <w:spacing w:after="0"/>
              <w:rPr>
                <w:sz w:val="18"/>
                <w:szCs w:val="18"/>
                <w:color w:val="auto"/>
              </w:rPr>
            </w:pPr>
          </w:p>
        </w:tc>
        <w:tc>
          <w:tcPr>
            <w:tcW w:w="780" w:type="dxa"/>
            <w:vAlign w:val="bottom"/>
            <w:tcBorders>
              <w:top w:val="single" w:sz="8" w:color="auto"/>
            </w:tcBorders>
            <w:gridSpan w:val="2"/>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00" w:type="dxa"/>
            <w:vAlign w:val="bottom"/>
            <w:tcBorders>
              <w:top w:val="single" w:sz="8" w:color="auto"/>
            </w:tcBorders>
            <w:gridSpan w:val="2"/>
          </w:tcPr>
          <w:p>
            <w:pPr>
              <w:spacing w:after="0"/>
              <w:rPr>
                <w:sz w:val="18"/>
                <w:szCs w:val="18"/>
                <w:color w:val="auto"/>
              </w:rPr>
            </w:pPr>
          </w:p>
        </w:tc>
        <w:tc>
          <w:tcPr>
            <w:tcW w:w="4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r>
      <w:tr>
        <w:trPr>
          <w:trHeight w:val="216"/>
        </w:trPr>
        <w:tc>
          <w:tcPr>
            <w:tcW w:w="5660" w:type="dxa"/>
            <w:vAlign w:val="bottom"/>
            <w:gridSpan w:val="7"/>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5660" w:type="dxa"/>
            <w:vAlign w:val="bottom"/>
            <w:gridSpan w:val="7"/>
          </w:tcPr>
          <w:p>
            <w:pPr>
              <w:spacing w:after="0"/>
              <w:rPr>
                <w:sz w:val="20"/>
                <w:szCs w:val="20"/>
                <w:color w:val="auto"/>
              </w:rPr>
            </w:pPr>
            <w:r>
              <w:rPr>
                <w:rFonts w:ascii="Arial" w:cs="Arial" w:eastAsia="Arial" w:hAnsi="Arial"/>
                <w:sz w:val="18"/>
                <w:szCs w:val="18"/>
                <w:color w:val="auto"/>
                <w:w w:val="99"/>
              </w:rPr>
              <w:t>(A) Acquisition-related costs and other non-recurring expenses include:</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02"/>
        </w:trPr>
        <w:tc>
          <w:tcPr>
            <w:tcW w:w="3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20" w:type="dxa"/>
            <w:vAlign w:val="bottom"/>
            <w:gridSpan w:val="5"/>
            <w:shd w:val="clear" w:color="auto" w:fill="CCEEFF"/>
          </w:tcPr>
          <w:p>
            <w:pPr>
              <w:jc w:val="center"/>
              <w:spacing w:after="0" w:line="201" w:lineRule="exact"/>
              <w:rPr>
                <w:sz w:val="20"/>
                <w:szCs w:val="20"/>
                <w:color w:val="auto"/>
              </w:rPr>
            </w:pPr>
            <w:r>
              <w:rPr>
                <w:rFonts w:ascii="Arial" w:cs="Arial" w:eastAsia="Arial" w:hAnsi="Arial"/>
                <w:sz w:val="18"/>
                <w:szCs w:val="18"/>
                <w:color w:val="auto"/>
                <w:w w:val="89"/>
              </w:rPr>
              <w:t>Three months ended</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740" w:type="dxa"/>
            <w:vAlign w:val="bottom"/>
            <w:gridSpan w:val="5"/>
            <w:shd w:val="clear" w:color="auto" w:fill="CCEEFF"/>
          </w:tcPr>
          <w:p>
            <w:pPr>
              <w:jc w:val="right"/>
              <w:ind w:right="30"/>
              <w:spacing w:after="0" w:line="201" w:lineRule="exact"/>
              <w:rPr>
                <w:sz w:val="20"/>
                <w:szCs w:val="20"/>
                <w:color w:val="auto"/>
              </w:rPr>
            </w:pPr>
            <w:r>
              <w:rPr>
                <w:rFonts w:ascii="Arial" w:cs="Arial" w:eastAsia="Arial" w:hAnsi="Arial"/>
                <w:sz w:val="18"/>
                <w:szCs w:val="18"/>
                <w:color w:val="auto"/>
                <w:w w:val="88"/>
              </w:rPr>
              <w:t>Year ended December</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37"/>
        </w:trPr>
        <w:tc>
          <w:tcPr>
            <w:tcW w:w="39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1620" w:type="dxa"/>
            <w:vAlign w:val="bottom"/>
            <w:tcBorders>
              <w:bottom w:val="single" w:sz="8" w:color="auto"/>
            </w:tcBorders>
            <w:gridSpan w:val="5"/>
            <w:shd w:val="clear" w:color="auto" w:fill="CCEEFF"/>
          </w:tcPr>
          <w:p>
            <w:pPr>
              <w:jc w:val="center"/>
              <w:spacing w:after="0"/>
              <w:rPr>
                <w:sz w:val="20"/>
                <w:szCs w:val="20"/>
                <w:color w:val="auto"/>
              </w:rPr>
            </w:pPr>
            <w:r>
              <w:rPr>
                <w:rFonts w:ascii="Arial" w:cs="Arial" w:eastAsia="Arial" w:hAnsi="Arial"/>
                <w:sz w:val="18"/>
                <w:szCs w:val="18"/>
                <w:color w:val="auto"/>
                <w:w w:val="88"/>
              </w:rPr>
              <w:t>December 31,</w:t>
            </w:r>
          </w:p>
        </w:tc>
        <w:tc>
          <w:tcPr>
            <w:tcW w:w="6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760" w:type="dxa"/>
            <w:vAlign w:val="bottom"/>
            <w:tcBorders>
              <w:bottom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r>
      <w:tr>
        <w:trPr>
          <w:trHeight w:val="223"/>
        </w:trPr>
        <w:tc>
          <w:tcPr>
            <w:tcW w:w="3940" w:type="dxa"/>
            <w:vAlign w:val="bottom"/>
          </w:tcPr>
          <w:p>
            <w:pPr>
              <w:ind w:left="120"/>
              <w:spacing w:after="0"/>
              <w:rPr>
                <w:sz w:val="20"/>
                <w:szCs w:val="20"/>
                <w:color w:val="auto"/>
              </w:rPr>
            </w:pPr>
            <w:r>
              <w:rPr>
                <w:rFonts w:ascii="Arial" w:cs="Arial" w:eastAsia="Arial" w:hAnsi="Arial"/>
                <w:sz w:val="18"/>
                <w:szCs w:val="18"/>
                <w:color w:val="auto"/>
              </w:rPr>
              <w:t>(in thousands)</w:t>
            </w:r>
          </w:p>
        </w:tc>
        <w:tc>
          <w:tcPr>
            <w:tcW w:w="1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2021</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2020</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2021</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2020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16"/>
        </w:trPr>
        <w:tc>
          <w:tcPr>
            <w:tcW w:w="3940" w:type="dxa"/>
            <w:vAlign w:val="bottom"/>
            <w:shd w:val="clear" w:color="auto" w:fill="CCEEFF"/>
          </w:tcPr>
          <w:p>
            <w:pPr>
              <w:ind w:left="120"/>
              <w:spacing w:after="0" w:line="216" w:lineRule="exact"/>
              <w:rPr>
                <w:sz w:val="20"/>
                <w:szCs w:val="20"/>
                <w:color w:val="auto"/>
              </w:rPr>
            </w:pPr>
            <w:r>
              <w:rPr>
                <w:rFonts w:ascii="Arial" w:cs="Arial" w:eastAsia="Arial" w:hAnsi="Arial"/>
                <w:sz w:val="16"/>
                <w:szCs w:val="16"/>
                <w:color w:val="auto"/>
              </w:rPr>
              <w:t>Acquisition integration costs - Pursuit</w:t>
            </w:r>
            <w:r>
              <w:rPr>
                <w:rFonts w:ascii="Arial" w:cs="Arial" w:eastAsia="Arial" w:hAnsi="Arial"/>
                <w:sz w:val="25"/>
                <w:szCs w:val="25"/>
                <w:color w:val="auto"/>
                <w:vertAlign w:val="superscript"/>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62</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940" w:type="dxa"/>
            <w:vAlign w:val="bottom"/>
          </w:tcPr>
          <w:p>
            <w:pPr>
              <w:ind w:left="120"/>
              <w:spacing w:after="0" w:line="216" w:lineRule="exact"/>
              <w:rPr>
                <w:sz w:val="20"/>
                <w:szCs w:val="20"/>
                <w:color w:val="auto"/>
              </w:rPr>
            </w:pPr>
            <w:r>
              <w:rPr>
                <w:rFonts w:ascii="Arial" w:cs="Arial" w:eastAsia="Arial" w:hAnsi="Arial"/>
                <w:sz w:val="16"/>
                <w:szCs w:val="16"/>
                <w:color w:val="auto"/>
              </w:rPr>
              <w:t>Acquisition transaction-related costs - Pursuit</w:t>
            </w:r>
            <w:r>
              <w:rPr>
                <w:rFonts w:ascii="Arial" w:cs="Arial" w:eastAsia="Arial" w:hAnsi="Arial"/>
                <w:sz w:val="25"/>
                <w:szCs w:val="25"/>
                <w:color w:val="auto"/>
                <w:vertAlign w:val="superscript"/>
              </w:rPr>
              <w:t>1</w:t>
            </w:r>
          </w:p>
        </w:tc>
        <w:tc>
          <w:tcPr>
            <w:tcW w:w="100" w:type="dxa"/>
            <w:vAlign w:val="bottom"/>
          </w:tcPr>
          <w:p>
            <w:pPr>
              <w:spacing w:after="0"/>
              <w:rPr>
                <w:sz w:val="18"/>
                <w:szCs w:val="18"/>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862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940" w:type="dxa"/>
            <w:vAlign w:val="bottom"/>
            <w:shd w:val="clear" w:color="auto" w:fill="CCEEFF"/>
          </w:tcPr>
          <w:p>
            <w:pPr>
              <w:ind w:left="120"/>
              <w:spacing w:after="0" w:line="216" w:lineRule="exact"/>
              <w:rPr>
                <w:sz w:val="20"/>
                <w:szCs w:val="20"/>
                <w:color w:val="auto"/>
              </w:rPr>
            </w:pPr>
            <w:r>
              <w:rPr>
                <w:rFonts w:ascii="Arial" w:cs="Arial" w:eastAsia="Arial" w:hAnsi="Arial"/>
                <w:sz w:val="16"/>
                <w:szCs w:val="16"/>
                <w:color w:val="auto"/>
              </w:rPr>
              <w:t>Acquisition transaction-related costs - Corporate</w:t>
            </w:r>
            <w:r>
              <w:rPr>
                <w:rFonts w:ascii="Arial" w:cs="Arial" w:eastAsia="Arial" w:hAnsi="Arial"/>
                <w:sz w:val="25"/>
                <w:szCs w:val="25"/>
                <w:color w:val="auto"/>
                <w:vertAlign w:val="superscript"/>
              </w:rPr>
              <w:t>2</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11</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194</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940" w:type="dxa"/>
            <w:vAlign w:val="bottom"/>
          </w:tcPr>
          <w:p>
            <w:pPr>
              <w:ind w:left="120"/>
              <w:spacing w:after="0" w:line="216" w:lineRule="exact"/>
              <w:rPr>
                <w:sz w:val="20"/>
                <w:szCs w:val="20"/>
                <w:color w:val="auto"/>
              </w:rPr>
            </w:pPr>
            <w:r>
              <w:rPr>
                <w:rFonts w:ascii="Arial" w:cs="Arial" w:eastAsia="Arial" w:hAnsi="Arial"/>
                <w:sz w:val="16"/>
                <w:szCs w:val="16"/>
                <w:color w:val="auto"/>
              </w:rPr>
              <w:t>Attraction start-up costs</w:t>
            </w:r>
            <w:r>
              <w:rPr>
                <w:rFonts w:ascii="Arial" w:cs="Arial" w:eastAsia="Arial" w:hAnsi="Arial"/>
                <w:sz w:val="25"/>
                <w:szCs w:val="25"/>
                <w:color w:val="auto"/>
                <w:vertAlign w:val="superscript"/>
              </w:rPr>
              <w:t>1, 3</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(289)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1,298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4,744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4,162</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23"/>
        </w:trPr>
        <w:tc>
          <w:tcPr>
            <w:tcW w:w="3940" w:type="dxa"/>
            <w:vAlign w:val="bottom"/>
            <w:tcBorders>
              <w:bottom w:val="single" w:sz="8" w:color="CCEEFF"/>
            </w:tcBorders>
            <w:shd w:val="clear" w:color="auto" w:fill="CCEEFF"/>
          </w:tcPr>
          <w:p>
            <w:pPr>
              <w:ind w:left="120"/>
              <w:spacing w:after="0" w:line="216" w:lineRule="exact"/>
              <w:rPr>
                <w:sz w:val="20"/>
                <w:szCs w:val="20"/>
                <w:color w:val="auto"/>
              </w:rPr>
            </w:pPr>
            <w:r>
              <w:rPr>
                <w:rFonts w:ascii="Arial" w:cs="Arial" w:eastAsia="Arial" w:hAnsi="Arial"/>
                <w:sz w:val="16"/>
                <w:szCs w:val="16"/>
                <w:color w:val="auto"/>
              </w:rPr>
              <w:t>Other non-recurring expenses</w:t>
            </w:r>
            <w:r>
              <w:rPr>
                <w:rFonts w:ascii="Arial" w:cs="Arial" w:eastAsia="Arial" w:hAnsi="Arial"/>
                <w:sz w:val="25"/>
                <w:szCs w:val="25"/>
                <w:color w:val="auto"/>
                <w:vertAlign w:val="superscript"/>
              </w:rPr>
              <w:t>2, 4</w:t>
            </w:r>
          </w:p>
        </w:tc>
        <w:tc>
          <w:tcPr>
            <w:tcW w:w="10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89</w:t>
            </w:r>
          </w:p>
        </w:tc>
        <w:tc>
          <w:tcPr>
            <w:tcW w:w="4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6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569</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1,770</w:t>
            </w: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6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spacing w:after="0"/>
              <w:rPr>
                <w:sz w:val="19"/>
                <w:szCs w:val="19"/>
                <w:color w:val="auto"/>
              </w:rPr>
            </w:pPr>
          </w:p>
        </w:tc>
      </w:tr>
      <w:tr>
        <w:trPr>
          <w:trHeight w:val="202"/>
        </w:trPr>
        <w:tc>
          <w:tcPr>
            <w:tcW w:w="3940" w:type="dxa"/>
            <w:vAlign w:val="bottom"/>
          </w:tcPr>
          <w:p>
            <w:pPr>
              <w:ind w:left="120"/>
              <w:spacing w:after="0" w:line="201" w:lineRule="exact"/>
              <w:rPr>
                <w:sz w:val="20"/>
                <w:szCs w:val="20"/>
                <w:color w:val="auto"/>
              </w:rPr>
            </w:pPr>
            <w:r>
              <w:rPr>
                <w:rFonts w:ascii="Arial" w:cs="Arial" w:eastAsia="Arial" w:hAnsi="Arial"/>
                <w:sz w:val="18"/>
                <w:szCs w:val="18"/>
                <w:color w:val="auto"/>
              </w:rPr>
              <w:t>Acquisition-related and other non-recurring</w:t>
            </w: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0"/>
        </w:trPr>
        <w:tc>
          <w:tcPr>
            <w:tcW w:w="3940" w:type="dxa"/>
            <w:vAlign w:val="bottom"/>
          </w:tcPr>
          <w:p>
            <w:pPr>
              <w:ind w:left="120"/>
              <w:spacing w:after="0"/>
              <w:rPr>
                <w:sz w:val="20"/>
                <w:szCs w:val="20"/>
                <w:color w:val="auto"/>
              </w:rPr>
            </w:pPr>
            <w:r>
              <w:rPr>
                <w:rFonts w:ascii="Arial" w:cs="Arial" w:eastAsia="Arial" w:hAnsi="Arial"/>
                <w:sz w:val="18"/>
                <w:szCs w:val="18"/>
                <w:color w:val="auto"/>
              </w:rPr>
              <w:t>expenses, pre-tax</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(113)</w:t>
            </w:r>
          </w:p>
        </w:tc>
        <w:tc>
          <w:tcPr>
            <w:tcW w:w="22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1,398</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6,211</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6,188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21"/>
        </w:trPr>
        <w:tc>
          <w:tcPr>
            <w:tcW w:w="39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09"/>
        </w:trPr>
        <w:tc>
          <w:tcPr>
            <w:tcW w:w="3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bl>
    <w:p>
      <w:pPr>
        <w:sectPr>
          <w:pgSz w:w="11900" w:h="16838" w:orient="portrait"/>
          <w:cols w:equalWidth="0" w:num="1">
            <w:col w:w="11240"/>
          </w:cols>
          <w:pgMar w:left="320" w:top="121" w:right="339" w:bottom="0" w:gutter="0" w:footer="0" w:header="0"/>
        </w:sectPr>
      </w:pPr>
    </w:p>
    <w:bookmarkStart w:id="13" w:name="page14"/>
    <w:bookmarkEnd w:id="13"/>
    <w:p>
      <w:pPr>
        <w:ind w:left="240" w:hanging="120"/>
        <w:spacing w:after="0"/>
        <w:tabs>
          <w:tab w:leader="none" w:pos="240" w:val="left"/>
        </w:tabs>
        <w:numPr>
          <w:ilvl w:val="0"/>
          <w:numId w:val="8"/>
        </w:numPr>
        <w:rPr>
          <w:rFonts w:ascii="Arial" w:cs="Arial" w:eastAsia="Arial" w:hAnsi="Arial"/>
          <w:sz w:val="30"/>
          <w:szCs w:val="30"/>
          <w:color w:val="auto"/>
          <w:vertAlign w:val="superscript"/>
        </w:rPr>
      </w:pPr>
      <w:r>
        <w:rPr>
          <w:rFonts w:ascii="Arial" w:cs="Arial" w:eastAsia="Arial" w:hAnsi="Arial"/>
          <w:sz w:val="18"/>
          <w:szCs w:val="18"/>
          <w:color w:val="auto"/>
        </w:rPr>
        <w:t>Included in segment operating loss</w:t>
      </w:r>
    </w:p>
    <w:p>
      <w:pPr>
        <w:spacing w:after="0" w:line="1" w:lineRule="exact"/>
        <w:rPr>
          <w:rFonts w:ascii="Arial" w:cs="Arial" w:eastAsia="Arial" w:hAnsi="Arial"/>
          <w:sz w:val="30"/>
          <w:szCs w:val="30"/>
          <w:color w:val="auto"/>
          <w:vertAlign w:val="superscript"/>
        </w:rPr>
      </w:pPr>
    </w:p>
    <w:p>
      <w:pPr>
        <w:ind w:left="120"/>
        <w:spacing w:after="0" w:line="180" w:lineRule="auto"/>
        <w:rPr>
          <w:rFonts w:ascii="Arial" w:cs="Arial" w:eastAsia="Arial" w:hAnsi="Arial"/>
          <w:sz w:val="30"/>
          <w:szCs w:val="30"/>
          <w:color w:val="auto"/>
          <w:vertAlign w:val="superscript"/>
        </w:rPr>
      </w:pPr>
      <w:r>
        <w:rPr>
          <w:rFonts w:ascii="Arial" w:cs="Arial" w:eastAsia="Arial" w:hAnsi="Arial"/>
          <w:sz w:val="25"/>
          <w:szCs w:val="25"/>
          <w:color w:val="auto"/>
          <w:vertAlign w:val="superscript"/>
        </w:rPr>
        <w:t>2</w:t>
      </w:r>
      <w:r>
        <w:rPr>
          <w:rFonts w:ascii="Arial" w:cs="Arial" w:eastAsia="Arial" w:hAnsi="Arial"/>
          <w:sz w:val="16"/>
          <w:szCs w:val="16"/>
          <w:color w:val="auto"/>
        </w:rPr>
        <w:t xml:space="preserve"> Included in corporate activities</w:t>
      </w:r>
    </w:p>
    <w:p>
      <w:pPr>
        <w:ind w:left="180" w:right="200"/>
        <w:spacing w:after="0" w:line="191" w:lineRule="auto"/>
        <w:rPr>
          <w:rFonts w:ascii="Arial" w:cs="Arial" w:eastAsia="Arial" w:hAnsi="Arial"/>
          <w:sz w:val="30"/>
          <w:szCs w:val="30"/>
          <w:color w:val="auto"/>
          <w:vertAlign w:val="superscript"/>
        </w:rPr>
      </w:pPr>
      <w:r>
        <w:rPr>
          <w:rFonts w:ascii="Arial" w:cs="Arial" w:eastAsia="Arial" w:hAnsi="Arial"/>
          <w:sz w:val="29"/>
          <w:szCs w:val="29"/>
          <w:color w:val="auto"/>
          <w:vertAlign w:val="superscript"/>
        </w:rPr>
        <w:t>3</w:t>
      </w:r>
      <w:r>
        <w:rPr>
          <w:rFonts w:ascii="Arial" w:cs="Arial" w:eastAsia="Arial" w:hAnsi="Arial"/>
          <w:sz w:val="18"/>
          <w:szCs w:val="18"/>
          <w:color w:val="auto"/>
        </w:rPr>
        <w:t xml:space="preserve"> Includes costs related to the development of Pursuit's new FlyOver attractions in Iceland, Las Vegas, and Toronto, the Sky Lagoon in Iceland, and the Golden Skybridge in Canada.</w:t>
      </w:r>
    </w:p>
    <w:p>
      <w:pPr>
        <w:ind w:left="180"/>
        <w:spacing w:after="0"/>
        <w:rPr>
          <w:rFonts w:ascii="Arial" w:cs="Arial" w:eastAsia="Arial" w:hAnsi="Arial"/>
          <w:sz w:val="30"/>
          <w:szCs w:val="30"/>
          <w:color w:val="auto"/>
          <w:vertAlign w:val="superscript"/>
        </w:rPr>
      </w:pPr>
      <w:r>
        <w:rPr>
          <w:rFonts w:ascii="Arial" w:cs="Arial" w:eastAsia="Arial" w:hAnsi="Arial"/>
          <w:sz w:val="29"/>
          <w:szCs w:val="29"/>
          <w:color w:val="auto"/>
          <w:vertAlign w:val="superscript"/>
        </w:rPr>
        <w:t>4</w:t>
      </w:r>
      <w:r>
        <w:rPr>
          <w:rFonts w:ascii="Arial" w:cs="Arial" w:eastAsia="Arial" w:hAnsi="Arial"/>
          <w:sz w:val="18"/>
          <w:szCs w:val="18"/>
          <w:color w:val="auto"/>
        </w:rPr>
        <w:t xml:space="preserve"> Includes non-capitalizable fees and expenses related to Viad’s credit facility refinancing efforts.</w:t>
      </w:r>
    </w:p>
    <w:p>
      <w:pPr>
        <w:spacing w:after="0" w:line="327" w:lineRule="exact"/>
        <w:rPr>
          <w:sz w:val="20"/>
          <w:szCs w:val="20"/>
          <w:color w:val="auto"/>
        </w:rPr>
      </w:pPr>
    </w:p>
    <w:p>
      <w:pPr>
        <w:ind w:left="260" w:right="40" w:hanging="242"/>
        <w:spacing w:after="0" w:line="277" w:lineRule="auto"/>
        <w:rPr>
          <w:sz w:val="20"/>
          <w:szCs w:val="20"/>
          <w:color w:val="auto"/>
        </w:rPr>
      </w:pPr>
      <w:r>
        <w:rPr>
          <w:rFonts w:ascii="Arial" w:cs="Arial" w:eastAsia="Arial" w:hAnsi="Arial"/>
          <w:sz w:val="18"/>
          <w:szCs w:val="18"/>
          <w:color w:val="auto"/>
        </w:rPr>
        <w:t>(B)We exclude the adjustment to the redemption value of redeemable noncontrolling interest from the calculation of income before other items per share as it is a non-cash adjustment that does not affect net income or loss attributable to Viad.</w:t>
      </w:r>
    </w:p>
    <w:p>
      <w:pPr>
        <w:spacing w:after="0" w:line="170" w:lineRule="exact"/>
        <w:rPr>
          <w:sz w:val="20"/>
          <w:szCs w:val="20"/>
          <w:color w:val="auto"/>
        </w:rPr>
      </w:pPr>
    </w:p>
    <w:p>
      <w:pPr>
        <w:ind w:left="260" w:right="120" w:hanging="252"/>
        <w:spacing w:after="0" w:line="287" w:lineRule="auto"/>
        <w:tabs>
          <w:tab w:leader="none" w:pos="305" w:val="left"/>
        </w:tabs>
        <w:numPr>
          <w:ilvl w:val="0"/>
          <w:numId w:val="9"/>
        </w:numPr>
        <w:rPr>
          <w:rFonts w:ascii="Arial" w:cs="Arial" w:eastAsia="Arial" w:hAnsi="Arial"/>
          <w:sz w:val="16"/>
          <w:szCs w:val="16"/>
          <w:color w:val="auto"/>
        </w:rPr>
      </w:pPr>
      <w:r>
        <w:rPr>
          <w:rFonts w:ascii="Arial" w:cs="Arial" w:eastAsia="Arial" w:hAnsi="Arial"/>
          <w:sz w:val="16"/>
          <w:szCs w:val="16"/>
          <w:color w:val="auto"/>
        </w:rPr>
        <w:t>Preferred stock and unvested share-based payment awards that contain nonforteitable rights to dividends are considered participating securities. Accordingly, such securities are included in the earnings allocation in calculating income (loss) before other items per common share unless the effect of such inclusion is anti-dilutive. The following table provides the share data used for calculating the allocation to participating securities if applicable:</w:t>
      </w:r>
    </w:p>
    <w:tbl>
      <w:tblPr>
        <w:tblLayout w:type="fixed"/>
        <w:tblInd w:w="0" w:type="dxa"/>
        <w:tblCellMar>
          <w:top w:w="0" w:type="dxa"/>
          <w:left w:w="0" w:type="dxa"/>
          <w:bottom w:w="0" w:type="dxa"/>
          <w:right w:w="0" w:type="dxa"/>
        </w:tblCellMar>
      </w:tblPr>
      <w:tr>
        <w:trPr>
          <w:trHeight w:val="204"/>
        </w:trPr>
        <w:tc>
          <w:tcPr>
            <w:tcW w:w="5420" w:type="dxa"/>
            <w:vAlign w:val="bottom"/>
          </w:tcPr>
          <w:p>
            <w:pPr>
              <w:spacing w:after="0"/>
              <w:rPr>
                <w:sz w:val="17"/>
                <w:szCs w:val="17"/>
                <w:color w:val="auto"/>
              </w:rPr>
            </w:pPr>
          </w:p>
        </w:tc>
        <w:tc>
          <w:tcPr>
            <w:tcW w:w="2620" w:type="dxa"/>
            <w:vAlign w:val="bottom"/>
            <w:gridSpan w:val="4"/>
          </w:tcPr>
          <w:p>
            <w:pPr>
              <w:jc w:val="center"/>
              <w:ind w:right="10"/>
              <w:spacing w:after="0" w:line="204" w:lineRule="exact"/>
              <w:rPr>
                <w:sz w:val="20"/>
                <w:szCs w:val="20"/>
                <w:color w:val="auto"/>
              </w:rPr>
            </w:pPr>
            <w:r>
              <w:rPr>
                <w:rFonts w:ascii="Arial" w:cs="Arial" w:eastAsia="Arial" w:hAnsi="Arial"/>
                <w:sz w:val="18"/>
                <w:szCs w:val="18"/>
                <w:color w:val="auto"/>
                <w:w w:val="88"/>
              </w:rPr>
              <w:t>Three months ended December</w:t>
            </w:r>
          </w:p>
        </w:tc>
        <w:tc>
          <w:tcPr>
            <w:tcW w:w="660" w:type="dxa"/>
            <w:vAlign w:val="bottom"/>
          </w:tcPr>
          <w:p>
            <w:pPr>
              <w:spacing w:after="0"/>
              <w:rPr>
                <w:sz w:val="17"/>
                <w:szCs w:val="17"/>
                <w:color w:val="auto"/>
              </w:rPr>
            </w:pPr>
          </w:p>
        </w:tc>
        <w:tc>
          <w:tcPr>
            <w:tcW w:w="2540" w:type="dxa"/>
            <w:vAlign w:val="bottom"/>
            <w:gridSpan w:val="3"/>
          </w:tcPr>
          <w:p>
            <w:pPr>
              <w:jc w:val="right"/>
              <w:ind w:right="310"/>
              <w:spacing w:after="0" w:line="204" w:lineRule="exact"/>
              <w:rPr>
                <w:sz w:val="20"/>
                <w:szCs w:val="20"/>
                <w:color w:val="auto"/>
              </w:rPr>
            </w:pPr>
            <w:r>
              <w:rPr>
                <w:rFonts w:ascii="Arial" w:cs="Arial" w:eastAsia="Arial" w:hAnsi="Arial"/>
                <w:sz w:val="18"/>
                <w:szCs w:val="18"/>
                <w:color w:val="auto"/>
              </w:rPr>
              <w:t>Year ended December 31,</w:t>
            </w:r>
          </w:p>
        </w:tc>
      </w:tr>
      <w:tr>
        <w:trPr>
          <w:trHeight w:val="237"/>
        </w:trPr>
        <w:tc>
          <w:tcPr>
            <w:tcW w:w="542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w w:val="79"/>
              </w:rPr>
              <w:t>31,</w:t>
            </w:r>
          </w:p>
        </w:tc>
        <w:tc>
          <w:tcPr>
            <w:tcW w:w="1240" w:type="dxa"/>
            <w:vAlign w:val="bottom"/>
            <w:tcBorders>
              <w:bottom w:val="single" w:sz="8" w:color="auto"/>
            </w:tcBorders>
          </w:tcPr>
          <w:p>
            <w:pPr>
              <w:spacing w:after="0"/>
              <w:rPr>
                <w:sz w:val="20"/>
                <w:szCs w:val="20"/>
                <w:color w:val="auto"/>
              </w:rPr>
            </w:pPr>
          </w:p>
        </w:tc>
        <w:tc>
          <w:tcPr>
            <w:tcW w:w="660" w:type="dxa"/>
            <w:vAlign w:val="bottom"/>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r>
      <w:tr>
        <w:trPr>
          <w:trHeight w:val="223"/>
        </w:trPr>
        <w:tc>
          <w:tcPr>
            <w:tcW w:w="5420" w:type="dxa"/>
            <w:vAlign w:val="bottom"/>
          </w:tcPr>
          <w:p>
            <w:pPr>
              <w:ind w:left="240"/>
              <w:spacing w:after="0"/>
              <w:rPr>
                <w:sz w:val="20"/>
                <w:szCs w:val="20"/>
                <w:color w:val="auto"/>
              </w:rPr>
            </w:pPr>
            <w:r>
              <w:rPr>
                <w:rFonts w:ascii="Arial" w:cs="Arial" w:eastAsia="Arial" w:hAnsi="Arial"/>
                <w:sz w:val="18"/>
                <w:szCs w:val="18"/>
                <w:color w:val="auto"/>
              </w:rPr>
              <w:t>(in thousands)</w:t>
            </w:r>
          </w:p>
        </w:tc>
        <w:tc>
          <w:tcPr>
            <w:tcW w:w="1140" w:type="dxa"/>
            <w:vAlign w:val="bottom"/>
          </w:tcPr>
          <w:p>
            <w:pPr>
              <w:jc w:val="right"/>
              <w:ind w:right="310"/>
              <w:spacing w:after="0"/>
              <w:rPr>
                <w:sz w:val="20"/>
                <w:szCs w:val="20"/>
                <w:color w:val="auto"/>
              </w:rPr>
            </w:pPr>
            <w:r>
              <w:rPr>
                <w:rFonts w:ascii="Arial" w:cs="Arial" w:eastAsia="Arial" w:hAnsi="Arial"/>
                <w:sz w:val="18"/>
                <w:szCs w:val="18"/>
                <w:color w:val="auto"/>
              </w:rPr>
              <w:t>2021</w:t>
            </w:r>
          </w:p>
        </w:tc>
        <w:tc>
          <w:tcPr>
            <w:tcW w:w="1480" w:type="dxa"/>
            <w:vAlign w:val="bottom"/>
            <w:gridSpan w:val="3"/>
          </w:tcPr>
          <w:p>
            <w:pPr>
              <w:jc w:val="right"/>
              <w:ind w:right="410"/>
              <w:spacing w:after="0"/>
              <w:rPr>
                <w:sz w:val="20"/>
                <w:szCs w:val="20"/>
                <w:color w:val="auto"/>
              </w:rPr>
            </w:pPr>
            <w:r>
              <w:rPr>
                <w:rFonts w:ascii="Arial" w:cs="Arial" w:eastAsia="Arial" w:hAnsi="Arial"/>
                <w:sz w:val="18"/>
                <w:szCs w:val="18"/>
                <w:color w:val="auto"/>
              </w:rPr>
              <w:t>2020</w:t>
            </w:r>
          </w:p>
        </w:tc>
        <w:tc>
          <w:tcPr>
            <w:tcW w:w="660" w:type="dxa"/>
            <w:vAlign w:val="bottom"/>
          </w:tcPr>
          <w:p>
            <w:pPr>
              <w:spacing w:after="0"/>
              <w:rPr>
                <w:sz w:val="19"/>
                <w:szCs w:val="19"/>
                <w:color w:val="auto"/>
              </w:rPr>
            </w:pPr>
          </w:p>
        </w:tc>
        <w:tc>
          <w:tcPr>
            <w:tcW w:w="1220" w:type="dxa"/>
            <w:vAlign w:val="bottom"/>
          </w:tcPr>
          <w:p>
            <w:pPr>
              <w:jc w:val="right"/>
              <w:ind w:right="390"/>
              <w:spacing w:after="0"/>
              <w:rPr>
                <w:sz w:val="20"/>
                <w:szCs w:val="20"/>
                <w:color w:val="auto"/>
              </w:rPr>
            </w:pPr>
            <w:r>
              <w:rPr>
                <w:rFonts w:ascii="Arial" w:cs="Arial" w:eastAsia="Arial" w:hAnsi="Arial"/>
                <w:sz w:val="18"/>
                <w:szCs w:val="18"/>
                <w:color w:val="auto"/>
              </w:rPr>
              <w:t>2021</w:t>
            </w:r>
          </w:p>
        </w:tc>
        <w:tc>
          <w:tcPr>
            <w:tcW w:w="1320" w:type="dxa"/>
            <w:vAlign w:val="bottom"/>
            <w:gridSpan w:val="2"/>
          </w:tcPr>
          <w:p>
            <w:pPr>
              <w:jc w:val="right"/>
              <w:ind w:right="390"/>
              <w:spacing w:after="0"/>
              <w:rPr>
                <w:sz w:val="20"/>
                <w:szCs w:val="20"/>
                <w:color w:val="auto"/>
              </w:rPr>
            </w:pPr>
            <w:r>
              <w:rPr>
                <w:rFonts w:ascii="Arial" w:cs="Arial" w:eastAsia="Arial" w:hAnsi="Arial"/>
                <w:sz w:val="18"/>
                <w:szCs w:val="18"/>
                <w:color w:val="auto"/>
              </w:rPr>
              <w:t>2020</w:t>
            </w:r>
          </w:p>
        </w:tc>
      </w:tr>
      <w:tr>
        <w:trPr>
          <w:trHeight w:val="216"/>
        </w:trPr>
        <w:tc>
          <w:tcPr>
            <w:tcW w:w="54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Weighted-average outstanding common shares</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20,456</w:t>
            </w:r>
          </w:p>
        </w:tc>
        <w:tc>
          <w:tcPr>
            <w:tcW w:w="1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20,325</w:t>
            </w:r>
          </w:p>
        </w:tc>
        <w:tc>
          <w:tcPr>
            <w:tcW w:w="660" w:type="dxa"/>
            <w:vAlign w:val="bottom"/>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20,411</w:t>
            </w:r>
          </w:p>
        </w:tc>
        <w:tc>
          <w:tcPr>
            <w:tcW w:w="100" w:type="dxa"/>
            <w:vAlign w:val="bottom"/>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20,279</w:t>
            </w:r>
          </w:p>
        </w:tc>
      </w:tr>
      <w:tr>
        <w:trPr>
          <w:trHeight w:val="216"/>
        </w:trPr>
        <w:tc>
          <w:tcPr>
            <w:tcW w:w="5420" w:type="dxa"/>
            <w:vAlign w:val="bottom"/>
          </w:tcPr>
          <w:p>
            <w:pPr>
              <w:ind w:left="240"/>
              <w:spacing w:after="0"/>
              <w:rPr>
                <w:sz w:val="20"/>
                <w:szCs w:val="20"/>
                <w:color w:val="auto"/>
              </w:rPr>
            </w:pPr>
            <w:r>
              <w:rPr>
                <w:rFonts w:ascii="Arial" w:cs="Arial" w:eastAsia="Arial" w:hAnsi="Arial"/>
                <w:sz w:val="18"/>
                <w:szCs w:val="18"/>
                <w:color w:val="auto"/>
              </w:rPr>
              <w:t>Effect of participating convertible preferred shares (if applicable)</w:t>
            </w: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148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r>
      <w:tr>
        <w:trPr>
          <w:trHeight w:val="223"/>
        </w:trPr>
        <w:tc>
          <w:tcPr>
            <w:tcW w:w="54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Effect of participating non-vested shares (if applicable)</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02"/>
        </w:trPr>
        <w:tc>
          <w:tcPr>
            <w:tcW w:w="5420" w:type="dxa"/>
            <w:vAlign w:val="bottom"/>
            <w:tcBorders>
              <w:top w:val="single" w:sz="8" w:color="CCEEFF"/>
            </w:tcBorders>
          </w:tcPr>
          <w:p>
            <w:pPr>
              <w:ind w:left="240"/>
              <w:spacing w:after="0" w:line="201" w:lineRule="exact"/>
              <w:rPr>
                <w:sz w:val="20"/>
                <w:szCs w:val="20"/>
                <w:color w:val="auto"/>
              </w:rPr>
            </w:pPr>
            <w:r>
              <w:rPr>
                <w:rFonts w:ascii="Arial" w:cs="Arial" w:eastAsia="Arial" w:hAnsi="Arial"/>
                <w:sz w:val="18"/>
                <w:szCs w:val="18"/>
                <w:color w:val="auto"/>
                <w:w w:val="94"/>
              </w:rPr>
              <w:t>Weighted-average shares including effect of participating interests (if</w:t>
            </w:r>
          </w:p>
        </w:tc>
        <w:tc>
          <w:tcPr>
            <w:tcW w:w="114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660" w:type="dxa"/>
            <w:vAlign w:val="bottom"/>
            <w:tcBorders>
              <w:top w:val="single" w:sz="8" w:color="CCEEFF"/>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r>
      <w:tr>
        <w:trPr>
          <w:trHeight w:val="230"/>
        </w:trPr>
        <w:tc>
          <w:tcPr>
            <w:tcW w:w="5420" w:type="dxa"/>
            <w:vAlign w:val="bottom"/>
          </w:tcPr>
          <w:p>
            <w:pPr>
              <w:ind w:left="240"/>
              <w:spacing w:after="0"/>
              <w:rPr>
                <w:sz w:val="20"/>
                <w:szCs w:val="20"/>
                <w:color w:val="auto"/>
              </w:rPr>
            </w:pPr>
            <w:r>
              <w:rPr>
                <w:rFonts w:ascii="Arial" w:cs="Arial" w:eastAsia="Arial" w:hAnsi="Arial"/>
                <w:sz w:val="18"/>
                <w:szCs w:val="18"/>
                <w:color w:val="auto"/>
              </w:rPr>
              <w:t>applicable)</w:t>
            </w:r>
          </w:p>
        </w:tc>
        <w:tc>
          <w:tcPr>
            <w:tcW w:w="1140" w:type="dxa"/>
            <w:vAlign w:val="bottom"/>
          </w:tcPr>
          <w:p>
            <w:pPr>
              <w:jc w:val="right"/>
              <w:spacing w:after="0"/>
              <w:rPr>
                <w:sz w:val="20"/>
                <w:szCs w:val="20"/>
                <w:color w:val="auto"/>
              </w:rPr>
            </w:pPr>
            <w:r>
              <w:rPr>
                <w:rFonts w:ascii="Arial" w:cs="Arial" w:eastAsia="Arial" w:hAnsi="Arial"/>
                <w:sz w:val="18"/>
                <w:szCs w:val="18"/>
                <w:color w:val="auto"/>
              </w:rPr>
              <w:t>20,456</w:t>
            </w:r>
          </w:p>
        </w:tc>
        <w:tc>
          <w:tcPr>
            <w:tcW w:w="1480" w:type="dxa"/>
            <w:vAlign w:val="bottom"/>
            <w:gridSpan w:val="3"/>
          </w:tcPr>
          <w:p>
            <w:pPr>
              <w:jc w:val="right"/>
              <w:ind w:right="10"/>
              <w:spacing w:after="0"/>
              <w:rPr>
                <w:sz w:val="20"/>
                <w:szCs w:val="20"/>
                <w:color w:val="auto"/>
              </w:rPr>
            </w:pPr>
            <w:r>
              <w:rPr>
                <w:rFonts w:ascii="Arial" w:cs="Arial" w:eastAsia="Arial" w:hAnsi="Arial"/>
                <w:sz w:val="18"/>
                <w:szCs w:val="18"/>
                <w:color w:val="auto"/>
              </w:rPr>
              <w:t>20,325</w:t>
            </w:r>
          </w:p>
        </w:tc>
        <w:tc>
          <w:tcPr>
            <w:tcW w:w="1880" w:type="dxa"/>
            <w:vAlign w:val="bottom"/>
            <w:gridSpan w:val="2"/>
          </w:tcPr>
          <w:p>
            <w:pPr>
              <w:jc w:val="right"/>
              <w:ind w:right="30"/>
              <w:spacing w:after="0"/>
              <w:rPr>
                <w:sz w:val="20"/>
                <w:szCs w:val="20"/>
                <w:color w:val="auto"/>
              </w:rPr>
            </w:pPr>
            <w:r>
              <w:rPr>
                <w:rFonts w:ascii="Arial" w:cs="Arial" w:eastAsia="Arial" w:hAnsi="Arial"/>
                <w:sz w:val="18"/>
                <w:szCs w:val="18"/>
                <w:color w:val="auto"/>
              </w:rPr>
              <w:t>20,411</w:t>
            </w:r>
          </w:p>
        </w:tc>
        <w:tc>
          <w:tcPr>
            <w:tcW w:w="1320" w:type="dxa"/>
            <w:vAlign w:val="bottom"/>
            <w:gridSpan w:val="2"/>
          </w:tcPr>
          <w:p>
            <w:pPr>
              <w:jc w:val="right"/>
              <w:ind w:right="10"/>
              <w:spacing w:after="0"/>
              <w:rPr>
                <w:sz w:val="20"/>
                <w:szCs w:val="20"/>
                <w:color w:val="auto"/>
              </w:rPr>
            </w:pPr>
            <w:r>
              <w:rPr>
                <w:rFonts w:ascii="Arial" w:cs="Arial" w:eastAsia="Arial" w:hAnsi="Arial"/>
                <w:sz w:val="18"/>
                <w:szCs w:val="18"/>
                <w:color w:val="auto"/>
              </w:rPr>
              <w:t>20,279</w:t>
            </w:r>
          </w:p>
        </w:tc>
      </w:tr>
      <w:tr>
        <w:trPr>
          <w:trHeight w:val="20"/>
        </w:trPr>
        <w:tc>
          <w:tcPr>
            <w:tcW w:w="54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280670</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 w:right="339" w:bottom="1440" w:gutter="0" w:footer="0" w:header="0"/>
        </w:sectPr>
      </w:pPr>
    </w:p>
    <w:bookmarkStart w:id="14" w:name="page15"/>
    <w:bookmarkEnd w:id="14"/>
    <w:p>
      <w:pPr>
        <w:jc w:val="center"/>
        <w:ind w:right="180"/>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ind w:right="180"/>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9" w:lineRule="exact"/>
        <w:rPr>
          <w:sz w:val="20"/>
          <w:szCs w:val="20"/>
          <w:color w:val="auto"/>
        </w:rPr>
      </w:pPr>
    </w:p>
    <w:p>
      <w:pPr>
        <w:jc w:val="center"/>
        <w:ind w:right="180"/>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ind w:right="220"/>
        <w:spacing w:after="0" w:line="258" w:lineRule="auto"/>
        <w:rPr>
          <w:sz w:val="20"/>
          <w:szCs w:val="20"/>
          <w:color w:val="auto"/>
        </w:rPr>
      </w:pPr>
      <w:r>
        <w:rPr>
          <w:rFonts w:ascii="Arial" w:cs="Arial" w:eastAsia="Arial" w:hAnsi="Arial"/>
          <w:sz w:val="18"/>
          <w:szCs w:val="18"/>
          <w:b w:val="1"/>
          <w:bCs w:val="1"/>
          <w:color w:val="auto"/>
        </w:rPr>
        <w:t xml:space="preserve">Organic </w:t>
      </w:r>
      <w:r>
        <w:rPr>
          <w:rFonts w:ascii="Arial" w:cs="Arial" w:eastAsia="Arial" w:hAnsi="Arial"/>
          <w:sz w:val="18"/>
          <w:szCs w:val="18"/>
          <w:color w:val="auto"/>
        </w:rPr>
        <w:t>- The term "organic" is used within this document to refer to results without the impact of exchange rate variances and acquisitions, if any, until</w:t>
      </w:r>
      <w:r>
        <w:rPr>
          <w:rFonts w:ascii="Arial" w:cs="Arial" w:eastAsia="Arial" w:hAnsi="Arial"/>
          <w:sz w:val="18"/>
          <w:szCs w:val="18"/>
          <w:b w:val="1"/>
          <w:bCs w:val="1"/>
          <w:color w:val="auto"/>
        </w:rPr>
        <w:t xml:space="preserve"> </w:t>
      </w:r>
      <w:r>
        <w:rPr>
          <w:rFonts w:ascii="Arial" w:cs="Arial" w:eastAsia="Arial" w:hAnsi="Arial"/>
          <w:sz w:val="18"/>
          <w:szCs w:val="18"/>
          <w:color w:val="auto"/>
        </w:rPr>
        <w:t>such acquisitions are included in the entirety of both comparable periods. The impact of exchange rate variances (or "FX Impact") is calculated as the difference between current period activity translated at the current period's exchange rates and the comparable prior period's exchange rates. Management believes that the presentation of "organic" results permits investors to better understand Viad's performance without the effects of exchange rate variances or acquisitions.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8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40" w:type="dxa"/>
            <w:vAlign w:val="bottom"/>
            <w:tcBorders>
              <w:bottom w:val="single" w:sz="8" w:color="auto"/>
            </w:tcBorders>
            <w:gridSpan w:val="10"/>
          </w:tcPr>
          <w:p>
            <w:pPr>
              <w:jc w:val="right"/>
              <w:ind w:right="610"/>
              <w:spacing w:after="0"/>
              <w:rPr>
                <w:sz w:val="20"/>
                <w:szCs w:val="20"/>
                <w:color w:val="auto"/>
              </w:rPr>
            </w:pPr>
            <w:r>
              <w:rPr>
                <w:rFonts w:ascii="Arial" w:cs="Arial" w:eastAsia="Arial" w:hAnsi="Arial"/>
                <w:sz w:val="18"/>
                <w:szCs w:val="18"/>
                <w:color w:val="auto"/>
              </w:rPr>
              <w:t>Three months ended December 31, 2021</w:t>
            </w:r>
          </w:p>
        </w:tc>
        <w:tc>
          <w:tcPr>
            <w:tcW w:w="120" w:type="dxa"/>
            <w:vAlign w:val="bottom"/>
          </w:tcPr>
          <w:p>
            <w:pPr>
              <w:spacing w:after="0"/>
              <w:rPr>
                <w:sz w:val="20"/>
                <w:szCs w:val="20"/>
                <w:color w:val="auto"/>
              </w:rPr>
            </w:pPr>
          </w:p>
        </w:tc>
        <w:tc>
          <w:tcPr>
            <w:tcW w:w="3140" w:type="dxa"/>
            <w:vAlign w:val="bottom"/>
            <w:tcBorders>
              <w:bottom w:val="single" w:sz="8" w:color="auto"/>
            </w:tcBorders>
            <w:gridSpan w:val="8"/>
          </w:tcPr>
          <w:p>
            <w:pPr>
              <w:spacing w:after="0"/>
              <w:rPr>
                <w:sz w:val="20"/>
                <w:szCs w:val="20"/>
                <w:color w:val="auto"/>
              </w:rPr>
            </w:pPr>
            <w:r>
              <w:rPr>
                <w:rFonts w:ascii="Arial" w:cs="Arial" w:eastAsia="Arial" w:hAnsi="Arial"/>
                <w:sz w:val="18"/>
                <w:szCs w:val="18"/>
                <w:color w:val="auto"/>
                <w:w w:val="94"/>
              </w:rPr>
              <w:t>Three months ended December 31, 2020</w:t>
            </w:r>
          </w:p>
        </w:tc>
      </w:tr>
      <w:tr>
        <w:trPr>
          <w:trHeight w:val="202"/>
        </w:trPr>
        <w:tc>
          <w:tcPr>
            <w:tcW w:w="3800" w:type="dxa"/>
            <w:vAlign w:val="bottom"/>
          </w:tcPr>
          <w:p>
            <w:pPr>
              <w:spacing w:after="0" w:line="201" w:lineRule="exact"/>
              <w:rPr>
                <w:sz w:val="20"/>
                <w:szCs w:val="20"/>
                <w:color w:val="auto"/>
              </w:rPr>
            </w:pPr>
            <w:r>
              <w:rPr>
                <w:rFonts w:ascii="Arial" w:cs="Arial" w:eastAsia="Arial" w:hAnsi="Arial"/>
                <w:sz w:val="18"/>
                <w:szCs w:val="18"/>
                <w:color w:val="auto"/>
              </w:rPr>
              <w:t>($ in thousands)</w:t>
            </w: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spacing w:after="0" w:line="201" w:lineRule="exact"/>
              <w:rPr>
                <w:sz w:val="20"/>
                <w:szCs w:val="20"/>
                <w:color w:val="auto"/>
              </w:rPr>
            </w:pPr>
            <w:r>
              <w:rPr>
                <w:rFonts w:ascii="Arial" w:cs="Arial" w:eastAsia="Arial" w:hAnsi="Arial"/>
                <w:sz w:val="18"/>
                <w:szCs w:val="18"/>
                <w:color w:val="auto"/>
              </w:rPr>
              <w:t>Acquisitions</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gridSpan w:val="2"/>
          </w:tcPr>
          <w:p>
            <w:pPr>
              <w:spacing w:after="0" w:line="201" w:lineRule="exact"/>
              <w:rPr>
                <w:sz w:val="20"/>
                <w:szCs w:val="20"/>
                <w:color w:val="auto"/>
              </w:rPr>
            </w:pPr>
            <w:r>
              <w:rPr>
                <w:rFonts w:ascii="Arial" w:cs="Arial" w:eastAsia="Arial" w:hAnsi="Arial"/>
                <w:sz w:val="18"/>
                <w:szCs w:val="18"/>
                <w:color w:val="auto"/>
              </w:rPr>
              <w:t>Acquisitions</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16"/>
        </w:trPr>
        <w:tc>
          <w:tcPr>
            <w:tcW w:w="3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ind w:right="370"/>
              <w:spacing w:after="0"/>
              <w:rPr>
                <w:sz w:val="20"/>
                <w:szCs w:val="20"/>
                <w:color w:val="auto"/>
              </w:rPr>
            </w:pPr>
            <w:r>
              <w:rPr>
                <w:rFonts w:ascii="Arial" w:cs="Arial" w:eastAsia="Arial" w:hAnsi="Arial"/>
                <w:sz w:val="18"/>
                <w:szCs w:val="18"/>
                <w:color w:val="auto"/>
              </w:rPr>
              <w:t>As</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230"/>
              <w:spacing w:after="0"/>
              <w:rPr>
                <w:sz w:val="20"/>
                <w:szCs w:val="20"/>
                <w:color w:val="auto"/>
              </w:rPr>
            </w:pPr>
            <w:r>
              <w:rPr>
                <w:rFonts w:ascii="Arial" w:cs="Arial" w:eastAsia="Arial" w:hAnsi="Arial"/>
                <w:sz w:val="18"/>
                <w:szCs w:val="18"/>
                <w:color w:val="auto"/>
                <w:w w:val="95"/>
              </w:rPr>
              <w:t>(Note A)</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ind w:right="330"/>
              <w:spacing w:after="0"/>
              <w:rPr>
                <w:sz w:val="20"/>
                <w:szCs w:val="20"/>
                <w:color w:val="auto"/>
              </w:rPr>
            </w:pPr>
            <w:r>
              <w:rPr>
                <w:rFonts w:ascii="Arial" w:cs="Arial" w:eastAsia="Arial" w:hAnsi="Arial"/>
                <w:sz w:val="18"/>
                <w:szCs w:val="18"/>
                <w:color w:val="auto"/>
              </w:rPr>
              <w:t>FX</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ind w:right="170"/>
              <w:spacing w:after="0"/>
              <w:rPr>
                <w:sz w:val="20"/>
                <w:szCs w:val="20"/>
                <w:color w:val="auto"/>
              </w:rPr>
            </w:pPr>
            <w:r>
              <w:rPr>
                <w:rFonts w:ascii="Arial" w:cs="Arial" w:eastAsia="Arial" w:hAnsi="Arial"/>
                <w:sz w:val="18"/>
                <w:szCs w:val="18"/>
                <w:color w:val="auto"/>
                <w:w w:val="88"/>
              </w:rPr>
              <w:t>Organic</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390"/>
              <w:spacing w:after="0"/>
              <w:rPr>
                <w:sz w:val="20"/>
                <w:szCs w:val="20"/>
                <w:color w:val="auto"/>
              </w:rPr>
            </w:pPr>
            <w:r>
              <w:rPr>
                <w:rFonts w:ascii="Arial" w:cs="Arial" w:eastAsia="Arial" w:hAnsi="Arial"/>
                <w:sz w:val="18"/>
                <w:szCs w:val="18"/>
                <w:color w:val="auto"/>
              </w:rPr>
              <w:t>As</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50"/>
              <w:spacing w:after="0"/>
              <w:rPr>
                <w:sz w:val="20"/>
                <w:szCs w:val="20"/>
                <w:color w:val="auto"/>
              </w:rPr>
            </w:pPr>
            <w:r>
              <w:rPr>
                <w:rFonts w:ascii="Arial" w:cs="Arial" w:eastAsia="Arial" w:hAnsi="Arial"/>
                <w:sz w:val="18"/>
                <w:szCs w:val="18"/>
                <w:color w:val="auto"/>
                <w:w w:val="95"/>
              </w:rPr>
              <w:t>(Note A)</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ind w:right="190"/>
              <w:spacing w:after="0"/>
              <w:rPr>
                <w:sz w:val="20"/>
                <w:szCs w:val="20"/>
                <w:color w:val="auto"/>
              </w:rPr>
            </w:pPr>
            <w:r>
              <w:rPr>
                <w:rFonts w:ascii="Arial" w:cs="Arial" w:eastAsia="Arial" w:hAnsi="Arial"/>
                <w:sz w:val="18"/>
                <w:szCs w:val="18"/>
                <w:color w:val="auto"/>
                <w:w w:val="88"/>
              </w:rPr>
              <w:t>Organic</w:t>
            </w:r>
          </w:p>
        </w:tc>
      </w:tr>
      <w:tr>
        <w:trPr>
          <w:trHeight w:val="237"/>
        </w:trPr>
        <w:tc>
          <w:tcPr>
            <w:tcW w:w="3800" w:type="dxa"/>
            <w:vAlign w:val="bottom"/>
          </w:tcPr>
          <w:p>
            <w:pPr>
              <w:spacing w:after="0"/>
              <w:rPr>
                <w:sz w:val="20"/>
                <w:szCs w:val="20"/>
                <w:color w:val="auto"/>
              </w:rPr>
            </w:pPr>
          </w:p>
        </w:tc>
        <w:tc>
          <w:tcPr>
            <w:tcW w:w="940" w:type="dxa"/>
            <w:vAlign w:val="bottom"/>
            <w:tcBorders>
              <w:bottom w:val="single" w:sz="8" w:color="auto"/>
            </w:tcBorders>
            <w:gridSpan w:val="2"/>
          </w:tcPr>
          <w:p>
            <w:pPr>
              <w:jc w:val="right"/>
              <w:ind w:right="130"/>
              <w:spacing w:after="0"/>
              <w:rPr>
                <w:sz w:val="20"/>
                <w:szCs w:val="20"/>
                <w:color w:val="auto"/>
              </w:rPr>
            </w:pPr>
            <w:r>
              <w:rPr>
                <w:rFonts w:ascii="Arial" w:cs="Arial" w:eastAsia="Arial" w:hAnsi="Arial"/>
                <w:sz w:val="18"/>
                <w:szCs w:val="18"/>
                <w:color w:val="auto"/>
                <w:w w:val="94"/>
              </w:rPr>
              <w:t>Reported</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2"/>
              </w:rPr>
              <w:t>Impact</w:t>
            </w:r>
          </w:p>
        </w:tc>
        <w:tc>
          <w:tcPr>
            <w:tcW w:w="1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Borders>
              <w:bottom w:val="single" w:sz="8" w:color="auto"/>
            </w:tcBorders>
            <w:gridSpan w:val="2"/>
          </w:tcPr>
          <w:p>
            <w:pPr>
              <w:jc w:val="right"/>
              <w:ind w:right="170"/>
              <w:spacing w:after="0"/>
              <w:rPr>
                <w:sz w:val="20"/>
                <w:szCs w:val="20"/>
                <w:color w:val="auto"/>
              </w:rPr>
            </w:pPr>
            <w:r>
              <w:rPr>
                <w:rFonts w:ascii="Arial" w:cs="Arial" w:eastAsia="Arial" w:hAnsi="Arial"/>
                <w:sz w:val="18"/>
                <w:szCs w:val="18"/>
                <w:color w:val="auto"/>
                <w:w w:val="91"/>
              </w:rPr>
              <w:t>Reported</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r>
      <w:tr>
        <w:trPr>
          <w:trHeight w:val="432"/>
        </w:trPr>
        <w:tc>
          <w:tcPr>
            <w:tcW w:w="3800" w:type="dxa"/>
            <w:vAlign w:val="bottom"/>
          </w:tcPr>
          <w:p>
            <w:pPr>
              <w:spacing w:after="0"/>
              <w:rPr>
                <w:sz w:val="20"/>
                <w:szCs w:val="20"/>
                <w:color w:val="auto"/>
              </w:rPr>
            </w:pPr>
            <w:r>
              <w:rPr>
                <w:rFonts w:ascii="Arial" w:cs="Arial" w:eastAsia="Arial" w:hAnsi="Arial"/>
                <w:sz w:val="18"/>
                <w:szCs w:val="18"/>
                <w:b w:val="1"/>
                <w:bCs w:val="1"/>
                <w:color w:val="auto"/>
              </w:rPr>
              <w:t>Viad Consolidated:</w:t>
            </w: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257"/>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5"/>
              </w:rPr>
              <w:t>183,573</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932</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182,534</w:t>
            </w:r>
          </w:p>
        </w:tc>
        <w:tc>
          <w:tcPr>
            <w:tcW w:w="2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27,903</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27,903</w:t>
            </w:r>
          </w:p>
        </w:tc>
      </w:tr>
      <w:tr>
        <w:trPr>
          <w:trHeight w:val="209"/>
        </w:trPr>
        <w:tc>
          <w:tcPr>
            <w:tcW w:w="38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Net loss attributable to Viad</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(22,544)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8"/>
              </w:rPr>
              <w:t>(50,473)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Net loss attributable to noncontrolling interest</w:t>
            </w:r>
          </w:p>
        </w:tc>
        <w:tc>
          <w:tcPr>
            <w:tcW w:w="14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(1,363)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rPr>
              <w:t>(740)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02"/>
        </w:trPr>
        <w:tc>
          <w:tcPr>
            <w:tcW w:w="38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5"/>
              </w:rPr>
              <w:t>Net loss attributable to redeemable noncontrolling</w:t>
            </w: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30"/>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interest</w:t>
            </w:r>
          </w:p>
        </w:tc>
        <w:tc>
          <w:tcPr>
            <w:tcW w:w="140" w:type="dxa"/>
            <w:vAlign w:val="bottom"/>
            <w:shd w:val="clear" w:color="auto" w:fill="CCEEFF"/>
          </w:tcPr>
          <w:p>
            <w:pPr>
              <w:spacing w:after="0"/>
              <w:rPr>
                <w:sz w:val="20"/>
                <w:szCs w:val="20"/>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(545)</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(459)</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Income tax benefit</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(1,906)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(6,208)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Net interest expense</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8,156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3,488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Other expense</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507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238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Restructuring charges</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267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1,070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13,764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13,514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Attraction start-up costs (B)</w:t>
            </w:r>
          </w:p>
        </w:tc>
        <w:tc>
          <w:tcPr>
            <w:tcW w:w="14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(289)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1,298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Acquisition transaction-related costs</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176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Other non-recurring expenses (C)</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89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23"/>
        </w:trPr>
        <w:tc>
          <w:tcPr>
            <w:tcW w:w="3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Restructuring related inventory write-off (D)</w:t>
            </w:r>
          </w:p>
        </w:tc>
        <w:tc>
          <w:tcPr>
            <w:tcW w:w="1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5,300</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spacing w:after="0"/>
              <w:rPr>
                <w:sz w:val="19"/>
                <w:szCs w:val="19"/>
                <w:color w:val="auto"/>
              </w:rPr>
            </w:pPr>
          </w:p>
        </w:tc>
      </w:tr>
      <w:tr>
        <w:trPr>
          <w:trHeight w:val="216"/>
        </w:trPr>
        <w:tc>
          <w:tcPr>
            <w:tcW w:w="3800" w:type="dxa"/>
            <w:vAlign w:val="bottom"/>
          </w:tcPr>
          <w:p>
            <w:pPr>
              <w:ind w:left="180"/>
              <w:spacing w:after="0"/>
              <w:rPr>
                <w:sz w:val="20"/>
                <w:szCs w:val="20"/>
                <w:color w:val="auto"/>
              </w:rPr>
            </w:pPr>
            <w:r>
              <w:rPr>
                <w:rFonts w:ascii="Arial" w:cs="Arial" w:eastAsia="Arial" w:hAnsi="Arial"/>
                <w:sz w:val="18"/>
                <w:szCs w:val="18"/>
                <w:b w:val="1"/>
                <w:bCs w:val="1"/>
                <w:color w:val="auto"/>
              </w:rPr>
              <w:t>Consolidated Adjusted EBITDA</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(3,801)</w:t>
            </w:r>
          </w:p>
        </w:tc>
        <w:tc>
          <w:tcPr>
            <w:tcW w:w="22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Pr>
          <w:p>
            <w:pPr>
              <w:jc w:val="right"/>
              <w:ind w:right="50"/>
              <w:spacing w:after="0"/>
              <w:rPr>
                <w:sz w:val="20"/>
                <w:szCs w:val="20"/>
                <w:color w:val="auto"/>
              </w:rPr>
            </w:pPr>
            <w:r>
              <w:rPr>
                <w:rFonts w:ascii="Arial" w:cs="Arial" w:eastAsia="Arial" w:hAnsi="Arial"/>
                <w:sz w:val="18"/>
                <w:szCs w:val="18"/>
                <w:b w:val="1"/>
                <w:bCs w:val="1"/>
                <w:color w:val="auto"/>
              </w:rPr>
              <w:t>(221)</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(25)</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b w:val="1"/>
                <w:bCs w:val="1"/>
                <w:color w:val="auto"/>
              </w:rPr>
              <w:t>(3,555)</w:t>
            </w:r>
          </w:p>
        </w:tc>
        <w:tc>
          <w:tcPr>
            <w:tcW w:w="260" w:type="dxa"/>
            <w:vAlign w:val="bottom"/>
            <w:gridSpan w:val="2"/>
          </w:tcPr>
          <w:p>
            <w:pPr>
              <w:ind w:left="120"/>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(32,847)</w:t>
            </w:r>
          </w:p>
        </w:tc>
        <w:tc>
          <w:tcPr>
            <w:tcW w:w="22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t>
            </w:r>
          </w:p>
        </w:tc>
        <w:tc>
          <w:tcPr>
            <w:tcW w:w="900" w:type="dxa"/>
            <w:vAlign w:val="bottom"/>
          </w:tcPr>
          <w:p>
            <w:pPr>
              <w:jc w:val="right"/>
              <w:ind w:right="30"/>
              <w:spacing w:after="0"/>
              <w:rPr>
                <w:sz w:val="20"/>
                <w:szCs w:val="20"/>
                <w:color w:val="auto"/>
              </w:rPr>
            </w:pPr>
            <w:r>
              <w:rPr>
                <w:rFonts w:ascii="Arial" w:cs="Arial" w:eastAsia="Arial" w:hAnsi="Arial"/>
                <w:sz w:val="18"/>
                <w:szCs w:val="18"/>
                <w:b w:val="1"/>
                <w:bCs w:val="1"/>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ind w:right="30"/>
              <w:spacing w:after="0"/>
              <w:rPr>
                <w:sz w:val="20"/>
                <w:szCs w:val="20"/>
                <w:color w:val="auto"/>
              </w:rPr>
            </w:pPr>
            <w:r>
              <w:rPr>
                <w:rFonts w:ascii="Arial" w:cs="Arial" w:eastAsia="Arial" w:hAnsi="Arial"/>
                <w:sz w:val="18"/>
                <w:szCs w:val="18"/>
                <w:b w:val="1"/>
                <w:bCs w:val="1"/>
                <w:color w:val="auto"/>
              </w:rPr>
              <w:t>(32,847)</w:t>
            </w:r>
          </w:p>
        </w:tc>
      </w:tr>
      <w:tr>
        <w:trPr>
          <w:trHeight w:val="20"/>
        </w:trPr>
        <w:tc>
          <w:tcPr>
            <w:tcW w:w="38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r>
        <w:trPr>
          <w:trHeight w:val="195"/>
        </w:trPr>
        <w:tc>
          <w:tcPr>
            <w:tcW w:w="380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Corporate Adjusted EBITDA &amp; corporate</w:t>
            </w:r>
          </w:p>
        </w:tc>
        <w:tc>
          <w:tcPr>
            <w:tcW w:w="14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r>
      <w:tr>
        <w:trPr>
          <w:trHeight w:val="237"/>
        </w:trPr>
        <w:tc>
          <w:tcPr>
            <w:tcW w:w="3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eliminations (E)</w:t>
            </w:r>
          </w:p>
        </w:tc>
        <w:tc>
          <w:tcPr>
            <w:tcW w:w="14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3,596</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98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auto"/>
            </w:tcBorders>
            <w:shd w:val="clear" w:color="auto" w:fill="CCEEFF"/>
          </w:tcPr>
          <w:p>
            <w:pPr>
              <w:spacing w:after="0"/>
              <w:rPr>
                <w:sz w:val="20"/>
                <w:szCs w:val="20"/>
                <w:color w:val="auto"/>
              </w:rPr>
            </w:pP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3,596</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2,655</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p>
        </w:tc>
        <w:tc>
          <w:tcPr>
            <w:tcW w:w="8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2,655</w:t>
            </w:r>
          </w:p>
        </w:tc>
      </w:tr>
      <w:tr>
        <w:trPr>
          <w:trHeight w:val="216"/>
        </w:trPr>
        <w:tc>
          <w:tcPr>
            <w:tcW w:w="3800" w:type="dxa"/>
            <w:vAlign w:val="bottom"/>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(205)</w:t>
            </w:r>
          </w:p>
        </w:tc>
        <w:tc>
          <w:tcPr>
            <w:tcW w:w="22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Pr>
          <w:p>
            <w:pPr>
              <w:jc w:val="right"/>
              <w:ind w:right="50"/>
              <w:spacing w:after="0"/>
              <w:rPr>
                <w:sz w:val="20"/>
                <w:szCs w:val="20"/>
                <w:color w:val="auto"/>
              </w:rPr>
            </w:pPr>
            <w:r>
              <w:rPr>
                <w:rFonts w:ascii="Arial" w:cs="Arial" w:eastAsia="Arial" w:hAnsi="Arial"/>
                <w:sz w:val="18"/>
                <w:szCs w:val="18"/>
                <w:b w:val="1"/>
                <w:bCs w:val="1"/>
                <w:color w:val="auto"/>
              </w:rPr>
              <w:t>(221)</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(25)</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b w:val="1"/>
                <w:bCs w:val="1"/>
                <w:color w:val="auto"/>
              </w:rPr>
              <w:t>41</w:t>
            </w:r>
          </w:p>
        </w:tc>
        <w:tc>
          <w:tcPr>
            <w:tcW w:w="260" w:type="dxa"/>
            <w:vAlign w:val="bottom"/>
            <w:gridSpan w:val="2"/>
          </w:tcPr>
          <w:p>
            <w:pPr>
              <w:ind w:left="120"/>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(30,192)</w:t>
            </w:r>
          </w:p>
        </w:tc>
        <w:tc>
          <w:tcPr>
            <w:tcW w:w="22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t>
            </w:r>
          </w:p>
        </w:tc>
        <w:tc>
          <w:tcPr>
            <w:tcW w:w="900" w:type="dxa"/>
            <w:vAlign w:val="bottom"/>
          </w:tcPr>
          <w:p>
            <w:pPr>
              <w:jc w:val="right"/>
              <w:ind w:right="30"/>
              <w:spacing w:after="0"/>
              <w:rPr>
                <w:sz w:val="20"/>
                <w:szCs w:val="20"/>
                <w:color w:val="auto"/>
              </w:rPr>
            </w:pPr>
            <w:r>
              <w:rPr>
                <w:rFonts w:ascii="Arial" w:cs="Arial" w:eastAsia="Arial" w:hAnsi="Arial"/>
                <w:sz w:val="18"/>
                <w:szCs w:val="18"/>
                <w:b w:val="1"/>
                <w:bCs w:val="1"/>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ind w:right="30"/>
              <w:spacing w:after="0"/>
              <w:rPr>
                <w:sz w:val="20"/>
                <w:szCs w:val="20"/>
                <w:color w:val="auto"/>
              </w:rPr>
            </w:pPr>
            <w:r>
              <w:rPr>
                <w:rFonts w:ascii="Arial" w:cs="Arial" w:eastAsia="Arial" w:hAnsi="Arial"/>
                <w:sz w:val="18"/>
                <w:szCs w:val="18"/>
                <w:b w:val="1"/>
                <w:bCs w:val="1"/>
                <w:color w:val="auto"/>
              </w:rPr>
              <w:t>(30,192)</w:t>
            </w:r>
          </w:p>
        </w:tc>
      </w:tr>
      <w:tr>
        <w:trPr>
          <w:trHeight w:val="21"/>
        </w:trPr>
        <w:tc>
          <w:tcPr>
            <w:tcW w:w="38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r>
        <w:trPr>
          <w:trHeight w:val="209"/>
        </w:trPr>
        <w:tc>
          <w:tcPr>
            <w:tcW w:w="3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GES Segment:</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Revenue</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70"/>
              <w:spacing w:after="0"/>
              <w:rPr>
                <w:sz w:val="20"/>
                <w:szCs w:val="20"/>
                <w:color w:val="auto"/>
              </w:rPr>
            </w:pPr>
            <w:r>
              <w:rPr>
                <w:rFonts w:ascii="Arial" w:cs="Arial" w:eastAsia="Arial" w:hAnsi="Arial"/>
                <w:sz w:val="18"/>
                <w:szCs w:val="18"/>
                <w:color w:val="auto"/>
                <w:w w:val="95"/>
              </w:rPr>
              <w:t>160,183</w:t>
            </w:r>
          </w:p>
        </w:tc>
        <w:tc>
          <w:tcPr>
            <w:tcW w:w="100" w:type="dxa"/>
            <w:vAlign w:val="bottom"/>
          </w:tcPr>
          <w:p>
            <w:pPr>
              <w:spacing w:after="0"/>
              <w:rPr>
                <w:sz w:val="18"/>
                <w:szCs w:val="18"/>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322</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159,861</w:t>
            </w:r>
          </w:p>
        </w:tc>
        <w:tc>
          <w:tcPr>
            <w:tcW w:w="2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18,695</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90"/>
              <w:spacing w:after="0"/>
              <w:rPr>
                <w:sz w:val="20"/>
                <w:szCs w:val="20"/>
                <w:color w:val="auto"/>
              </w:rPr>
            </w:pPr>
            <w:r>
              <w:rPr>
                <w:rFonts w:ascii="Arial" w:cs="Arial" w:eastAsia="Arial" w:hAnsi="Arial"/>
                <w:sz w:val="18"/>
                <w:szCs w:val="18"/>
                <w:color w:val="auto"/>
              </w:rPr>
              <w:t>18,695</w:t>
            </w:r>
          </w:p>
        </w:tc>
      </w:tr>
      <w:tr>
        <w:trPr>
          <w:trHeight w:val="21"/>
        </w:trPr>
        <w:tc>
          <w:tcPr>
            <w:tcW w:w="38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r>
        <w:trPr>
          <w:trHeight w:val="209"/>
        </w:trPr>
        <w:tc>
          <w:tcPr>
            <w:tcW w:w="3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gridSpan w:val="2"/>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Segment operating income (loss)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4,689</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(48)</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4,737</w:t>
            </w:r>
          </w:p>
        </w:tc>
        <w:tc>
          <w:tcPr>
            <w:tcW w:w="2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50"/>
              <w:spacing w:after="0"/>
              <w:rPr>
                <w:sz w:val="20"/>
                <w:szCs w:val="20"/>
                <w:color w:val="auto"/>
              </w:rPr>
            </w:pPr>
            <w:r>
              <w:rPr>
                <w:rFonts w:ascii="Arial" w:cs="Arial" w:eastAsia="Arial" w:hAnsi="Arial"/>
                <w:sz w:val="18"/>
                <w:szCs w:val="18"/>
                <w:color w:val="auto"/>
                <w:w w:val="98"/>
              </w:rPr>
              <w:t>(34,447)</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(34,447)</w:t>
            </w:r>
          </w:p>
        </w:tc>
      </w:tr>
      <w:tr>
        <w:trPr>
          <w:trHeight w:val="223"/>
        </w:trPr>
        <w:tc>
          <w:tcPr>
            <w:tcW w:w="3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Restructuring related inventory write-off (D)</w:t>
            </w:r>
          </w:p>
        </w:tc>
        <w:tc>
          <w:tcPr>
            <w:tcW w:w="1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5,300</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5,300</w:t>
            </w:r>
          </w:p>
        </w:tc>
      </w:tr>
      <w:tr>
        <w:trPr>
          <w:trHeight w:val="216"/>
        </w:trPr>
        <w:tc>
          <w:tcPr>
            <w:tcW w:w="3800" w:type="dxa"/>
            <w:vAlign w:val="bottom"/>
          </w:tcPr>
          <w:p>
            <w:pPr>
              <w:spacing w:after="0"/>
              <w:rPr>
                <w:sz w:val="20"/>
                <w:szCs w:val="20"/>
                <w:color w:val="auto"/>
              </w:rPr>
            </w:pPr>
            <w:r>
              <w:rPr>
                <w:rFonts w:ascii="Arial" w:cs="Arial" w:eastAsia="Arial" w:hAnsi="Arial"/>
                <w:sz w:val="18"/>
                <w:szCs w:val="18"/>
                <w:b w:val="1"/>
                <w:bCs w:val="1"/>
                <w:color w:val="auto"/>
              </w:rPr>
              <w:t>Adjusted segment operating income (loss)</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b w:val="1"/>
                <w:bCs w:val="1"/>
                <w:color w:val="auto"/>
              </w:rPr>
              <w:t>4,689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(48)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b w:val="1"/>
                <w:bCs w:val="1"/>
                <w:color w:val="auto"/>
              </w:rPr>
              <w:t>4,737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(29,147)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3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b w:val="1"/>
                <w:bCs w:val="1"/>
                <w:color w:val="auto"/>
              </w:rPr>
              <w:t>(29,147)</w:t>
            </w: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Segment depreciation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3,746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3,737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4,956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4,956</w:t>
            </w:r>
          </w:p>
        </w:tc>
      </w:tr>
      <w:tr>
        <w:trPr>
          <w:trHeight w:val="223"/>
        </w:trPr>
        <w:tc>
          <w:tcPr>
            <w:tcW w:w="3800" w:type="dxa"/>
            <w:vAlign w:val="bottom"/>
          </w:tcPr>
          <w:p>
            <w:pPr>
              <w:spacing w:after="0"/>
              <w:rPr>
                <w:sz w:val="20"/>
                <w:szCs w:val="20"/>
                <w:color w:val="auto"/>
              </w:rPr>
            </w:pPr>
            <w:r>
              <w:rPr>
                <w:rFonts w:ascii="Arial" w:cs="Arial" w:eastAsia="Arial" w:hAnsi="Arial"/>
                <w:sz w:val="18"/>
                <w:szCs w:val="18"/>
                <w:color w:val="auto"/>
              </w:rPr>
              <w:t>Segment amortization</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1,214</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1,213</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1,353</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1,353</w:t>
            </w:r>
          </w:p>
        </w:tc>
      </w:tr>
      <w:tr>
        <w:trPr>
          <w:trHeight w:val="256"/>
        </w:trPr>
        <w:tc>
          <w:tcPr>
            <w:tcW w:w="38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9,649</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(38)</w:t>
            </w:r>
          </w:p>
        </w:tc>
        <w:tc>
          <w:tcPr>
            <w:tcW w:w="1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9,687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8"/>
              </w:rPr>
              <w:t>(22,838)</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(22,838)</w:t>
            </w:r>
          </w:p>
        </w:tc>
      </w:tr>
      <w:tr>
        <w:trPr>
          <w:trHeight w:val="210"/>
        </w:trPr>
        <w:tc>
          <w:tcPr>
            <w:tcW w:w="3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Adjusted segment operating margin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Segment Adjusted EBITDA margin</w:t>
            </w: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b w:val="1"/>
                <w:bCs w:val="1"/>
                <w:color w:val="auto"/>
              </w:rPr>
              <w:t>Pursuit Segment:</w:t>
            </w: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5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23,390</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610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22,673</w:t>
            </w:r>
          </w:p>
        </w:tc>
        <w:tc>
          <w:tcPr>
            <w:tcW w:w="2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9,208</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9,208</w:t>
            </w:r>
          </w:p>
        </w:tc>
      </w:tr>
      <w:tr>
        <w:trPr>
          <w:trHeight w:val="209"/>
        </w:trPr>
        <w:tc>
          <w:tcPr>
            <w:tcW w:w="38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Segment operating loss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(18,574)</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(248)</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(165)</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(18,161)</w:t>
            </w:r>
          </w:p>
        </w:tc>
        <w:tc>
          <w:tcPr>
            <w:tcW w:w="2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8"/>
              </w:rPr>
              <w:t>(15,844)</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(15,844)</w:t>
            </w: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Acquisition transaction-related costs</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207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23"/>
        </w:trPr>
        <w:tc>
          <w:tcPr>
            <w:tcW w:w="3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Attraction start-up costs (B)</w:t>
            </w:r>
          </w:p>
        </w:tc>
        <w:tc>
          <w:tcPr>
            <w:tcW w:w="1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(289)</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(289)</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1,298</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1,298</w:t>
            </w:r>
          </w:p>
        </w:tc>
      </w:tr>
      <w:tr>
        <w:trPr>
          <w:trHeight w:val="216"/>
        </w:trPr>
        <w:tc>
          <w:tcPr>
            <w:tcW w:w="3800" w:type="dxa"/>
            <w:vAlign w:val="bottom"/>
          </w:tcPr>
          <w:p>
            <w:pPr>
              <w:spacing w:after="0"/>
              <w:rPr>
                <w:sz w:val="20"/>
                <w:szCs w:val="20"/>
                <w:color w:val="auto"/>
              </w:rPr>
            </w:pPr>
            <w:r>
              <w:rPr>
                <w:rFonts w:ascii="Arial" w:cs="Arial" w:eastAsia="Arial" w:hAnsi="Arial"/>
                <w:sz w:val="18"/>
                <w:szCs w:val="18"/>
                <w:b w:val="1"/>
                <w:bCs w:val="1"/>
                <w:color w:val="auto"/>
              </w:rPr>
              <w:t>Adjusted segment operating loss</w:t>
            </w:r>
          </w:p>
        </w:tc>
        <w:tc>
          <w:tcPr>
            <w:tcW w:w="14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(18,654)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b w:val="1"/>
                <w:bCs w:val="1"/>
                <w:color w:val="auto"/>
              </w:rPr>
              <w:t>(248)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(163)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b w:val="1"/>
                <w:bCs w:val="1"/>
                <w:color w:val="auto"/>
              </w:rPr>
              <w:t>(18,243)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(14,546)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3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b w:val="1"/>
                <w:bCs w:val="1"/>
                <w:color w:val="auto"/>
              </w:rPr>
              <w:t>(14,546)</w:t>
            </w: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Segment depreciation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7,623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151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7,445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6,372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6,372</w:t>
            </w:r>
          </w:p>
        </w:tc>
      </w:tr>
      <w:tr>
        <w:trPr>
          <w:trHeight w:val="223"/>
        </w:trPr>
        <w:tc>
          <w:tcPr>
            <w:tcW w:w="3800" w:type="dxa"/>
            <w:vAlign w:val="bottom"/>
          </w:tcPr>
          <w:p>
            <w:pPr>
              <w:spacing w:after="0"/>
              <w:rPr>
                <w:sz w:val="20"/>
                <w:szCs w:val="20"/>
                <w:color w:val="auto"/>
              </w:rPr>
            </w:pPr>
            <w:r>
              <w:rPr>
                <w:rFonts w:ascii="Arial" w:cs="Arial" w:eastAsia="Arial" w:hAnsi="Arial"/>
                <w:sz w:val="18"/>
                <w:szCs w:val="18"/>
                <w:color w:val="auto"/>
              </w:rPr>
              <w:t>Segment amortization</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1,177</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1,152</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820</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820</w:t>
            </w:r>
          </w:p>
        </w:tc>
      </w:tr>
      <w:tr>
        <w:trPr>
          <w:trHeight w:val="256"/>
        </w:trPr>
        <w:tc>
          <w:tcPr>
            <w:tcW w:w="38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(9,854)</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(221)</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13</w:t>
            </w:r>
          </w:p>
        </w:tc>
        <w:tc>
          <w:tcPr>
            <w:tcW w:w="1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(9,646)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8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(7,354)</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(7,354)</w:t>
            </w:r>
          </w:p>
        </w:tc>
      </w:tr>
      <w:tr>
        <w:trPr>
          <w:trHeight w:val="210"/>
        </w:trPr>
        <w:tc>
          <w:tcPr>
            <w:tcW w:w="3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3800" w:type="dxa"/>
            <w:vAlign w:val="bottom"/>
            <w:shd w:val="clear" w:color="auto" w:fill="CCEEFF"/>
          </w:tcPr>
          <w:p>
            <w:pPr>
              <w:spacing w:after="0"/>
              <w:rPr>
                <w:sz w:val="20"/>
                <w:szCs w:val="20"/>
                <w:color w:val="auto"/>
              </w:rPr>
            </w:pPr>
            <w:r>
              <w:rPr>
                <w:rFonts w:ascii="Arial" w:cs="Arial" w:eastAsia="Arial" w:hAnsi="Arial"/>
                <w:sz w:val="18"/>
                <w:szCs w:val="18"/>
                <w:color w:val="auto"/>
              </w:rPr>
              <w:t>Adjusted segment operating margin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3800" w:type="dxa"/>
            <w:vAlign w:val="bottom"/>
          </w:tcPr>
          <w:p>
            <w:pPr>
              <w:spacing w:after="0"/>
              <w:rPr>
                <w:sz w:val="20"/>
                <w:szCs w:val="20"/>
                <w:color w:val="auto"/>
              </w:rPr>
            </w:pPr>
            <w:r>
              <w:rPr>
                <w:rFonts w:ascii="Arial" w:cs="Arial" w:eastAsia="Arial" w:hAnsi="Arial"/>
                <w:sz w:val="18"/>
                <w:szCs w:val="18"/>
                <w:color w:val="auto"/>
              </w:rPr>
              <w:t>Segment Adjusted EBITDA margin</w:t>
            </w: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-42.1%</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-42.5%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-79.9%</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-79.9%</w:t>
            </w:r>
          </w:p>
        </w:tc>
      </w:tr>
    </w:tbl>
    <w:p>
      <w:pPr>
        <w:spacing w:after="0" w:line="187" w:lineRule="exact"/>
        <w:rPr>
          <w:sz w:val="20"/>
          <w:szCs w:val="20"/>
          <w:color w:val="auto"/>
        </w:rPr>
      </w:pPr>
    </w:p>
    <w:p>
      <w:pPr>
        <w:ind w:left="300" w:hanging="292"/>
        <w:spacing w:after="0"/>
        <w:tabs>
          <w:tab w:leader="none" w:pos="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Acquisitions include the Golden Skybridge (acquired March 2021 and opened June 2021) for Pursuit.</w:t>
      </w:r>
    </w:p>
    <w:p>
      <w:pPr>
        <w:spacing w:after="0" w:line="23" w:lineRule="exact"/>
        <w:rPr>
          <w:rFonts w:ascii="Arial" w:cs="Arial" w:eastAsia="Arial" w:hAnsi="Arial"/>
          <w:sz w:val="18"/>
          <w:szCs w:val="18"/>
          <w:color w:val="auto"/>
        </w:rPr>
      </w:pPr>
    </w:p>
    <w:p>
      <w:pPr>
        <w:ind w:right="280" w:firstLine="8"/>
        <w:spacing w:after="0" w:line="250" w:lineRule="auto"/>
        <w:tabs>
          <w:tab w:leader="none" w:pos="285"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costs related to the development of Pursuit's new FlyOver attractions in Las Vegas and Toronto, the Sky Lagoon in Iceland, and the Golden Skybridge in Canada.</w:t>
      </w:r>
    </w:p>
    <w:p>
      <w:pPr>
        <w:ind w:left="300" w:hanging="292"/>
        <w:spacing w:after="0"/>
        <w:tabs>
          <w:tab w:leader="none" w:pos="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non-capitalizable fees and expenses related to Viad’s credit facility refinancing efforts.</w:t>
      </w:r>
    </w:p>
    <w:p>
      <w:pPr>
        <w:spacing w:after="0" w:line="9" w:lineRule="exact"/>
        <w:rPr>
          <w:rFonts w:ascii="Arial" w:cs="Arial" w:eastAsia="Arial" w:hAnsi="Arial"/>
          <w:sz w:val="18"/>
          <w:szCs w:val="18"/>
          <w:color w:val="auto"/>
        </w:rPr>
      </w:pPr>
    </w:p>
    <w:p>
      <w:pPr>
        <w:ind w:left="300" w:hanging="292"/>
        <w:spacing w:after="0"/>
        <w:tabs>
          <w:tab w:leader="none" w:pos="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inventory write-offs at GES in connection with transitioning to an outsourced model for trade show aisle carpet.</w:t>
      </w:r>
    </w:p>
    <w:p>
      <w:pPr>
        <w:spacing w:after="0" w:line="9" w:lineRule="exact"/>
        <w:rPr>
          <w:rFonts w:ascii="Arial" w:cs="Arial" w:eastAsia="Arial" w:hAnsi="Arial"/>
          <w:sz w:val="18"/>
          <w:szCs w:val="18"/>
          <w:color w:val="auto"/>
        </w:rPr>
      </w:pPr>
    </w:p>
    <w:p>
      <w:pPr>
        <w:ind w:right="400" w:firstLine="8"/>
        <w:spacing w:after="0" w:line="260" w:lineRule="auto"/>
        <w:tabs>
          <w:tab w:leader="none" w:pos="275"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Corporate Adjusted EBITDA is calculated as Corporate activities expense before depreciation, acquisition-transaction-related costs and other non-recurring costs included within Corporate activities expense.</w:t>
      </w:r>
    </w:p>
    <w:p>
      <w:pPr>
        <w:sectPr>
          <w:pgSz w:w="11900" w:h="16838" w:orient="portrait"/>
          <w:cols w:equalWidth="0" w:num="1">
            <w:col w:w="11240"/>
          </w:cols>
          <w:pgMar w:left="320" w:top="121" w:right="339" w:bottom="0" w:gutter="0" w:footer="0" w:header="0"/>
        </w:sectPr>
      </w:pPr>
    </w:p>
    <w:bookmarkStart w:id="15" w:name="page16"/>
    <w:bookmarkEnd w:id="15"/>
    <w:p>
      <w:pPr>
        <w:spacing w:after="0" w:line="260" w:lineRule="auto"/>
        <w:tabs>
          <w:tab w:leader="none" w:pos="275"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6" w:name="page17"/>
    <w:bookmarkEnd w:id="16"/>
    <w:p>
      <w:pPr>
        <w:jc w:val="center"/>
        <w:ind w:right="160"/>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ind w:right="160"/>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9" w:lineRule="exact"/>
        <w:rPr>
          <w:sz w:val="20"/>
          <w:szCs w:val="20"/>
          <w:color w:val="auto"/>
        </w:rPr>
      </w:pPr>
    </w:p>
    <w:p>
      <w:pPr>
        <w:jc w:val="center"/>
        <w:ind w:right="160"/>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86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000" w:type="dxa"/>
            <w:vAlign w:val="bottom"/>
            <w:tcBorders>
              <w:bottom w:val="single" w:sz="8" w:color="auto"/>
            </w:tcBorders>
            <w:gridSpan w:val="7"/>
          </w:tcPr>
          <w:p>
            <w:pPr>
              <w:jc w:val="right"/>
              <w:ind w:right="430"/>
              <w:spacing w:after="0"/>
              <w:rPr>
                <w:sz w:val="20"/>
                <w:szCs w:val="20"/>
                <w:color w:val="auto"/>
              </w:rPr>
            </w:pPr>
            <w:r>
              <w:rPr>
                <w:rFonts w:ascii="Arial" w:cs="Arial" w:eastAsia="Arial" w:hAnsi="Arial"/>
                <w:sz w:val="18"/>
                <w:szCs w:val="18"/>
                <w:color w:val="auto"/>
                <w:w w:val="96"/>
              </w:rPr>
              <w:t>Year ended December 31, 2021</w:t>
            </w: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7"/>
          </w:tcPr>
          <w:p>
            <w:pPr>
              <w:jc w:val="right"/>
              <w:ind w:right="410"/>
              <w:spacing w:after="0"/>
              <w:rPr>
                <w:sz w:val="20"/>
                <w:szCs w:val="20"/>
                <w:color w:val="auto"/>
              </w:rPr>
            </w:pPr>
            <w:r>
              <w:rPr>
                <w:rFonts w:ascii="Arial" w:cs="Arial" w:eastAsia="Arial" w:hAnsi="Arial"/>
                <w:sz w:val="18"/>
                <w:szCs w:val="18"/>
                <w:color w:val="auto"/>
                <w:w w:val="96"/>
              </w:rPr>
              <w:t>Year ended December 31, 2020</w:t>
            </w:r>
          </w:p>
        </w:tc>
      </w:tr>
      <w:tr>
        <w:trPr>
          <w:trHeight w:val="202"/>
        </w:trPr>
        <w:tc>
          <w:tcPr>
            <w:tcW w:w="3860" w:type="dxa"/>
            <w:vAlign w:val="bottom"/>
          </w:tcPr>
          <w:p>
            <w:pPr>
              <w:spacing w:after="0" w:line="201" w:lineRule="exact"/>
              <w:rPr>
                <w:sz w:val="20"/>
                <w:szCs w:val="20"/>
                <w:color w:val="auto"/>
              </w:rPr>
            </w:pPr>
            <w:r>
              <w:rPr>
                <w:rFonts w:ascii="Arial" w:cs="Arial" w:eastAsia="Arial" w:hAnsi="Arial"/>
                <w:sz w:val="18"/>
                <w:szCs w:val="18"/>
                <w:color w:val="auto"/>
              </w:rPr>
              <w:t>($ in thousands)</w:t>
            </w: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180" w:type="dxa"/>
            <w:vAlign w:val="bottom"/>
            <w:gridSpan w:val="3"/>
          </w:tcPr>
          <w:p>
            <w:pPr>
              <w:ind w:left="100"/>
              <w:spacing w:after="0" w:line="201" w:lineRule="exact"/>
              <w:rPr>
                <w:sz w:val="20"/>
                <w:szCs w:val="20"/>
                <w:color w:val="auto"/>
              </w:rPr>
            </w:pPr>
            <w:r>
              <w:rPr>
                <w:rFonts w:ascii="Arial" w:cs="Arial" w:eastAsia="Arial" w:hAnsi="Arial"/>
                <w:sz w:val="18"/>
                <w:szCs w:val="18"/>
                <w:color w:val="auto"/>
              </w:rPr>
              <w:t>Acquisitions</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gridSpan w:val="2"/>
          </w:tcPr>
          <w:p>
            <w:pPr>
              <w:spacing w:after="0" w:line="201" w:lineRule="exact"/>
              <w:rPr>
                <w:sz w:val="20"/>
                <w:szCs w:val="20"/>
                <w:color w:val="auto"/>
              </w:rPr>
            </w:pPr>
            <w:r>
              <w:rPr>
                <w:rFonts w:ascii="Arial" w:cs="Arial" w:eastAsia="Arial" w:hAnsi="Arial"/>
                <w:sz w:val="18"/>
                <w:szCs w:val="18"/>
                <w:color w:val="auto"/>
              </w:rPr>
              <w:t>Acquisitions</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16"/>
        </w:trPr>
        <w:tc>
          <w:tcPr>
            <w:tcW w:w="3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ind w:right="350"/>
              <w:spacing w:after="0"/>
              <w:rPr>
                <w:sz w:val="20"/>
                <w:szCs w:val="20"/>
                <w:color w:val="auto"/>
              </w:rPr>
            </w:pPr>
            <w:r>
              <w:rPr>
                <w:rFonts w:ascii="Arial" w:cs="Arial" w:eastAsia="Arial" w:hAnsi="Arial"/>
                <w:sz w:val="18"/>
                <w:szCs w:val="18"/>
                <w:color w:val="auto"/>
              </w:rPr>
              <w:t>As</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ind w:right="210"/>
              <w:spacing w:after="0"/>
              <w:rPr>
                <w:sz w:val="20"/>
                <w:szCs w:val="20"/>
                <w:color w:val="auto"/>
              </w:rPr>
            </w:pPr>
            <w:r>
              <w:rPr>
                <w:rFonts w:ascii="Arial" w:cs="Arial" w:eastAsia="Arial" w:hAnsi="Arial"/>
                <w:sz w:val="18"/>
                <w:szCs w:val="18"/>
                <w:color w:val="auto"/>
                <w:w w:val="95"/>
              </w:rPr>
              <w:t>(Note A)</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ind w:right="330"/>
              <w:spacing w:after="0"/>
              <w:rPr>
                <w:sz w:val="20"/>
                <w:szCs w:val="20"/>
                <w:color w:val="auto"/>
              </w:rPr>
            </w:pPr>
            <w:r>
              <w:rPr>
                <w:rFonts w:ascii="Arial" w:cs="Arial" w:eastAsia="Arial" w:hAnsi="Arial"/>
                <w:sz w:val="18"/>
                <w:szCs w:val="18"/>
                <w:color w:val="auto"/>
              </w:rPr>
              <w:t>FX</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170"/>
              <w:spacing w:after="0"/>
              <w:rPr>
                <w:sz w:val="20"/>
                <w:szCs w:val="20"/>
                <w:color w:val="auto"/>
              </w:rPr>
            </w:pPr>
            <w:r>
              <w:rPr>
                <w:rFonts w:ascii="Arial" w:cs="Arial" w:eastAsia="Arial" w:hAnsi="Arial"/>
                <w:sz w:val="18"/>
                <w:szCs w:val="18"/>
                <w:color w:val="auto"/>
                <w:w w:val="88"/>
              </w:rPr>
              <w:t>Organic</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350"/>
              <w:spacing w:after="0"/>
              <w:rPr>
                <w:sz w:val="20"/>
                <w:szCs w:val="20"/>
                <w:color w:val="auto"/>
              </w:rPr>
            </w:pPr>
            <w:r>
              <w:rPr>
                <w:rFonts w:ascii="Arial" w:cs="Arial" w:eastAsia="Arial" w:hAnsi="Arial"/>
                <w:sz w:val="18"/>
                <w:szCs w:val="18"/>
                <w:color w:val="auto"/>
              </w:rPr>
              <w:t>As</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50"/>
              <w:spacing w:after="0"/>
              <w:rPr>
                <w:sz w:val="20"/>
                <w:szCs w:val="20"/>
                <w:color w:val="auto"/>
              </w:rPr>
            </w:pPr>
            <w:r>
              <w:rPr>
                <w:rFonts w:ascii="Arial" w:cs="Arial" w:eastAsia="Arial" w:hAnsi="Arial"/>
                <w:sz w:val="18"/>
                <w:szCs w:val="18"/>
                <w:color w:val="auto"/>
                <w:w w:val="95"/>
              </w:rPr>
              <w:t>(Note A)</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170"/>
              <w:spacing w:after="0"/>
              <w:rPr>
                <w:sz w:val="20"/>
                <w:szCs w:val="20"/>
                <w:color w:val="auto"/>
              </w:rPr>
            </w:pPr>
            <w:r>
              <w:rPr>
                <w:rFonts w:ascii="Arial" w:cs="Arial" w:eastAsia="Arial" w:hAnsi="Arial"/>
                <w:sz w:val="18"/>
                <w:szCs w:val="18"/>
                <w:color w:val="auto"/>
                <w:w w:val="88"/>
              </w:rPr>
              <w:t>Organic</w:t>
            </w:r>
          </w:p>
        </w:tc>
      </w:tr>
      <w:tr>
        <w:trPr>
          <w:trHeight w:val="237"/>
        </w:trPr>
        <w:tc>
          <w:tcPr>
            <w:tcW w:w="3860" w:type="dxa"/>
            <w:vAlign w:val="bottom"/>
          </w:tcPr>
          <w:p>
            <w:pPr>
              <w:spacing w:after="0"/>
              <w:rPr>
                <w:sz w:val="20"/>
                <w:szCs w:val="20"/>
                <w:color w:val="auto"/>
              </w:rPr>
            </w:pPr>
          </w:p>
        </w:tc>
        <w:tc>
          <w:tcPr>
            <w:tcW w:w="940" w:type="dxa"/>
            <w:vAlign w:val="bottom"/>
            <w:tcBorders>
              <w:bottom w:val="single" w:sz="8" w:color="auto"/>
            </w:tcBorders>
            <w:gridSpan w:val="2"/>
          </w:tcPr>
          <w:p>
            <w:pPr>
              <w:jc w:val="right"/>
              <w:ind w:right="130"/>
              <w:spacing w:after="0"/>
              <w:rPr>
                <w:sz w:val="20"/>
                <w:szCs w:val="20"/>
                <w:color w:val="auto"/>
              </w:rPr>
            </w:pPr>
            <w:r>
              <w:rPr>
                <w:rFonts w:ascii="Arial" w:cs="Arial" w:eastAsia="Arial" w:hAnsi="Arial"/>
                <w:sz w:val="18"/>
                <w:szCs w:val="18"/>
                <w:color w:val="auto"/>
                <w:w w:val="94"/>
              </w:rPr>
              <w:t>Reported</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2"/>
              </w:rPr>
              <w:t>Impact</w:t>
            </w: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Borders>
              <w:bottom w:val="single" w:sz="8" w:color="auto"/>
            </w:tcBorders>
            <w:gridSpan w:val="2"/>
          </w:tcPr>
          <w:p>
            <w:pPr>
              <w:jc w:val="right"/>
              <w:ind w:right="130"/>
              <w:spacing w:after="0"/>
              <w:rPr>
                <w:sz w:val="20"/>
                <w:szCs w:val="20"/>
                <w:color w:val="auto"/>
              </w:rPr>
            </w:pPr>
            <w:r>
              <w:rPr>
                <w:rFonts w:ascii="Arial" w:cs="Arial" w:eastAsia="Arial" w:hAnsi="Arial"/>
                <w:sz w:val="18"/>
                <w:szCs w:val="18"/>
                <w:color w:val="auto"/>
                <w:w w:val="94"/>
              </w:rPr>
              <w:t>Reported</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r>
      <w:tr>
        <w:trPr>
          <w:trHeight w:val="432"/>
        </w:trPr>
        <w:tc>
          <w:tcPr>
            <w:tcW w:w="3860" w:type="dxa"/>
            <w:vAlign w:val="bottom"/>
          </w:tcPr>
          <w:p>
            <w:pPr>
              <w:spacing w:after="0"/>
              <w:rPr>
                <w:sz w:val="20"/>
                <w:szCs w:val="20"/>
                <w:color w:val="auto"/>
              </w:rPr>
            </w:pPr>
            <w:r>
              <w:rPr>
                <w:rFonts w:ascii="Arial" w:cs="Arial" w:eastAsia="Arial" w:hAnsi="Arial"/>
                <w:sz w:val="18"/>
                <w:szCs w:val="18"/>
                <w:b w:val="1"/>
                <w:bCs w:val="1"/>
                <w:color w:val="auto"/>
              </w:rPr>
              <w:t>Viad Consolidated:</w:t>
            </w: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56"/>
        </w:trPr>
        <w:tc>
          <w:tcPr>
            <w:tcW w:w="3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Revenue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5"/>
              </w:rPr>
              <w:t>507,340</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2,638</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7,512</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497,190</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8"/>
              </w:rPr>
              <w:t>415,435</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415,435</w:t>
            </w:r>
          </w:p>
        </w:tc>
      </w:tr>
      <w:tr>
        <w:trPr>
          <w:trHeight w:val="210"/>
        </w:trPr>
        <w:tc>
          <w:tcPr>
            <w:tcW w:w="3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gridSpan w:val="2"/>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Net loss attributable to Viad</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(92,655)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0"/>
              </w:rPr>
              <w:t>(374,094)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02"/>
        </w:trPr>
        <w:tc>
          <w:tcPr>
            <w:tcW w:w="3860" w:type="dxa"/>
            <w:vAlign w:val="bottom"/>
          </w:tcPr>
          <w:p>
            <w:pPr>
              <w:spacing w:after="0" w:line="201" w:lineRule="exact"/>
              <w:rPr>
                <w:sz w:val="20"/>
                <w:szCs w:val="20"/>
                <w:color w:val="auto"/>
              </w:rPr>
            </w:pPr>
            <w:r>
              <w:rPr>
                <w:rFonts w:ascii="Arial" w:cs="Arial" w:eastAsia="Arial" w:hAnsi="Arial"/>
                <w:sz w:val="18"/>
                <w:szCs w:val="18"/>
                <w:color w:val="auto"/>
              </w:rPr>
              <w:t>Net income (loss) attributable to noncontrolling</w:t>
            </w: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30"/>
        </w:trPr>
        <w:tc>
          <w:tcPr>
            <w:tcW w:w="3860" w:type="dxa"/>
            <w:vAlign w:val="bottom"/>
          </w:tcPr>
          <w:p>
            <w:pPr>
              <w:spacing w:after="0"/>
              <w:rPr>
                <w:sz w:val="20"/>
                <w:szCs w:val="20"/>
                <w:color w:val="auto"/>
              </w:rPr>
            </w:pPr>
            <w:r>
              <w:rPr>
                <w:rFonts w:ascii="Arial" w:cs="Arial" w:eastAsia="Arial" w:hAnsi="Arial"/>
                <w:sz w:val="18"/>
                <w:szCs w:val="18"/>
                <w:color w:val="auto"/>
              </w:rPr>
              <w:t>interest</w:t>
            </w:r>
          </w:p>
        </w:tc>
        <w:tc>
          <w:tcPr>
            <w:tcW w:w="140" w:type="dxa"/>
            <w:vAlign w:val="bottom"/>
          </w:tcPr>
          <w:p>
            <w:pPr>
              <w:spacing w:after="0"/>
              <w:rPr>
                <w:sz w:val="20"/>
                <w:szCs w:val="20"/>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1,686</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(1,376)</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202"/>
        </w:trPr>
        <w:tc>
          <w:tcPr>
            <w:tcW w:w="3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Net loss attributable to redeemable noncontrolling</w:t>
            </w:r>
          </w:p>
        </w:tc>
        <w:tc>
          <w:tcPr>
            <w:tcW w:w="1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30"/>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interest</w:t>
            </w:r>
          </w:p>
        </w:tc>
        <w:tc>
          <w:tcPr>
            <w:tcW w:w="140" w:type="dxa"/>
            <w:vAlign w:val="bottom"/>
            <w:shd w:val="clear" w:color="auto" w:fill="CCEEFF"/>
          </w:tcPr>
          <w:p>
            <w:pPr>
              <w:spacing w:after="0"/>
              <w:rPr>
                <w:sz w:val="20"/>
                <w:szCs w:val="20"/>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(1,766)</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(1,482)</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(558)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1,847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(1,788)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14,246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Net interest expense</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28,324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17,887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Other expense</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2,013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1,132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Pension plan withdrawal</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462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Impairment charges</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8"/>
              </w:rPr>
              <w:t>203,076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Restructuring charges</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6,066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13,440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53,750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56,565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Attraction start-up costs (B)</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4,744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4,162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Integration costs</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Acquisition transaction-related costs</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892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194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Other non-recurring expenses (C)</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569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1,770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23"/>
        </w:trPr>
        <w:tc>
          <w:tcPr>
            <w:tcW w:w="3860" w:type="dxa"/>
            <w:vAlign w:val="bottom"/>
          </w:tcPr>
          <w:p>
            <w:pPr>
              <w:spacing w:after="0"/>
              <w:rPr>
                <w:sz w:val="20"/>
                <w:szCs w:val="20"/>
                <w:color w:val="auto"/>
              </w:rPr>
            </w:pPr>
            <w:r>
              <w:rPr>
                <w:rFonts w:ascii="Arial" w:cs="Arial" w:eastAsia="Arial" w:hAnsi="Arial"/>
                <w:sz w:val="18"/>
                <w:szCs w:val="18"/>
                <w:color w:val="auto"/>
              </w:rPr>
              <w:t>Restructuring related inventory write-off (D)</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5,300</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r>
      <w:tr>
        <w:trPr>
          <w:trHeight w:val="256"/>
        </w:trPr>
        <w:tc>
          <w:tcPr>
            <w:tcW w:w="3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Consolidated Adjusted EBITDA</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1,340</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993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225</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122</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(56,809)</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(56,809)</w:t>
            </w:r>
          </w:p>
        </w:tc>
      </w:tr>
      <w:tr>
        <w:trPr>
          <w:trHeight w:val="195"/>
        </w:trPr>
        <w:tc>
          <w:tcPr>
            <w:tcW w:w="3860" w:type="dxa"/>
            <w:vAlign w:val="bottom"/>
          </w:tcPr>
          <w:p>
            <w:pPr>
              <w:spacing w:after="0" w:line="195" w:lineRule="exact"/>
              <w:rPr>
                <w:sz w:val="20"/>
                <w:szCs w:val="20"/>
                <w:color w:val="auto"/>
              </w:rPr>
            </w:pPr>
            <w:r>
              <w:rPr>
                <w:rFonts w:ascii="Arial" w:cs="Arial" w:eastAsia="Arial" w:hAnsi="Arial"/>
                <w:sz w:val="18"/>
                <w:szCs w:val="18"/>
                <w:color w:val="auto"/>
              </w:rPr>
              <w:t>Corporate Adjusted EBITDA &amp; corporate</w:t>
            </w:r>
          </w:p>
        </w:tc>
        <w:tc>
          <w:tcPr>
            <w:tcW w:w="1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r>
      <w:tr>
        <w:trPr>
          <w:trHeight w:val="237"/>
        </w:trPr>
        <w:tc>
          <w:tcPr>
            <w:tcW w:w="3860" w:type="dxa"/>
            <w:vAlign w:val="bottom"/>
          </w:tcPr>
          <w:p>
            <w:pPr>
              <w:spacing w:after="0"/>
              <w:rPr>
                <w:sz w:val="20"/>
                <w:szCs w:val="20"/>
                <w:color w:val="auto"/>
              </w:rPr>
            </w:pPr>
            <w:r>
              <w:rPr>
                <w:rFonts w:ascii="Arial" w:cs="Arial" w:eastAsia="Arial" w:hAnsi="Arial"/>
                <w:sz w:val="18"/>
                <w:szCs w:val="18"/>
                <w:color w:val="auto"/>
              </w:rPr>
              <w:t>eliminations (E)</w:t>
            </w:r>
          </w:p>
        </w:tc>
        <w:tc>
          <w:tcPr>
            <w:tcW w:w="1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10,986</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10,986</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6,561</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6,561</w:t>
            </w:r>
          </w:p>
        </w:tc>
      </w:tr>
      <w:tr>
        <w:trPr>
          <w:trHeight w:val="257"/>
        </w:trPr>
        <w:tc>
          <w:tcPr>
            <w:tcW w:w="3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12,326</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993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225</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11,108</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(50,248)</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(50,248)</w:t>
            </w:r>
          </w:p>
        </w:tc>
      </w:tr>
      <w:tr>
        <w:trPr>
          <w:trHeight w:val="209"/>
        </w:trPr>
        <w:tc>
          <w:tcPr>
            <w:tcW w:w="3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b w:val="1"/>
                <w:bCs w:val="1"/>
                <w:color w:val="auto"/>
              </w:rPr>
              <w:t>GES:</w:t>
            </w: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57"/>
        </w:trPr>
        <w:tc>
          <w:tcPr>
            <w:tcW w:w="3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Revenue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5"/>
              </w:rPr>
              <w:t>320,292</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2,099</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318,193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8"/>
              </w:rPr>
              <w:t>338,625</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338,625</w:t>
            </w:r>
          </w:p>
        </w:tc>
      </w:tr>
      <w:tr>
        <w:trPr>
          <w:trHeight w:val="209"/>
        </w:trPr>
        <w:tc>
          <w:tcPr>
            <w:tcW w:w="3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gridSpan w:val="2"/>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gridSpan w:val="2"/>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gridSpan w:val="2"/>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gridSpan w:val="2"/>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gridSpan w:val="2"/>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gridSpan w:val="2"/>
          </w:tcPr>
          <w:p>
            <w:pPr>
              <w:spacing w:after="0"/>
              <w:rPr>
                <w:sz w:val="18"/>
                <w:szCs w:val="18"/>
                <w:color w:val="auto"/>
              </w:rPr>
            </w:pPr>
          </w:p>
        </w:tc>
        <w:tc>
          <w:tcPr>
            <w:tcW w:w="840" w:type="dxa"/>
            <w:vAlign w:val="bottom"/>
          </w:tcPr>
          <w:p>
            <w:pPr>
              <w:spacing w:after="0"/>
              <w:rPr>
                <w:sz w:val="18"/>
                <w:szCs w:val="18"/>
                <w:color w:val="auto"/>
              </w:rPr>
            </w:pPr>
          </w:p>
        </w:tc>
      </w:tr>
      <w:tr>
        <w:trPr>
          <w:trHeight w:val="223"/>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Segment operating loss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(51,611)</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(849)</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(50,762)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(73,897)</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(73,897)</w:t>
            </w:r>
          </w:p>
        </w:tc>
      </w:tr>
      <w:tr>
        <w:trPr>
          <w:trHeight w:val="216"/>
        </w:trPr>
        <w:tc>
          <w:tcPr>
            <w:tcW w:w="386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Restructuring related inventory write-off (D)</w:t>
            </w: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5,300</w:t>
            </w: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5,300</w:t>
            </w: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Adjusted segment operating loss</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(51,611)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(849)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(50,762)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(68,597)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(68,597)</w:t>
            </w: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Depreciation</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16,319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178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16,141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21,609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21,609</w:t>
            </w:r>
          </w:p>
        </w:tc>
      </w:tr>
      <w:tr>
        <w:trPr>
          <w:trHeight w:val="223"/>
        </w:trPr>
        <w:tc>
          <w:tcPr>
            <w:tcW w:w="3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Amortization</w:t>
            </w:r>
          </w:p>
        </w:tc>
        <w:tc>
          <w:tcPr>
            <w:tcW w:w="1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4,929</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22</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4,907</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6,465</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6,465</w:t>
            </w:r>
          </w:p>
        </w:tc>
      </w:tr>
      <w:tr>
        <w:trPr>
          <w:trHeight w:val="216"/>
        </w:trPr>
        <w:tc>
          <w:tcPr>
            <w:tcW w:w="3860" w:type="dxa"/>
            <w:vAlign w:val="bottom"/>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(30,363)</w:t>
            </w:r>
          </w:p>
        </w:tc>
        <w:tc>
          <w:tcPr>
            <w:tcW w:w="22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(649)</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b w:val="1"/>
                <w:bCs w:val="1"/>
                <w:color w:val="auto"/>
              </w:rPr>
              <w:t>(29,714)</w:t>
            </w:r>
          </w:p>
        </w:tc>
        <w:tc>
          <w:tcPr>
            <w:tcW w:w="2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ind w:right="10"/>
              <w:spacing w:after="0"/>
              <w:rPr>
                <w:sz w:val="20"/>
                <w:szCs w:val="20"/>
                <w:color w:val="auto"/>
              </w:rPr>
            </w:pPr>
            <w:r>
              <w:rPr>
                <w:rFonts w:ascii="Arial" w:cs="Arial" w:eastAsia="Arial" w:hAnsi="Arial"/>
                <w:sz w:val="18"/>
                <w:szCs w:val="18"/>
                <w:b w:val="1"/>
                <w:bCs w:val="1"/>
                <w:color w:val="auto"/>
              </w:rPr>
              <w:t>(40,523)</w:t>
            </w:r>
          </w:p>
        </w:tc>
        <w:tc>
          <w:tcPr>
            <w:tcW w:w="22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t>
            </w:r>
          </w:p>
        </w:tc>
        <w:tc>
          <w:tcPr>
            <w:tcW w:w="90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b w:val="1"/>
                <w:bCs w:val="1"/>
                <w:color w:val="auto"/>
              </w:rPr>
              <w:t>(40,523)</w:t>
            </w:r>
          </w:p>
        </w:tc>
      </w:tr>
      <w:tr>
        <w:trPr>
          <w:trHeight w:val="20"/>
        </w:trPr>
        <w:tc>
          <w:tcPr>
            <w:tcW w:w="38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r>
        <w:trPr>
          <w:trHeight w:val="210"/>
        </w:trPr>
        <w:tc>
          <w:tcPr>
            <w:tcW w:w="3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Adjusted segment operating margin</w:t>
            </w: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-40.4%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-16.0%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-20.3%</w:t>
            </w: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Segment Adjusted EBITDA margin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w:t>
            </w:r>
          </w:p>
        </w:tc>
      </w:tr>
      <w:tr>
        <w:trPr>
          <w:trHeight w:val="216"/>
        </w:trPr>
        <w:tc>
          <w:tcPr>
            <w:tcW w:w="3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Pursuit:</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Revenue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5"/>
              </w:rPr>
              <w:t>187,048</w:t>
            </w:r>
          </w:p>
        </w:tc>
        <w:tc>
          <w:tcPr>
            <w:tcW w:w="100" w:type="dxa"/>
            <w:vAlign w:val="bottom"/>
          </w:tcPr>
          <w:p>
            <w:pPr>
              <w:spacing w:after="0"/>
              <w:rPr>
                <w:sz w:val="18"/>
                <w:szCs w:val="18"/>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2,638</w:t>
            </w:r>
          </w:p>
        </w:tc>
        <w:tc>
          <w:tcPr>
            <w:tcW w:w="10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5,413</w:t>
            </w:r>
          </w:p>
        </w:tc>
        <w:tc>
          <w:tcPr>
            <w:tcW w:w="1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178,997</w:t>
            </w:r>
          </w:p>
        </w:tc>
        <w:tc>
          <w:tcPr>
            <w:tcW w:w="10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76,810</w:t>
            </w:r>
          </w:p>
        </w:tc>
        <w:tc>
          <w:tcPr>
            <w:tcW w:w="100" w:type="dxa"/>
            <w:vAlign w:val="bottom"/>
          </w:tcPr>
          <w:p>
            <w:pPr>
              <w:spacing w:after="0"/>
              <w:rPr>
                <w:sz w:val="18"/>
                <w:szCs w:val="18"/>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76,810</w:t>
            </w:r>
          </w:p>
        </w:tc>
      </w:tr>
      <w:tr>
        <w:trPr>
          <w:trHeight w:val="20"/>
        </w:trPr>
        <w:tc>
          <w:tcPr>
            <w:tcW w:w="38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r>
        <w:trPr>
          <w:trHeight w:val="210"/>
        </w:trPr>
        <w:tc>
          <w:tcPr>
            <w:tcW w:w="3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gridSpan w:val="2"/>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Segment operating income (loss)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4,609</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923</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(590)</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4,276</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(42,343)</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(42,343)</w:t>
            </w: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Integration costs</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62</w:t>
            </w:r>
          </w:p>
        </w:tc>
      </w:tr>
      <w:tr>
        <w:trPr>
          <w:trHeight w:val="216"/>
        </w:trPr>
        <w:tc>
          <w:tcPr>
            <w:tcW w:w="3860" w:type="dxa"/>
            <w:vAlign w:val="bottom"/>
          </w:tcPr>
          <w:p>
            <w:pPr>
              <w:spacing w:after="0"/>
              <w:rPr>
                <w:sz w:val="20"/>
                <w:szCs w:val="20"/>
                <w:color w:val="auto"/>
              </w:rPr>
            </w:pPr>
            <w:r>
              <w:rPr>
                <w:rFonts w:ascii="Arial" w:cs="Arial" w:eastAsia="Arial" w:hAnsi="Arial"/>
                <w:sz w:val="18"/>
                <w:szCs w:val="18"/>
                <w:color w:val="auto"/>
              </w:rPr>
              <w:t>Acquisition transaction-related costs</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862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828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23"/>
        </w:trPr>
        <w:tc>
          <w:tcPr>
            <w:tcW w:w="3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Attraction start-up costs (B)</w:t>
            </w:r>
          </w:p>
        </w:tc>
        <w:tc>
          <w:tcPr>
            <w:tcW w:w="1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4,744</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4,744</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4,162</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4,162</w:t>
            </w:r>
          </w:p>
        </w:tc>
      </w:tr>
      <w:tr>
        <w:trPr>
          <w:trHeight w:val="216"/>
        </w:trPr>
        <w:tc>
          <w:tcPr>
            <w:tcW w:w="3860" w:type="dxa"/>
            <w:vAlign w:val="bottom"/>
          </w:tcPr>
          <w:p>
            <w:pPr>
              <w:spacing w:after="0"/>
              <w:rPr>
                <w:sz w:val="20"/>
                <w:szCs w:val="20"/>
                <w:color w:val="auto"/>
              </w:rPr>
            </w:pPr>
            <w:r>
              <w:rPr>
                <w:rFonts w:ascii="Arial" w:cs="Arial" w:eastAsia="Arial" w:hAnsi="Arial"/>
                <w:sz w:val="18"/>
                <w:szCs w:val="18"/>
                <w:b w:val="1"/>
                <w:bCs w:val="1"/>
                <w:color w:val="auto"/>
              </w:rPr>
              <w:t>Adjusted segment operating income (loss)</w:t>
            </w:r>
          </w:p>
        </w:tc>
        <w:tc>
          <w:tcPr>
            <w:tcW w:w="140" w:type="dxa"/>
            <w:vAlign w:val="bottom"/>
          </w:tcPr>
          <w:p>
            <w:pPr>
              <w:spacing w:after="0"/>
              <w:rPr>
                <w:sz w:val="18"/>
                <w:szCs w:val="18"/>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b w:val="1"/>
                <w:bCs w:val="1"/>
                <w:color w:val="auto"/>
              </w:rPr>
              <w:t>10,221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b w:val="1"/>
                <w:bCs w:val="1"/>
                <w:color w:val="auto"/>
              </w:rPr>
              <w:t>929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(556)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b w:val="1"/>
                <w:bCs w:val="1"/>
                <w:color w:val="auto"/>
              </w:rPr>
              <w:t>9,848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b w:val="1"/>
                <w:bCs w:val="1"/>
                <w:color w:val="auto"/>
              </w:rPr>
              <w:t>(38,119)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b w:val="1"/>
                <w:bCs w:val="1"/>
                <w:color w:val="auto"/>
              </w:rPr>
              <w:t>(38,119)</w:t>
            </w: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Depreciation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27,360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1,195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26,101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24,760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24,760</w:t>
            </w:r>
          </w:p>
        </w:tc>
      </w:tr>
      <w:tr>
        <w:trPr>
          <w:trHeight w:val="223"/>
        </w:trPr>
        <w:tc>
          <w:tcPr>
            <w:tcW w:w="3860" w:type="dxa"/>
            <w:vAlign w:val="bottom"/>
          </w:tcPr>
          <w:p>
            <w:pPr>
              <w:spacing w:after="0"/>
              <w:rPr>
                <w:sz w:val="20"/>
                <w:szCs w:val="20"/>
                <w:color w:val="auto"/>
              </w:rPr>
            </w:pPr>
            <w:r>
              <w:rPr>
                <w:rFonts w:ascii="Arial" w:cs="Arial" w:eastAsia="Arial" w:hAnsi="Arial"/>
                <w:sz w:val="18"/>
                <w:szCs w:val="18"/>
                <w:color w:val="auto"/>
              </w:rPr>
              <w:t>Amortization</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5,108</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235</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4,873</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3,634</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3,634</w:t>
            </w:r>
          </w:p>
        </w:tc>
      </w:tr>
      <w:tr>
        <w:trPr>
          <w:trHeight w:val="256"/>
        </w:trPr>
        <w:tc>
          <w:tcPr>
            <w:tcW w:w="38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42,689</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993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874</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40,822</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(9,725)</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8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(9,725)</w:t>
            </w:r>
          </w:p>
        </w:tc>
      </w:tr>
      <w:tr>
        <w:trPr>
          <w:trHeight w:val="209"/>
        </w:trPr>
        <w:tc>
          <w:tcPr>
            <w:tcW w:w="3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3860" w:type="dxa"/>
            <w:vAlign w:val="bottom"/>
            <w:shd w:val="clear" w:color="auto" w:fill="CCEEFF"/>
          </w:tcPr>
          <w:p>
            <w:pPr>
              <w:spacing w:after="0"/>
              <w:rPr>
                <w:sz w:val="20"/>
                <w:szCs w:val="20"/>
                <w:color w:val="auto"/>
              </w:rPr>
            </w:pPr>
            <w:r>
              <w:rPr>
                <w:rFonts w:ascii="Arial" w:cs="Arial" w:eastAsia="Arial" w:hAnsi="Arial"/>
                <w:sz w:val="18"/>
                <w:szCs w:val="18"/>
                <w:color w:val="auto"/>
              </w:rPr>
              <w:t>Adjusted segment operating margin</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-49.6%</w:t>
            </w:r>
          </w:p>
        </w:tc>
      </w:tr>
      <w:tr>
        <w:trPr>
          <w:trHeight w:val="230"/>
        </w:trPr>
        <w:tc>
          <w:tcPr>
            <w:tcW w:w="3860" w:type="dxa"/>
            <w:vAlign w:val="bottom"/>
          </w:tcPr>
          <w:p>
            <w:pPr>
              <w:spacing w:after="0"/>
              <w:rPr>
                <w:sz w:val="20"/>
                <w:szCs w:val="20"/>
                <w:color w:val="auto"/>
              </w:rPr>
            </w:pPr>
            <w:r>
              <w:rPr>
                <w:rFonts w:ascii="Arial" w:cs="Arial" w:eastAsia="Arial" w:hAnsi="Arial"/>
                <w:sz w:val="18"/>
                <w:szCs w:val="18"/>
                <w:color w:val="auto"/>
              </w:rPr>
              <w:t>Segment Adjusted EBITDA margin</w:t>
            </w: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22.8%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37.6%</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16.1%</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22.8%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-12.7%</w:t>
            </w:r>
          </w:p>
        </w:tc>
      </w:tr>
    </w:tbl>
    <w:p>
      <w:pPr>
        <w:spacing w:after="0" w:line="187" w:lineRule="exact"/>
        <w:rPr>
          <w:sz w:val="20"/>
          <w:szCs w:val="20"/>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Acquisitions include the Golden Skybridge (acquired March 2021 and opened June 2021) for Pursuit.</w:t>
      </w:r>
    </w:p>
    <w:p>
      <w:pPr>
        <w:spacing w:after="0" w:line="23" w:lineRule="exact"/>
        <w:rPr>
          <w:rFonts w:ascii="Arial" w:cs="Arial" w:eastAsia="Arial" w:hAnsi="Arial"/>
          <w:sz w:val="18"/>
          <w:szCs w:val="18"/>
          <w:color w:val="auto"/>
        </w:rPr>
      </w:pPr>
    </w:p>
    <w:p>
      <w:pPr>
        <w:ind w:right="280" w:firstLine="8"/>
        <w:spacing w:after="0" w:line="250" w:lineRule="auto"/>
        <w:tabs>
          <w:tab w:leader="none" w:pos="285"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costs related to the development of Pursuit's new FlyOver attractions in Las Vegas and Toronto, the Sky Lagoon in Iceland, and the Golden Skybridge in Canada.</w:t>
      </w: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non-capitalizable fees and expenses related to Viad’s credit facility refinancing efforts.</w:t>
      </w:r>
    </w:p>
    <w:p>
      <w:pPr>
        <w:spacing w:after="0" w:line="9" w:lineRule="exact"/>
        <w:rPr>
          <w:rFonts w:ascii="Arial" w:cs="Arial" w:eastAsia="Arial" w:hAnsi="Arial"/>
          <w:sz w:val="18"/>
          <w:szCs w:val="18"/>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Includes inventory write-offs at GES in connection with transitioning to an outsourced model for trade show aisle carpet.</w:t>
      </w:r>
    </w:p>
    <w:p>
      <w:pPr>
        <w:spacing w:after="0" w:line="9" w:lineRule="exact"/>
        <w:rPr>
          <w:rFonts w:ascii="Arial" w:cs="Arial" w:eastAsia="Arial" w:hAnsi="Arial"/>
          <w:sz w:val="18"/>
          <w:szCs w:val="18"/>
          <w:color w:val="auto"/>
        </w:rPr>
      </w:pPr>
    </w:p>
    <w:p>
      <w:pPr>
        <w:ind w:right="400" w:firstLine="8"/>
        <w:spacing w:after="0" w:line="260" w:lineRule="auto"/>
        <w:tabs>
          <w:tab w:leader="none" w:pos="275"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Corporate Adjusted EBITDA is calculated as Corporate activities expense before depreciation, acquisition-transaction-related costs and other non-recurring costs included within Corporate activities expense.</w:t>
      </w:r>
    </w:p>
    <w:p>
      <w:pPr>
        <w:sectPr>
          <w:pgSz w:w="11900" w:h="16838" w:orient="portrait"/>
          <w:cols w:equalWidth="0" w:num="1">
            <w:col w:w="11240"/>
          </w:cols>
          <w:pgMar w:left="320" w:top="121" w:right="339" w:bottom="0" w:gutter="0" w:footer="0" w:header="0"/>
        </w:sectPr>
      </w:pPr>
    </w:p>
    <w:bookmarkStart w:id="17" w:name="page18"/>
    <w:bookmarkEnd w:id="17"/>
    <w:p>
      <w:pPr>
        <w:spacing w:after="0" w:line="260" w:lineRule="auto"/>
        <w:tabs>
          <w:tab w:leader="none" w:pos="275"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354965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8" w:name="page19"/>
    <w:bookmarkEnd w:id="18"/>
    <w:p>
      <w:pPr>
        <w:jc w:val="center"/>
        <w:ind w:right="100"/>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9"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46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rPr>
              <w:t>2021</w:t>
            </w: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r>
      <w:tr>
        <w:trPr>
          <w:trHeight w:val="223"/>
        </w:trPr>
        <w:tc>
          <w:tcPr>
            <w:tcW w:w="4620" w:type="dxa"/>
            <w:vAlign w:val="bottom"/>
          </w:tcPr>
          <w:p>
            <w:pPr>
              <w:spacing w:after="0"/>
              <w:rPr>
                <w:sz w:val="20"/>
                <w:szCs w:val="20"/>
                <w:color w:val="auto"/>
              </w:rPr>
            </w:pPr>
            <w:r>
              <w:rPr>
                <w:rFonts w:ascii="Arial" w:cs="Arial" w:eastAsia="Arial" w:hAnsi="Arial"/>
                <w:sz w:val="18"/>
                <w:szCs w:val="18"/>
                <w:color w:val="auto"/>
              </w:rPr>
              <w:t>($ in thousands)</w:t>
            </w:r>
          </w:p>
        </w:tc>
        <w:tc>
          <w:tcPr>
            <w:tcW w:w="3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Q1</w:t>
            </w:r>
          </w:p>
        </w:tc>
        <w:tc>
          <w:tcPr>
            <w:tcW w:w="1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Q2</w:t>
            </w:r>
          </w:p>
        </w:tc>
        <w:tc>
          <w:tcPr>
            <w:tcW w:w="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Q3</w:t>
            </w:r>
          </w:p>
        </w:tc>
        <w:tc>
          <w:tcPr>
            <w:tcW w:w="10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Q4</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99"/>
              </w:rPr>
              <w:t>Full Year</w:t>
            </w:r>
          </w:p>
        </w:tc>
      </w:tr>
      <w:tr>
        <w:trPr>
          <w:trHeight w:val="432"/>
        </w:trPr>
        <w:tc>
          <w:tcPr>
            <w:tcW w:w="4620" w:type="dxa"/>
            <w:vAlign w:val="bottom"/>
          </w:tcPr>
          <w:p>
            <w:pPr>
              <w:spacing w:after="0"/>
              <w:rPr>
                <w:sz w:val="20"/>
                <w:szCs w:val="20"/>
                <w:color w:val="auto"/>
              </w:rPr>
            </w:pPr>
            <w:r>
              <w:rPr>
                <w:rFonts w:ascii="Arial" w:cs="Arial" w:eastAsia="Arial" w:hAnsi="Arial"/>
                <w:sz w:val="18"/>
                <w:szCs w:val="18"/>
                <w:b w:val="1"/>
                <w:bCs w:val="1"/>
                <w:color w:val="auto"/>
              </w:rPr>
              <w:t>Viad Consolidated:</w:t>
            </w: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257"/>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28,935</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61,233</w:t>
            </w:r>
          </w:p>
        </w:tc>
        <w:tc>
          <w:tcPr>
            <w:tcW w:w="36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233,599</w:t>
            </w:r>
          </w:p>
        </w:tc>
        <w:tc>
          <w:tcPr>
            <w:tcW w:w="4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183,573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507,340</w:t>
            </w:r>
          </w:p>
        </w:tc>
      </w:tr>
      <w:tr>
        <w:trPr>
          <w:trHeight w:val="209"/>
        </w:trPr>
        <w:tc>
          <w:tcPr>
            <w:tcW w:w="462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attributable to Viad</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(43,152)</w:t>
            </w:r>
          </w:p>
        </w:tc>
        <w:tc>
          <w:tcPr>
            <w:tcW w:w="42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(42,026)</w:t>
            </w:r>
          </w:p>
        </w:tc>
        <w:tc>
          <w:tcPr>
            <w:tcW w:w="36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15,067</w:t>
            </w:r>
          </w:p>
        </w:tc>
        <w:tc>
          <w:tcPr>
            <w:tcW w:w="4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(22,544)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(92,655)</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income (loss) attributable to noncontrolling interest</w:t>
            </w:r>
          </w:p>
        </w:tc>
        <w:tc>
          <w:tcPr>
            <w:tcW w:w="3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(1,445)</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(510)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5,004</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(1,363)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1,686</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w w:val="99"/>
              </w:rPr>
              <w:t>Net loss attributable to redeemable noncontrolling interest</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(494)</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(1,766)</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(Income) loss from discontinued operations</w:t>
            </w:r>
          </w:p>
        </w:tc>
        <w:tc>
          <w:tcPr>
            <w:tcW w:w="3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(348)</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(248)</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(558)</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(3,045)</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(2,166)</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5,329</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(1,788)</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interest expense</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5,085</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5,565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9,518</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8,156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28,324</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Other expense</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360</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680</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466</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507</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2,013</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Pension plan withdrawal</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57</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57</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Restructuring charges</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2,826</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787</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2,186</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267</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6,066</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13,177</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13,333</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13,476</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13,764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53,750</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Attraction start-up costs (A)</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1,564</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2,054</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1,415</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4,744</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Integration costs</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Acquisition transaction-related costs</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243</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385</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176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892</w:t>
            </w:r>
          </w:p>
        </w:tc>
      </w:tr>
      <w:tr>
        <w:trPr>
          <w:trHeight w:val="223"/>
        </w:trPr>
        <w:tc>
          <w:tcPr>
            <w:tcW w:w="4620" w:type="dxa"/>
            <w:vAlign w:val="bottom"/>
          </w:tcPr>
          <w:p>
            <w:pPr>
              <w:spacing w:after="0"/>
              <w:rPr>
                <w:sz w:val="20"/>
                <w:szCs w:val="20"/>
                <w:color w:val="auto"/>
              </w:rPr>
            </w:pPr>
            <w:r>
              <w:rPr>
                <w:rFonts w:ascii="Arial" w:cs="Arial" w:eastAsia="Arial" w:hAnsi="Arial"/>
                <w:sz w:val="18"/>
                <w:szCs w:val="18"/>
                <w:color w:val="auto"/>
              </w:rPr>
              <w:t>Other non-recurring expenses (B)</w:t>
            </w:r>
          </w:p>
        </w:tc>
        <w:tc>
          <w:tcPr>
            <w:tcW w:w="3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557</w:t>
            </w:r>
          </w:p>
        </w:tc>
        <w:tc>
          <w:tcPr>
            <w:tcW w:w="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569</w:t>
            </w:r>
          </w:p>
        </w:tc>
      </w:tr>
      <w:tr>
        <w:trPr>
          <w:trHeight w:val="257"/>
        </w:trPr>
        <w:tc>
          <w:tcPr>
            <w:tcW w:w="4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Consolidated Adjusted EBITDA</w:t>
            </w: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(25,218)</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(21,945)</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52,304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(3,801)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1,340</w:t>
            </w:r>
          </w:p>
        </w:tc>
      </w:tr>
      <w:tr>
        <w:trPr>
          <w:trHeight w:val="217"/>
        </w:trPr>
        <w:tc>
          <w:tcPr>
            <w:tcW w:w="4620" w:type="dxa"/>
            <w:vAlign w:val="bottom"/>
          </w:tcPr>
          <w:p>
            <w:pPr>
              <w:spacing w:after="0"/>
              <w:rPr>
                <w:sz w:val="20"/>
                <w:szCs w:val="20"/>
                <w:color w:val="auto"/>
              </w:rPr>
            </w:pPr>
            <w:r>
              <w:rPr>
                <w:rFonts w:ascii="Arial" w:cs="Arial" w:eastAsia="Arial" w:hAnsi="Arial"/>
                <w:sz w:val="18"/>
                <w:szCs w:val="18"/>
                <w:color w:val="auto"/>
              </w:rPr>
              <w:t>Corporate Adjusted EBITDA &amp; corporate eliminations (C)</w:t>
            </w:r>
          </w:p>
        </w:tc>
        <w:tc>
          <w:tcPr>
            <w:tcW w:w="3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1,931</w:t>
            </w:r>
          </w:p>
        </w:tc>
        <w:tc>
          <w:tcPr>
            <w:tcW w:w="1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2,395</w:t>
            </w:r>
          </w:p>
        </w:tc>
        <w:tc>
          <w:tcPr>
            <w:tcW w:w="1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3,064</w:t>
            </w:r>
          </w:p>
        </w:tc>
        <w:tc>
          <w:tcPr>
            <w:tcW w:w="1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3,596</w:t>
            </w: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10,986</w:t>
            </w:r>
          </w:p>
        </w:tc>
      </w:tr>
      <w:tr>
        <w:trPr>
          <w:trHeight w:val="256"/>
        </w:trPr>
        <w:tc>
          <w:tcPr>
            <w:tcW w:w="4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(23,287)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(19,550)</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55,368</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12,326</w:t>
            </w:r>
          </w:p>
        </w:tc>
      </w:tr>
      <w:tr>
        <w:trPr>
          <w:trHeight w:val="210"/>
        </w:trPr>
        <w:tc>
          <w:tcPr>
            <w:tcW w:w="46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r>
      <w:tr>
        <w:trPr>
          <w:trHeight w:val="223"/>
        </w:trPr>
        <w:tc>
          <w:tcPr>
            <w:tcW w:w="46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rPr>
              <w:t>2020</w:t>
            </w:r>
          </w:p>
        </w:tc>
        <w:tc>
          <w:tcPr>
            <w:tcW w:w="10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r>
      <w:tr>
        <w:trPr>
          <w:trHeight w:val="223"/>
        </w:trPr>
        <w:tc>
          <w:tcPr>
            <w:tcW w:w="4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 in thousands)</w:t>
            </w:r>
          </w:p>
        </w:tc>
        <w:tc>
          <w:tcPr>
            <w:tcW w:w="32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Q1</w:t>
            </w:r>
          </w:p>
        </w:tc>
        <w:tc>
          <w:tcPr>
            <w:tcW w:w="12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Q2</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Q3</w:t>
            </w:r>
          </w:p>
        </w:tc>
        <w:tc>
          <w:tcPr>
            <w:tcW w:w="1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Q4</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Full Year</w:t>
            </w:r>
          </w:p>
        </w:tc>
      </w:tr>
      <w:tr>
        <w:trPr>
          <w:trHeight w:val="216"/>
        </w:trPr>
        <w:tc>
          <w:tcPr>
            <w:tcW w:w="46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Viad Consolidated:</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Revenue</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294,658</w:t>
            </w:r>
          </w:p>
        </w:tc>
        <w:tc>
          <w:tcPr>
            <w:tcW w:w="12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30,067</w:t>
            </w:r>
          </w:p>
        </w:tc>
        <w:tc>
          <w:tcPr>
            <w:tcW w:w="360" w:type="dxa"/>
            <w:vAlign w:val="bottom"/>
            <w:gridSpan w:val="2"/>
          </w:tcPr>
          <w:p>
            <w:pPr>
              <w:jc w:val="right"/>
              <w:ind w:right="87"/>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62,807</w:t>
            </w:r>
          </w:p>
        </w:tc>
        <w:tc>
          <w:tcPr>
            <w:tcW w:w="40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27,903</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415,435</w:t>
            </w:r>
          </w:p>
        </w:tc>
      </w:tr>
      <w:tr>
        <w:trPr>
          <w:trHeight w:val="20"/>
        </w:trPr>
        <w:tc>
          <w:tcPr>
            <w:tcW w:w="46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r>
        <w:trPr>
          <w:trHeight w:val="210"/>
        </w:trPr>
        <w:tc>
          <w:tcPr>
            <w:tcW w:w="46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20" w:type="dxa"/>
            <w:vAlign w:val="bottom"/>
            <w:gridSpan w:val="2"/>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60" w:type="dxa"/>
            <w:vAlign w:val="bottom"/>
            <w:gridSpan w:val="2"/>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00" w:type="dxa"/>
            <w:vAlign w:val="bottom"/>
            <w:gridSpan w:val="2"/>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loss attributable to Viad</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(86,585)</w:t>
            </w:r>
          </w:p>
        </w:tc>
        <w:tc>
          <w:tcPr>
            <w:tcW w:w="42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(206,278)</w:t>
            </w:r>
          </w:p>
        </w:tc>
        <w:tc>
          <w:tcPr>
            <w:tcW w:w="360" w:type="dxa"/>
            <w:vAlign w:val="bottom"/>
            <w:gridSpan w:val="2"/>
          </w:tcPr>
          <w:p>
            <w:pPr>
              <w:jc w:val="right"/>
              <w:ind w:right="87"/>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(30,758)</w:t>
            </w:r>
          </w:p>
        </w:tc>
        <w:tc>
          <w:tcPr>
            <w:tcW w:w="40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(50,473)</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(374,094)</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attributable to noncontrolling interest</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(1,333)</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(1,634)</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2,331</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(740)</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(1,376)</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w w:val="99"/>
              </w:rPr>
              <w:t>Net loss attributable to redeemable noncontrolling interest</w:t>
            </w:r>
          </w:p>
        </w:tc>
        <w:tc>
          <w:tcPr>
            <w:tcW w:w="3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(517)</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(204)</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(302)</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(459)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(1,482)</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Loss from discontinued operations</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454</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379</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989</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1,847</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3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(15,797)</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35,516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735</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(6,208)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14,246</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Net interest expense</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3,939</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5,010</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5,450</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3,488</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17,887</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Other expense</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419</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265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210</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238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1,132</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Pension plan withdrawal</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462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462</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Impairment charges</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88,380</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114,020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676</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203,076</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Restructuring charges</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851</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260</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11,259</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1,070</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13,440</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15,285</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13,850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13,916</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13,514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56,565</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Attraction start-up costs (A)</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996</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854</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1,014</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1,298</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4,162</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Integration costs</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70</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62</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Acquisition transaction-related costs</w:t>
            </w:r>
          </w:p>
        </w:tc>
        <w:tc>
          <w:tcPr>
            <w:tcW w:w="3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148</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31</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194</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Restructuring related inventory write-off (D)</w:t>
            </w:r>
          </w:p>
        </w:tc>
        <w:tc>
          <w:tcPr>
            <w:tcW w:w="32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5,300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5,300</w:t>
            </w:r>
          </w:p>
        </w:tc>
      </w:tr>
      <w:tr>
        <w:trPr>
          <w:trHeight w:val="223"/>
        </w:trPr>
        <w:tc>
          <w:tcPr>
            <w:tcW w:w="4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Other non-recurring expenses (B)</w:t>
            </w:r>
          </w:p>
        </w:tc>
        <w:tc>
          <w:tcPr>
            <w:tcW w:w="32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190</w:t>
            </w:r>
          </w:p>
        </w:tc>
        <w:tc>
          <w:tcPr>
            <w:tcW w:w="12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1,046</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445</w:t>
            </w:r>
          </w:p>
        </w:tc>
        <w:tc>
          <w:tcPr>
            <w:tcW w:w="1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89</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1,770</w:t>
            </w:r>
          </w:p>
        </w:tc>
      </w:tr>
      <w:tr>
        <w:trPr>
          <w:trHeight w:val="216"/>
        </w:trPr>
        <w:tc>
          <w:tcPr>
            <w:tcW w:w="4620" w:type="dxa"/>
            <w:vAlign w:val="bottom"/>
          </w:tcPr>
          <w:p>
            <w:pPr>
              <w:ind w:left="180"/>
              <w:spacing w:after="0"/>
              <w:rPr>
                <w:sz w:val="20"/>
                <w:szCs w:val="20"/>
                <w:color w:val="auto"/>
              </w:rPr>
            </w:pPr>
            <w:r>
              <w:rPr>
                <w:rFonts w:ascii="Arial" w:cs="Arial" w:eastAsia="Arial" w:hAnsi="Arial"/>
                <w:sz w:val="18"/>
                <w:szCs w:val="18"/>
                <w:b w:val="1"/>
                <w:bCs w:val="1"/>
                <w:color w:val="auto"/>
              </w:rPr>
              <w:t>Consolidated Adjusted EBITDA</w:t>
            </w:r>
          </w:p>
        </w:tc>
        <w:tc>
          <w:tcPr>
            <w:tcW w:w="320" w:type="dxa"/>
            <w:vAlign w:val="bottom"/>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940" w:type="dxa"/>
            <w:vAlign w:val="bottom"/>
          </w:tcPr>
          <w:p>
            <w:pPr>
              <w:jc w:val="right"/>
              <w:ind w:right="30"/>
              <w:spacing w:after="0"/>
              <w:rPr>
                <w:sz w:val="20"/>
                <w:szCs w:val="20"/>
                <w:color w:val="auto"/>
              </w:rPr>
            </w:pPr>
            <w:r>
              <w:rPr>
                <w:rFonts w:ascii="Arial" w:cs="Arial" w:eastAsia="Arial" w:hAnsi="Arial"/>
                <w:sz w:val="18"/>
                <w:szCs w:val="18"/>
                <w:b w:val="1"/>
                <w:bCs w:val="1"/>
                <w:color w:val="auto"/>
              </w:rPr>
              <w:t>6,500</w:t>
            </w:r>
          </w:p>
        </w:tc>
        <w:tc>
          <w:tcPr>
            <w:tcW w:w="42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(36,433)</w:t>
            </w:r>
          </w:p>
        </w:tc>
        <w:tc>
          <w:tcPr>
            <w:tcW w:w="360" w:type="dxa"/>
            <w:vAlign w:val="bottom"/>
            <w:gridSpan w:val="2"/>
          </w:tcPr>
          <w:p>
            <w:pPr>
              <w:jc w:val="right"/>
              <w:ind w:right="87"/>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30"/>
              <w:spacing w:after="0"/>
              <w:rPr>
                <w:sz w:val="20"/>
                <w:szCs w:val="20"/>
                <w:color w:val="auto"/>
              </w:rPr>
            </w:pPr>
            <w:r>
              <w:rPr>
                <w:rFonts w:ascii="Arial" w:cs="Arial" w:eastAsia="Arial" w:hAnsi="Arial"/>
                <w:sz w:val="18"/>
                <w:szCs w:val="18"/>
                <w:b w:val="1"/>
                <w:bCs w:val="1"/>
                <w:color w:val="auto"/>
              </w:rPr>
              <w:t>5,971</w:t>
            </w:r>
          </w:p>
        </w:tc>
        <w:tc>
          <w:tcPr>
            <w:tcW w:w="40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(32,847)</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(56,809)</w:t>
            </w:r>
          </w:p>
        </w:tc>
      </w:tr>
      <w:tr>
        <w:trPr>
          <w:trHeight w:val="21"/>
        </w:trPr>
        <w:tc>
          <w:tcPr>
            <w:tcW w:w="46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r>
        <w:trPr>
          <w:trHeight w:val="216"/>
        </w:trPr>
        <w:tc>
          <w:tcPr>
            <w:tcW w:w="4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Corporate Adjusted EBITDA &amp; corporate eliminations (C)</w:t>
            </w:r>
          </w:p>
        </w:tc>
        <w:tc>
          <w:tcPr>
            <w:tcW w:w="32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381</w:t>
            </w:r>
          </w:p>
        </w:tc>
        <w:tc>
          <w:tcPr>
            <w:tcW w:w="1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1,357</w:t>
            </w: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2,168</w:t>
            </w: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2,655</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6,561</w:t>
            </w:r>
          </w:p>
        </w:tc>
      </w:tr>
      <w:tr>
        <w:trPr>
          <w:trHeight w:val="216"/>
        </w:trPr>
        <w:tc>
          <w:tcPr>
            <w:tcW w:w="4620" w:type="dxa"/>
            <w:vAlign w:val="bottom"/>
          </w:tcPr>
          <w:p>
            <w:pPr>
              <w:ind w:left="180"/>
              <w:spacing w:after="0"/>
              <w:rPr>
                <w:sz w:val="20"/>
                <w:szCs w:val="20"/>
                <w:color w:val="auto"/>
              </w:rPr>
            </w:pPr>
            <w:r>
              <w:rPr>
                <w:rFonts w:ascii="Arial" w:cs="Arial" w:eastAsia="Arial" w:hAnsi="Arial"/>
                <w:sz w:val="18"/>
                <w:szCs w:val="18"/>
                <w:b w:val="1"/>
                <w:bCs w:val="1"/>
                <w:color w:val="auto"/>
              </w:rPr>
              <w:t>Segment Adjusted EBITDA</w:t>
            </w:r>
          </w:p>
        </w:tc>
        <w:tc>
          <w:tcPr>
            <w:tcW w:w="320" w:type="dxa"/>
            <w:vAlign w:val="bottom"/>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940" w:type="dxa"/>
            <w:vAlign w:val="bottom"/>
          </w:tcPr>
          <w:p>
            <w:pPr>
              <w:jc w:val="right"/>
              <w:ind w:right="30"/>
              <w:spacing w:after="0"/>
              <w:rPr>
                <w:sz w:val="20"/>
                <w:szCs w:val="20"/>
                <w:color w:val="auto"/>
              </w:rPr>
            </w:pPr>
            <w:r>
              <w:rPr>
                <w:rFonts w:ascii="Arial" w:cs="Arial" w:eastAsia="Arial" w:hAnsi="Arial"/>
                <w:sz w:val="18"/>
                <w:szCs w:val="18"/>
                <w:b w:val="1"/>
                <w:bCs w:val="1"/>
                <w:color w:val="auto"/>
              </w:rPr>
              <w:t>6,881</w:t>
            </w:r>
          </w:p>
        </w:tc>
        <w:tc>
          <w:tcPr>
            <w:tcW w:w="42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spacing w:after="0"/>
              <w:rPr>
                <w:sz w:val="20"/>
                <w:szCs w:val="20"/>
                <w:color w:val="auto"/>
              </w:rPr>
            </w:pPr>
            <w:r>
              <w:rPr>
                <w:rFonts w:ascii="Arial" w:cs="Arial" w:eastAsia="Arial" w:hAnsi="Arial"/>
                <w:sz w:val="18"/>
                <w:szCs w:val="18"/>
                <w:b w:val="1"/>
                <w:bCs w:val="1"/>
                <w:color w:val="auto"/>
              </w:rPr>
              <w:t>(35,076)</w:t>
            </w:r>
          </w:p>
        </w:tc>
        <w:tc>
          <w:tcPr>
            <w:tcW w:w="360" w:type="dxa"/>
            <w:vAlign w:val="bottom"/>
            <w:gridSpan w:val="2"/>
          </w:tcPr>
          <w:p>
            <w:pPr>
              <w:jc w:val="right"/>
              <w:ind w:right="87"/>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30"/>
              <w:spacing w:after="0"/>
              <w:rPr>
                <w:sz w:val="20"/>
                <w:szCs w:val="20"/>
                <w:color w:val="auto"/>
              </w:rPr>
            </w:pPr>
            <w:r>
              <w:rPr>
                <w:rFonts w:ascii="Arial" w:cs="Arial" w:eastAsia="Arial" w:hAnsi="Arial"/>
                <w:sz w:val="18"/>
                <w:szCs w:val="18"/>
                <w:b w:val="1"/>
                <w:bCs w:val="1"/>
                <w:color w:val="auto"/>
              </w:rPr>
              <w:t>8,139</w:t>
            </w:r>
          </w:p>
        </w:tc>
        <w:tc>
          <w:tcPr>
            <w:tcW w:w="40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(30,192)</w:t>
            </w:r>
          </w:p>
        </w:tc>
        <w:tc>
          <w:tcPr>
            <w:tcW w:w="26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(50,248)</w:t>
            </w:r>
          </w:p>
        </w:tc>
      </w:tr>
      <w:tr>
        <w:trPr>
          <w:trHeight w:val="21"/>
        </w:trPr>
        <w:tc>
          <w:tcPr>
            <w:tcW w:w="46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260" w:firstLine="8"/>
        <w:spacing w:after="0" w:line="258" w:lineRule="auto"/>
        <w:tabs>
          <w:tab w:leader="none" w:pos="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costs related to the development of Pursuit's new FlyOver attractions in Las Vegas and Toronto, the Sky Lagoon in Iceland, and the Golden Skybridge in Canada.</w:t>
      </w:r>
    </w:p>
    <w:p>
      <w:pPr>
        <w:spacing w:after="0" w:line="1" w:lineRule="exact"/>
        <w:rPr>
          <w:rFonts w:ascii="Arial" w:cs="Arial" w:eastAsia="Arial" w:hAnsi="Arial"/>
          <w:sz w:val="18"/>
          <w:szCs w:val="18"/>
          <w:color w:val="auto"/>
        </w:rPr>
      </w:pPr>
    </w:p>
    <w:p>
      <w:pPr>
        <w:ind w:left="300" w:hanging="292"/>
        <w:spacing w:after="0"/>
        <w:tabs>
          <w:tab w:leader="none" w:pos="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non-capitalizable fees and expenses related to Viad’s credit facility refinancing efforts.</w:t>
      </w:r>
    </w:p>
    <w:p>
      <w:pPr>
        <w:spacing w:after="0" w:line="9" w:lineRule="exact"/>
        <w:rPr>
          <w:rFonts w:ascii="Arial" w:cs="Arial" w:eastAsia="Arial" w:hAnsi="Arial"/>
          <w:sz w:val="18"/>
          <w:szCs w:val="18"/>
          <w:color w:val="auto"/>
        </w:rPr>
      </w:pPr>
    </w:p>
    <w:p>
      <w:pPr>
        <w:ind w:right="400" w:firstLine="8"/>
        <w:spacing w:after="0" w:line="250" w:lineRule="auto"/>
        <w:tabs>
          <w:tab w:leader="none" w:pos="285"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Corporate Adjusted EBITDA is calculated as Corporate activities expense before depreciation, acquisition-transaction-related costs and other non-recurring costs included within Corporate activities expense.</w:t>
      </w:r>
    </w:p>
    <w:p>
      <w:pPr>
        <w:ind w:left="300" w:hanging="292"/>
        <w:spacing w:after="0"/>
        <w:tabs>
          <w:tab w:leader="none" w:pos="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inventory write-offs at GES in connection with transitioning to an outsourced model for trade show aisle carpet.</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1)"/>
      <w:numFmt w:val="decimal"/>
      <w:start w:val="602"/>
    </w:lvl>
  </w:abstractNum>
  <w:abstractNum w:abstractNumId="4">
    <w:nsid w:val="515F007C"/>
    <w:multiLevelType w:val="hybridMultilevel"/>
    <w:lvl w:ilvl="0">
      <w:lvlJc w:val="left"/>
      <w:lvlText w:val="(%1)"/>
      <w:numFmt w:val="upperLetter"/>
      <w:start w:val="2"/>
    </w:lvl>
  </w:abstractNum>
  <w:abstractNum w:abstractNumId="5">
    <w:nsid w:val="5BD062C2"/>
    <w:multiLevelType w:val="hybridMultilevel"/>
    <w:lvl w:ilvl="0">
      <w:lvlJc w:val="left"/>
      <w:lvlText w:val="(%1)"/>
      <w:numFmt w:val="upperLetter"/>
      <w:start w:val="5"/>
    </w:lvl>
  </w:abstractNum>
  <w:abstractNum w:abstractNumId="6">
    <w:nsid w:val="12200854"/>
    <w:multiLevelType w:val="hybridMultilevel"/>
    <w:lvl w:ilvl="0">
      <w:lvlJc w:val="left"/>
      <w:lvlText w:val="(%1)"/>
      <w:numFmt w:val="upperLetter"/>
      <w:start w:val="8"/>
    </w:lvl>
  </w:abstractNum>
  <w:abstractNum w:abstractNumId="7">
    <w:nsid w:val="4DB127F8"/>
    <w:multiLevelType w:val="hybridMultilevel"/>
    <w:lvl w:ilvl="0">
      <w:lvlJc w:val="left"/>
      <w:lvlText w:val="1"/>
      <w:numFmt w:val="bullet"/>
      <w:start w:val="1"/>
    </w:lvl>
  </w:abstractNum>
  <w:abstractNum w:abstractNumId="8">
    <w:nsid w:val="216231B"/>
    <w:multiLevelType w:val="hybridMultilevel"/>
    <w:lvl w:ilvl="0">
      <w:lvlJc w:val="left"/>
      <w:lvlText w:val="(%1)"/>
      <w:numFmt w:val="upperLetter"/>
      <w:start w:val="3"/>
    </w:lvl>
  </w:abstractNum>
  <w:abstractNum w:abstractNumId="9">
    <w:nsid w:val="1F16E9E8"/>
    <w:multiLevelType w:val="hybridMultilevel"/>
    <w:lvl w:ilvl="0">
      <w:lvlJc w:val="left"/>
      <w:lvlText w:val="(%1)"/>
      <w:numFmt w:val="upperLetter"/>
      <w:start w:val="1"/>
    </w:lvl>
  </w:abstractNum>
  <w:abstractNum w:abstractNumId="10">
    <w:nsid w:val="1190CDE7"/>
    <w:multiLevelType w:val="hybridMultilevel"/>
    <w:lvl w:ilvl="0">
      <w:lvlJc w:val="left"/>
      <w:lvlText w:val="(%1)"/>
      <w:numFmt w:val="upperLetter"/>
      <w:start w:val="1"/>
    </w:lvl>
  </w:abstractNum>
  <w:abstractNum w:abstractNumId="11">
    <w:nsid w:val="66EF438D"/>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2022-02-11T22:42:37Z</dcterms:created>
  <dcterms:modified xsi:type="dcterms:W3CDTF">2022-02-11T22:42:37Z</dcterms:modified>
</cp:coreProperties>
</file>