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6"/>
          <w:szCs w:val="16"/>
          <w:b w:val="1"/>
          <w:bCs w:val="1"/>
          <w:color w:val="auto"/>
        </w:rPr>
        <w:t>UNITED STATES</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SECURITIES AND EXCHANGE COMMISSION</w:t>
      </w:r>
    </w:p>
    <w:p>
      <w:pPr>
        <w:spacing w:after="0" w:line="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Washington, D.C. 20549</w:t>
      </w:r>
    </w:p>
    <w:p>
      <w:pPr>
        <w:spacing w:after="0" w:line="187"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SCHEDULE 13G</w:t>
      </w:r>
    </w:p>
    <w:p>
      <w:pPr>
        <w:spacing w:after="0" w:line="220"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 Amendment No. 1)*</w:t>
      </w:r>
    </w:p>
    <w:p>
      <w:pPr>
        <w:spacing w:after="0" w:line="167"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Viad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(Name of Issuer)</w:t>
      </w:r>
    </w:p>
    <w:p>
      <w:pPr>
        <w:spacing w:after="0" w:line="208"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(Title of Class of Securities)</w:t>
      </w:r>
    </w:p>
    <w:p>
      <w:pPr>
        <w:spacing w:after="0" w:line="208" w:lineRule="exact"/>
        <w:rPr>
          <w:sz w:val="24"/>
          <w:szCs w:val="24"/>
          <w:color w:val="auto"/>
        </w:rPr>
      </w:pPr>
    </w:p>
    <w:p>
      <w:pPr>
        <w:ind w:left="5200"/>
        <w:spacing w:after="0"/>
        <w:rPr>
          <w:sz w:val="20"/>
          <w:szCs w:val="20"/>
          <w:color w:val="auto"/>
        </w:rPr>
      </w:pPr>
      <w:r>
        <w:rPr>
          <w:rFonts w:ascii="Arial" w:cs="Arial" w:eastAsia="Arial" w:hAnsi="Arial"/>
          <w:sz w:val="16"/>
          <w:szCs w:val="16"/>
          <w:color w:val="auto"/>
        </w:rPr>
        <w:t>92552R406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ind w:left="4980"/>
        <w:spacing w:after="0"/>
        <w:rPr>
          <w:sz w:val="20"/>
          <w:szCs w:val="20"/>
          <w:color w:val="auto"/>
        </w:rPr>
      </w:pPr>
      <w:r>
        <w:rPr>
          <w:rFonts w:ascii="Arial" w:cs="Arial" w:eastAsia="Arial" w:hAnsi="Arial"/>
          <w:sz w:val="16"/>
          <w:szCs w:val="16"/>
          <w:color w:val="auto"/>
        </w:rPr>
        <w:t>(CUSIP Number)</w:t>
      </w:r>
    </w:p>
    <w:p>
      <w:pPr>
        <w:spacing w:after="0" w:line="208"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(Date of Event which Requires Filing of this Statement)</w:t>
      </w:r>
    </w:p>
    <w:p>
      <w:pPr>
        <w:spacing w:after="0" w:line="221" w:lineRule="exact"/>
        <w:rPr>
          <w:sz w:val="24"/>
          <w:szCs w:val="24"/>
          <w:color w:val="auto"/>
        </w:rPr>
      </w:pPr>
    </w:p>
    <w:p>
      <w:pPr>
        <w:spacing w:after="0"/>
        <w:rPr>
          <w:sz w:val="20"/>
          <w:szCs w:val="20"/>
          <w:color w:val="auto"/>
        </w:rPr>
      </w:pPr>
      <w:r>
        <w:rPr>
          <w:rFonts w:ascii="Arial" w:cs="Arial" w:eastAsia="Arial" w:hAnsi="Arial"/>
          <w:sz w:val="16"/>
          <w:szCs w:val="16"/>
          <w:color w:val="auto"/>
        </w:rPr>
        <w:t>Check the appropriate box to designate the rule pursuant to which this Schedule is filed:</w:t>
      </w:r>
    </w:p>
    <w:p>
      <w:pPr>
        <w:spacing w:after="0" w:line="19" w:lineRule="exact"/>
        <w:rPr>
          <w:sz w:val="24"/>
          <w:szCs w:val="24"/>
          <w:color w:val="auto"/>
        </w:rPr>
      </w:pPr>
    </w:p>
    <w:p>
      <w:pPr>
        <w:jc w:val="both"/>
        <w:ind w:right="9840" w:firstLine="8"/>
        <w:spacing w:after="0" w:line="217" w:lineRule="exact"/>
        <w:tabs>
          <w:tab w:leader="none" w:pos="180" w:val="left"/>
        </w:tabs>
        <w:numPr>
          <w:ilvl w:val="0"/>
          <w:numId w:val="1"/>
        </w:numPr>
        <w:rPr>
          <w:rFonts w:ascii="Arial" w:cs="Arial" w:eastAsia="Arial" w:hAnsi="Arial"/>
          <w:sz w:val="18"/>
          <w:szCs w:val="18"/>
          <w:color w:val="auto"/>
        </w:rPr>
      </w:pPr>
      <w:r>
        <w:rPr>
          <w:rFonts w:ascii="Arial" w:cs="Arial" w:eastAsia="Arial" w:hAnsi="Arial"/>
          <w:sz w:val="16"/>
          <w:szCs w:val="16"/>
          <w:color w:val="auto"/>
        </w:rPr>
        <w:t xml:space="preserve">Rule 13d-1(b) </w:t>
      </w:r>
      <w:r>
        <w:rPr>
          <w:rFonts w:ascii="MS PGothic" w:cs="MS PGothic" w:eastAsia="MS PGothic" w:hAnsi="MS PGothic"/>
          <w:sz w:val="17"/>
          <w:szCs w:val="17"/>
          <w:color w:val="auto"/>
        </w:rPr>
        <w:t>☐</w:t>
      </w:r>
      <w:r>
        <w:rPr>
          <w:rFonts w:ascii="Arial" w:cs="Arial" w:eastAsia="Arial" w:hAnsi="Arial"/>
          <w:sz w:val="16"/>
          <w:szCs w:val="16"/>
          <w:color w:val="auto"/>
        </w:rPr>
        <w:t xml:space="preserve"> Rule 13d-1(c) </w:t>
      </w:r>
      <w:r>
        <w:rPr>
          <w:rFonts w:ascii="MS PGothic" w:cs="MS PGothic" w:eastAsia="MS PGothic" w:hAnsi="MS PGothic"/>
          <w:sz w:val="17"/>
          <w:szCs w:val="17"/>
          <w:color w:val="auto"/>
        </w:rPr>
        <w:t>☐</w:t>
      </w:r>
      <w:r>
        <w:rPr>
          <w:rFonts w:ascii="Arial" w:cs="Arial" w:eastAsia="Arial" w:hAnsi="Arial"/>
          <w:sz w:val="16"/>
          <w:szCs w:val="16"/>
          <w:color w:val="auto"/>
        </w:rPr>
        <w:t xml:space="preserve"> Rule 13d-1(d)</w:t>
      </w:r>
    </w:p>
    <w:p>
      <w:pPr>
        <w:spacing w:after="0" w:line="241" w:lineRule="exact"/>
        <w:rPr>
          <w:sz w:val="24"/>
          <w:szCs w:val="24"/>
          <w:color w:val="auto"/>
        </w:rPr>
      </w:pPr>
    </w:p>
    <w:p>
      <w:pPr>
        <w:ind w:right="140" w:firstLine="8"/>
        <w:spacing w:after="0" w:line="186" w:lineRule="auto"/>
        <w:tabs>
          <w:tab w:leader="none" w:pos="98" w:val="left"/>
        </w:tabs>
        <w:numPr>
          <w:ilvl w:val="0"/>
          <w:numId w:val="2"/>
        </w:numPr>
        <w:rPr>
          <w:rFonts w:ascii="Arial" w:cs="Arial" w:eastAsia="Arial" w:hAnsi="Arial"/>
          <w:sz w:val="27"/>
          <w:szCs w:val="27"/>
          <w:color w:val="auto"/>
          <w:vertAlign w:val="superscript"/>
        </w:rPr>
      </w:pPr>
      <w:r>
        <w:rPr>
          <w:rFonts w:ascii="Arial" w:cs="Arial" w:eastAsia="Arial" w:hAnsi="Arial"/>
          <w:sz w:val="16"/>
          <w:szCs w:val="16"/>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7" w:lineRule="exact"/>
        <w:rPr>
          <w:sz w:val="24"/>
          <w:szCs w:val="24"/>
          <w:color w:val="auto"/>
        </w:rPr>
      </w:pPr>
    </w:p>
    <w:p>
      <w:pPr>
        <w:jc w:val="both"/>
        <w:spacing w:after="0" w:line="260"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100"/>
          </w:cols>
          <w:pgMar w:left="320" w:top="229" w:right="479" w:bottom="1440" w:gutter="0" w:footer="0" w:header="0"/>
        </w:sectPr>
      </w:pPr>
    </w:p>
    <w:bookmarkStart w:id="1" w:name="page2"/>
    <w:bookmarkEnd w:id="1"/>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423545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t>CUSIP No. 92552R406</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2 of 4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480695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460" w:right="8260" w:hanging="344"/>
        <w:spacing w:after="0" w:line="554" w:lineRule="auto"/>
        <w:tabs>
          <w:tab w:leader="none" w:pos="460" w:val="left"/>
        </w:tabs>
        <w:numPr>
          <w:ilvl w:val="0"/>
          <w:numId w:val="3"/>
        </w:numPr>
        <w:rPr>
          <w:rFonts w:ascii="Arial" w:cs="Arial" w:eastAsia="Arial" w:hAnsi="Arial"/>
          <w:sz w:val="15"/>
          <w:szCs w:val="15"/>
          <w:color w:val="auto"/>
        </w:rPr>
      </w:pPr>
      <w:r>
        <w:rPr>
          <w:rFonts w:ascii="Arial" w:cs="Arial" w:eastAsia="Arial" w:hAnsi="Arial"/>
          <w:sz w:val="15"/>
          <w:szCs w:val="15"/>
          <w:color w:val="auto"/>
        </w:rPr>
        <w:t>NAMES OF REPORTING PERSONS Victory Capital Management Inc.</w:t>
      </w:r>
    </w:p>
    <w:p>
      <w:pPr>
        <w:ind w:left="460" w:right="5740"/>
        <w:spacing w:after="0" w:line="413" w:lineRule="auto"/>
        <w:rPr>
          <w:rFonts w:ascii="Arial" w:cs="Arial" w:eastAsia="Arial" w:hAnsi="Arial"/>
          <w:sz w:val="15"/>
          <w:szCs w:val="15"/>
          <w:color w:val="auto"/>
        </w:rPr>
      </w:pPr>
      <w:r>
        <w:rPr>
          <w:rFonts w:ascii="Arial" w:cs="Arial" w:eastAsia="Arial" w:hAnsi="Arial"/>
          <w:sz w:val="16"/>
          <w:szCs w:val="16"/>
          <w:color w:val="auto"/>
        </w:rPr>
        <w:t>I.R.S. IDENTIFICATION NOS. OF ABOVE PERSONS (ENTITIES ONLY) 13-2700161</w:t>
      </w:r>
    </w:p>
    <w:p>
      <w:pPr>
        <w:spacing w:after="0" w:line="1" w:lineRule="exact"/>
        <w:rPr>
          <w:rFonts w:ascii="Arial" w:cs="Arial" w:eastAsia="Arial" w:hAnsi="Arial"/>
          <w:sz w:val="15"/>
          <w:szCs w:val="15"/>
          <w:color w:val="auto"/>
        </w:rPr>
      </w:pPr>
    </w:p>
    <w:p>
      <w:pPr>
        <w:ind w:left="460" w:right="6300" w:hanging="344"/>
        <w:spacing w:after="0" w:line="266"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CHECK THE APPROPRIATE BOX IF A MEMBER OF A GROUP (see instructions)</w:t>
      </w:r>
    </w:p>
    <w:p>
      <w:pPr>
        <w:spacing w:after="0" w:line="1" w:lineRule="exact"/>
        <w:rPr>
          <w:rFonts w:ascii="Arial" w:cs="Arial" w:eastAsia="Arial" w:hAnsi="Arial"/>
          <w:sz w:val="16"/>
          <w:szCs w:val="16"/>
          <w:color w:val="auto"/>
        </w:rPr>
      </w:pPr>
    </w:p>
    <w:p>
      <w:pPr>
        <w:ind w:left="800" w:hanging="333"/>
        <w:spacing w:after="0" w:line="189" w:lineRule="exact"/>
        <w:tabs>
          <w:tab w:leader="none" w:pos="80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51" w:lineRule="exact"/>
        <w:rPr>
          <w:rFonts w:ascii="Arial" w:cs="Arial" w:eastAsia="Arial" w:hAnsi="Arial"/>
          <w:sz w:val="16"/>
          <w:szCs w:val="16"/>
          <w:color w:val="auto"/>
        </w:rPr>
      </w:pPr>
    </w:p>
    <w:p>
      <w:pPr>
        <w:ind w:left="820" w:hanging="353"/>
        <w:spacing w:after="0" w:line="189" w:lineRule="exact"/>
        <w:tabs>
          <w:tab w:leader="none" w:pos="82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27" w:lineRule="exact"/>
        <w:rPr>
          <w:rFonts w:ascii="Arial" w:cs="Arial" w:eastAsia="Arial" w:hAnsi="Arial"/>
          <w:sz w:val="16"/>
          <w:szCs w:val="16"/>
          <w:color w:val="auto"/>
        </w:rPr>
      </w:pPr>
    </w:p>
    <w:p>
      <w:pPr>
        <w:ind w:left="460" w:hanging="344"/>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SEC USE ONLY</w:t>
      </w:r>
    </w:p>
    <w:p>
      <w:pPr>
        <w:spacing w:after="0" w:line="220" w:lineRule="exact"/>
        <w:rPr>
          <w:rFonts w:ascii="Arial" w:cs="Arial" w:eastAsia="Arial" w:hAnsi="Arial"/>
          <w:sz w:val="16"/>
          <w:szCs w:val="16"/>
          <w:color w:val="auto"/>
        </w:rPr>
      </w:pPr>
    </w:p>
    <w:p>
      <w:pPr>
        <w:ind w:left="460" w:right="7460" w:hanging="344"/>
        <w:spacing w:after="0" w:line="557"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CITIZENSHIP OR PLACE OF ORGANIZATION New York</w:t>
      </w:r>
    </w:p>
    <w:p>
      <w:pPr>
        <w:spacing w:after="0" w:line="253" w:lineRule="exact"/>
        <w:rPr>
          <w:rFonts w:ascii="Arial" w:cs="Arial" w:eastAsia="Arial" w:hAnsi="Arial"/>
          <w:sz w:val="16"/>
          <w:szCs w:val="16"/>
          <w:color w:val="auto"/>
        </w:rPr>
      </w:pPr>
    </w:p>
    <w:p>
      <w:pPr>
        <w:ind w:left="2040" w:hanging="345"/>
        <w:spacing w:after="0"/>
        <w:tabs>
          <w:tab w:leader="none" w:pos="2040" w:val="left"/>
        </w:tabs>
        <w:numPr>
          <w:ilvl w:val="2"/>
          <w:numId w:val="3"/>
        </w:numPr>
        <w:rPr>
          <w:rFonts w:ascii="Arial" w:cs="Arial" w:eastAsia="Arial" w:hAnsi="Arial"/>
          <w:sz w:val="16"/>
          <w:szCs w:val="16"/>
          <w:color w:val="auto"/>
        </w:rPr>
      </w:pPr>
      <w:r>
        <w:rPr>
          <w:rFonts w:ascii="Arial" w:cs="Arial" w:eastAsia="Arial" w:hAnsi="Arial"/>
          <w:sz w:val="16"/>
          <w:szCs w:val="16"/>
          <w:color w:val="auto"/>
        </w:rPr>
        <w:t>SOLE VOTING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-1627505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-1087120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-821690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-427355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1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w w:val="98"/>
              </w:rPr>
              <w:t>1,999,274</w:t>
            </w:r>
          </w:p>
        </w:tc>
        <w:tc>
          <w:tcPr>
            <w:tcW w:w="8480" w:type="dxa"/>
            <w:vAlign w:val="bottom"/>
            <w:tcBorders>
              <w:bottom w:val="single" w:sz="8" w:color="auto"/>
            </w:tcBorders>
          </w:tcPr>
          <w:p>
            <w:pPr>
              <w:spacing w:after="0"/>
              <w:rPr>
                <w:sz w:val="17"/>
                <w:szCs w:val="17"/>
                <w:color w:val="auto"/>
              </w:rPr>
            </w:pPr>
          </w:p>
        </w:tc>
      </w:tr>
      <w:tr>
        <w:trPr>
          <w:trHeight w:val="192"/>
        </w:trPr>
        <w:tc>
          <w:tcPr>
            <w:tcW w:w="1560" w:type="dxa"/>
            <w:vAlign w:val="bottom"/>
          </w:tcPr>
          <w:p>
            <w:pPr>
              <w:jc w:val="center"/>
              <w:spacing w:after="0"/>
              <w:rPr>
                <w:sz w:val="20"/>
                <w:szCs w:val="20"/>
                <w:color w:val="auto"/>
              </w:rPr>
            </w:pPr>
            <w:r>
              <w:rPr>
                <w:rFonts w:ascii="Arial" w:cs="Arial" w:eastAsia="Arial" w:hAnsi="Arial"/>
                <w:sz w:val="16"/>
                <w:szCs w:val="16"/>
                <w:color w:val="auto"/>
                <w:w w:val="97"/>
              </w:rPr>
              <w:t>NUMBER OF</w:t>
            </w:r>
          </w:p>
        </w:tc>
        <w:tc>
          <w:tcPr>
            <w:tcW w:w="140" w:type="dxa"/>
            <w:vAlign w:val="bottom"/>
          </w:tcPr>
          <w:p>
            <w:pPr>
              <w:spacing w:after="0"/>
              <w:rPr>
                <w:sz w:val="16"/>
                <w:szCs w:val="16"/>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w w:val="74"/>
              </w:rPr>
              <w:t>6.</w:t>
            </w:r>
          </w:p>
        </w:tc>
        <w:tc>
          <w:tcPr>
            <w:tcW w:w="9320" w:type="dxa"/>
            <w:vAlign w:val="bottom"/>
            <w:gridSpan w:val="2"/>
          </w:tcPr>
          <w:p>
            <w:pPr>
              <w:ind w:left="120"/>
              <w:spacing w:after="0"/>
              <w:rPr>
                <w:sz w:val="20"/>
                <w:szCs w:val="20"/>
                <w:color w:val="auto"/>
              </w:rPr>
            </w:pPr>
            <w:r>
              <w:rPr>
                <w:rFonts w:ascii="Arial" w:cs="Arial" w:eastAsia="Arial" w:hAnsi="Arial"/>
                <w:sz w:val="16"/>
                <w:szCs w:val="16"/>
                <w:color w:val="auto"/>
              </w:rPr>
              <w:t>SHARED VOTING POWER</w:t>
            </w:r>
          </w:p>
        </w:tc>
      </w:tr>
      <w:tr>
        <w:trPr>
          <w:trHeight w:val="203"/>
        </w:trPr>
        <w:tc>
          <w:tcPr>
            <w:tcW w:w="1560" w:type="dxa"/>
            <w:vAlign w:val="bottom"/>
          </w:tcPr>
          <w:p>
            <w:pPr>
              <w:jc w:val="center"/>
              <w:spacing w:after="0"/>
              <w:rPr>
                <w:sz w:val="20"/>
                <w:szCs w:val="20"/>
                <w:color w:val="auto"/>
              </w:rPr>
            </w:pPr>
            <w:r>
              <w:rPr>
                <w:rFonts w:ascii="Arial" w:cs="Arial" w:eastAsia="Arial" w:hAnsi="Arial"/>
                <w:sz w:val="16"/>
                <w:szCs w:val="16"/>
                <w:color w:val="auto"/>
                <w:w w:val="94"/>
              </w:rPr>
              <w:t>SHARES</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480" w:type="dxa"/>
            <w:vAlign w:val="bottom"/>
          </w:tcPr>
          <w:p>
            <w:pPr>
              <w:spacing w:after="0"/>
              <w:rPr>
                <w:sz w:val="17"/>
                <w:szCs w:val="17"/>
                <w:color w:val="auto"/>
              </w:rPr>
            </w:pPr>
          </w:p>
        </w:tc>
      </w:tr>
      <w:tr>
        <w:trPr>
          <w:trHeight w:val="206"/>
        </w:trPr>
        <w:tc>
          <w:tcPr>
            <w:tcW w:w="156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0</w:t>
            </w:r>
          </w:p>
        </w:tc>
        <w:tc>
          <w:tcPr>
            <w:tcW w:w="8480" w:type="dxa"/>
            <w:vAlign w:val="bottom"/>
            <w:tcBorders>
              <w:bottom w:val="single" w:sz="8" w:color="auto"/>
            </w:tcBorders>
          </w:tcPr>
          <w:p>
            <w:pPr>
              <w:spacing w:after="0"/>
              <w:rPr>
                <w:sz w:val="17"/>
                <w:szCs w:val="17"/>
                <w:color w:val="auto"/>
              </w:rPr>
            </w:pPr>
          </w:p>
        </w:tc>
      </w:tr>
      <w:tr>
        <w:trPr>
          <w:trHeight w:val="179"/>
        </w:trPr>
        <w:tc>
          <w:tcPr>
            <w:tcW w:w="1560" w:type="dxa"/>
            <w:vAlign w:val="bottom"/>
          </w:tcPr>
          <w:p>
            <w:pPr>
              <w:jc w:val="center"/>
              <w:spacing w:after="0" w:line="179" w:lineRule="exact"/>
              <w:rPr>
                <w:sz w:val="20"/>
                <w:szCs w:val="20"/>
                <w:color w:val="auto"/>
              </w:rPr>
            </w:pPr>
            <w:r>
              <w:rPr>
                <w:rFonts w:ascii="Arial" w:cs="Arial" w:eastAsia="Arial" w:hAnsi="Arial"/>
                <w:sz w:val="16"/>
                <w:szCs w:val="16"/>
                <w:color w:val="auto"/>
                <w:w w:val="99"/>
              </w:rPr>
              <w:t>OWNED BY EACH</w:t>
            </w:r>
          </w:p>
        </w:tc>
        <w:tc>
          <w:tcPr>
            <w:tcW w:w="140" w:type="dxa"/>
            <w:vAlign w:val="bottom"/>
          </w:tcPr>
          <w:p>
            <w:pPr>
              <w:spacing w:after="0"/>
              <w:rPr>
                <w:sz w:val="15"/>
                <w:szCs w:val="15"/>
                <w:color w:val="auto"/>
              </w:rPr>
            </w:pPr>
          </w:p>
        </w:tc>
        <w:tc>
          <w:tcPr>
            <w:tcW w:w="220" w:type="dxa"/>
            <w:vAlign w:val="bottom"/>
          </w:tcPr>
          <w:p>
            <w:pPr>
              <w:jc w:val="right"/>
              <w:ind w:right="19"/>
              <w:spacing w:after="0" w:line="179" w:lineRule="exact"/>
              <w:rPr>
                <w:sz w:val="20"/>
                <w:szCs w:val="20"/>
                <w:color w:val="auto"/>
              </w:rPr>
            </w:pPr>
            <w:r>
              <w:rPr>
                <w:rFonts w:ascii="Arial" w:cs="Arial" w:eastAsia="Arial" w:hAnsi="Arial"/>
                <w:sz w:val="16"/>
                <w:szCs w:val="16"/>
                <w:color w:val="auto"/>
                <w:w w:val="74"/>
              </w:rPr>
              <w:t>7.</w:t>
            </w:r>
          </w:p>
        </w:tc>
        <w:tc>
          <w:tcPr>
            <w:tcW w:w="9320" w:type="dxa"/>
            <w:vAlign w:val="bottom"/>
            <w:gridSpan w:val="2"/>
          </w:tcPr>
          <w:p>
            <w:pPr>
              <w:ind w:left="120"/>
              <w:spacing w:after="0" w:line="179" w:lineRule="exact"/>
              <w:rPr>
                <w:sz w:val="20"/>
                <w:szCs w:val="20"/>
                <w:color w:val="auto"/>
              </w:rPr>
            </w:pPr>
            <w:r>
              <w:rPr>
                <w:rFonts w:ascii="Arial" w:cs="Arial" w:eastAsia="Arial" w:hAnsi="Arial"/>
                <w:sz w:val="16"/>
                <w:szCs w:val="16"/>
                <w:color w:val="auto"/>
              </w:rPr>
              <w:t>SOLE DISPOSITIVE POWER</w:t>
            </w:r>
          </w:p>
        </w:tc>
      </w:tr>
      <w:tr>
        <w:trPr>
          <w:trHeight w:val="203"/>
        </w:trPr>
        <w:tc>
          <w:tcPr>
            <w:tcW w:w="156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480" w:type="dxa"/>
            <w:vAlign w:val="bottom"/>
          </w:tcPr>
          <w:p>
            <w:pPr>
              <w:spacing w:after="0"/>
              <w:rPr>
                <w:sz w:val="17"/>
                <w:szCs w:val="17"/>
                <w:color w:val="auto"/>
              </w:rPr>
            </w:pPr>
          </w:p>
        </w:tc>
      </w:tr>
      <w:tr>
        <w:trPr>
          <w:trHeight w:val="223"/>
        </w:trPr>
        <w:tc>
          <w:tcPr>
            <w:tcW w:w="1560" w:type="dxa"/>
            <w:vAlign w:val="bottom"/>
          </w:tcPr>
          <w:p>
            <w:pPr>
              <w:jc w:val="center"/>
              <w:spacing w:after="0"/>
              <w:rPr>
                <w:sz w:val="20"/>
                <w:szCs w:val="20"/>
                <w:color w:val="auto"/>
              </w:rPr>
            </w:pPr>
            <w:r>
              <w:rPr>
                <w:rFonts w:ascii="Arial" w:cs="Arial" w:eastAsia="Arial" w:hAnsi="Arial"/>
                <w:sz w:val="16"/>
                <w:szCs w:val="16"/>
                <w:color w:val="auto"/>
                <w:w w:val="95"/>
              </w:rPr>
              <w:t>PERSON WITH</w:t>
            </w:r>
          </w:p>
        </w:tc>
        <w:tc>
          <w:tcPr>
            <w:tcW w:w="14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w w:val="98"/>
              </w:rPr>
              <w:t>2,020,219</w:t>
            </w:r>
          </w:p>
        </w:tc>
        <w:tc>
          <w:tcPr>
            <w:tcW w:w="8480" w:type="dxa"/>
            <w:vAlign w:val="bottom"/>
            <w:tcBorders>
              <w:bottom w:val="single" w:sz="8" w:color="auto"/>
            </w:tcBorders>
          </w:tcPr>
          <w:p>
            <w:pPr>
              <w:spacing w:after="0"/>
              <w:rPr>
                <w:sz w:val="19"/>
                <w:szCs w:val="19"/>
                <w:color w:val="auto"/>
              </w:rPr>
            </w:pPr>
          </w:p>
        </w:tc>
      </w:tr>
      <w:tr>
        <w:trPr>
          <w:trHeight w:val="203"/>
        </w:trPr>
        <w:tc>
          <w:tcPr>
            <w:tcW w:w="1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w w:val="74"/>
              </w:rPr>
              <w:t>8.</w:t>
            </w:r>
          </w:p>
        </w:tc>
        <w:tc>
          <w:tcPr>
            <w:tcW w:w="9320" w:type="dxa"/>
            <w:vAlign w:val="bottom"/>
            <w:gridSpan w:val="2"/>
          </w:tcPr>
          <w:p>
            <w:pPr>
              <w:ind w:left="120"/>
              <w:spacing w:after="0"/>
              <w:rPr>
                <w:sz w:val="20"/>
                <w:szCs w:val="20"/>
                <w:color w:val="auto"/>
              </w:rPr>
            </w:pPr>
            <w:r>
              <w:rPr>
                <w:rFonts w:ascii="Arial" w:cs="Arial" w:eastAsia="Arial" w:hAnsi="Arial"/>
                <w:sz w:val="16"/>
                <w:szCs w:val="16"/>
                <w:color w:val="auto"/>
              </w:rPr>
              <w:t>SHARED DISPOSITIVE POWER</w:t>
            </w:r>
          </w:p>
        </w:tc>
      </w:tr>
      <w:tr>
        <w:trPr>
          <w:trHeight w:val="398"/>
        </w:trPr>
        <w:tc>
          <w:tcPr>
            <w:tcW w:w="15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0</w:t>
            </w:r>
          </w:p>
        </w:tc>
        <w:tc>
          <w:tcPr>
            <w:tcW w:w="8480" w:type="dxa"/>
            <w:vAlign w:val="bottom"/>
            <w:tcBorders>
              <w:bottom w:val="single" w:sz="8" w:color="auto"/>
            </w:tcBorders>
          </w:tcPr>
          <w:p>
            <w:pPr>
              <w:spacing w:after="0"/>
              <w:rPr>
                <w:sz w:val="24"/>
                <w:szCs w:val="24"/>
                <w:color w:val="auto"/>
              </w:rPr>
            </w:pPr>
          </w:p>
        </w:tc>
      </w:tr>
      <w:tr>
        <w:trPr>
          <w:trHeight w:val="679"/>
        </w:trPr>
        <w:tc>
          <w:tcPr>
            <w:tcW w:w="1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jc w:val="right"/>
              <w:ind w:right="419"/>
              <w:spacing w:after="0"/>
              <w:rPr>
                <w:sz w:val="20"/>
                <w:szCs w:val="20"/>
                <w:color w:val="auto"/>
              </w:rPr>
            </w:pPr>
            <w:r>
              <w:rPr>
                <w:rFonts w:ascii="Arial" w:cs="Arial" w:eastAsia="Arial" w:hAnsi="Arial"/>
                <w:sz w:val="16"/>
                <w:szCs w:val="16"/>
                <w:color w:val="auto"/>
              </w:rPr>
              <w:t>9.</w:t>
            </w:r>
          </w:p>
        </w:tc>
        <w:tc>
          <w:tcPr>
            <w:tcW w:w="8480" w:type="dxa"/>
            <w:vAlign w:val="bottom"/>
          </w:tcPr>
          <w:p>
            <w:pPr>
              <w:ind w:left="100"/>
              <w:spacing w:after="0"/>
              <w:rPr>
                <w:sz w:val="20"/>
                <w:szCs w:val="20"/>
                <w:color w:val="auto"/>
              </w:rPr>
            </w:pPr>
            <w:r>
              <w:rPr>
                <w:rFonts w:ascii="Arial" w:cs="Arial" w:eastAsia="Arial" w:hAnsi="Arial"/>
                <w:sz w:val="16"/>
                <w:szCs w:val="16"/>
                <w:color w:val="auto"/>
              </w:rPr>
              <w:t>AGGREGATE AMOUNT BENEFICIALLY OWNED BY EACH REPORTING PERSON</w:t>
            </w:r>
          </w:p>
        </w:tc>
      </w:tr>
      <w:tr>
        <w:trPr>
          <w:trHeight w:val="448"/>
        </w:trPr>
        <w:tc>
          <w:tcPr>
            <w:tcW w:w="15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480" w:type="dxa"/>
            <w:vAlign w:val="bottom"/>
            <w:tcBorders>
              <w:bottom w:val="single" w:sz="8" w:color="auto"/>
            </w:tcBorders>
          </w:tcPr>
          <w:p>
            <w:pPr>
              <w:ind w:left="100"/>
              <w:spacing w:after="0"/>
              <w:rPr>
                <w:sz w:val="20"/>
                <w:szCs w:val="20"/>
                <w:color w:val="auto"/>
              </w:rPr>
            </w:pPr>
            <w:r>
              <w:rPr>
                <w:rFonts w:ascii="Arial" w:cs="Arial" w:eastAsia="Arial" w:hAnsi="Arial"/>
                <w:sz w:val="16"/>
                <w:szCs w:val="16"/>
                <w:color w:val="auto"/>
              </w:rPr>
              <w:t>2,020,219</w:t>
            </w:r>
          </w:p>
        </w:tc>
      </w:tr>
      <w:tr>
        <w:trPr>
          <w:trHeight w:val="152"/>
        </w:trPr>
        <w:tc>
          <w:tcPr>
            <w:tcW w:w="15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jc w:val="right"/>
              <w:ind w:right="419"/>
              <w:spacing w:after="0" w:line="152" w:lineRule="exact"/>
              <w:rPr>
                <w:sz w:val="20"/>
                <w:szCs w:val="20"/>
                <w:color w:val="auto"/>
              </w:rPr>
            </w:pPr>
            <w:r>
              <w:rPr>
                <w:rFonts w:ascii="Arial" w:cs="Arial" w:eastAsia="Arial" w:hAnsi="Arial"/>
                <w:sz w:val="16"/>
                <w:szCs w:val="16"/>
                <w:color w:val="auto"/>
              </w:rPr>
              <w:t>10.</w:t>
            </w:r>
          </w:p>
        </w:tc>
        <w:tc>
          <w:tcPr>
            <w:tcW w:w="8480" w:type="dxa"/>
            <w:vAlign w:val="bottom"/>
          </w:tcPr>
          <w:p>
            <w:pPr>
              <w:ind w:left="100"/>
              <w:spacing w:after="0" w:line="152" w:lineRule="exact"/>
              <w:rPr>
                <w:sz w:val="20"/>
                <w:szCs w:val="20"/>
                <w:color w:val="auto"/>
              </w:rPr>
            </w:pPr>
            <w:r>
              <w:rPr>
                <w:rFonts w:ascii="Arial" w:cs="Arial" w:eastAsia="Arial" w:hAnsi="Arial"/>
                <w:sz w:val="16"/>
                <w:szCs w:val="16"/>
                <w:color w:val="auto"/>
              </w:rPr>
              <w:t>CHECK IF THE AGGREGATE AMOUNT IN ROW (9) EXCLUDES CERTAIN SHARES</w:t>
            </w:r>
          </w:p>
        </w:tc>
      </w:tr>
      <w:tr>
        <w:trPr>
          <w:trHeight w:val="283"/>
        </w:trPr>
        <w:tc>
          <w:tcPr>
            <w:tcW w:w="1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480" w:type="dxa"/>
            <w:vAlign w:val="bottom"/>
          </w:tcPr>
          <w:p>
            <w:pPr>
              <w:ind w:left="100"/>
              <w:spacing w:after="0" w:line="196" w:lineRule="exact"/>
              <w:rPr>
                <w:sz w:val="20"/>
                <w:szCs w:val="20"/>
                <w:color w:val="auto"/>
              </w:rPr>
            </w:pPr>
            <w:r>
              <w:rPr>
                <w:rFonts w:ascii="Arial" w:cs="Arial" w:eastAsia="Arial" w:hAnsi="Arial"/>
                <w:sz w:val="16"/>
                <w:szCs w:val="16"/>
                <w:color w:val="auto"/>
              </w:rPr>
              <w:t xml:space="preserve">(see instructions)  </w:t>
            </w:r>
            <w:r>
              <w:rPr>
                <w:rFonts w:ascii="MS PGothic" w:cs="MS PGothic" w:eastAsia="MS PGothic" w:hAnsi="MS PGothic"/>
                <w:sz w:val="17"/>
                <w:szCs w:val="17"/>
                <w:color w:val="auto"/>
              </w:rPr>
              <w:t>☐</w:t>
            </w:r>
          </w:p>
        </w:tc>
      </w:tr>
      <w:tr>
        <w:trPr>
          <w:trHeight w:val="196"/>
        </w:trPr>
        <w:tc>
          <w:tcPr>
            <w:tcW w:w="15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8480" w:type="dxa"/>
            <w:vAlign w:val="bottom"/>
            <w:tcBorders>
              <w:bottom w:val="single" w:sz="8" w:color="auto"/>
            </w:tcBorders>
          </w:tcPr>
          <w:p>
            <w:pPr>
              <w:spacing w:after="0"/>
              <w:rPr>
                <w:sz w:val="17"/>
                <w:szCs w:val="17"/>
                <w:color w:val="auto"/>
              </w:rPr>
            </w:pPr>
          </w:p>
        </w:tc>
      </w:tr>
      <w:tr>
        <w:trPr>
          <w:trHeight w:val="200"/>
        </w:trPr>
        <w:tc>
          <w:tcPr>
            <w:tcW w:w="1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419"/>
              <w:spacing w:after="0"/>
              <w:rPr>
                <w:sz w:val="20"/>
                <w:szCs w:val="20"/>
                <w:color w:val="auto"/>
              </w:rPr>
            </w:pPr>
            <w:r>
              <w:rPr>
                <w:rFonts w:ascii="Arial" w:cs="Arial" w:eastAsia="Arial" w:hAnsi="Arial"/>
                <w:sz w:val="16"/>
                <w:szCs w:val="16"/>
                <w:color w:val="auto"/>
              </w:rPr>
              <w:t>11.</w:t>
            </w:r>
          </w:p>
        </w:tc>
        <w:tc>
          <w:tcPr>
            <w:tcW w:w="8480" w:type="dxa"/>
            <w:vAlign w:val="bottom"/>
          </w:tcPr>
          <w:p>
            <w:pPr>
              <w:ind w:left="100"/>
              <w:spacing w:after="0"/>
              <w:rPr>
                <w:sz w:val="20"/>
                <w:szCs w:val="20"/>
                <w:color w:val="auto"/>
              </w:rPr>
            </w:pPr>
            <w:r>
              <w:rPr>
                <w:rFonts w:ascii="Arial" w:cs="Arial" w:eastAsia="Arial" w:hAnsi="Arial"/>
                <w:sz w:val="16"/>
                <w:szCs w:val="16"/>
                <w:color w:val="auto"/>
              </w:rPr>
              <w:t>PERCENT OF CLASS REPRESENTED BY AMOUNT IN ROW (9)</w:t>
            </w:r>
          </w:p>
        </w:tc>
      </w:tr>
      <w:tr>
        <w:trPr>
          <w:trHeight w:val="439"/>
        </w:trPr>
        <w:tc>
          <w:tcPr>
            <w:tcW w:w="15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480" w:type="dxa"/>
            <w:vAlign w:val="bottom"/>
            <w:tcBorders>
              <w:bottom w:val="single" w:sz="8" w:color="auto"/>
            </w:tcBorders>
          </w:tcPr>
          <w:p>
            <w:pPr>
              <w:ind w:left="100"/>
              <w:spacing w:after="0"/>
              <w:rPr>
                <w:sz w:val="20"/>
                <w:szCs w:val="20"/>
                <w:color w:val="auto"/>
              </w:rPr>
            </w:pPr>
            <w:r>
              <w:rPr>
                <w:rFonts w:ascii="Arial" w:cs="Arial" w:eastAsia="Arial" w:hAnsi="Arial"/>
                <w:sz w:val="16"/>
                <w:szCs w:val="16"/>
                <w:color w:val="auto"/>
              </w:rPr>
              <w:t>9.84%</w:t>
            </w:r>
          </w:p>
        </w:tc>
      </w:tr>
      <w:tr>
        <w:trPr>
          <w:trHeight w:val="203"/>
        </w:trPr>
        <w:tc>
          <w:tcPr>
            <w:tcW w:w="1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419"/>
              <w:spacing w:after="0"/>
              <w:rPr>
                <w:sz w:val="20"/>
                <w:szCs w:val="20"/>
                <w:color w:val="auto"/>
              </w:rPr>
            </w:pPr>
            <w:r>
              <w:rPr>
                <w:rFonts w:ascii="Arial" w:cs="Arial" w:eastAsia="Arial" w:hAnsi="Arial"/>
                <w:sz w:val="16"/>
                <w:szCs w:val="16"/>
                <w:color w:val="auto"/>
              </w:rPr>
              <w:t>12.</w:t>
            </w:r>
          </w:p>
        </w:tc>
        <w:tc>
          <w:tcPr>
            <w:tcW w:w="8480" w:type="dxa"/>
            <w:vAlign w:val="bottom"/>
          </w:tcPr>
          <w:p>
            <w:pPr>
              <w:ind w:left="100"/>
              <w:spacing w:after="0"/>
              <w:rPr>
                <w:sz w:val="20"/>
                <w:szCs w:val="20"/>
                <w:color w:val="auto"/>
              </w:rPr>
            </w:pPr>
            <w:r>
              <w:rPr>
                <w:rFonts w:ascii="Arial" w:cs="Arial" w:eastAsia="Arial" w:hAnsi="Arial"/>
                <w:sz w:val="16"/>
                <w:szCs w:val="16"/>
                <w:color w:val="auto"/>
              </w:rPr>
              <w:t>TYPE OF REPORTING PERSON (see instructions)</w:t>
            </w:r>
          </w:p>
        </w:tc>
      </w:tr>
    </w:tbl>
    <w:p>
      <w:pPr>
        <w:spacing w:after="0" w:line="229" w:lineRule="exact"/>
        <w:rPr>
          <w:sz w:val="20"/>
          <w:szCs w:val="20"/>
          <w:color w:val="auto"/>
        </w:rPr>
      </w:pPr>
    </w:p>
    <w:p>
      <w:pPr>
        <w:ind w:left="2860"/>
        <w:spacing w:after="0"/>
        <w:rPr>
          <w:sz w:val="20"/>
          <w:szCs w:val="20"/>
          <w:color w:val="auto"/>
        </w:rPr>
      </w:pPr>
      <w:r>
        <w:rPr>
          <w:rFonts w:ascii="Arial" w:cs="Arial" w:eastAsia="Arial" w:hAnsi="Arial"/>
          <w:sz w:val="16"/>
          <w:szCs w:val="16"/>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358" w:right="339" w:bottom="1440" w:gutter="0" w:footer="0" w:header="0"/>
        </w:sectPr>
      </w:pPr>
    </w:p>
    <w:bookmarkStart w:id="2" w:name="page3"/>
    <w:bookmarkEnd w:id="2"/>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422910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t>CUSIP No. 92552R406</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3 of 4 Pages</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w:t>
      </w:r>
    </w:p>
    <w:p>
      <w:pPr>
        <w:spacing w:after="0" w:line="175" w:lineRule="exact"/>
        <w:rPr>
          <w:sz w:val="20"/>
          <w:szCs w:val="20"/>
          <w:color w:val="auto"/>
        </w:rPr>
      </w:pPr>
    </w:p>
    <w:p>
      <w:pPr>
        <w:ind w:left="340"/>
        <w:spacing w:after="0"/>
        <w:tabs>
          <w:tab w:leader="none" w:pos="660" w:val="left"/>
        </w:tabs>
        <w:rPr>
          <w:sz w:val="20"/>
          <w:szCs w:val="20"/>
          <w:color w:val="auto"/>
        </w:rPr>
      </w:pPr>
      <w:r>
        <w:rPr>
          <w:rFonts w:ascii="Arial" w:cs="Arial" w:eastAsia="Arial" w:hAnsi="Arial"/>
          <w:sz w:val="16"/>
          <w:szCs w:val="16"/>
          <w:color w:val="auto"/>
        </w:rPr>
        <w:t>(a)</w:t>
      </w:r>
      <w:r>
        <w:rPr>
          <w:sz w:val="20"/>
          <w:szCs w:val="20"/>
          <w:color w:val="auto"/>
        </w:rPr>
        <w:tab/>
      </w:r>
      <w:r>
        <w:rPr>
          <w:rFonts w:ascii="Arial" w:cs="Arial" w:eastAsia="Arial" w:hAnsi="Arial"/>
          <w:sz w:val="14"/>
          <w:szCs w:val="14"/>
          <w:color w:val="auto"/>
        </w:rPr>
        <w:t>Name of Issuer</w:t>
      </w:r>
    </w:p>
    <w:p>
      <w:pPr>
        <w:spacing w:after="0" w:line="2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Viad Corp.</w:t>
      </w:r>
    </w:p>
    <w:p>
      <w:pPr>
        <w:spacing w:after="0" w:line="229" w:lineRule="exact"/>
        <w:rPr>
          <w:sz w:val="20"/>
          <w:szCs w:val="20"/>
          <w:color w:val="auto"/>
        </w:rPr>
      </w:pPr>
    </w:p>
    <w:p>
      <w:pPr>
        <w:ind w:left="680" w:right="7480" w:hanging="335"/>
        <w:spacing w:after="0" w:line="278" w:lineRule="auto"/>
        <w:tabs>
          <w:tab w:leader="none" w:pos="68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Address of Issuer’s Principal Executive Offices 1850 North Central Ave. Suite 1900 Phoenix, AX 85004</w:t>
      </w:r>
    </w:p>
    <w:p>
      <w:pPr>
        <w:spacing w:after="0" w:line="36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2.</w:t>
      </w:r>
    </w:p>
    <w:p>
      <w:pPr>
        <w:spacing w:after="0" w:line="175" w:lineRule="exact"/>
        <w:rPr>
          <w:sz w:val="20"/>
          <w:szCs w:val="20"/>
          <w:color w:val="auto"/>
        </w:rPr>
      </w:pPr>
    </w:p>
    <w:p>
      <w:pPr>
        <w:ind w:left="680" w:hanging="335"/>
        <w:spacing w:after="0"/>
        <w:tabs>
          <w:tab w:leader="none" w:pos="680" w:val="left"/>
        </w:tabs>
        <w:numPr>
          <w:ilvl w:val="0"/>
          <w:numId w:val="5"/>
        </w:numPr>
        <w:rPr>
          <w:rFonts w:ascii="Arial" w:cs="Arial" w:eastAsia="Arial" w:hAnsi="Arial"/>
          <w:sz w:val="16"/>
          <w:szCs w:val="16"/>
          <w:color w:val="auto"/>
        </w:rPr>
      </w:pPr>
      <w:r>
        <w:rPr>
          <w:rFonts w:ascii="Arial" w:cs="Arial" w:eastAsia="Arial" w:hAnsi="Arial"/>
          <w:sz w:val="16"/>
          <w:szCs w:val="16"/>
          <w:color w:val="auto"/>
        </w:rPr>
        <w:t>Name of Persons Filing</w:t>
      </w:r>
    </w:p>
    <w:p>
      <w:pPr>
        <w:spacing w:after="0" w:line="22" w:lineRule="exact"/>
        <w:rPr>
          <w:rFonts w:ascii="Arial" w:cs="Arial" w:eastAsia="Arial" w:hAnsi="Arial"/>
          <w:sz w:val="16"/>
          <w:szCs w:val="16"/>
          <w:color w:val="auto"/>
        </w:rPr>
      </w:pPr>
    </w:p>
    <w:p>
      <w:pPr>
        <w:ind w:left="680"/>
        <w:spacing w:after="0"/>
        <w:rPr>
          <w:rFonts w:ascii="Arial" w:cs="Arial" w:eastAsia="Arial" w:hAnsi="Arial"/>
          <w:sz w:val="16"/>
          <w:szCs w:val="16"/>
          <w:color w:val="auto"/>
        </w:rPr>
      </w:pPr>
      <w:r>
        <w:rPr>
          <w:rFonts w:ascii="Arial" w:cs="Arial" w:eastAsia="Arial" w:hAnsi="Arial"/>
          <w:sz w:val="16"/>
          <w:szCs w:val="16"/>
          <w:color w:val="auto"/>
        </w:rPr>
        <w:t>Victory Capital Management Inc.</w:t>
      </w:r>
    </w:p>
    <w:p>
      <w:pPr>
        <w:spacing w:after="0" w:line="257" w:lineRule="exact"/>
        <w:rPr>
          <w:rFonts w:ascii="Arial" w:cs="Arial" w:eastAsia="Arial" w:hAnsi="Arial"/>
          <w:sz w:val="16"/>
          <w:szCs w:val="16"/>
          <w:color w:val="auto"/>
        </w:rPr>
      </w:pPr>
    </w:p>
    <w:p>
      <w:pPr>
        <w:ind w:left="680" w:right="7140" w:hanging="335"/>
        <w:spacing w:after="0" w:line="228" w:lineRule="auto"/>
        <w:tabs>
          <w:tab w:leader="none" w:pos="680" w:val="left"/>
        </w:tabs>
        <w:numPr>
          <w:ilvl w:val="0"/>
          <w:numId w:val="5"/>
        </w:numPr>
        <w:rPr>
          <w:rFonts w:ascii="Arial" w:cs="Arial" w:eastAsia="Arial" w:hAnsi="Arial"/>
          <w:sz w:val="16"/>
          <w:szCs w:val="16"/>
          <w:color w:val="auto"/>
        </w:rPr>
      </w:pPr>
      <w:r>
        <w:rPr>
          <w:rFonts w:ascii="Arial" w:cs="Arial" w:eastAsia="Arial" w:hAnsi="Arial"/>
          <w:sz w:val="16"/>
          <w:szCs w:val="16"/>
          <w:color w:val="auto"/>
        </w:rPr>
        <w:t>Address of the Principal Office or, if none, residence 4900 Tiedeman Rd. 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Floor</w:t>
      </w:r>
    </w:p>
    <w:p>
      <w:pPr>
        <w:ind w:left="680"/>
        <w:spacing w:after="0"/>
        <w:rPr>
          <w:rFonts w:ascii="Arial" w:cs="Arial" w:eastAsia="Arial" w:hAnsi="Arial"/>
          <w:sz w:val="16"/>
          <w:szCs w:val="16"/>
          <w:color w:val="auto"/>
        </w:rPr>
      </w:pPr>
      <w:r>
        <w:rPr>
          <w:rFonts w:ascii="Arial" w:cs="Arial" w:eastAsia="Arial" w:hAnsi="Arial"/>
          <w:sz w:val="16"/>
          <w:szCs w:val="16"/>
          <w:color w:val="auto"/>
        </w:rPr>
        <w:t>Brooklyn, OH 44144</w:t>
      </w:r>
    </w:p>
    <w:p>
      <w:pPr>
        <w:spacing w:after="0" w:line="247" w:lineRule="exact"/>
        <w:rPr>
          <w:rFonts w:ascii="Arial" w:cs="Arial" w:eastAsia="Arial" w:hAnsi="Arial"/>
          <w:sz w:val="16"/>
          <w:szCs w:val="16"/>
          <w:color w:val="auto"/>
        </w:rPr>
      </w:pPr>
    </w:p>
    <w:p>
      <w:pPr>
        <w:ind w:left="680" w:right="9820" w:hanging="335"/>
        <w:spacing w:after="0" w:line="328" w:lineRule="auto"/>
        <w:tabs>
          <w:tab w:leader="none" w:pos="680" w:val="left"/>
        </w:tabs>
        <w:numPr>
          <w:ilvl w:val="0"/>
          <w:numId w:val="5"/>
        </w:numPr>
        <w:rPr>
          <w:rFonts w:ascii="Arial" w:cs="Arial" w:eastAsia="Arial" w:hAnsi="Arial"/>
          <w:sz w:val="15"/>
          <w:szCs w:val="15"/>
          <w:color w:val="auto"/>
        </w:rPr>
      </w:pPr>
      <w:r>
        <w:rPr>
          <w:rFonts w:ascii="Arial" w:cs="Arial" w:eastAsia="Arial" w:hAnsi="Arial"/>
          <w:sz w:val="15"/>
          <w:szCs w:val="15"/>
          <w:color w:val="auto"/>
        </w:rPr>
        <w:t>Citizenship New York</w:t>
      </w:r>
    </w:p>
    <w:p>
      <w:pPr>
        <w:spacing w:after="0" w:line="176" w:lineRule="exact"/>
        <w:rPr>
          <w:rFonts w:ascii="Arial" w:cs="Arial" w:eastAsia="Arial" w:hAnsi="Arial"/>
          <w:sz w:val="15"/>
          <w:szCs w:val="15"/>
          <w:color w:val="auto"/>
        </w:rPr>
      </w:pPr>
    </w:p>
    <w:p>
      <w:pPr>
        <w:ind w:left="680" w:right="8840" w:hanging="335"/>
        <w:spacing w:after="0" w:line="369" w:lineRule="auto"/>
        <w:tabs>
          <w:tab w:leader="none" w:pos="680" w:val="left"/>
        </w:tabs>
        <w:numPr>
          <w:ilvl w:val="0"/>
          <w:numId w:val="5"/>
        </w:numPr>
        <w:rPr>
          <w:rFonts w:ascii="Arial" w:cs="Arial" w:eastAsia="Arial" w:hAnsi="Arial"/>
          <w:sz w:val="14"/>
          <w:szCs w:val="14"/>
          <w:color w:val="auto"/>
        </w:rPr>
      </w:pPr>
      <w:r>
        <w:rPr>
          <w:rFonts w:ascii="Arial" w:cs="Arial" w:eastAsia="Arial" w:hAnsi="Arial"/>
          <w:sz w:val="14"/>
          <w:szCs w:val="14"/>
          <w:color w:val="auto"/>
        </w:rPr>
        <w:t>Title of Class of Securities Common Stock</w:t>
      </w:r>
    </w:p>
    <w:p>
      <w:pPr>
        <w:spacing w:after="0" w:line="152" w:lineRule="exact"/>
        <w:rPr>
          <w:rFonts w:ascii="Arial" w:cs="Arial" w:eastAsia="Arial" w:hAnsi="Arial"/>
          <w:sz w:val="14"/>
          <w:szCs w:val="14"/>
          <w:color w:val="auto"/>
        </w:rPr>
      </w:pPr>
    </w:p>
    <w:p>
      <w:pPr>
        <w:ind w:left="680" w:right="9520" w:hanging="335"/>
        <w:spacing w:after="0" w:line="328" w:lineRule="auto"/>
        <w:tabs>
          <w:tab w:leader="none" w:pos="680" w:val="left"/>
        </w:tabs>
        <w:numPr>
          <w:ilvl w:val="0"/>
          <w:numId w:val="5"/>
        </w:numPr>
        <w:rPr>
          <w:rFonts w:ascii="Arial" w:cs="Arial" w:eastAsia="Arial" w:hAnsi="Arial"/>
          <w:sz w:val="15"/>
          <w:szCs w:val="15"/>
          <w:color w:val="auto"/>
        </w:rPr>
      </w:pPr>
      <w:r>
        <w:rPr>
          <w:rFonts w:ascii="Arial" w:cs="Arial" w:eastAsia="Arial" w:hAnsi="Arial"/>
          <w:sz w:val="15"/>
          <w:szCs w:val="15"/>
          <w:color w:val="auto"/>
        </w:rPr>
        <w:t>CUSIP Number 92552R406</w:t>
      </w:r>
    </w:p>
    <w:p>
      <w:pPr>
        <w:spacing w:after="0" w:line="33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3. If this statement is filed pursuant to §§240.13d-1(b) or 240.13d-2(b) or (c), check whether the person filing is a:</w:t>
      </w:r>
    </w:p>
    <w:p>
      <w:pPr>
        <w:spacing w:after="0" w:line="138" w:lineRule="exact"/>
        <w:rPr>
          <w:sz w:val="20"/>
          <w:szCs w:val="20"/>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Broker or dealer registered under section 15 of the Act (15 U.S.C. 78o).</w:t>
      </w:r>
    </w:p>
    <w:p>
      <w:pPr>
        <w:spacing w:after="0" w:line="290"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Bank as defined in section 3(a)(6) of the Act (15 U.S.C. 78c).</w:t>
      </w:r>
    </w:p>
    <w:p>
      <w:pPr>
        <w:spacing w:after="0" w:line="290"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Insurance company as defined in section 3(a)(19) of the Act (15 U.S.C. 78c).</w:t>
      </w:r>
    </w:p>
    <w:p>
      <w:pPr>
        <w:spacing w:after="0" w:line="290"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Investment company registered under section 8 of the Investment Company Act of 1940 (15 U.S.C. 80a-8).</w:t>
      </w:r>
    </w:p>
    <w:p>
      <w:pPr>
        <w:spacing w:after="0" w:line="323" w:lineRule="exact"/>
        <w:rPr>
          <w:rFonts w:ascii="Arial" w:cs="Arial" w:eastAsia="Arial" w:hAnsi="Arial"/>
          <w:sz w:val="16"/>
          <w:szCs w:val="16"/>
          <w:color w:val="auto"/>
        </w:rPr>
      </w:pPr>
    </w:p>
    <w:p>
      <w:pPr>
        <w:ind w:left="680" w:hanging="335"/>
        <w:spacing w:after="0"/>
        <w:tabs>
          <w:tab w:leader="none" w:pos="680" w:val="left"/>
        </w:tabs>
        <w:numPr>
          <w:ilvl w:val="0"/>
          <w:numId w:val="6"/>
        </w:numPr>
        <w:rPr>
          <w:rFonts w:ascii="Arial" w:cs="Arial" w:eastAsia="Arial" w:hAnsi="Arial"/>
          <w:sz w:val="16"/>
          <w:szCs w:val="16"/>
          <w:color w:val="auto"/>
        </w:rPr>
      </w:pPr>
      <w:r>
        <w:rPr>
          <w:rFonts w:ascii="Arial" w:cs="Arial" w:eastAsia="Arial" w:hAnsi="Arial"/>
          <w:sz w:val="18"/>
          <w:szCs w:val="18"/>
          <w:color w:val="auto"/>
        </w:rPr>
        <w:t xml:space="preserve">x   </w:t>
      </w:r>
      <w:r>
        <w:rPr>
          <w:rFonts w:ascii="Arial" w:cs="Arial" w:eastAsia="Arial" w:hAnsi="Arial"/>
          <w:sz w:val="16"/>
          <w:szCs w:val="16"/>
          <w:color w:val="auto"/>
        </w:rPr>
        <w:t>An investment adviser in accordance with §240.13d-1(b)(1)(ii)(E);</w:t>
      </w:r>
    </w:p>
    <w:p>
      <w:pPr>
        <w:spacing w:after="0" w:line="246"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An employee benefit plan or endowment fund in accordance with §240.13d-1(b)(1)(ii)(F);</w:t>
      </w:r>
    </w:p>
    <w:p>
      <w:pPr>
        <w:spacing w:after="0" w:line="290"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parent holding company or control person in accordance with §240.13d-1(b)(1)(ii)(G);</w:t>
      </w:r>
    </w:p>
    <w:p>
      <w:pPr>
        <w:spacing w:after="0" w:line="290"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savings associations as defined in Section 3(b) of the Federal Deposit Insurance Act (12 U.S.C. 1813);</w:t>
      </w:r>
    </w:p>
    <w:p>
      <w:pPr>
        <w:spacing w:after="0" w:line="290" w:lineRule="exact"/>
        <w:rPr>
          <w:rFonts w:ascii="Arial" w:cs="Arial" w:eastAsia="Arial" w:hAnsi="Arial"/>
          <w:sz w:val="16"/>
          <w:szCs w:val="16"/>
          <w:color w:val="auto"/>
        </w:rPr>
      </w:pPr>
    </w:p>
    <w:p>
      <w:pPr>
        <w:ind w:left="1020" w:right="20" w:hanging="675"/>
        <w:spacing w:after="0" w:line="223" w:lineRule="exact"/>
        <w:tabs>
          <w:tab w:leader="none" w:pos="683"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church plan that is excluded from the definition of an investment company under section 3(c)(14) of the Investment Company Act of 1940 (15 U.S.C. 80a-3);</w:t>
      </w:r>
    </w:p>
    <w:p>
      <w:pPr>
        <w:spacing w:after="0" w:line="202" w:lineRule="exact"/>
        <w:rPr>
          <w:rFonts w:ascii="Arial" w:cs="Arial" w:eastAsia="Arial" w:hAnsi="Arial"/>
          <w:sz w:val="16"/>
          <w:szCs w:val="16"/>
          <w:color w:val="auto"/>
        </w:rPr>
      </w:pPr>
    </w:p>
    <w:p>
      <w:pPr>
        <w:ind w:left="680" w:hanging="335"/>
        <w:spacing w:after="0" w:line="196" w:lineRule="exact"/>
        <w:tabs>
          <w:tab w:leader="none" w:pos="680" w:val="left"/>
        </w:tabs>
        <w:numPr>
          <w:ilvl w:val="0"/>
          <w:numId w:val="6"/>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Group, in accordance with §240.13d-1(b)(1)(ii)(J).</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4. Ownership.</w:t>
      </w:r>
    </w:p>
    <w:p>
      <w:pPr>
        <w:sectPr>
          <w:pgSz w:w="11900" w:h="16838" w:orient="portrait"/>
          <w:cols w:equalWidth="0" w:num="1">
            <w:col w:w="11240"/>
          </w:cols>
          <w:pgMar w:left="320" w:top="1372" w:right="339" w:bottom="1440" w:gutter="0" w:footer="0" w:header="0"/>
        </w:sectPr>
      </w:pPr>
    </w:p>
    <w:bookmarkStart w:id="3" w:name="page4"/>
    <w:bookmarkEnd w:id="3"/>
    <w:p>
      <w:pPr>
        <w:spacing w:after="0"/>
        <w:rPr>
          <w:sz w:val="20"/>
          <w:szCs w:val="20"/>
          <w:color w:val="auto"/>
        </w:rPr>
      </w:pPr>
      <w:r>
        <w:rPr>
          <w:rFonts w:ascii="Arial" w:cs="Arial" w:eastAsia="Arial" w:hAnsi="Arial"/>
          <w:sz w:val="16"/>
          <w:szCs w:val="16"/>
          <w:color w:val="auto"/>
        </w:rPr>
        <w:t>Provide the following information regarding the aggregate number and percentage of the class of securities of the issuer identified in Item 1.</w:t>
      </w:r>
    </w:p>
    <w:p>
      <w:pPr>
        <w:spacing w:after="0" w:line="398" w:lineRule="exact"/>
        <w:rPr>
          <w:sz w:val="20"/>
          <w:szCs w:val="20"/>
          <w:color w:val="auto"/>
        </w:rPr>
      </w:pPr>
    </w:p>
    <w:p>
      <w:pPr>
        <w:ind w:left="800" w:hanging="455"/>
        <w:spacing w:after="0"/>
        <w:tabs>
          <w:tab w:leader="none" w:pos="800" w:val="left"/>
        </w:tabs>
        <w:numPr>
          <w:ilvl w:val="0"/>
          <w:numId w:val="7"/>
        </w:numPr>
        <w:rPr>
          <w:rFonts w:ascii="Arial" w:cs="Arial" w:eastAsia="Arial" w:hAnsi="Arial"/>
          <w:sz w:val="16"/>
          <w:szCs w:val="16"/>
          <w:color w:val="auto"/>
        </w:rPr>
      </w:pPr>
      <w:r>
        <w:rPr>
          <w:rFonts w:ascii="Arial" w:cs="Arial" w:eastAsia="Arial" w:hAnsi="Arial"/>
          <w:sz w:val="16"/>
          <w:szCs w:val="16"/>
          <w:color w:val="auto"/>
        </w:rPr>
        <w:t>Amount beneficially owned: 2,020,219</w:t>
      </w:r>
    </w:p>
    <w:p>
      <w:pPr>
        <w:spacing w:after="0" w:line="302" w:lineRule="exact"/>
        <w:rPr>
          <w:rFonts w:ascii="Arial" w:cs="Arial" w:eastAsia="Arial" w:hAnsi="Arial"/>
          <w:sz w:val="16"/>
          <w:szCs w:val="16"/>
          <w:color w:val="auto"/>
        </w:rPr>
      </w:pPr>
    </w:p>
    <w:p>
      <w:pPr>
        <w:ind w:left="800" w:hanging="455"/>
        <w:spacing w:after="0"/>
        <w:tabs>
          <w:tab w:leader="none" w:pos="800" w:val="left"/>
        </w:tabs>
        <w:numPr>
          <w:ilvl w:val="0"/>
          <w:numId w:val="7"/>
        </w:numPr>
        <w:rPr>
          <w:rFonts w:ascii="Arial" w:cs="Arial" w:eastAsia="Arial" w:hAnsi="Arial"/>
          <w:sz w:val="16"/>
          <w:szCs w:val="16"/>
          <w:color w:val="auto"/>
        </w:rPr>
      </w:pPr>
      <w:r>
        <w:rPr>
          <w:rFonts w:ascii="Arial" w:cs="Arial" w:eastAsia="Arial" w:hAnsi="Arial"/>
          <w:sz w:val="16"/>
          <w:szCs w:val="16"/>
          <w:color w:val="auto"/>
        </w:rPr>
        <w:t>Percent of class: 9.84%</w:t>
      </w:r>
    </w:p>
    <w:p>
      <w:pPr>
        <w:spacing w:after="0" w:line="302" w:lineRule="exact"/>
        <w:rPr>
          <w:rFonts w:ascii="Arial" w:cs="Arial" w:eastAsia="Arial" w:hAnsi="Arial"/>
          <w:sz w:val="16"/>
          <w:szCs w:val="16"/>
          <w:color w:val="auto"/>
        </w:rPr>
      </w:pPr>
    </w:p>
    <w:p>
      <w:pPr>
        <w:ind w:left="800" w:hanging="455"/>
        <w:spacing w:after="0"/>
        <w:tabs>
          <w:tab w:leader="none" w:pos="800" w:val="left"/>
        </w:tabs>
        <w:numPr>
          <w:ilvl w:val="0"/>
          <w:numId w:val="7"/>
        </w:numPr>
        <w:rPr>
          <w:rFonts w:ascii="Arial" w:cs="Arial" w:eastAsia="Arial" w:hAnsi="Arial"/>
          <w:sz w:val="16"/>
          <w:szCs w:val="16"/>
          <w:color w:val="auto"/>
        </w:rPr>
      </w:pPr>
      <w:r>
        <w:rPr>
          <w:rFonts w:ascii="Arial" w:cs="Arial" w:eastAsia="Arial" w:hAnsi="Arial"/>
          <w:sz w:val="16"/>
          <w:szCs w:val="16"/>
          <w:color w:val="auto"/>
        </w:rPr>
        <w:t>Number of shares as to which the person has:</w:t>
      </w:r>
    </w:p>
    <w:p>
      <w:pPr>
        <w:spacing w:after="0" w:line="302" w:lineRule="exact"/>
        <w:rPr>
          <w:rFonts w:ascii="Arial" w:cs="Arial" w:eastAsia="Arial" w:hAnsi="Arial"/>
          <w:sz w:val="16"/>
          <w:szCs w:val="16"/>
          <w:color w:val="auto"/>
        </w:rPr>
      </w:pPr>
    </w:p>
    <w:p>
      <w:pPr>
        <w:ind w:left="1140" w:hanging="336"/>
        <w:spacing w:after="0"/>
        <w:tabs>
          <w:tab w:leader="none" w:pos="1140" w:val="left"/>
        </w:tabs>
        <w:numPr>
          <w:ilvl w:val="1"/>
          <w:numId w:val="7"/>
        </w:numPr>
        <w:rPr>
          <w:rFonts w:ascii="Arial" w:cs="Arial" w:eastAsia="Arial" w:hAnsi="Arial"/>
          <w:sz w:val="16"/>
          <w:szCs w:val="16"/>
          <w:color w:val="auto"/>
        </w:rPr>
      </w:pPr>
      <w:r>
        <w:rPr>
          <w:rFonts w:ascii="Arial" w:cs="Arial" w:eastAsia="Arial" w:hAnsi="Arial"/>
          <w:sz w:val="16"/>
          <w:szCs w:val="16"/>
          <w:color w:val="auto"/>
        </w:rPr>
        <w:t>Sole power to vote or to direct the vote: 1,999,274</w:t>
      </w:r>
    </w:p>
    <w:p>
      <w:pPr>
        <w:spacing w:after="0" w:line="302" w:lineRule="exact"/>
        <w:rPr>
          <w:rFonts w:ascii="Arial" w:cs="Arial" w:eastAsia="Arial" w:hAnsi="Arial"/>
          <w:sz w:val="16"/>
          <w:szCs w:val="16"/>
          <w:color w:val="auto"/>
        </w:rPr>
      </w:pPr>
    </w:p>
    <w:p>
      <w:pPr>
        <w:ind w:left="1140" w:hanging="336"/>
        <w:spacing w:after="0"/>
        <w:tabs>
          <w:tab w:leader="none" w:pos="1140" w:val="left"/>
        </w:tabs>
        <w:numPr>
          <w:ilvl w:val="1"/>
          <w:numId w:val="7"/>
        </w:numPr>
        <w:rPr>
          <w:rFonts w:ascii="Arial" w:cs="Arial" w:eastAsia="Arial" w:hAnsi="Arial"/>
          <w:sz w:val="16"/>
          <w:szCs w:val="16"/>
          <w:color w:val="auto"/>
        </w:rPr>
      </w:pPr>
      <w:r>
        <w:rPr>
          <w:rFonts w:ascii="Arial" w:cs="Arial" w:eastAsia="Arial" w:hAnsi="Arial"/>
          <w:sz w:val="16"/>
          <w:szCs w:val="16"/>
          <w:color w:val="auto"/>
        </w:rPr>
        <w:t>Shared power to vote or to direct the vote: 0</w:t>
      </w:r>
    </w:p>
    <w:p>
      <w:pPr>
        <w:spacing w:after="0" w:line="302" w:lineRule="exact"/>
        <w:rPr>
          <w:rFonts w:ascii="Arial" w:cs="Arial" w:eastAsia="Arial" w:hAnsi="Arial"/>
          <w:sz w:val="16"/>
          <w:szCs w:val="16"/>
          <w:color w:val="auto"/>
        </w:rPr>
      </w:pPr>
    </w:p>
    <w:p>
      <w:pPr>
        <w:ind w:left="1140" w:hanging="336"/>
        <w:spacing w:after="0"/>
        <w:tabs>
          <w:tab w:leader="none" w:pos="1140" w:val="left"/>
        </w:tabs>
        <w:numPr>
          <w:ilvl w:val="1"/>
          <w:numId w:val="7"/>
        </w:numPr>
        <w:rPr>
          <w:rFonts w:ascii="Arial" w:cs="Arial" w:eastAsia="Arial" w:hAnsi="Arial"/>
          <w:sz w:val="16"/>
          <w:szCs w:val="16"/>
          <w:color w:val="auto"/>
        </w:rPr>
      </w:pPr>
      <w:r>
        <w:rPr>
          <w:rFonts w:ascii="Arial" w:cs="Arial" w:eastAsia="Arial" w:hAnsi="Arial"/>
          <w:sz w:val="16"/>
          <w:szCs w:val="16"/>
          <w:color w:val="auto"/>
        </w:rPr>
        <w:t>Sole power to dispose or to direct the disposition of: 2,020,219</w:t>
      </w:r>
    </w:p>
    <w:p>
      <w:pPr>
        <w:spacing w:after="0" w:line="302" w:lineRule="exact"/>
        <w:rPr>
          <w:rFonts w:ascii="Arial" w:cs="Arial" w:eastAsia="Arial" w:hAnsi="Arial"/>
          <w:sz w:val="16"/>
          <w:szCs w:val="16"/>
          <w:color w:val="auto"/>
        </w:rPr>
      </w:pPr>
    </w:p>
    <w:p>
      <w:pPr>
        <w:ind w:left="1140" w:hanging="336"/>
        <w:spacing w:after="0"/>
        <w:tabs>
          <w:tab w:leader="none" w:pos="1140" w:val="left"/>
        </w:tabs>
        <w:numPr>
          <w:ilvl w:val="1"/>
          <w:numId w:val="7"/>
        </w:numPr>
        <w:rPr>
          <w:rFonts w:ascii="Arial" w:cs="Arial" w:eastAsia="Arial" w:hAnsi="Arial"/>
          <w:sz w:val="16"/>
          <w:szCs w:val="16"/>
          <w:color w:val="auto"/>
        </w:rPr>
      </w:pPr>
      <w:r>
        <w:rPr>
          <w:rFonts w:ascii="Arial" w:cs="Arial" w:eastAsia="Arial" w:hAnsi="Arial"/>
          <w:sz w:val="16"/>
          <w:szCs w:val="16"/>
          <w:color w:val="auto"/>
        </w:rPr>
        <w:t>Shared power to dispose or to direct the disposition of: 0</w:t>
      </w:r>
    </w:p>
    <w:p>
      <w:pPr>
        <w:spacing w:after="0" w:line="176" w:lineRule="exact"/>
        <w:rPr>
          <w:rFonts w:ascii="Arial" w:cs="Arial" w:eastAsia="Arial" w:hAnsi="Arial"/>
          <w:sz w:val="16"/>
          <w:szCs w:val="16"/>
          <w:color w:val="auto"/>
        </w:rPr>
      </w:pPr>
    </w:p>
    <w:p>
      <w:pPr>
        <w:ind w:left="1140"/>
        <w:spacing w:after="0"/>
        <w:rPr>
          <w:rFonts w:ascii="Arial" w:cs="Arial" w:eastAsia="Arial" w:hAnsi="Arial"/>
          <w:sz w:val="16"/>
          <w:szCs w:val="16"/>
          <w:color w:val="auto"/>
        </w:rPr>
      </w:pPr>
      <w:r>
        <w:rPr>
          <w:rFonts w:ascii="Arial" w:cs="Arial" w:eastAsia="Arial" w:hAnsi="Arial"/>
          <w:sz w:val="16"/>
          <w:szCs w:val="16"/>
          <w:i w:val="1"/>
          <w:iCs w:val="1"/>
          <w:color w:val="auto"/>
        </w:rPr>
        <w:t>Instruction</w:t>
      </w:r>
      <w:r>
        <w:rPr>
          <w:rFonts w:ascii="Arial" w:cs="Arial" w:eastAsia="Arial" w:hAnsi="Arial"/>
          <w:sz w:val="16"/>
          <w:szCs w:val="16"/>
          <w:color w:val="auto"/>
        </w:rPr>
        <w:t>. For computations regarding securities which represent a right to acquire an underlying security</w:t>
      </w:r>
      <w:r>
        <w:rPr>
          <w:rFonts w:ascii="Arial" w:cs="Arial" w:eastAsia="Arial" w:hAnsi="Arial"/>
          <w:sz w:val="16"/>
          <w:szCs w:val="16"/>
          <w:i w:val="1"/>
          <w:iCs w:val="1"/>
          <w:color w:val="auto"/>
        </w:rPr>
        <w:t xml:space="preserve"> see </w:t>
      </w:r>
      <w:r>
        <w:rPr>
          <w:rFonts w:ascii="Arial" w:cs="Arial" w:eastAsia="Arial" w:hAnsi="Arial"/>
          <w:sz w:val="16"/>
          <w:szCs w:val="16"/>
          <w:color w:val="auto"/>
        </w:rPr>
        <w:t>§240.13d-3(d)(1).</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5. Ownership of Five Percent or Less of a Class.</w:t>
      </w:r>
    </w:p>
    <w:p>
      <w:pPr>
        <w:spacing w:after="0" w:line="241" w:lineRule="exact"/>
        <w:rPr>
          <w:sz w:val="20"/>
          <w:szCs w:val="20"/>
          <w:color w:val="auto"/>
        </w:rPr>
      </w:pPr>
    </w:p>
    <w:p>
      <w:pPr>
        <w:ind w:right="500"/>
        <w:spacing w:after="0" w:line="212" w:lineRule="exact"/>
        <w:rPr>
          <w:sz w:val="20"/>
          <w:szCs w:val="20"/>
          <w:color w:val="auto"/>
        </w:rPr>
      </w:pPr>
      <w:r>
        <w:rPr>
          <w:rFonts w:ascii="Arial" w:cs="Arial" w:eastAsia="Arial" w:hAnsi="Arial"/>
          <w:sz w:val="16"/>
          <w:szCs w:val="16"/>
          <w:color w:val="auto"/>
        </w:rPr>
        <w:t xml:space="preserve">If this statement is being filed to report the fact that as of the date hereof the reporting person has ceased to be the beneficial owner of more than five percent of the class of securities, check the following </w:t>
      </w:r>
      <w:r>
        <w:rPr>
          <w:rFonts w:ascii="MS PGothic" w:cs="MS PGothic" w:eastAsia="MS PGothic" w:hAnsi="MS PGothic"/>
          <w:sz w:val="17"/>
          <w:szCs w:val="17"/>
          <w:color w:val="auto"/>
        </w:rPr>
        <w:t>☐</w:t>
      </w:r>
    </w:p>
    <w:p>
      <w:pPr>
        <w:spacing w:after="0" w:line="17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6. Ownership of More than Five Percent on Behalf of Another Person.</w:t>
      </w:r>
    </w:p>
    <w:p>
      <w:pPr>
        <w:spacing w:after="0" w:line="187" w:lineRule="exact"/>
        <w:rPr>
          <w:sz w:val="20"/>
          <w:szCs w:val="20"/>
          <w:color w:val="auto"/>
        </w:rPr>
      </w:pPr>
    </w:p>
    <w:p>
      <w:pPr>
        <w:ind w:left="340"/>
        <w:spacing w:after="0" w:line="250" w:lineRule="auto"/>
        <w:rPr>
          <w:sz w:val="20"/>
          <w:szCs w:val="20"/>
          <w:color w:val="auto"/>
        </w:rPr>
      </w:pPr>
      <w:r>
        <w:rPr>
          <w:rFonts w:ascii="Arial" w:cs="Arial" w:eastAsia="Arial" w:hAnsi="Arial"/>
          <w:sz w:val="16"/>
          <w:szCs w:val="16"/>
          <w:color w:val="auto"/>
        </w:rPr>
        <w:t>The clients of Victory Capital Management Inc., including investment companies registered under the Investment Company Act of 1940 and separately managed accounts, have the right to receive or the power to direct the receipt of dividends from, or the proceeds from the sale of, the class of securities reported herein. No client has the right to receive or the power to direct the receipt of dividends from, or the proceeds from the sale of, more than 5% of such class except the Victory Sycamore Small Company Opportunity Fund an investment company registered under the Investment Company Act of 1940, which has an interest of 7.48% of the class.</w:t>
      </w:r>
    </w:p>
    <w:p>
      <w:pPr>
        <w:spacing w:after="0" w:line="3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7. Identification and Classification of the Subsidiary Which Acquired the Security Being Reported on By the Parent Holding Company.</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8. Identification and Classification of Members of the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9. Notice of Dissolution of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 Certification.</w:t>
      </w:r>
    </w:p>
    <w:p>
      <w:pPr>
        <w:spacing w:after="0" w:line="200" w:lineRule="exact"/>
        <w:rPr>
          <w:sz w:val="20"/>
          <w:szCs w:val="20"/>
          <w:color w:val="auto"/>
        </w:rPr>
      </w:pPr>
    </w:p>
    <w:p>
      <w:pPr>
        <w:spacing w:after="0" w:line="218" w:lineRule="exact"/>
        <w:rPr>
          <w:sz w:val="20"/>
          <w:szCs w:val="20"/>
          <w:color w:val="auto"/>
        </w:rPr>
      </w:pPr>
    </w:p>
    <w:p>
      <w:pPr>
        <w:ind w:left="880" w:hanging="427"/>
        <w:spacing w:after="0"/>
        <w:tabs>
          <w:tab w:leader="none" w:pos="88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following certification shall be included if the statement is filed pursuant to §240.13d-1(b):</w:t>
      </w:r>
    </w:p>
    <w:p>
      <w:pPr>
        <w:spacing w:after="0" w:line="302" w:lineRule="exact"/>
        <w:rPr>
          <w:rFonts w:ascii="Arial" w:cs="Arial" w:eastAsia="Arial" w:hAnsi="Arial"/>
          <w:sz w:val="16"/>
          <w:szCs w:val="16"/>
          <w:color w:val="auto"/>
        </w:rPr>
      </w:pPr>
    </w:p>
    <w:p>
      <w:pPr>
        <w:jc w:val="both"/>
        <w:ind w:left="880" w:right="180"/>
        <w:spacing w:after="0" w:line="305" w:lineRule="auto"/>
        <w:rPr>
          <w:rFonts w:ascii="Arial" w:cs="Arial" w:eastAsia="Arial" w:hAnsi="Arial"/>
          <w:sz w:val="16"/>
          <w:szCs w:val="16"/>
          <w:color w:val="auto"/>
        </w:rPr>
      </w:pPr>
      <w:r>
        <w:rPr>
          <w:rFonts w:ascii="Arial" w:cs="Arial" w:eastAsia="Arial" w:hAnsi="Arial"/>
          <w:sz w:val="15"/>
          <w:szCs w:val="15"/>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180"/>
          </w:cols>
          <w:pgMar w:left="320" w:top="654" w:right="399" w:bottom="1440" w:gutter="0" w:footer="0" w:header="0"/>
        </w:sectPr>
      </w:pPr>
    </w:p>
    <w:bookmarkStart w:id="4" w:name="page5"/>
    <w:bookmarkEnd w:id="4"/>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423545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t>CUSIP No. 232109108</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4 of 4 Pages</w:t>
      </w:r>
    </w:p>
    <w:p>
      <w:pPr>
        <w:spacing w:after="0" w:line="200" w:lineRule="exact"/>
        <w:rPr>
          <w:sz w:val="20"/>
          <w:szCs w:val="20"/>
          <w:color w:val="auto"/>
        </w:rPr>
      </w:pPr>
    </w:p>
    <w:p>
      <w:pPr>
        <w:spacing w:after="0" w:line="23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Date</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Colin S. Kinney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Colin S. Kinney / 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Name/Title</w:t>
      </w:r>
    </w:p>
    <w:sectPr>
      <w:pgSz w:w="11900" w:h="16838" w:orient="portrait"/>
      <w:cols w:equalWidth="0" w:num="1">
        <w:col w:w="11240"/>
      </w:cols>
      <w:pgMar w:left="320" w:top="135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3">
    <w:nsid w:val="507ED7AB"/>
    <w:multiLevelType w:val="hybridMultilevel"/>
    <w:lvl w:ilvl="0">
      <w:lvlJc w:val="left"/>
      <w:lvlText w:val="(%1)"/>
      <w:numFmt w:val="lowerLetter"/>
      <w:start w:val="2"/>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1"/>
    </w:lvl>
  </w:abstractNum>
  <w:abstractNum w:abstractNumId="6">
    <w:nsid w:val="79E2A9E3"/>
    <w:multiLevelType w:val="hybridMultilevel"/>
    <w:lvl w:ilvl="0">
      <w:lvlJc w:val="left"/>
      <w:lvlText w:val="(%1)"/>
      <w:numFmt w:val="lowerLetter"/>
      <w:start w:val="1"/>
    </w:lvl>
    <w:lvl w:ilvl="1">
      <w:lvlJc w:val="left"/>
      <w:lvlText w:val="(%2)"/>
      <w:numFmt w:val="lowerRoman"/>
      <w:start w:val="1"/>
    </w:lvl>
  </w:abstractNum>
  <w:abstractNum w:abstractNumId="7">
    <w:nsid w:val="7545E14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2022-02-02T07:57:32Z</dcterms:created>
  <dcterms:modified xsi:type="dcterms:W3CDTF">2022-02-02T07:57:32Z</dcterms:modified>
</cp:coreProperties>
</file>