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1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11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August 5,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3005455</wp:posOffset>
            </wp:positionH>
            <wp:positionV relativeFrom="paragraph">
              <wp:posOffset>154305</wp:posOffset>
            </wp:positionV>
            <wp:extent cx="1131570" cy="6000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31570" cy="6000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Viad Corp</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182" w:lineRule="exact"/>
        <w:rPr>
          <w:sz w:val="24"/>
          <w:szCs w:val="24"/>
          <w:color w:val="auto"/>
        </w:rPr>
      </w:pPr>
    </w:p>
    <w:tbl>
      <w:tblPr>
        <w:tblLayout w:type="fixed"/>
        <w:tblInd w:w="760" w:type="dxa"/>
        <w:tblCellMar>
          <w:top w:w="0" w:type="dxa"/>
          <w:left w:w="0" w:type="dxa"/>
          <w:bottom w:w="0" w:type="dxa"/>
          <w:right w:w="0" w:type="dxa"/>
        </w:tblCellMar>
      </w:tblPr>
      <w:tr>
        <w:trPr>
          <w:trHeight w:val="222"/>
        </w:trPr>
        <w:tc>
          <w:tcPr>
            <w:tcW w:w="3160" w:type="dxa"/>
            <w:vAlign w:val="bottom"/>
          </w:tcPr>
          <w:p>
            <w:pPr>
              <w:jc w:val="center"/>
              <w:ind w:right="841"/>
              <w:spacing w:after="0"/>
              <w:rPr>
                <w:sz w:val="20"/>
                <w:szCs w:val="20"/>
                <w:color w:val="auto"/>
              </w:rPr>
            </w:pPr>
            <w:r>
              <w:rPr>
                <w:rFonts w:ascii="Arial" w:cs="Arial" w:eastAsia="Arial" w:hAnsi="Arial"/>
                <w:sz w:val="18"/>
                <w:szCs w:val="18"/>
                <w:b w:val="1"/>
                <w:bCs w:val="1"/>
                <w:color w:val="auto"/>
                <w:w w:val="91"/>
              </w:rPr>
              <w:t>Delaware</w:t>
            </w:r>
          </w:p>
        </w:tc>
        <w:tc>
          <w:tcPr>
            <w:tcW w:w="3700" w:type="dxa"/>
            <w:vAlign w:val="bottom"/>
          </w:tcPr>
          <w:p>
            <w:pPr>
              <w:jc w:val="right"/>
              <w:ind w:right="1541"/>
              <w:spacing w:after="0"/>
              <w:rPr>
                <w:sz w:val="20"/>
                <w:szCs w:val="20"/>
                <w:color w:val="auto"/>
              </w:rPr>
            </w:pPr>
            <w:r>
              <w:rPr>
                <w:rFonts w:ascii="Arial" w:cs="Arial" w:eastAsia="Arial" w:hAnsi="Arial"/>
                <w:sz w:val="18"/>
                <w:szCs w:val="18"/>
                <w:b w:val="1"/>
                <w:bCs w:val="1"/>
                <w:color w:val="auto"/>
              </w:rPr>
              <w:t>001-11015</w:t>
            </w:r>
          </w:p>
        </w:tc>
        <w:tc>
          <w:tcPr>
            <w:tcW w:w="2280" w:type="dxa"/>
            <w:vAlign w:val="bottom"/>
          </w:tcPr>
          <w:p>
            <w:pPr>
              <w:jc w:val="center"/>
              <w:ind w:left="1144"/>
              <w:spacing w:after="0"/>
              <w:rPr>
                <w:sz w:val="20"/>
                <w:szCs w:val="20"/>
                <w:color w:val="auto"/>
              </w:rPr>
            </w:pPr>
            <w:r>
              <w:rPr>
                <w:rFonts w:ascii="Arial" w:cs="Arial" w:eastAsia="Arial" w:hAnsi="Arial"/>
                <w:sz w:val="18"/>
                <w:szCs w:val="18"/>
                <w:b w:val="1"/>
                <w:bCs w:val="1"/>
                <w:color w:val="auto"/>
                <w:w w:val="89"/>
              </w:rPr>
              <w:t>36-1169950</w:t>
            </w:r>
          </w:p>
        </w:tc>
      </w:tr>
      <w:tr>
        <w:trPr>
          <w:trHeight w:val="149"/>
        </w:trPr>
        <w:tc>
          <w:tcPr>
            <w:tcW w:w="3160" w:type="dxa"/>
            <w:vAlign w:val="bottom"/>
          </w:tcPr>
          <w:p>
            <w:pPr>
              <w:jc w:val="center"/>
              <w:ind w:right="861"/>
              <w:spacing w:after="0"/>
              <w:rPr>
                <w:sz w:val="20"/>
                <w:szCs w:val="20"/>
                <w:color w:val="auto"/>
              </w:rPr>
            </w:pPr>
            <w:r>
              <w:rPr>
                <w:rFonts w:ascii="Arial" w:cs="Arial" w:eastAsia="Arial" w:hAnsi="Arial"/>
                <w:sz w:val="13"/>
                <w:szCs w:val="13"/>
                <w:b w:val="1"/>
                <w:bCs w:val="1"/>
                <w:color w:val="auto"/>
                <w:w w:val="94"/>
              </w:rPr>
              <w:t>(State or other jurisdiction</w:t>
            </w:r>
          </w:p>
        </w:tc>
        <w:tc>
          <w:tcPr>
            <w:tcW w:w="3700" w:type="dxa"/>
            <w:vAlign w:val="bottom"/>
          </w:tcPr>
          <w:p>
            <w:pPr>
              <w:spacing w:after="0"/>
              <w:rPr>
                <w:sz w:val="12"/>
                <w:szCs w:val="12"/>
                <w:color w:val="auto"/>
              </w:rPr>
            </w:pPr>
          </w:p>
        </w:tc>
        <w:tc>
          <w:tcPr>
            <w:tcW w:w="2280" w:type="dxa"/>
            <w:vAlign w:val="bottom"/>
          </w:tcPr>
          <w:p>
            <w:pPr>
              <w:jc w:val="center"/>
              <w:ind w:left="1124"/>
              <w:spacing w:after="0"/>
              <w:rPr>
                <w:sz w:val="20"/>
                <w:szCs w:val="20"/>
                <w:color w:val="auto"/>
              </w:rPr>
            </w:pPr>
            <w:r>
              <w:rPr>
                <w:rFonts w:ascii="Arial" w:cs="Arial" w:eastAsia="Arial" w:hAnsi="Arial"/>
                <w:sz w:val="13"/>
                <w:szCs w:val="13"/>
                <w:b w:val="1"/>
                <w:bCs w:val="1"/>
                <w:color w:val="auto"/>
                <w:w w:val="98"/>
              </w:rPr>
              <w:t>(IRS Employer</w:t>
            </w:r>
          </w:p>
        </w:tc>
      </w:tr>
      <w:tr>
        <w:trPr>
          <w:trHeight w:val="174"/>
        </w:trPr>
        <w:tc>
          <w:tcPr>
            <w:tcW w:w="3160" w:type="dxa"/>
            <w:vAlign w:val="bottom"/>
          </w:tcPr>
          <w:p>
            <w:pPr>
              <w:jc w:val="center"/>
              <w:ind w:right="841"/>
              <w:spacing w:after="0"/>
              <w:rPr>
                <w:sz w:val="20"/>
                <w:szCs w:val="20"/>
                <w:color w:val="auto"/>
              </w:rPr>
            </w:pPr>
            <w:r>
              <w:rPr>
                <w:rFonts w:ascii="Arial" w:cs="Arial" w:eastAsia="Arial" w:hAnsi="Arial"/>
                <w:sz w:val="13"/>
                <w:szCs w:val="13"/>
                <w:b w:val="1"/>
                <w:bCs w:val="1"/>
                <w:color w:val="auto"/>
                <w:w w:val="96"/>
              </w:rPr>
              <w:t>of incorporation)</w:t>
            </w:r>
          </w:p>
        </w:tc>
        <w:tc>
          <w:tcPr>
            <w:tcW w:w="3700" w:type="dxa"/>
            <w:vAlign w:val="bottom"/>
          </w:tcPr>
          <w:p>
            <w:pPr>
              <w:jc w:val="center"/>
              <w:ind w:right="221"/>
              <w:spacing w:after="0"/>
              <w:rPr>
                <w:sz w:val="20"/>
                <w:szCs w:val="20"/>
                <w:color w:val="auto"/>
              </w:rPr>
            </w:pPr>
            <w:r>
              <w:rPr>
                <w:rFonts w:ascii="Arial" w:cs="Arial" w:eastAsia="Arial" w:hAnsi="Arial"/>
                <w:sz w:val="13"/>
                <w:szCs w:val="13"/>
                <w:b w:val="1"/>
                <w:bCs w:val="1"/>
                <w:color w:val="auto"/>
                <w:w w:val="94"/>
              </w:rPr>
              <w:t>(Commission File Number)</w:t>
            </w: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Identification No.)</w:t>
            </w:r>
          </w:p>
        </w:tc>
      </w:tr>
      <w:tr>
        <w:trPr>
          <w:trHeight w:val="387"/>
        </w:trPr>
        <w:tc>
          <w:tcPr>
            <w:tcW w:w="3160" w:type="dxa"/>
            <w:vAlign w:val="bottom"/>
          </w:tcPr>
          <w:p>
            <w:pPr>
              <w:jc w:val="center"/>
              <w:ind w:right="861"/>
              <w:spacing w:after="0"/>
              <w:rPr>
                <w:sz w:val="20"/>
                <w:szCs w:val="20"/>
                <w:color w:val="auto"/>
              </w:rPr>
            </w:pPr>
            <w:r>
              <w:rPr>
                <w:rFonts w:ascii="Arial" w:cs="Arial" w:eastAsia="Arial" w:hAnsi="Arial"/>
                <w:sz w:val="18"/>
                <w:szCs w:val="18"/>
                <w:b w:val="1"/>
                <w:bCs w:val="1"/>
                <w:color w:val="auto"/>
                <w:w w:val="87"/>
              </w:rPr>
              <w:t>7000 East 1st Avenue</w:t>
            </w:r>
          </w:p>
        </w:tc>
        <w:tc>
          <w:tcPr>
            <w:tcW w:w="370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22"/>
        </w:trPr>
        <w:tc>
          <w:tcPr>
            <w:tcW w:w="3160" w:type="dxa"/>
            <w:vAlign w:val="bottom"/>
          </w:tcPr>
          <w:p>
            <w:pPr>
              <w:jc w:val="center"/>
              <w:ind w:right="841"/>
              <w:spacing w:after="0"/>
              <w:rPr>
                <w:sz w:val="20"/>
                <w:szCs w:val="20"/>
                <w:color w:val="auto"/>
              </w:rPr>
            </w:pPr>
            <w:r>
              <w:rPr>
                <w:rFonts w:ascii="Arial" w:cs="Arial" w:eastAsia="Arial" w:hAnsi="Arial"/>
                <w:sz w:val="18"/>
                <w:szCs w:val="18"/>
                <w:b w:val="1"/>
                <w:bCs w:val="1"/>
                <w:color w:val="auto"/>
                <w:w w:val="88"/>
              </w:rPr>
              <w:t>Scottsdale, Arizona</w:t>
            </w:r>
          </w:p>
        </w:tc>
        <w:tc>
          <w:tcPr>
            <w:tcW w:w="3700" w:type="dxa"/>
            <w:vAlign w:val="bottom"/>
          </w:tcPr>
          <w:p>
            <w:pPr>
              <w:spacing w:after="0"/>
              <w:rPr>
                <w:sz w:val="19"/>
                <w:szCs w:val="19"/>
                <w:color w:val="auto"/>
              </w:rPr>
            </w:pPr>
          </w:p>
        </w:tc>
        <w:tc>
          <w:tcPr>
            <w:tcW w:w="2280" w:type="dxa"/>
            <w:vAlign w:val="bottom"/>
          </w:tcPr>
          <w:p>
            <w:pPr>
              <w:jc w:val="center"/>
              <w:ind w:left="1124"/>
              <w:spacing w:after="0"/>
              <w:rPr>
                <w:sz w:val="20"/>
                <w:szCs w:val="20"/>
                <w:color w:val="auto"/>
              </w:rPr>
            </w:pPr>
            <w:r>
              <w:rPr>
                <w:rFonts w:ascii="Arial" w:cs="Arial" w:eastAsia="Arial" w:hAnsi="Arial"/>
                <w:sz w:val="18"/>
                <w:szCs w:val="18"/>
                <w:b w:val="1"/>
                <w:bCs w:val="1"/>
                <w:color w:val="auto"/>
                <w:w w:val="91"/>
              </w:rPr>
              <w:t>85251-4304</w:t>
            </w:r>
          </w:p>
        </w:tc>
      </w:tr>
      <w:tr>
        <w:trPr>
          <w:trHeight w:val="174"/>
        </w:trPr>
        <w:tc>
          <w:tcPr>
            <w:tcW w:w="3160" w:type="dxa"/>
            <w:vAlign w:val="bottom"/>
          </w:tcPr>
          <w:p>
            <w:pPr>
              <w:jc w:val="center"/>
              <w:ind w:right="841"/>
              <w:spacing w:after="0"/>
              <w:rPr>
                <w:sz w:val="20"/>
                <w:szCs w:val="20"/>
                <w:color w:val="auto"/>
              </w:rPr>
            </w:pPr>
            <w:r>
              <w:rPr>
                <w:rFonts w:ascii="Arial" w:cs="Arial" w:eastAsia="Arial" w:hAnsi="Arial"/>
                <w:sz w:val="13"/>
                <w:szCs w:val="13"/>
                <w:b w:val="1"/>
                <w:bCs w:val="1"/>
                <w:color w:val="auto"/>
                <w:w w:val="92"/>
              </w:rPr>
              <w:t>(Address of principal executive offices)</w:t>
            </w:r>
          </w:p>
        </w:tc>
        <w:tc>
          <w:tcPr>
            <w:tcW w:w="3700" w:type="dxa"/>
            <w:vAlign w:val="bottom"/>
          </w:tcPr>
          <w:p>
            <w:pPr>
              <w:spacing w:after="0"/>
              <w:rPr>
                <w:sz w:val="15"/>
                <w:szCs w:val="15"/>
                <w:color w:val="auto"/>
              </w:rPr>
            </w:pP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(Zip Code)</w:t>
            </w:r>
          </w:p>
        </w:tc>
      </w:tr>
    </w:tbl>
    <w:p>
      <w:pPr>
        <w:spacing w:after="0" w:line="7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(602) 207-1000</w:t>
      </w:r>
    </w:p>
    <w:p>
      <w:pPr>
        <w:spacing w:after="0" w:line="1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47"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15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4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89"/>
              </w:rPr>
              <w:t>Title of each class</w:t>
            </w: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Trading</w:t>
            </w:r>
          </w:p>
        </w:tc>
        <w:tc>
          <w:tcPr>
            <w:tcW w:w="5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71"/>
        </w:trPr>
        <w:tc>
          <w:tcPr>
            <w:tcW w:w="4400" w:type="dxa"/>
            <w:vAlign w:val="bottom"/>
            <w:gridSpan w:val="2"/>
            <w:vMerge w:val="continue"/>
          </w:tcPr>
          <w:p>
            <w:pPr>
              <w:spacing w:after="0"/>
              <w:rPr>
                <w:sz w:val="14"/>
                <w:szCs w:val="14"/>
                <w:color w:val="auto"/>
              </w:rPr>
            </w:pP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Symbol(s)</w:t>
            </w:r>
          </w:p>
        </w:tc>
        <w:tc>
          <w:tcPr>
            <w:tcW w:w="5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42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0"/>
              </w:rPr>
              <w:t>Common Stock, $1.50 Par Value</w:t>
            </w:r>
          </w:p>
        </w:tc>
        <w:tc>
          <w:tcPr>
            <w:tcW w:w="1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rPr>
              <w:t>VVI</w:t>
            </w:r>
          </w:p>
        </w:tc>
        <w:tc>
          <w:tcPr>
            <w:tcW w:w="120" w:type="dxa"/>
            <w:vAlign w:val="bottom"/>
          </w:tcPr>
          <w:p>
            <w:pPr>
              <w:spacing w:after="0"/>
              <w:rPr>
                <w:sz w:val="16"/>
                <w:szCs w:val="16"/>
                <w:color w:val="auto"/>
              </w:rPr>
            </w:pPr>
          </w:p>
        </w:tc>
        <w:tc>
          <w:tcPr>
            <w:tcW w:w="50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r>
        <w:trPr>
          <w:trHeight w:val="234"/>
        </w:trPr>
        <w:tc>
          <w:tcPr>
            <w:tcW w:w="440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88"/>
              </w:rPr>
              <w:t>Preferred Stock Purchase Rights</w:t>
            </w: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89"/>
              </w:rPr>
              <w:t>__</w:t>
            </w:r>
          </w:p>
        </w:tc>
        <w:tc>
          <w:tcPr>
            <w:tcW w:w="1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r>
        <w:trPr>
          <w:trHeight w:val="108"/>
        </w:trPr>
        <w:tc>
          <w:tcPr>
            <w:tcW w:w="4400" w:type="dxa"/>
            <w:vAlign w:val="bottom"/>
            <w:gridSpan w:val="2"/>
            <w:vMerge w:val="continue"/>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48"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549275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August 5, 2021, we issued a press release announcing our earnings for the second quarter ended June 30, 2021. A copy of the earnings press release is furnished as Exhibit 99.1 to this current report.</w:t>
      </w:r>
    </w:p>
    <w:p>
      <w:pPr>
        <w:spacing w:after="0" w:line="170" w:lineRule="exact"/>
        <w:rPr>
          <w:sz w:val="20"/>
          <w:szCs w:val="20"/>
          <w:color w:val="auto"/>
        </w:rPr>
      </w:pPr>
    </w:p>
    <w:p>
      <w:pPr>
        <w:jc w:val="both"/>
        <w:ind w:right="20"/>
        <w:spacing w:after="0" w:line="311" w:lineRule="auto"/>
        <w:rPr>
          <w:sz w:val="20"/>
          <w:szCs w:val="20"/>
          <w:color w:val="auto"/>
        </w:rPr>
      </w:pPr>
      <w:r>
        <w:rPr>
          <w:rFonts w:ascii="Arial" w:cs="Arial" w:eastAsia="Arial" w:hAnsi="Arial"/>
          <w:sz w:val="16"/>
          <w:szCs w:val="16"/>
          <w:color w:val="auto"/>
        </w:rPr>
        <w:t>This press release, including Exhibit 99.1, will not be deemed “filed” for purposes of Section 18 of the Securities Exchange Act of 1934, as amended (the “Exchange Act”), or otherwise subject to the liabilities of that section and it will not be incorporated by reference in any filing under the Securities Act of 1933, as amended (the “Securities Act”), or the Exchange Act, except as expressly set forth by specific reference in such a filing.</w:t>
      </w: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57" w:lineRule="exact"/>
        <w:rPr>
          <w:sz w:val="20"/>
          <w:szCs w:val="20"/>
          <w:color w:val="auto"/>
        </w:rPr>
      </w:pPr>
    </w:p>
    <w:p>
      <w:pPr>
        <w:ind w:left="18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40"/>
        <w:spacing w:after="0"/>
        <w:tabs>
          <w:tab w:leader="none" w:pos="1020" w:val="left"/>
        </w:tabs>
        <w:rPr>
          <w:sz w:val="20"/>
          <w:szCs w:val="20"/>
          <w:color w:val="auto"/>
        </w:rPr>
      </w:pPr>
      <w:r>
        <w:rPr>
          <w:rFonts w:ascii="Arial" w:cs="Arial" w:eastAsia="Arial" w:hAnsi="Arial"/>
          <w:sz w:val="14"/>
          <w:szCs w:val="14"/>
          <w:b w:val="1"/>
          <w:bCs w:val="1"/>
          <w:color w:val="auto"/>
        </w:rPr>
        <w:t>Number</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16" w:lineRule="exact"/>
        <w:rPr>
          <w:sz w:val="20"/>
          <w:szCs w:val="20"/>
          <w:color w:val="auto"/>
        </w:rPr>
      </w:pPr>
    </w:p>
    <w:p>
      <w:pPr>
        <w:ind w:left="240"/>
        <w:spacing w:after="0"/>
        <w:tabs>
          <w:tab w:leader="none" w:pos="1020" w:val="left"/>
        </w:tabs>
        <w:rPr>
          <w:rFonts w:ascii="Arial" w:cs="Arial" w:eastAsia="Arial" w:hAnsi="Arial"/>
          <w:sz w:val="15"/>
          <w:szCs w:val="15"/>
          <w:u w:val="single" w:color="auto"/>
          <w:color w:val="auto"/>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auto"/>
          </w:rPr>
          <w:t>Viad Corp Press Release dated August 5, 2021</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-10160</wp:posOffset>
            </wp:positionV>
            <wp:extent cx="21316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131695" cy="8255"/>
                    </a:xfrm>
                    <a:prstGeom prst="rect">
                      <a:avLst/>
                    </a:prstGeom>
                    <a:noFill/>
                  </pic:spPr>
                </pic:pic>
              </a:graphicData>
            </a:graphic>
          </wp:anchor>
        </w:drawing>
      </w:r>
    </w:p>
    <w:p>
      <w:pPr>
        <w:spacing w:after="0" w:line="3" w:lineRule="exact"/>
        <w:rPr>
          <w:sz w:val="20"/>
          <w:szCs w:val="20"/>
          <w:color w:val="auto"/>
        </w:rPr>
      </w:pPr>
    </w:p>
    <w:p>
      <w:pPr>
        <w:ind w:left="1040" w:hanging="776"/>
        <w:spacing w:after="0"/>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3"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80"/>
          </w:cols>
          <w:pgMar w:left="320" w:top="553" w:right="4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40" w:type="dxa"/>
            <w:vAlign w:val="bottom"/>
          </w:tcPr>
          <w:p>
            <w:pPr>
              <w:spacing w:after="0"/>
              <w:rPr>
                <w:sz w:val="19"/>
                <w:szCs w:val="19"/>
                <w:color w:val="auto"/>
              </w:rPr>
            </w:pPr>
          </w:p>
        </w:tc>
        <w:tc>
          <w:tcPr>
            <w:tcW w:w="7900" w:type="dxa"/>
            <w:vAlign w:val="bottom"/>
            <w:gridSpan w:val="2"/>
          </w:tcPr>
          <w:p>
            <w:pPr>
              <w:ind w:left="2400"/>
              <w:spacing w:after="0"/>
              <w:rPr>
                <w:sz w:val="20"/>
                <w:szCs w:val="20"/>
                <w:color w:val="auto"/>
              </w:rPr>
            </w:pPr>
            <w:r>
              <w:rPr>
                <w:rFonts w:ascii="Arial" w:cs="Arial" w:eastAsia="Arial" w:hAnsi="Arial"/>
                <w:sz w:val="18"/>
                <w:szCs w:val="18"/>
                <w:color w:val="auto"/>
              </w:rPr>
              <w:t>Viad Corp</w:t>
            </w:r>
          </w:p>
        </w:tc>
      </w:tr>
      <w:tr>
        <w:trPr>
          <w:trHeight w:val="230"/>
        </w:trPr>
        <w:tc>
          <w:tcPr>
            <w:tcW w:w="3340" w:type="dxa"/>
            <w:vAlign w:val="bottom"/>
          </w:tcPr>
          <w:p>
            <w:pPr>
              <w:spacing w:after="0"/>
              <w:rPr>
                <w:sz w:val="20"/>
                <w:szCs w:val="20"/>
                <w:color w:val="auto"/>
              </w:rPr>
            </w:pPr>
          </w:p>
        </w:tc>
        <w:tc>
          <w:tcPr>
            <w:tcW w:w="7900" w:type="dxa"/>
            <w:vAlign w:val="bottom"/>
            <w:gridSpan w:val="2"/>
          </w:tcPr>
          <w:p>
            <w:pPr>
              <w:ind w:left="2400"/>
              <w:spacing w:after="0"/>
              <w:rPr>
                <w:sz w:val="20"/>
                <w:szCs w:val="20"/>
                <w:color w:val="auto"/>
              </w:rPr>
            </w:pPr>
            <w:r>
              <w:rPr>
                <w:rFonts w:ascii="Arial" w:cs="Arial" w:eastAsia="Arial" w:hAnsi="Arial"/>
                <w:sz w:val="18"/>
                <w:szCs w:val="18"/>
                <w:color w:val="auto"/>
              </w:rPr>
              <w:t>(Registrant)</w:t>
            </w:r>
          </w:p>
        </w:tc>
      </w:tr>
      <w:tr>
        <w:trPr>
          <w:trHeight w:val="459"/>
        </w:trPr>
        <w:tc>
          <w:tcPr>
            <w:tcW w:w="3340" w:type="dxa"/>
            <w:vAlign w:val="bottom"/>
          </w:tcPr>
          <w:p>
            <w:pPr>
              <w:spacing w:after="0"/>
              <w:rPr>
                <w:sz w:val="20"/>
                <w:szCs w:val="20"/>
                <w:color w:val="auto"/>
              </w:rPr>
            </w:pPr>
            <w:r>
              <w:rPr>
                <w:rFonts w:ascii="Arial" w:cs="Arial" w:eastAsia="Arial" w:hAnsi="Arial"/>
                <w:sz w:val="18"/>
                <w:szCs w:val="18"/>
                <w:color w:val="auto"/>
              </w:rPr>
              <w:t>August 5, 2021</w:t>
            </w:r>
          </w:p>
        </w:tc>
        <w:tc>
          <w:tcPr>
            <w:tcW w:w="7900" w:type="dxa"/>
            <w:vAlign w:val="bottom"/>
            <w:gridSpan w:val="2"/>
          </w:tcPr>
          <w:p>
            <w:pPr>
              <w:ind w:left="2400"/>
              <w:spacing w:after="0"/>
              <w:rPr>
                <w:sz w:val="20"/>
                <w:szCs w:val="20"/>
                <w:color w:val="auto"/>
              </w:rPr>
            </w:pPr>
            <w:r>
              <w:rPr>
                <w:rFonts w:ascii="Arial" w:cs="Arial" w:eastAsia="Arial" w:hAnsi="Arial"/>
                <w:sz w:val="18"/>
                <w:szCs w:val="18"/>
                <w:color w:val="auto"/>
              </w:rPr>
              <w:t>By: /s/ Leslie S. Striedel</w:t>
            </w:r>
          </w:p>
        </w:tc>
      </w:tr>
      <w:tr>
        <w:trPr>
          <w:trHeight w:val="222"/>
        </w:trPr>
        <w:tc>
          <w:tcPr>
            <w:tcW w:w="3340" w:type="dxa"/>
            <w:vAlign w:val="bottom"/>
          </w:tcPr>
          <w:p>
            <w:pPr>
              <w:spacing w:after="0"/>
              <w:rPr>
                <w:sz w:val="19"/>
                <w:szCs w:val="19"/>
                <w:color w:val="auto"/>
              </w:rPr>
            </w:pPr>
          </w:p>
        </w:tc>
        <w:tc>
          <w:tcPr>
            <w:tcW w:w="2720" w:type="dxa"/>
            <w:vAlign w:val="bottom"/>
          </w:tcPr>
          <w:p>
            <w:pPr>
              <w:spacing w:after="0"/>
              <w:rPr>
                <w:sz w:val="19"/>
                <w:szCs w:val="19"/>
                <w:color w:val="auto"/>
              </w:rPr>
            </w:pPr>
          </w:p>
        </w:tc>
        <w:tc>
          <w:tcPr>
            <w:tcW w:w="51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Leslie S. Striedel</w:t>
            </w:r>
          </w:p>
        </w:tc>
      </w:tr>
      <w:tr>
        <w:trPr>
          <w:trHeight w:val="230"/>
        </w:trPr>
        <w:tc>
          <w:tcPr>
            <w:tcW w:w="334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5180" w:type="dxa"/>
            <w:vAlign w:val="bottom"/>
          </w:tcPr>
          <w:p>
            <w:pPr>
              <w:spacing w:after="0"/>
              <w:rPr>
                <w:sz w:val="20"/>
                <w:szCs w:val="20"/>
                <w:color w:val="auto"/>
              </w:rPr>
            </w:pPr>
            <w:r>
              <w:rPr>
                <w:rFonts w:ascii="Arial" w:cs="Arial" w:eastAsia="Arial" w:hAnsi="Arial"/>
                <w:sz w:val="18"/>
                <w:szCs w:val="18"/>
                <w:color w:val="auto"/>
              </w:rPr>
              <w:t>Chief Accounting Officer</w:t>
            </w:r>
          </w:p>
        </w:tc>
      </w:tr>
      <w:tr>
        <w:trPr>
          <w:trHeight w:val="864"/>
        </w:trPr>
        <w:tc>
          <w:tcPr>
            <w:tcW w:w="3340" w:type="dxa"/>
            <w:vAlign w:val="bottom"/>
          </w:tcPr>
          <w:p>
            <w:pPr>
              <w:spacing w:after="0"/>
              <w:rPr>
                <w:sz w:val="24"/>
                <w:szCs w:val="24"/>
                <w:color w:val="auto"/>
              </w:rPr>
            </w:pPr>
          </w:p>
        </w:tc>
        <w:tc>
          <w:tcPr>
            <w:tcW w:w="2720" w:type="dxa"/>
            <w:vAlign w:val="bottom"/>
          </w:tcPr>
          <w:p>
            <w:pPr>
              <w:jc w:val="right"/>
              <w:ind w:right="310"/>
              <w:spacing w:after="0"/>
              <w:rPr>
                <w:sz w:val="20"/>
                <w:szCs w:val="20"/>
                <w:color w:val="auto"/>
              </w:rPr>
            </w:pPr>
            <w:r>
              <w:rPr>
                <w:rFonts w:ascii="Arial" w:cs="Arial" w:eastAsia="Arial" w:hAnsi="Arial"/>
                <w:sz w:val="18"/>
                <w:szCs w:val="18"/>
                <w:color w:val="auto"/>
              </w:rPr>
              <w:t>2</w:t>
            </w:r>
          </w:p>
        </w:tc>
        <w:tc>
          <w:tcPr>
            <w:tcW w:w="5180" w:type="dxa"/>
            <w:vAlign w:val="bottom"/>
          </w:tcPr>
          <w:p>
            <w:pPr>
              <w:spacing w:after="0"/>
              <w:rPr>
                <w:sz w:val="24"/>
                <w:szCs w:val="24"/>
                <w:color w:val="auto"/>
              </w:rPr>
            </w:pPr>
          </w:p>
        </w:tc>
      </w:tr>
    </w:tbl>
    <w:p>
      <w:pPr>
        <w:sectPr>
          <w:pgSz w:w="11900" w:h="16838" w:orient="portrait"/>
          <w:cols w:equalWidth="0" w:num="1">
            <w:col w:w="11240"/>
          </w:cols>
          <w:pgMar w:left="320" w:top="553"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b w:val="1"/>
          <w:bCs w:val="1"/>
          <w:color w:val="auto"/>
        </w:rPr>
        <w:t>Exhibit 99.1</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Viad Corp Reports Results for the 2021 Second Quarter</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Completes Debt Refinancing for Enhanced Financial Flexibility</w:t>
      </w:r>
    </w:p>
    <w:p>
      <w:pPr>
        <w:spacing w:after="0" w:line="342" w:lineRule="exact"/>
        <w:rPr>
          <w:sz w:val="20"/>
          <w:szCs w:val="20"/>
          <w:color w:val="auto"/>
        </w:rPr>
      </w:pPr>
    </w:p>
    <w:p>
      <w:pPr>
        <w:ind w:left="440" w:hanging="432"/>
        <w:spacing w:after="0"/>
        <w:tabs>
          <w:tab w:leader="none" w:pos="440" w:val="left"/>
        </w:tabs>
        <w:numPr>
          <w:ilvl w:val="0"/>
          <w:numId w:val="3"/>
        </w:numPr>
        <w:rPr>
          <w:rFonts w:ascii="Arial" w:cs="Arial" w:eastAsia="Arial" w:hAnsi="Arial"/>
          <w:sz w:val="23"/>
          <w:szCs w:val="23"/>
          <w:color w:val="auto"/>
        </w:rPr>
      </w:pPr>
      <w:r>
        <w:rPr>
          <w:rFonts w:ascii="Arial" w:cs="Arial" w:eastAsia="Arial" w:hAnsi="Arial"/>
          <w:sz w:val="23"/>
          <w:szCs w:val="23"/>
          <w:b w:val="1"/>
          <w:bCs w:val="1"/>
          <w:color w:val="auto"/>
        </w:rPr>
        <w:t>Sequential quarter revenue more than doubles as business activity accelerates at Pursuit and GES</w:t>
      </w:r>
    </w:p>
    <w:p>
      <w:pPr>
        <w:spacing w:after="0" w:line="113" w:lineRule="exact"/>
        <w:rPr>
          <w:rFonts w:ascii="Arial" w:cs="Arial" w:eastAsia="Arial" w:hAnsi="Arial"/>
          <w:sz w:val="23"/>
          <w:szCs w:val="23"/>
          <w:color w:val="auto"/>
        </w:rPr>
      </w:pPr>
    </w:p>
    <w:p>
      <w:pPr>
        <w:ind w:left="440" w:hanging="432"/>
        <w:spacing w:after="0"/>
        <w:tabs>
          <w:tab w:leader="none" w:pos="440" w:val="left"/>
        </w:tabs>
        <w:numPr>
          <w:ilvl w:val="0"/>
          <w:numId w:val="3"/>
        </w:numPr>
        <w:rPr>
          <w:rFonts w:ascii="Arial" w:cs="Arial" w:eastAsia="Arial" w:hAnsi="Arial"/>
          <w:sz w:val="23"/>
          <w:szCs w:val="23"/>
          <w:color w:val="auto"/>
        </w:rPr>
      </w:pPr>
      <w:r>
        <w:rPr>
          <w:rFonts w:ascii="Arial" w:cs="Arial" w:eastAsia="Arial" w:hAnsi="Arial"/>
          <w:sz w:val="23"/>
          <w:szCs w:val="23"/>
          <w:b w:val="1"/>
          <w:bCs w:val="1"/>
          <w:color w:val="auto"/>
        </w:rPr>
        <w:t>New debt structure provides strong foundation for continued growth</w:t>
      </w:r>
    </w:p>
    <w:p>
      <w:pPr>
        <w:spacing w:after="0" w:line="339" w:lineRule="exact"/>
        <w:rPr>
          <w:sz w:val="20"/>
          <w:szCs w:val="20"/>
          <w:color w:val="auto"/>
        </w:rPr>
      </w:pPr>
    </w:p>
    <w:p>
      <w:pPr>
        <w:jc w:val="both"/>
        <w:ind w:right="20"/>
        <w:spacing w:after="0" w:line="267" w:lineRule="auto"/>
        <w:rPr>
          <w:sz w:val="20"/>
          <w:szCs w:val="20"/>
          <w:color w:val="auto"/>
        </w:rPr>
      </w:pPr>
      <w:r>
        <w:rPr>
          <w:rFonts w:ascii="Arial" w:cs="Arial" w:eastAsia="Arial" w:hAnsi="Arial"/>
          <w:sz w:val="20"/>
          <w:szCs w:val="20"/>
          <w:b w:val="1"/>
          <w:bCs w:val="1"/>
          <w:color w:val="auto"/>
        </w:rPr>
        <w:t xml:space="preserve">PHOENIX, August 5, 2021 </w:t>
      </w:r>
      <w:r>
        <w:rPr>
          <w:rFonts w:ascii="Arial" w:cs="Arial" w:eastAsia="Arial" w:hAnsi="Arial"/>
          <w:sz w:val="20"/>
          <w:szCs w:val="20"/>
          <w:color w:val="auto"/>
        </w:rPr>
        <w:t>-- Viad Corp (NYSE: VVI), a leading provider of experiential leisure travel and live events and marketing</w:t>
      </w:r>
      <w:r>
        <w:rPr>
          <w:rFonts w:ascii="Arial" w:cs="Arial" w:eastAsia="Arial" w:hAnsi="Arial"/>
          <w:sz w:val="20"/>
          <w:szCs w:val="20"/>
          <w:b w:val="1"/>
          <w:bCs w:val="1"/>
          <w:color w:val="auto"/>
        </w:rPr>
        <w:t xml:space="preserve"> </w:t>
      </w:r>
      <w:r>
        <w:rPr>
          <w:rFonts w:ascii="Arial" w:cs="Arial" w:eastAsia="Arial" w:hAnsi="Arial"/>
          <w:sz w:val="20"/>
          <w:szCs w:val="20"/>
          <w:color w:val="auto"/>
        </w:rPr>
        <w:t>experiences, today reported financial results for the 2021 second quarter.</w:t>
      </w:r>
    </w:p>
    <w:p>
      <w:pPr>
        <w:spacing w:after="0" w:line="115"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Steve Moster, president and chief executive officer, commented, “We ended the second quarter in a solid liquidity position and are experiencing an acceleration of business activity at both Pursuit and GES. As the number of vaccinations increases and pandemic restrictions are lifted, we are seeing strong pent-up demand for leisure travel and the return of in-person events.”</w:t>
      </w:r>
    </w:p>
    <w:p>
      <w:pPr>
        <w:spacing w:after="0" w:line="132"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Moster continued, “Our team has done a great job navigating the shifting challenges of the pandemic and positioning our businesses for greater success in the future. We have made structural changes to enhance the revenue mix and margin profile of GES, we have continued to pursue high-margin, high-return growth opportunities at Pursuit, and we recently refinanced our debt to enhance our financial flexibility. With the recovery of our industries underway and the additional flexibility provided by our new debt structure, we are even more excited about our company’s future.”</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Second Quarter 2021 Results</w:t>
      </w:r>
    </w:p>
    <w:p>
      <w:pPr>
        <w:spacing w:after="0" w:line="114" w:lineRule="exact"/>
        <w:rPr>
          <w:sz w:val="20"/>
          <w:szCs w:val="20"/>
          <w:color w:val="auto"/>
        </w:rPr>
      </w:pPr>
    </w:p>
    <w:p>
      <w:pPr>
        <w:jc w:val="both"/>
        <w:spacing w:after="0" w:line="291" w:lineRule="auto"/>
        <w:rPr>
          <w:sz w:val="20"/>
          <w:szCs w:val="20"/>
          <w:color w:val="auto"/>
        </w:rPr>
      </w:pPr>
      <w:r>
        <w:rPr>
          <w:rFonts w:ascii="Arial" w:cs="Arial" w:eastAsia="Arial" w:hAnsi="Arial"/>
          <w:sz w:val="18"/>
          <w:szCs w:val="18"/>
          <w:color w:val="auto"/>
        </w:rPr>
        <w:t>Second quarter revenue was $61.2 million, up from $30.1 million in the 2020 second quarter. Sequential quarter revenue grew 112%. These improvements reflect the loosening of restrictions related to the COVID-19 pandemic and the opening of seasonal and new experiences at Pursuit. The second quarter net loss attributable to Viad was $42.0 million and our adjusted segment EBITDA* was negative $19.6 million.</w:t>
      </w:r>
    </w:p>
    <w:p>
      <w:pPr>
        <w:spacing w:after="0" w:line="100" w:lineRule="exact"/>
        <w:rPr>
          <w:sz w:val="20"/>
          <w:szCs w:val="20"/>
          <w:color w:val="auto"/>
        </w:rPr>
      </w:pPr>
    </w:p>
    <w:p>
      <w:pPr>
        <w:ind w:right="500" w:firstLine="8"/>
        <w:spacing w:after="0" w:line="277" w:lineRule="auto"/>
        <w:tabs>
          <w:tab w:leader="none" w:pos="135"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Refer to Table 2 of this press release for a discussion and reconciliation of this non-GAAP financial measure to its most directly comparable GAAP financial measure.</w:t>
      </w:r>
    </w:p>
    <w:p>
      <w:pPr>
        <w:spacing w:after="0" w:line="114"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Regarding Pursuit, Moster commented, “At Pursuit, second quarter revenue reached 66% of the amount generated in the 2019 second quarter, reflecting strong pent-up leisure travel demand in destinations without significant COVID restrictions. Our Glacier and Alaska experiences, which draw largely domestic travelers, performed very well during the quarter and advance bookings in those locations are pacing for a record year in 2021. Visitation at our Canadian experiences remained constrained during the quarter due to the international border closure and other restrictions that were in place. As restrictions are being relaxed across Canada, we are seeing increased bookings there and we look forward to the recently announced opening of the Canadian border to vaccinated U.S. citizens on August 9th.”</w:t>
      </w:r>
    </w:p>
    <w:p>
      <w:pPr>
        <w:spacing w:after="0" w:line="111" w:lineRule="exact"/>
        <w:rPr>
          <w:sz w:val="20"/>
          <w:szCs w:val="20"/>
          <w:color w:val="auto"/>
        </w:rPr>
      </w:pPr>
    </w:p>
    <w:p>
      <w:pPr>
        <w:jc w:val="both"/>
        <w:spacing w:after="0" w:line="291" w:lineRule="auto"/>
        <w:rPr>
          <w:sz w:val="20"/>
          <w:szCs w:val="20"/>
          <w:color w:val="auto"/>
        </w:rPr>
      </w:pPr>
      <w:r>
        <w:rPr>
          <w:rFonts w:ascii="Arial" w:cs="Arial" w:eastAsia="Arial" w:hAnsi="Arial"/>
          <w:sz w:val="18"/>
          <w:szCs w:val="18"/>
          <w:color w:val="auto"/>
        </w:rPr>
        <w:t>Regarding GES, Moster commented, “GES’ second quarter revenue remained well-below pre-COVID levels but did experience a sequential quarter increase of about 30% as more locations re-opened for in-person events. Most U.S. states have re-opened for in-person events, and we continue to see increased activity and strengthening show schedules going forward. As revenue comes back, the structural</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71748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color w:val="auto"/>
        </w:rPr>
        <w:t>- Page 2 -</w:t>
      </w:r>
    </w:p>
    <w:p>
      <w:pPr>
        <w:spacing w:after="0" w:line="211"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changes we made during the pandemic are enabling us to service our clients with a lower and more flexible cost structure that is closely aligned with our clients’ needs and expectations.”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Cash Flow and Balance Sheet Highlights</w:t>
      </w:r>
    </w:p>
    <w:p>
      <w:pPr>
        <w:spacing w:after="0" w:line="114"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Our 2021 second quarter cash flow from operations was an outflow of approximately $7 million and our capital expenditures totaled $15.4 million.</w:t>
      </w:r>
    </w:p>
    <w:p>
      <w:pPr>
        <w:spacing w:after="0" w:line="123"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Moster commented, “These outflows were lower than our prior guidance due to favorable working capital and timing of capital expenditure outflows. Advance customer deposits at both Pursuit and GES were stronger than anticipated as business activity is increasing along with easing of COVID restrictions. Our capital expenditures during the quarter included approximately $6 million for the development of Pursuit’s new FlyOver Las Vegas attraction, which is on track to open in September.”</w:t>
      </w:r>
    </w:p>
    <w:p>
      <w:pPr>
        <w:spacing w:after="0" w:line="137"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At June 30, 2021, our cash and cash equivalents were $37 million and we had approximately $114 million of capacity available on our revolving credit facility. Our debt totaled approximately $400 million, including approximately $327 million drawn on our $450 million revolving credit facility (which was recently refinanced, as discussed below), financing lease obligations of approximately $66 million (which primarily comprises real estate leases at Pursuit), and approximately $6 million in debt at FlyOver Iceland.</w:t>
      </w:r>
    </w:p>
    <w:p>
      <w:pPr>
        <w:spacing w:after="0" w:line="17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Debt Refinancing</w:t>
      </w:r>
    </w:p>
    <w:p>
      <w:pPr>
        <w:spacing w:after="0" w:line="114" w:lineRule="exact"/>
        <w:rPr>
          <w:sz w:val="20"/>
          <w:szCs w:val="20"/>
          <w:color w:val="auto"/>
        </w:rPr>
      </w:pPr>
    </w:p>
    <w:p>
      <w:pPr>
        <w:ind w:right="300"/>
        <w:spacing w:after="0" w:line="250" w:lineRule="auto"/>
        <w:rPr>
          <w:sz w:val="20"/>
          <w:szCs w:val="20"/>
          <w:color w:val="auto"/>
        </w:rPr>
      </w:pPr>
      <w:r>
        <w:rPr>
          <w:rFonts w:ascii="Arial" w:cs="Arial" w:eastAsia="Arial" w:hAnsi="Arial"/>
          <w:sz w:val="20"/>
          <w:szCs w:val="20"/>
          <w:color w:val="auto"/>
        </w:rPr>
        <w:t>On July 30, 2021, we completed the previously announced process to refinance our $450 million senior secured revolving credit facility, which was set to mature in 2023, with a new $500 million senior secured credit facility that meaningfully extends the maturity of our debt and provides increased financial flexibility to support our growth initiatives.</w:t>
      </w:r>
    </w:p>
    <w:p>
      <w:pPr>
        <w:spacing w:after="0" w:line="132" w:lineRule="exact"/>
        <w:rPr>
          <w:sz w:val="20"/>
          <w:szCs w:val="20"/>
          <w:color w:val="auto"/>
        </w:rPr>
      </w:pPr>
    </w:p>
    <w:p>
      <w:pPr>
        <w:ind w:right="240"/>
        <w:spacing w:after="0" w:line="246" w:lineRule="auto"/>
        <w:rPr>
          <w:sz w:val="20"/>
          <w:szCs w:val="20"/>
          <w:color w:val="auto"/>
        </w:rPr>
      </w:pPr>
      <w:r>
        <w:rPr>
          <w:rFonts w:ascii="Arial" w:cs="Arial" w:eastAsia="Arial" w:hAnsi="Arial"/>
          <w:sz w:val="20"/>
          <w:szCs w:val="20"/>
          <w:color w:val="auto"/>
        </w:rPr>
        <w:t>The new facility comprises a $400 million Term Loan B that matures in 2028 and a $100 million revolving credit facility that matures in 2026. The net cash proceeds from the Term Loan B, after fees and expenses related to the refinancing and repayment of the previous revolving credit facility, added approximately $56 million of cash to our balance sheet. The new $100 million revolver remains completely undrawn.</w:t>
      </w:r>
    </w:p>
    <w:p>
      <w:pPr>
        <w:spacing w:after="0" w:line="137" w:lineRule="exact"/>
        <w:rPr>
          <w:sz w:val="20"/>
          <w:szCs w:val="20"/>
          <w:color w:val="auto"/>
        </w:rPr>
      </w:pPr>
    </w:p>
    <w:p>
      <w:pPr>
        <w:ind w:right="20"/>
        <w:spacing w:after="0" w:line="244" w:lineRule="auto"/>
        <w:rPr>
          <w:sz w:val="20"/>
          <w:szCs w:val="20"/>
          <w:color w:val="auto"/>
        </w:rPr>
      </w:pPr>
      <w:r>
        <w:rPr>
          <w:rFonts w:ascii="Arial" w:cs="Arial" w:eastAsia="Arial" w:hAnsi="Arial"/>
          <w:sz w:val="20"/>
          <w:szCs w:val="20"/>
          <w:color w:val="auto"/>
        </w:rPr>
        <w:t>The terms of the new revolving credit facility require us to maintain minimum liquidity of $75 million through June 30, 2022 (the “Minimum Liquidity Period”). Upon expiration of the Minimum Liquidity Period, we will be subject to a maximum total net leverage ratio of 4.5x through September 30, 2022 and 4x on or after December 31, 2022, as well as a minimum consolidated interest coverage ratio of 2x through September 30, 2022 and 2.5x on or after December 31, 2022. Additional details of the new credit facility are available in the form 8-K we filed on August 2, 2021.</w:t>
      </w:r>
    </w:p>
    <w:p>
      <w:pPr>
        <w:spacing w:after="0" w:line="140"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Moster commented, “We are very pleased with the outcome of our debt refinancing and believe the new structure will provide a strong foundation for us to continue our exciting growth journey, including Refresh, Build, Buy investments at Pursuit. In this year of recovery, we remain committed to carefully managing our cash flows and being strong stewards of our capital to maximize shareholder value. I am confident that the strength, drive, creativity, and flexibility of our team will continue to drive our success.”</w:t>
      </w:r>
    </w:p>
    <w:p>
      <w:pPr>
        <w:spacing w:after="0" w:line="17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Conference Call Details</w:t>
      </w:r>
    </w:p>
    <w:p>
      <w:pPr>
        <w:spacing w:after="0" w:line="114"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Viad will host a conference call on Thursday, August 5, 2021, at 5:00 p.m. Eastern Time to review 2021 second quarter results. To join the live conference call, please register at least 10 minutes before the start of the call using the following link:</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71748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22"/>
          <w:szCs w:val="22"/>
          <w:color w:val="auto"/>
        </w:rPr>
        <w:t>- Page 3 -</w:t>
      </w:r>
    </w:p>
    <w:p>
      <w:pPr>
        <w:spacing w:after="0" w:line="211"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https://www.incommglobalevents.com/registration/client/8249/viad-corp-second-quarter-2021-earnings-call/. After registering, an email confirmation will be sent that includes dial-in information as well as unique codes for entry into the live call. Registration will be open throughout the call.</w:t>
      </w:r>
    </w:p>
    <w:p>
      <w:pPr>
        <w:spacing w:after="0" w:line="132"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A live audio webcast of the call will also be available in listen-only mode through the "Investors" section of our website. A replay of the webcast will be available on our website shortly after the call and, for a limited time, by calling (929) 458-6194 and entering the conference ID 406971.</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Viad</w:t>
      </w:r>
    </w:p>
    <w:p>
      <w:pPr>
        <w:spacing w:after="0" w:line="114" w:lineRule="exact"/>
        <w:rPr>
          <w:sz w:val="20"/>
          <w:szCs w:val="20"/>
          <w:color w:val="auto"/>
        </w:rPr>
      </w:pPr>
    </w:p>
    <w:p>
      <w:pPr>
        <w:jc w:val="both"/>
        <w:spacing w:after="0" w:line="274" w:lineRule="auto"/>
        <w:rPr>
          <w:sz w:val="20"/>
          <w:szCs w:val="20"/>
          <w:color w:val="auto"/>
        </w:rPr>
      </w:pPr>
      <w:r>
        <w:rPr>
          <w:rFonts w:ascii="Arial" w:cs="Arial" w:eastAsia="Arial" w:hAnsi="Arial"/>
          <w:sz w:val="18"/>
          <w:szCs w:val="18"/>
          <w:color w:val="auto"/>
        </w:rPr>
        <w:t>Viad (NYSE: VVI) is a leading provider of experiential leisure travel and live events and marketing experiences that generates revenue and shareholder value through two businesses: Pursuit and GES. Pursuit is a collection of inspiring and unforgettable travel experiences in Alaska, Montana, the Canadian Rockies, Vancouver, and Reykjavik, as well as new experiences in development in Las Vegas and Toronto. Pursuit’s collection includes attractions, lodges and hotels, and sightseeing tours that connect guests with iconic places. GES is a global, full-service live events company offering a comprehensive range of services to the world's leading brands and event organizers. Our business strategy focuses on providing superior experiential services to our customers and sustainable returns on invested capital to our shareholders. Viad is an S&amp;P SmallCap 600 company. For more information, visit www.viad.com.</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114"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This press release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71748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2"/>
          <w:szCs w:val="22"/>
          <w:color w:val="auto"/>
        </w:rPr>
        <w:t>- Page 4 -</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Important factors that could cause actual results to differ materially from those described in our forward-looking statements include, but are not limited to, the following:</w:t>
      </w:r>
    </w:p>
    <w:p>
      <w:pPr>
        <w:spacing w:after="0" w:line="190" w:lineRule="exact"/>
        <w:rPr>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the impact of the COVID-19 pandemic on our financial condition, liquidity, and cash flow;</w:t>
      </w:r>
    </w:p>
    <w:p>
      <w:pPr>
        <w:spacing w:after="0" w:line="20"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ability to anticipate and adjust for the impact of the COVID-19 pandemic on our businesses;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general economic uncertainty in key global markets and a worsening of global economic conditions;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travel industry disruptions;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ability to successfully integrate and achieve established financial and strategic goals from acquisitions;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dependence on large exhibition event clients;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the importance of key members of our account teams to our business relationships;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the competitive nature of the industries in which we operate;</w:t>
      </w:r>
    </w:p>
    <w:p>
      <w:pPr>
        <w:spacing w:after="0" w:line="13" w:lineRule="exact"/>
        <w:rPr>
          <w:rFonts w:ascii="Arial" w:cs="Arial" w:eastAsia="Arial" w:hAnsi="Arial"/>
          <w:sz w:val="20"/>
          <w:szCs w:val="20"/>
          <w:color w:val="auto"/>
        </w:rPr>
      </w:pPr>
    </w:p>
    <w:p>
      <w:pPr>
        <w:ind w:left="880" w:hanging="440"/>
        <w:spacing w:after="0" w:line="244" w:lineRule="auto"/>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unanticipated delays and cost overruns of our capital projects, and our ability to achieve established financial and strategic goals for such projects;</w:t>
      </w: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seasonality of our businesses;</w:t>
      </w:r>
    </w:p>
    <w:p>
      <w:pPr>
        <w:spacing w:after="0" w:line="4"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transportation disruptions and increases in transportation costs;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natural disasters, weather conditions, and other catastrophic events;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multi-employer pension plan funding obligations;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exposure to labor cost increases and work stoppages related to unionized employees;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liabilities relating to prior and discontinued operations;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adverse effects of show rotation on our periodic results and operating margins;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exposure to currency exchange rate fluctuations;</w:t>
      </w:r>
    </w:p>
    <w:p>
      <w:pPr>
        <w:spacing w:after="0" w:line="13" w:lineRule="exact"/>
        <w:rPr>
          <w:rFonts w:ascii="Arial" w:cs="Arial" w:eastAsia="Arial" w:hAnsi="Arial"/>
          <w:sz w:val="20"/>
          <w:szCs w:val="20"/>
          <w:color w:val="auto"/>
        </w:rPr>
      </w:pP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our exposure to cybersecurity attacks and threats;</w:t>
      </w:r>
    </w:p>
    <w:p>
      <w:pPr>
        <w:spacing w:after="0" w:line="13" w:lineRule="exact"/>
        <w:rPr>
          <w:rFonts w:ascii="Arial" w:cs="Arial" w:eastAsia="Arial" w:hAnsi="Arial"/>
          <w:sz w:val="20"/>
          <w:szCs w:val="20"/>
          <w:color w:val="auto"/>
        </w:rPr>
      </w:pPr>
    </w:p>
    <w:p>
      <w:pPr>
        <w:ind w:left="880" w:right="20" w:hanging="440"/>
        <w:spacing w:after="0" w:line="244" w:lineRule="auto"/>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compliance with laws governing the storage, collection, handling, and transfer of personal data and our exposure to legal claims and fines for data breaches or improper handling of such data; and</w:t>
      </w:r>
    </w:p>
    <w:p>
      <w:pPr>
        <w:ind w:left="880" w:hanging="440"/>
        <w:spacing w:after="0"/>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color w:val="auto"/>
        </w:rPr>
        <w:t>changes affecting the London Inter-bank Offered Rate.</w:t>
      </w:r>
    </w:p>
    <w:p>
      <w:pPr>
        <w:spacing w:after="0" w:line="227"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For a more complete discussion of the risks and uncertainties that may affect our business or financial results, please see Item 1A, “Risk Factors,” of our most recent annual report on Form 10-K and our most recent quarterly report on Form 10-Q filed with the SEC. We disclaim and do not undertake any obligation to update or revise any forward-looking statement in this press release except as required by applicable law or regulation.</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Contact</w:t>
      </w:r>
    </w:p>
    <w:p>
      <w:pPr>
        <w:spacing w:after="0" w:line="114" w:lineRule="exact"/>
        <w:rPr>
          <w:sz w:val="20"/>
          <w:szCs w:val="20"/>
          <w:color w:val="auto"/>
        </w:rPr>
      </w:pPr>
    </w:p>
    <w:p>
      <w:pPr>
        <w:spacing w:after="0"/>
        <w:rPr>
          <w:sz w:val="20"/>
          <w:szCs w:val="20"/>
          <w:color w:val="auto"/>
        </w:rPr>
      </w:pPr>
      <w:r>
        <w:rPr>
          <w:rFonts w:ascii="Arial" w:cs="Arial" w:eastAsia="Arial" w:hAnsi="Arial"/>
          <w:sz w:val="20"/>
          <w:szCs w:val="20"/>
          <w:color w:val="auto"/>
        </w:rPr>
        <w:t>Carrie Long or Michelle Porhola</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Investor Relations</w:t>
      </w:r>
    </w:p>
    <w:p>
      <w:pPr>
        <w:ind w:left="480" w:hanging="472"/>
        <w:spacing w:after="0"/>
        <w:tabs>
          <w:tab w:leader="none" w:pos="480" w:val="left"/>
        </w:tabs>
        <w:numPr>
          <w:ilvl w:val="0"/>
          <w:numId w:val="6"/>
        </w:numPr>
        <w:rPr>
          <w:rFonts w:ascii="Arial" w:cs="Arial" w:eastAsia="Arial" w:hAnsi="Arial"/>
          <w:sz w:val="20"/>
          <w:szCs w:val="20"/>
          <w:color w:val="auto"/>
        </w:rPr>
      </w:pPr>
      <w:r>
        <w:rPr>
          <w:rFonts w:ascii="Arial" w:cs="Arial" w:eastAsia="Arial" w:hAnsi="Arial"/>
          <w:sz w:val="20"/>
          <w:szCs w:val="20"/>
          <w:color w:val="auto"/>
        </w:rPr>
        <w:t>207-2681</w:t>
      </w:r>
    </w:p>
    <w:p>
      <w:pPr>
        <w:spacing w:after="0"/>
        <w:rPr>
          <w:rFonts w:ascii="Arial" w:cs="Arial" w:eastAsia="Arial" w:hAnsi="Arial"/>
          <w:sz w:val="20"/>
          <w:szCs w:val="20"/>
          <w:color w:val="auto"/>
        </w:rPr>
      </w:pPr>
      <w:r>
        <w:rPr>
          <w:rFonts w:ascii="Arial" w:cs="Arial" w:eastAsia="Arial" w:hAnsi="Arial"/>
          <w:sz w:val="20"/>
          <w:szCs w:val="20"/>
          <w:u w:val="single" w:color="auto"/>
          <w:color w:val="auto"/>
        </w:rPr>
        <w:t>ir@viad.com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71748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ONE –QUARTERLY RESULTS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860" w:type="dxa"/>
            <w:vAlign w:val="bottom"/>
            <w:vMerge w:val="restart"/>
          </w:tcPr>
          <w:p>
            <w:pPr>
              <w:spacing w:after="0"/>
              <w:rPr>
                <w:sz w:val="20"/>
                <w:szCs w:val="20"/>
                <w:color w:val="auto"/>
              </w:rPr>
            </w:pPr>
            <w:r>
              <w:rPr>
                <w:rFonts w:ascii="Arial" w:cs="Arial" w:eastAsia="Arial" w:hAnsi="Arial"/>
                <w:sz w:val="14"/>
                <w:szCs w:val="14"/>
                <w:color w:val="auto"/>
              </w:rPr>
              <w:t>($ in thousands, except per share data)</w:t>
            </w:r>
          </w:p>
        </w:tc>
        <w:tc>
          <w:tcPr>
            <w:tcW w:w="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4"/>
                <w:szCs w:val="14"/>
                <w:color w:val="auto"/>
                <w:w w:val="92"/>
              </w:rPr>
              <w:t>Three months ended June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6"/>
          </w:tcPr>
          <w:p>
            <w:pPr>
              <w:jc w:val="right"/>
              <w:ind w:right="179"/>
              <w:spacing w:after="0"/>
              <w:rPr>
                <w:sz w:val="20"/>
                <w:szCs w:val="20"/>
                <w:color w:val="auto"/>
              </w:rPr>
            </w:pPr>
            <w:r>
              <w:rPr>
                <w:rFonts w:ascii="Arial" w:cs="Arial" w:eastAsia="Arial" w:hAnsi="Arial"/>
                <w:sz w:val="14"/>
                <w:szCs w:val="14"/>
                <w:color w:val="auto"/>
                <w:w w:val="89"/>
              </w:rPr>
              <w:t>Six months ended June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6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39"/>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Revenue:</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GES (Note A)</w:t>
            </w:r>
          </w:p>
        </w:tc>
        <w:tc>
          <w:tcPr>
            <w:tcW w:w="20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24,920</w:t>
            </w:r>
          </w:p>
        </w:tc>
        <w:tc>
          <w:tcPr>
            <w:tcW w:w="100" w:type="dxa"/>
            <w:vAlign w:val="bottom"/>
          </w:tcPr>
          <w:p>
            <w:pPr>
              <w:spacing w:after="0"/>
              <w:rPr>
                <w:sz w:val="14"/>
                <w:szCs w:val="14"/>
                <w:color w:val="auto"/>
              </w:rPr>
            </w:pP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24,803</w:t>
            </w:r>
          </w:p>
        </w:tc>
        <w:tc>
          <w:tcPr>
            <w:tcW w:w="12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117</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3"/>
              </w:rPr>
              <w:t>0.5%</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44,065</w:t>
            </w:r>
          </w:p>
        </w:tc>
        <w:tc>
          <w:tcPr>
            <w:tcW w:w="100" w:type="dxa"/>
            <w:vAlign w:val="bottom"/>
          </w:tcPr>
          <w:p>
            <w:pPr>
              <w:spacing w:after="0"/>
              <w:rPr>
                <w:sz w:val="14"/>
                <w:szCs w:val="14"/>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305,938</w:t>
            </w:r>
          </w:p>
        </w:tc>
        <w:tc>
          <w:tcPr>
            <w:tcW w:w="120" w:type="dxa"/>
            <w:vAlign w:val="bottom"/>
          </w:tcPr>
          <w:p>
            <w:pPr>
              <w:spacing w:after="0"/>
              <w:rPr>
                <w:sz w:val="14"/>
                <w:szCs w:val="14"/>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(261,873)</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-85.6%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Pursuit</w:t>
            </w:r>
          </w:p>
        </w:tc>
        <w:tc>
          <w:tcPr>
            <w:tcW w:w="40" w:type="dxa"/>
            <w:vAlign w:val="bottom"/>
            <w:shd w:val="clear" w:color="auto" w:fill="CFF0FC"/>
          </w:tcPr>
          <w:p>
            <w:pPr>
              <w:spacing w:after="0"/>
              <w:rPr>
                <w:sz w:val="14"/>
                <w:szCs w:val="14"/>
                <w:color w:val="auto"/>
              </w:rPr>
            </w:pPr>
          </w:p>
        </w:tc>
        <w:tc>
          <w:tcPr>
            <w:tcW w:w="160" w:type="dxa"/>
            <w:vAlign w:val="bottom"/>
            <w:tcBorders>
              <w:bottom w:val="single" w:sz="8" w:color="auto"/>
            </w:tcBorders>
            <w:shd w:val="clear" w:color="auto" w:fill="CFF0FC"/>
          </w:tcPr>
          <w:p>
            <w:pPr>
              <w:spacing w:after="0"/>
              <w:rPr>
                <w:sz w:val="14"/>
                <w:szCs w:val="14"/>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36,313</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5,264</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31,049</w:t>
            </w:r>
          </w:p>
        </w:tc>
        <w:tc>
          <w:tcPr>
            <w:tcW w:w="180" w:type="dxa"/>
            <w:vAlign w:val="bottom"/>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46,103</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18,787</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27,316</w:t>
            </w:r>
          </w:p>
        </w:tc>
        <w:tc>
          <w:tcPr>
            <w:tcW w:w="18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86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b w:val="1"/>
                <w:bCs w:val="1"/>
                <w:color w:val="auto"/>
              </w:rPr>
              <w:t>Total revenue</w:t>
            </w:r>
          </w:p>
        </w:tc>
        <w:tc>
          <w:tcPr>
            <w:tcW w:w="4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61,233</w:t>
            </w:r>
          </w:p>
        </w:tc>
        <w:tc>
          <w:tcPr>
            <w:tcW w:w="10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30,067</w:t>
            </w:r>
          </w:p>
        </w:tc>
        <w:tc>
          <w:tcPr>
            <w:tcW w:w="12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31,166</w:t>
            </w:r>
          </w:p>
        </w:tc>
        <w:tc>
          <w:tcPr>
            <w:tcW w:w="180" w:type="dxa"/>
            <w:vAlign w:val="bottom"/>
            <w:tcBorders>
              <w:bottom w:val="single" w:sz="8" w:color="CFF0FC"/>
            </w:tcBorders>
          </w:tcPr>
          <w:p>
            <w:pPr>
              <w:spacing w:after="0"/>
              <w:rPr>
                <w:sz w:val="17"/>
                <w:szCs w:val="17"/>
                <w:color w:val="auto"/>
              </w:rPr>
            </w:pPr>
          </w:p>
        </w:tc>
        <w:tc>
          <w:tcPr>
            <w:tcW w:w="74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90,168</w:t>
            </w:r>
          </w:p>
        </w:tc>
        <w:tc>
          <w:tcPr>
            <w:tcW w:w="10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324,725</w:t>
            </w:r>
          </w:p>
        </w:tc>
        <w:tc>
          <w:tcPr>
            <w:tcW w:w="12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(234,557</w:t>
            </w:r>
          </w:p>
        </w:tc>
        <w:tc>
          <w:tcPr>
            <w:tcW w:w="180" w:type="dxa"/>
            <w:vAlign w:val="bottom"/>
            <w:tcBorders>
              <w:bottom w:val="single" w:sz="8" w:color="CFF0FC"/>
            </w:tcBorders>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9"/>
              </w:rPr>
              <w:t>-72.2%</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3860" w:type="dxa"/>
            <w:vAlign w:val="bottom"/>
            <w:shd w:val="clear" w:color="auto" w:fill="CFF0FC"/>
          </w:tcPr>
          <w:p>
            <w:pPr>
              <w:spacing w:after="0"/>
              <w:rPr>
                <w:sz w:val="6"/>
                <w:szCs w:val="6"/>
                <w:color w:val="auto"/>
              </w:rPr>
            </w:pPr>
          </w:p>
        </w:tc>
        <w:tc>
          <w:tcPr>
            <w:tcW w:w="40" w:type="dxa"/>
            <w:vAlign w:val="bottom"/>
            <w:shd w:val="clear" w:color="auto" w:fill="CFF0FC"/>
          </w:tcPr>
          <w:p>
            <w:pPr>
              <w:spacing w:after="0"/>
              <w:rPr>
                <w:sz w:val="6"/>
                <w:szCs w:val="6"/>
                <w:color w:val="auto"/>
              </w:rPr>
            </w:pPr>
          </w:p>
        </w:tc>
        <w:tc>
          <w:tcPr>
            <w:tcW w:w="160" w:type="dxa"/>
            <w:vAlign w:val="bottom"/>
            <w:shd w:val="clear" w:color="auto" w:fill="CFF0FC"/>
          </w:tcPr>
          <w:p>
            <w:pPr>
              <w:spacing w:after="0"/>
              <w:rPr>
                <w:sz w:val="6"/>
                <w:szCs w:val="6"/>
                <w:color w:val="auto"/>
              </w:rPr>
            </w:pPr>
          </w:p>
        </w:tc>
        <w:tc>
          <w:tcPr>
            <w:tcW w:w="58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6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4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4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8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b w:val="1"/>
                <w:bCs w:val="1"/>
                <w:color w:val="auto"/>
              </w:rPr>
              <w:t>Segment operating loss:</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GES</w:t>
            </w:r>
          </w:p>
        </w:tc>
        <w:tc>
          <w:tcPr>
            <w:tcW w:w="20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(26,897)</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(32,060)</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5,163</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16.1%</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(46,801)</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(21,202)</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(25,599)</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Pursuit</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(8,097)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(17,692)</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9,595</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54.2%</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(26,418)</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(37,966)</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11,548</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30.4%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Segment operating loss</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(34,994)</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(49,752)</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14,758</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29.7%</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(73,219)</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(59,168)</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(14,051)</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-23.7%</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Corporate eliminations</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16</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12.5%</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32</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Corporate activities (Note B)</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(3,006)</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(2,468)</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(538)</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-21.8%</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(5,011)</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(3,257)</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(1,754)</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-53.9%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Restructuring charges (Note C)</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(787)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(260)</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(527)</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(3,613)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(1,111)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(2,502)</w:t>
            </w: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Impairment charges (Note D)</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(114,020)</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114,020</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(202,400)</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202,400</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Pension plan withdrawal</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(57)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(462)</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405</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87.7%</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(57)</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(462)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405</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87.7%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Other expense</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(680)</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(265)</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(415)</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(1,040)</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(684)</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(356)</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-52.0%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Net interest expense (Note E)</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(5,565)</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(5,010)</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(555)</w:t>
            </w: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-11.1%</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(10,650)</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(8,949)</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(1,701)</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-19.0%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Loss from continuing operations before income taxes</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(45,071)</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96"/>
              </w:rPr>
              <w:t>(172,221)</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127,150</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0"/>
              </w:rPr>
              <w:t>73.8%</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(93,555)</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(275,999)</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182,444</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5"/>
              </w:rPr>
              <w:t>66.1%</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Income tax (expense) benefit (Note F)</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2,166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(35,516)</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37,682</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5,211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(19,719)</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24,930</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Loss from continuing operations</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(42,905)</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96"/>
              </w:rPr>
              <w:t>(207,737)</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164,832</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0"/>
              </w:rPr>
              <w:t>79.3%</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(88,344)</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(295,718)</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207,374</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5"/>
              </w:rPr>
              <w:t>70.1%</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Income (loss) from discontinued operations (Note G)</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(62)</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(379)</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317</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83.6%</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286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(833)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1,119</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Net loss</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(42,967)</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96"/>
              </w:rPr>
              <w:t>(208,116)</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165,149</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0"/>
              </w:rPr>
              <w:t>79.4%</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(88,058)</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(296,551)</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208,493</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5"/>
              </w:rPr>
              <w:t>70.3%</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Net loss attributable to noncontrolling interest</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510</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1,634</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(1,124)</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-68.8%</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1,955</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2,967</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(1,012)</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-34.1%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Net loss attributable to redeemable noncontrolling interest</w:t>
            </w:r>
          </w:p>
        </w:tc>
        <w:tc>
          <w:tcPr>
            <w:tcW w:w="40" w:type="dxa"/>
            <w:vAlign w:val="bottom"/>
            <w:shd w:val="clear" w:color="auto" w:fill="CFF0FC"/>
          </w:tcPr>
          <w:p>
            <w:pPr>
              <w:spacing w:after="0"/>
              <w:rPr>
                <w:sz w:val="14"/>
                <w:szCs w:val="14"/>
                <w:color w:val="auto"/>
              </w:rPr>
            </w:pPr>
          </w:p>
        </w:tc>
        <w:tc>
          <w:tcPr>
            <w:tcW w:w="160" w:type="dxa"/>
            <w:vAlign w:val="bottom"/>
            <w:tcBorders>
              <w:bottom w:val="single" w:sz="8" w:color="auto"/>
            </w:tcBorders>
            <w:shd w:val="clear" w:color="auto" w:fill="CFF0FC"/>
          </w:tcPr>
          <w:p>
            <w:pPr>
              <w:spacing w:after="0"/>
              <w:rPr>
                <w:sz w:val="14"/>
                <w:szCs w:val="14"/>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431</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204</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227</w:t>
            </w:r>
          </w:p>
        </w:tc>
        <w:tc>
          <w:tcPr>
            <w:tcW w:w="180" w:type="dxa"/>
            <w:vAlign w:val="bottom"/>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925</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721</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204</w:t>
            </w:r>
          </w:p>
        </w:tc>
        <w:tc>
          <w:tcPr>
            <w:tcW w:w="18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5"/>
              </w:rPr>
              <w:t>28.3%</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86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b w:val="1"/>
                <w:bCs w:val="1"/>
                <w:color w:val="auto"/>
              </w:rPr>
              <w:t>Net loss attributable to Viad</w:t>
            </w:r>
          </w:p>
        </w:tc>
        <w:tc>
          <w:tcPr>
            <w:tcW w:w="4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(42,026</w:t>
            </w:r>
          </w:p>
        </w:tc>
        <w:tc>
          <w:tcPr>
            <w:tcW w:w="100" w:type="dxa"/>
            <w:vAlign w:val="bottom"/>
            <w:tcBorders>
              <w:bottom w:val="single" w:sz="8" w:color="CFF0FC"/>
            </w:tcBorders>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(206,278</w:t>
            </w:r>
          </w:p>
        </w:tc>
        <w:tc>
          <w:tcPr>
            <w:tcW w:w="120" w:type="dxa"/>
            <w:vAlign w:val="bottom"/>
            <w:tcBorders>
              <w:bottom w:val="single" w:sz="8" w:color="CFF0FC"/>
            </w:tcBorders>
          </w:tcPr>
          <w:p>
            <w:pPr>
              <w:jc w:val="right"/>
              <w:ind w:right="3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164,252</w:t>
            </w:r>
          </w:p>
        </w:tc>
        <w:tc>
          <w:tcPr>
            <w:tcW w:w="180" w:type="dxa"/>
            <w:vAlign w:val="bottom"/>
            <w:tcBorders>
              <w:bottom w:val="single" w:sz="8" w:color="CFF0FC"/>
            </w:tcBorders>
          </w:tcPr>
          <w:p>
            <w:pPr>
              <w:spacing w:after="0"/>
              <w:rPr>
                <w:sz w:val="17"/>
                <w:szCs w:val="17"/>
                <w:color w:val="auto"/>
              </w:rPr>
            </w:pPr>
          </w:p>
        </w:tc>
        <w:tc>
          <w:tcPr>
            <w:tcW w:w="74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79.6%</w:t>
            </w:r>
          </w:p>
        </w:tc>
        <w:tc>
          <w:tcPr>
            <w:tcW w:w="1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(85,178</w:t>
            </w:r>
          </w:p>
        </w:tc>
        <w:tc>
          <w:tcPr>
            <w:tcW w:w="100" w:type="dxa"/>
            <w:vAlign w:val="bottom"/>
            <w:tcBorders>
              <w:bottom w:val="single" w:sz="8" w:color="CFF0FC"/>
            </w:tcBorders>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(292,863</w:t>
            </w:r>
          </w:p>
        </w:tc>
        <w:tc>
          <w:tcPr>
            <w:tcW w:w="120" w:type="dxa"/>
            <w:vAlign w:val="bottom"/>
            <w:tcBorders>
              <w:bottom w:val="single" w:sz="8" w:color="CFF0FC"/>
            </w:tcBorders>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207,685</w:t>
            </w:r>
          </w:p>
        </w:tc>
        <w:tc>
          <w:tcPr>
            <w:tcW w:w="180" w:type="dxa"/>
            <w:vAlign w:val="bottom"/>
            <w:tcBorders>
              <w:bottom w:val="single" w:sz="8" w:color="CFF0FC"/>
            </w:tcBorders>
          </w:tcPr>
          <w:p>
            <w:pPr>
              <w:spacing w:after="0"/>
              <w:rPr>
                <w:sz w:val="17"/>
                <w:szCs w:val="17"/>
                <w:color w:val="auto"/>
              </w:rPr>
            </w:pPr>
          </w:p>
        </w:tc>
        <w:tc>
          <w:tcPr>
            <w:tcW w:w="78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70.9%</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3860" w:type="dxa"/>
            <w:vAlign w:val="bottom"/>
            <w:shd w:val="clear" w:color="auto" w:fill="CFF0FC"/>
          </w:tcPr>
          <w:p>
            <w:pPr>
              <w:spacing w:after="0"/>
              <w:rPr>
                <w:sz w:val="6"/>
                <w:szCs w:val="6"/>
                <w:color w:val="auto"/>
              </w:rPr>
            </w:pPr>
          </w:p>
        </w:tc>
        <w:tc>
          <w:tcPr>
            <w:tcW w:w="40" w:type="dxa"/>
            <w:vAlign w:val="bottom"/>
            <w:shd w:val="clear" w:color="auto" w:fill="CFF0FC"/>
          </w:tcPr>
          <w:p>
            <w:pPr>
              <w:spacing w:after="0"/>
              <w:rPr>
                <w:sz w:val="6"/>
                <w:szCs w:val="6"/>
                <w:color w:val="auto"/>
              </w:rPr>
            </w:pPr>
          </w:p>
        </w:tc>
        <w:tc>
          <w:tcPr>
            <w:tcW w:w="160" w:type="dxa"/>
            <w:vAlign w:val="bottom"/>
            <w:shd w:val="clear" w:color="auto" w:fill="CFF0FC"/>
          </w:tcPr>
          <w:p>
            <w:pPr>
              <w:spacing w:after="0"/>
              <w:rPr>
                <w:sz w:val="6"/>
                <w:szCs w:val="6"/>
                <w:color w:val="auto"/>
              </w:rPr>
            </w:pPr>
          </w:p>
        </w:tc>
        <w:tc>
          <w:tcPr>
            <w:tcW w:w="58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6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4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4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8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Amounts Attributable to Viad Common Stockholders:</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Loss from continuing operations</w:t>
            </w:r>
          </w:p>
        </w:tc>
        <w:tc>
          <w:tcPr>
            <w:tcW w:w="20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(41,964)</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(205,899)</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163,935</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79.6%</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(85,464)</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(292,030)</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206,566</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70.7%</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Income (loss) from discontinued operations (Note G)</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(62)</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(379)</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317</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83.6%</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286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(833)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1,119</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60" w:type="dxa"/>
            <w:vAlign w:val="bottom"/>
            <w:tcBorders>
              <w:top w:val="single" w:sz="8" w:color="CFF0FC"/>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Net loss</w:t>
            </w:r>
          </w:p>
        </w:tc>
        <w:tc>
          <w:tcPr>
            <w:tcW w:w="4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(42,026</w:t>
            </w:r>
          </w:p>
        </w:tc>
        <w:tc>
          <w:tcPr>
            <w:tcW w:w="100" w:type="dxa"/>
            <w:vAlign w:val="bottom"/>
            <w:tcBorders>
              <w:top w:val="single" w:sz="8" w:color="CFF0FC"/>
              <w:bottom w:val="single" w:sz="8" w:color="CFF0FC"/>
            </w:tcBorders>
            <w:shd w:val="clear" w:color="auto" w:fill="CFF0FC"/>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(206,278</w:t>
            </w:r>
          </w:p>
        </w:tc>
        <w:tc>
          <w:tcPr>
            <w:tcW w:w="120" w:type="dxa"/>
            <w:vAlign w:val="bottom"/>
            <w:tcBorders>
              <w:top w:val="single" w:sz="8" w:color="CFF0FC"/>
              <w:bottom w:val="single" w:sz="8" w:color="CFF0FC"/>
            </w:tcBorders>
            <w:shd w:val="clear" w:color="auto" w:fill="CFF0FC"/>
          </w:tcPr>
          <w:p>
            <w:pPr>
              <w:jc w:val="right"/>
              <w:ind w:right="3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164,252</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74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79.6%</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(85,178</w:t>
            </w:r>
          </w:p>
        </w:tc>
        <w:tc>
          <w:tcPr>
            <w:tcW w:w="100" w:type="dxa"/>
            <w:vAlign w:val="bottom"/>
            <w:tcBorders>
              <w:top w:val="single" w:sz="8" w:color="CFF0FC"/>
              <w:bottom w:val="single" w:sz="8" w:color="CFF0FC"/>
            </w:tcBorders>
            <w:shd w:val="clear" w:color="auto" w:fill="CFF0FC"/>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(292,863</w:t>
            </w:r>
          </w:p>
        </w:tc>
        <w:tc>
          <w:tcPr>
            <w:tcW w:w="120" w:type="dxa"/>
            <w:vAlign w:val="bottom"/>
            <w:tcBorders>
              <w:top w:val="single" w:sz="8" w:color="CFF0FC"/>
              <w:bottom w:val="single" w:sz="8" w:color="CFF0FC"/>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207,685</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78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70.9%</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
        </w:trPr>
        <w:tc>
          <w:tcPr>
            <w:tcW w:w="38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Diluted loss per common share:</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60" w:type="dxa"/>
            <w:vAlign w:val="bottom"/>
          </w:tcPr>
          <w:p>
            <w:pPr>
              <w:ind w:left="260"/>
              <w:spacing w:after="0" w:line="143" w:lineRule="exact"/>
              <w:rPr>
                <w:sz w:val="20"/>
                <w:szCs w:val="20"/>
                <w:color w:val="auto"/>
              </w:rPr>
            </w:pPr>
            <w:r>
              <w:rPr>
                <w:rFonts w:ascii="Arial" w:cs="Arial" w:eastAsia="Arial" w:hAnsi="Arial"/>
                <w:sz w:val="14"/>
                <w:szCs w:val="14"/>
                <w:color w:val="auto"/>
                <w:w w:val="95"/>
              </w:rPr>
              <w:t>Loss from continuing operations attributable to Viad common</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tcPr>
          <w:p>
            <w:pPr>
              <w:ind w:left="260"/>
              <w:spacing w:after="0"/>
              <w:rPr>
                <w:sz w:val="20"/>
                <w:szCs w:val="20"/>
                <w:color w:val="auto"/>
              </w:rPr>
            </w:pPr>
            <w:r>
              <w:rPr>
                <w:rFonts w:ascii="Arial" w:cs="Arial" w:eastAsia="Arial" w:hAnsi="Arial"/>
                <w:sz w:val="14"/>
                <w:szCs w:val="14"/>
                <w:color w:val="auto"/>
              </w:rPr>
              <w:t>shareholders</w:t>
            </w:r>
          </w:p>
        </w:tc>
        <w:tc>
          <w:tcPr>
            <w:tcW w:w="20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(2.18)</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(10.17)</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7.99</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78.6%</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(4.41)</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(14.44)</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10.03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69.5%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60" w:type="dxa"/>
            <w:vAlign w:val="bottom"/>
            <w:shd w:val="clear" w:color="auto" w:fill="CFF0FC"/>
          </w:tcPr>
          <w:p>
            <w:pPr>
              <w:ind w:left="260"/>
              <w:spacing w:after="0" w:line="143" w:lineRule="exact"/>
              <w:rPr>
                <w:sz w:val="20"/>
                <w:szCs w:val="20"/>
                <w:color w:val="auto"/>
              </w:rPr>
            </w:pPr>
            <w:r>
              <w:rPr>
                <w:rFonts w:ascii="Arial" w:cs="Arial" w:eastAsia="Arial" w:hAnsi="Arial"/>
                <w:sz w:val="14"/>
                <w:szCs w:val="14"/>
                <w:color w:val="auto"/>
              </w:rPr>
              <w:t>Income (loss) from discontinued operations attributable to</w:t>
            </w: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Viad common shareholders</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(0.02)</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(0.05)</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0.06</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3860" w:type="dxa"/>
            <w:vAlign w:val="bottom"/>
            <w:tcBorders>
              <w:bottom w:val="single" w:sz="8" w:color="CFF0FC"/>
            </w:tcBorders>
          </w:tcPr>
          <w:p>
            <w:pPr>
              <w:ind w:left="260"/>
              <w:spacing w:after="0" w:line="155" w:lineRule="exact"/>
              <w:rPr>
                <w:sz w:val="20"/>
                <w:szCs w:val="20"/>
                <w:color w:val="auto"/>
              </w:rPr>
            </w:pPr>
            <w:r>
              <w:rPr>
                <w:rFonts w:ascii="Arial" w:cs="Arial" w:eastAsia="Arial" w:hAnsi="Arial"/>
                <w:sz w:val="14"/>
                <w:szCs w:val="14"/>
                <w:b w:val="1"/>
                <w:bCs w:val="1"/>
                <w:color w:val="auto"/>
              </w:rPr>
              <w:t>Net loss attributable to Viad common shareholders</w:t>
            </w:r>
          </w:p>
        </w:tc>
        <w:tc>
          <w:tcPr>
            <w:tcW w:w="40" w:type="dxa"/>
            <w:vAlign w:val="bottom"/>
            <w:tcBorders>
              <w:bottom w:val="single" w:sz="8" w:color="CFF0FC"/>
            </w:tcBorders>
          </w:tcPr>
          <w:p>
            <w:pPr>
              <w:spacing w:after="0"/>
              <w:rPr>
                <w:sz w:val="17"/>
                <w:szCs w:val="17"/>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(2.18)</w:t>
            </w:r>
          </w:p>
        </w:tc>
        <w:tc>
          <w:tcPr>
            <w:tcW w:w="10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(10.19</w:t>
            </w:r>
          </w:p>
        </w:tc>
        <w:tc>
          <w:tcPr>
            <w:tcW w:w="120" w:type="dxa"/>
            <w:vAlign w:val="bottom"/>
            <w:tcBorders>
              <w:bottom w:val="single" w:sz="8" w:color="CFF0FC"/>
            </w:tcBorders>
          </w:tcPr>
          <w:p>
            <w:pPr>
              <w:jc w:val="right"/>
              <w:ind w:right="3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8.01</w:t>
            </w:r>
          </w:p>
        </w:tc>
        <w:tc>
          <w:tcPr>
            <w:tcW w:w="180" w:type="dxa"/>
            <w:vAlign w:val="bottom"/>
            <w:tcBorders>
              <w:bottom w:val="single" w:sz="8" w:color="CFF0FC"/>
            </w:tcBorders>
          </w:tcPr>
          <w:p>
            <w:pPr>
              <w:spacing w:after="0"/>
              <w:rPr>
                <w:sz w:val="17"/>
                <w:szCs w:val="17"/>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78.6%</w:t>
            </w:r>
          </w:p>
        </w:tc>
        <w:tc>
          <w:tcPr>
            <w:tcW w:w="180" w:type="dxa"/>
            <w:vAlign w:val="bottom"/>
            <w:tcBorders>
              <w:bottom w:val="single" w:sz="8" w:color="CFF0FC"/>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(4.40</w:t>
            </w:r>
          </w:p>
        </w:tc>
        <w:tc>
          <w:tcPr>
            <w:tcW w:w="100" w:type="dxa"/>
            <w:vAlign w:val="bottom"/>
            <w:tcBorders>
              <w:bottom w:val="single" w:sz="8" w:color="CFF0FC"/>
            </w:tcBorders>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(14.</w:t>
            </w:r>
            <w:r>
              <w:rPr>
                <w:rFonts w:ascii="Arial" w:cs="Arial" w:eastAsia="Arial" w:hAnsi="Arial"/>
                <w:sz w:val="14"/>
                <w:szCs w:val="14"/>
                <w:b w:val="1"/>
                <w:bCs w:val="1"/>
                <w:u w:val="single" w:color="auto"/>
                <w:color w:val="auto"/>
              </w:rPr>
              <w:t>49</w:t>
            </w:r>
          </w:p>
        </w:tc>
        <w:tc>
          <w:tcPr>
            <w:tcW w:w="120" w:type="dxa"/>
            <w:vAlign w:val="bottom"/>
            <w:tcBorders>
              <w:bottom w:val="single" w:sz="8" w:color="CFF0FC"/>
            </w:tcBorders>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10.09</w:t>
            </w:r>
          </w:p>
        </w:tc>
        <w:tc>
          <w:tcPr>
            <w:tcW w:w="180" w:type="dxa"/>
            <w:vAlign w:val="bottom"/>
            <w:tcBorders>
              <w:bottom w:val="single" w:sz="8" w:color="CFF0FC"/>
            </w:tcBorders>
          </w:tcPr>
          <w:p>
            <w:pPr>
              <w:spacing w:after="0"/>
              <w:rPr>
                <w:sz w:val="17"/>
                <w:szCs w:val="17"/>
                <w:color w:val="auto"/>
              </w:rPr>
            </w:pP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69.6%</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3860" w:type="dxa"/>
            <w:vAlign w:val="bottom"/>
            <w:shd w:val="clear" w:color="auto" w:fill="CFF0FC"/>
          </w:tcPr>
          <w:p>
            <w:pPr>
              <w:spacing w:after="0"/>
              <w:rPr>
                <w:sz w:val="6"/>
                <w:szCs w:val="6"/>
                <w:color w:val="auto"/>
              </w:rPr>
            </w:pPr>
          </w:p>
        </w:tc>
        <w:tc>
          <w:tcPr>
            <w:tcW w:w="40" w:type="dxa"/>
            <w:vAlign w:val="bottom"/>
            <w:shd w:val="clear" w:color="auto" w:fill="CFF0FC"/>
          </w:tcPr>
          <w:p>
            <w:pPr>
              <w:spacing w:after="0"/>
              <w:rPr>
                <w:sz w:val="6"/>
                <w:szCs w:val="6"/>
                <w:color w:val="auto"/>
              </w:rPr>
            </w:pPr>
          </w:p>
        </w:tc>
        <w:tc>
          <w:tcPr>
            <w:tcW w:w="160" w:type="dxa"/>
            <w:vAlign w:val="bottom"/>
            <w:shd w:val="clear" w:color="auto" w:fill="CFF0FC"/>
          </w:tcPr>
          <w:p>
            <w:pPr>
              <w:spacing w:after="0"/>
              <w:rPr>
                <w:sz w:val="6"/>
                <w:szCs w:val="6"/>
                <w:color w:val="auto"/>
              </w:rPr>
            </w:pPr>
          </w:p>
        </w:tc>
        <w:tc>
          <w:tcPr>
            <w:tcW w:w="58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6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4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140" w:type="dxa"/>
            <w:vAlign w:val="bottom"/>
            <w:shd w:val="clear" w:color="auto" w:fill="CFF0FC"/>
          </w:tcPr>
          <w:p>
            <w:pPr>
              <w:spacing w:after="0"/>
              <w:rPr>
                <w:sz w:val="6"/>
                <w:szCs w:val="6"/>
                <w:color w:val="auto"/>
              </w:rPr>
            </w:pPr>
          </w:p>
        </w:tc>
        <w:tc>
          <w:tcPr>
            <w:tcW w:w="600" w:type="dxa"/>
            <w:vAlign w:val="bottom"/>
            <w:shd w:val="clear" w:color="auto" w:fill="CFF0FC"/>
          </w:tcPr>
          <w:p>
            <w:pPr>
              <w:spacing w:after="0"/>
              <w:rPr>
                <w:sz w:val="6"/>
                <w:szCs w:val="6"/>
                <w:color w:val="auto"/>
              </w:rPr>
            </w:pPr>
          </w:p>
        </w:tc>
        <w:tc>
          <w:tcPr>
            <w:tcW w:w="10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4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80" w:type="dxa"/>
            <w:vAlign w:val="bottom"/>
            <w:shd w:val="clear" w:color="auto" w:fill="CFF0FC"/>
          </w:tcPr>
          <w:p>
            <w:pPr>
              <w:spacing w:after="0"/>
              <w:rPr>
                <w:sz w:val="6"/>
                <w:szCs w:val="6"/>
                <w:color w:val="auto"/>
              </w:rPr>
            </w:pPr>
          </w:p>
        </w:tc>
        <w:tc>
          <w:tcPr>
            <w:tcW w:w="660" w:type="dxa"/>
            <w:vAlign w:val="bottom"/>
            <w:shd w:val="clear" w:color="auto" w:fill="CFF0FC"/>
          </w:tcPr>
          <w:p>
            <w:pPr>
              <w:spacing w:after="0"/>
              <w:rPr>
                <w:sz w:val="6"/>
                <w:szCs w:val="6"/>
                <w:color w:val="auto"/>
              </w:rPr>
            </w:pPr>
          </w:p>
        </w:tc>
        <w:tc>
          <w:tcPr>
            <w:tcW w:w="180" w:type="dxa"/>
            <w:vAlign w:val="bottom"/>
            <w:shd w:val="clear" w:color="auto" w:fill="CFF0FC"/>
          </w:tcPr>
          <w:p>
            <w:pPr>
              <w:spacing w:after="0"/>
              <w:rPr>
                <w:sz w:val="6"/>
                <w:szCs w:val="6"/>
                <w:color w:val="auto"/>
              </w:rPr>
            </w:pPr>
          </w:p>
        </w:tc>
        <w:tc>
          <w:tcPr>
            <w:tcW w:w="780" w:type="dxa"/>
            <w:vAlign w:val="bottom"/>
            <w:shd w:val="clear" w:color="auto" w:fill="CFF0FC"/>
          </w:tcPr>
          <w:p>
            <w:pPr>
              <w:spacing w:after="0"/>
              <w:rPr>
                <w:sz w:val="6"/>
                <w:szCs w:val="6"/>
                <w:color w:val="auto"/>
              </w:rPr>
            </w:pPr>
          </w:p>
        </w:tc>
        <w:tc>
          <w:tcPr>
            <w:tcW w:w="120" w:type="dxa"/>
            <w:vAlign w:val="bottom"/>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860" w:type="dxa"/>
            <w:vAlign w:val="bottom"/>
          </w:tcPr>
          <w:p>
            <w:pPr>
              <w:spacing w:after="0"/>
              <w:rPr>
                <w:sz w:val="20"/>
                <w:szCs w:val="20"/>
                <w:color w:val="auto"/>
              </w:rPr>
            </w:pPr>
            <w:r>
              <w:rPr>
                <w:rFonts w:ascii="Arial" w:cs="Arial" w:eastAsia="Arial" w:hAnsi="Arial"/>
                <w:sz w:val="14"/>
                <w:szCs w:val="14"/>
                <w:color w:val="auto"/>
              </w:rPr>
              <w:t>Basic loss per common share:</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60" w:type="dxa"/>
            <w:vAlign w:val="bottom"/>
            <w:shd w:val="clear" w:color="auto" w:fill="CFF0FC"/>
          </w:tcPr>
          <w:p>
            <w:pPr>
              <w:ind w:left="260"/>
              <w:spacing w:after="0" w:line="143" w:lineRule="exact"/>
              <w:rPr>
                <w:sz w:val="20"/>
                <w:szCs w:val="20"/>
                <w:color w:val="auto"/>
              </w:rPr>
            </w:pPr>
            <w:r>
              <w:rPr>
                <w:rFonts w:ascii="Arial" w:cs="Arial" w:eastAsia="Arial" w:hAnsi="Arial"/>
                <w:sz w:val="14"/>
                <w:szCs w:val="14"/>
                <w:color w:val="auto"/>
                <w:w w:val="95"/>
              </w:rPr>
              <w:t>Loss from continuing operations attributable to Viad common</w:t>
            </w: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shareholders</w:t>
            </w:r>
          </w:p>
        </w:tc>
        <w:tc>
          <w:tcPr>
            <w:tcW w:w="20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(2.18)</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(10.17)</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7.99</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78.6%</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(4.41)</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(14.44)</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10.03</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69.5%</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60" w:type="dxa"/>
            <w:vAlign w:val="bottom"/>
          </w:tcPr>
          <w:p>
            <w:pPr>
              <w:ind w:left="260"/>
              <w:spacing w:after="0" w:line="143" w:lineRule="exact"/>
              <w:rPr>
                <w:sz w:val="20"/>
                <w:szCs w:val="20"/>
                <w:color w:val="auto"/>
              </w:rPr>
            </w:pPr>
            <w:r>
              <w:rPr>
                <w:rFonts w:ascii="Arial" w:cs="Arial" w:eastAsia="Arial" w:hAnsi="Arial"/>
                <w:sz w:val="14"/>
                <w:szCs w:val="14"/>
                <w:color w:val="auto"/>
              </w:rPr>
              <w:t>Income (loss) from discontinued operations attributable to</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tcPr>
          <w:p>
            <w:pPr>
              <w:ind w:left="260"/>
              <w:spacing w:after="0"/>
              <w:rPr>
                <w:sz w:val="20"/>
                <w:szCs w:val="20"/>
                <w:color w:val="auto"/>
              </w:rPr>
            </w:pPr>
            <w:r>
              <w:rPr>
                <w:rFonts w:ascii="Arial" w:cs="Arial" w:eastAsia="Arial" w:hAnsi="Arial"/>
                <w:sz w:val="14"/>
                <w:szCs w:val="14"/>
                <w:color w:val="auto"/>
              </w:rPr>
              <w:t>Viad common shareholders</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(0.02)</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0.02</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(0.05)</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0.06</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bottom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b w:val="1"/>
                <w:bCs w:val="1"/>
                <w:color w:val="auto"/>
              </w:rPr>
              <w:t>Net loss attributable to Viad common shareholders</w:t>
            </w:r>
          </w:p>
        </w:tc>
        <w:tc>
          <w:tcPr>
            <w:tcW w:w="4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(2.18)</w:t>
            </w:r>
          </w:p>
        </w:tc>
        <w:tc>
          <w:tcPr>
            <w:tcW w:w="1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(10.19</w:t>
            </w:r>
          </w:p>
        </w:tc>
        <w:tc>
          <w:tcPr>
            <w:tcW w:w="120" w:type="dxa"/>
            <w:vAlign w:val="bottom"/>
            <w:tcBorders>
              <w:top w:val="single" w:sz="8" w:color="CFF0FC"/>
              <w:bottom w:val="single" w:sz="8" w:color="CFF0FC"/>
            </w:tcBorders>
            <w:shd w:val="clear" w:color="auto" w:fill="CFF0FC"/>
          </w:tcPr>
          <w:p>
            <w:pPr>
              <w:jc w:val="right"/>
              <w:ind w:right="3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8.01</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74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78.6%</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(4.40</w:t>
            </w:r>
          </w:p>
        </w:tc>
        <w:tc>
          <w:tcPr>
            <w:tcW w:w="100" w:type="dxa"/>
            <w:vAlign w:val="bottom"/>
            <w:tcBorders>
              <w:top w:val="single" w:sz="8" w:color="CFF0FC"/>
              <w:bottom w:val="single" w:sz="8" w:color="CFF0FC"/>
            </w:tcBorders>
            <w:shd w:val="clear" w:color="auto" w:fill="CFF0FC"/>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(14.</w:t>
            </w:r>
            <w:r>
              <w:rPr>
                <w:rFonts w:ascii="Arial" w:cs="Arial" w:eastAsia="Arial" w:hAnsi="Arial"/>
                <w:sz w:val="14"/>
                <w:szCs w:val="14"/>
                <w:b w:val="1"/>
                <w:bCs w:val="1"/>
                <w:u w:val="single" w:color="auto"/>
                <w:color w:val="auto"/>
              </w:rPr>
              <w:t>49</w:t>
            </w:r>
          </w:p>
        </w:tc>
        <w:tc>
          <w:tcPr>
            <w:tcW w:w="120" w:type="dxa"/>
            <w:vAlign w:val="bottom"/>
            <w:tcBorders>
              <w:top w:val="single" w:sz="8" w:color="CFF0FC"/>
              <w:bottom w:val="single" w:sz="8" w:color="CFF0FC"/>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10.09</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78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69.6%</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
        </w:trPr>
        <w:tc>
          <w:tcPr>
            <w:tcW w:w="38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3"/>
        </w:trPr>
        <w:tc>
          <w:tcPr>
            <w:tcW w:w="386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Common shares treated as outstanding for loss per share</w:t>
            </w: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calculations:</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3860" w:type="dxa"/>
            <w:vAlign w:val="bottom"/>
            <w:tcBorders>
              <w:bottom w:val="single" w:sz="8" w:color="CFF0FC"/>
            </w:tcBorders>
          </w:tcPr>
          <w:p>
            <w:pPr>
              <w:ind w:left="260"/>
              <w:spacing w:after="0"/>
              <w:rPr>
                <w:sz w:val="20"/>
                <w:szCs w:val="20"/>
                <w:color w:val="auto"/>
              </w:rPr>
            </w:pPr>
            <w:r>
              <w:rPr>
                <w:rFonts w:ascii="Arial" w:cs="Arial" w:eastAsia="Arial" w:hAnsi="Arial"/>
                <w:sz w:val="14"/>
                <w:szCs w:val="14"/>
                <w:color w:val="auto"/>
              </w:rPr>
              <w:t>Weighted-average outstanding common shares</w:t>
            </w:r>
          </w:p>
        </w:tc>
        <w:tc>
          <w:tcPr>
            <w:tcW w:w="4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20,397</w:t>
            </w:r>
          </w:p>
        </w:tc>
        <w:tc>
          <w:tcPr>
            <w:tcW w:w="10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20,282</w:t>
            </w:r>
          </w:p>
        </w:tc>
        <w:tc>
          <w:tcPr>
            <w:tcW w:w="12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c>
          <w:tcPr>
            <w:tcW w:w="180" w:type="dxa"/>
            <w:vAlign w:val="bottom"/>
            <w:tcBorders>
              <w:bottom w:val="single" w:sz="8" w:color="CFF0FC"/>
            </w:tcBorders>
          </w:tcPr>
          <w:p>
            <w:pPr>
              <w:spacing w:after="0"/>
              <w:rPr>
                <w:sz w:val="17"/>
                <w:szCs w:val="17"/>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0.6%</w:t>
            </w:r>
          </w:p>
        </w:tc>
        <w:tc>
          <w:tcPr>
            <w:tcW w:w="18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20,384</w:t>
            </w:r>
          </w:p>
        </w:tc>
        <w:tc>
          <w:tcPr>
            <w:tcW w:w="10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20,249</w:t>
            </w:r>
          </w:p>
        </w:tc>
        <w:tc>
          <w:tcPr>
            <w:tcW w:w="12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135</w:t>
            </w:r>
          </w:p>
        </w:tc>
        <w:tc>
          <w:tcPr>
            <w:tcW w:w="180" w:type="dxa"/>
            <w:vAlign w:val="bottom"/>
            <w:tcBorders>
              <w:bottom w:val="single" w:sz="8" w:color="CFF0FC"/>
            </w:tcBorders>
          </w:tcPr>
          <w:p>
            <w:pPr>
              <w:spacing w:after="0"/>
              <w:rPr>
                <w:sz w:val="17"/>
                <w:szCs w:val="17"/>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0.7%</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24"/>
        </w:trPr>
        <w:tc>
          <w:tcPr>
            <w:tcW w:w="3860" w:type="dxa"/>
            <w:vAlign w:val="bottom"/>
            <w:shd w:val="clear" w:color="auto" w:fill="CFF0FC"/>
          </w:tcPr>
          <w:p>
            <w:pPr>
              <w:ind w:left="260"/>
              <w:spacing w:after="0" w:line="124" w:lineRule="exact"/>
              <w:rPr>
                <w:sz w:val="20"/>
                <w:szCs w:val="20"/>
                <w:color w:val="auto"/>
              </w:rPr>
            </w:pPr>
            <w:r>
              <w:rPr>
                <w:rFonts w:ascii="Arial" w:cs="Arial" w:eastAsia="Arial" w:hAnsi="Arial"/>
                <w:sz w:val="14"/>
                <w:szCs w:val="14"/>
                <w:color w:val="auto"/>
              </w:rPr>
              <w:t>Weighted-average outstanding and potentially dilutive</w:t>
            </w:r>
          </w:p>
        </w:tc>
        <w:tc>
          <w:tcPr>
            <w:tcW w:w="40" w:type="dxa"/>
            <w:vAlign w:val="bottom"/>
            <w:shd w:val="clear" w:color="auto" w:fill="CFF0FC"/>
          </w:tcPr>
          <w:p>
            <w:pPr>
              <w:spacing w:after="0"/>
              <w:rPr>
                <w:sz w:val="10"/>
                <w:szCs w:val="10"/>
                <w:color w:val="auto"/>
              </w:rPr>
            </w:pPr>
          </w:p>
        </w:tc>
        <w:tc>
          <w:tcPr>
            <w:tcW w:w="160" w:type="dxa"/>
            <w:vAlign w:val="bottom"/>
            <w:shd w:val="clear" w:color="auto" w:fill="CFF0FC"/>
          </w:tcPr>
          <w:p>
            <w:pPr>
              <w:spacing w:after="0"/>
              <w:rPr>
                <w:sz w:val="10"/>
                <w:szCs w:val="10"/>
                <w:color w:val="auto"/>
              </w:rPr>
            </w:pPr>
          </w:p>
        </w:tc>
        <w:tc>
          <w:tcPr>
            <w:tcW w:w="58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60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6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66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74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60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64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66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78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386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4"/>
                <w:szCs w:val="14"/>
                <w:color w:val="auto"/>
              </w:rPr>
              <w:t>common shares</w:t>
            </w:r>
          </w:p>
        </w:tc>
        <w:tc>
          <w:tcPr>
            <w:tcW w:w="40" w:type="dxa"/>
            <w:vAlign w:val="bottom"/>
            <w:tcBorders>
              <w:bottom w:val="single" w:sz="8" w:color="CFF0FC"/>
            </w:tcBorders>
            <w:shd w:val="clear" w:color="auto" w:fill="CFF0FC"/>
          </w:tcPr>
          <w:p>
            <w:pPr>
              <w:spacing w:after="0"/>
              <w:rPr>
                <w:sz w:val="14"/>
                <w:szCs w:val="14"/>
                <w:color w:val="auto"/>
              </w:rPr>
            </w:pPr>
          </w:p>
        </w:tc>
        <w:tc>
          <w:tcPr>
            <w:tcW w:w="160" w:type="dxa"/>
            <w:vAlign w:val="bottom"/>
            <w:tcBorders>
              <w:bottom w:val="single" w:sz="8" w:color="auto"/>
            </w:tcBorders>
            <w:shd w:val="clear" w:color="auto" w:fill="CFF0FC"/>
          </w:tcPr>
          <w:p>
            <w:pPr>
              <w:spacing w:after="0"/>
              <w:rPr>
                <w:sz w:val="14"/>
                <w:szCs w:val="14"/>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20,397</w:t>
            </w:r>
          </w:p>
        </w:tc>
        <w:tc>
          <w:tcPr>
            <w:tcW w:w="10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CFF0FC"/>
            </w:tcBorders>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20,282</w:t>
            </w:r>
          </w:p>
        </w:tc>
        <w:tc>
          <w:tcPr>
            <w:tcW w:w="120" w:type="dxa"/>
            <w:vAlign w:val="bottom"/>
            <w:tcBorders>
              <w:bottom w:val="single" w:sz="8" w:color="CFF0FC"/>
            </w:tcBorders>
            <w:shd w:val="clear" w:color="auto" w:fill="CFF0FC"/>
          </w:tcPr>
          <w:p>
            <w:pPr>
              <w:spacing w:after="0"/>
              <w:rPr>
                <w:sz w:val="14"/>
                <w:szCs w:val="14"/>
                <w:color w:val="auto"/>
              </w:rPr>
            </w:pPr>
          </w:p>
        </w:tc>
        <w:tc>
          <w:tcPr>
            <w:tcW w:w="6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115</w:t>
            </w:r>
          </w:p>
        </w:tc>
        <w:tc>
          <w:tcPr>
            <w:tcW w:w="180" w:type="dxa"/>
            <w:vAlign w:val="bottom"/>
            <w:tcBorders>
              <w:bottom w:val="single" w:sz="8" w:color="CFF0FC"/>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0.6%</w:t>
            </w:r>
          </w:p>
        </w:tc>
        <w:tc>
          <w:tcPr>
            <w:tcW w:w="180" w:type="dxa"/>
            <w:vAlign w:val="bottom"/>
            <w:tcBorders>
              <w:bottom w:val="single" w:sz="8" w:color="CFF0FC"/>
            </w:tcBorders>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20,384</w:t>
            </w:r>
          </w:p>
        </w:tc>
        <w:tc>
          <w:tcPr>
            <w:tcW w:w="10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20,249</w:t>
            </w:r>
          </w:p>
        </w:tc>
        <w:tc>
          <w:tcPr>
            <w:tcW w:w="12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135</w:t>
            </w:r>
          </w:p>
        </w:tc>
        <w:tc>
          <w:tcPr>
            <w:tcW w:w="180" w:type="dxa"/>
            <w:vAlign w:val="bottom"/>
            <w:tcBorders>
              <w:bottom w:val="single" w:sz="8" w:color="CFF0FC"/>
            </w:tcBorders>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0.7%</w:t>
            </w:r>
          </w:p>
        </w:tc>
        <w:tc>
          <w:tcPr>
            <w:tcW w:w="120" w:type="dxa"/>
            <w:vAlign w:val="bottom"/>
            <w:tcBorders>
              <w:bottom w:val="single" w:sz="8" w:color="CFF0FC"/>
            </w:tcBorders>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334010</wp:posOffset>
            </wp:positionV>
            <wp:extent cx="71748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67"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ONE – NOTES TO QUARTERLY RESULTS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6" w:lineRule="exact"/>
        <w:rPr>
          <w:sz w:val="20"/>
          <w:szCs w:val="20"/>
          <w:color w:val="auto"/>
        </w:rPr>
      </w:pPr>
    </w:p>
    <w:p>
      <w:pPr>
        <w:ind w:left="440" w:right="20" w:hanging="432"/>
        <w:spacing w:after="0" w:line="271" w:lineRule="auto"/>
        <w:tabs>
          <w:tab w:leader="none" w:pos="440" w:val="left"/>
        </w:tabs>
        <w:numPr>
          <w:ilvl w:val="0"/>
          <w:numId w:val="7"/>
        </w:numPr>
        <w:rPr>
          <w:rFonts w:ascii="Arial" w:cs="Arial" w:eastAsia="Arial" w:hAnsi="Arial"/>
          <w:sz w:val="16"/>
          <w:szCs w:val="16"/>
          <w:color w:val="auto"/>
        </w:rPr>
      </w:pPr>
      <w:r>
        <w:rPr>
          <w:rFonts w:ascii="Arial" w:cs="Arial" w:eastAsia="Arial" w:hAnsi="Arial"/>
          <w:sz w:val="16"/>
          <w:szCs w:val="16"/>
          <w:color w:val="auto"/>
        </w:rPr>
        <w:t>GES Revenue — In the third quarter of 2020, we identified prior period errors related to the recognition of revenue of our Corporate Accounts’ third-party services. Revenue from these services should have been recorded on a net basis to reflect only the fees received for arranging these services. Whereas previously, we recorded this revenue on a gross basis, thus overstating revenue and cost of services by the same amount. As a result, GES’ prior period revenue shown in this press release has been corrected to reflect this gross-to-net adjustment. We determined that the error is not material to the previously issued financial statements. The following table provides a reconciliation of originally reported revenue to the corrected figures for 2020:</w:t>
      </w:r>
    </w:p>
    <w:p>
      <w:pPr>
        <w:spacing w:after="0" w:line="8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58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ind w:right="68"/>
              <w:spacing w:after="0"/>
              <w:rPr>
                <w:sz w:val="20"/>
                <w:szCs w:val="20"/>
                <w:color w:val="auto"/>
              </w:rPr>
            </w:pPr>
            <w:r>
              <w:rPr>
                <w:rFonts w:ascii="Arial" w:cs="Arial" w:eastAsia="Arial" w:hAnsi="Arial"/>
                <w:sz w:val="14"/>
                <w:szCs w:val="14"/>
                <w:color w:val="auto"/>
              </w:rPr>
              <w:t>2020</w:t>
            </w:r>
          </w:p>
        </w:tc>
        <w:tc>
          <w:tcPr>
            <w:tcW w:w="9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56"/>
        </w:trPr>
        <w:tc>
          <w:tcPr>
            <w:tcW w:w="58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right"/>
              <w:ind w:right="480"/>
              <w:spacing w:after="0" w:line="155" w:lineRule="exact"/>
              <w:rPr>
                <w:sz w:val="20"/>
                <w:szCs w:val="20"/>
                <w:color w:val="auto"/>
              </w:rPr>
            </w:pPr>
            <w:r>
              <w:rPr>
                <w:rFonts w:ascii="Arial" w:cs="Arial" w:eastAsia="Arial" w:hAnsi="Arial"/>
                <w:sz w:val="14"/>
                <w:szCs w:val="14"/>
                <w:color w:val="auto"/>
              </w:rPr>
              <w:t>1st Quarter</w:t>
            </w:r>
          </w:p>
        </w:tc>
        <w:tc>
          <w:tcPr>
            <w:tcW w:w="160" w:type="dxa"/>
            <w:vAlign w:val="bottom"/>
          </w:tcPr>
          <w:p>
            <w:pPr>
              <w:spacing w:after="0"/>
              <w:rPr>
                <w:sz w:val="13"/>
                <w:szCs w:val="13"/>
                <w:color w:val="auto"/>
              </w:rPr>
            </w:pPr>
          </w:p>
        </w:tc>
        <w:tc>
          <w:tcPr>
            <w:tcW w:w="1140" w:type="dxa"/>
            <w:vAlign w:val="bottom"/>
            <w:gridSpan w:val="2"/>
          </w:tcPr>
          <w:p>
            <w:pPr>
              <w:jc w:val="right"/>
              <w:ind w:right="380"/>
              <w:spacing w:after="0" w:line="155" w:lineRule="exact"/>
              <w:rPr>
                <w:sz w:val="20"/>
                <w:szCs w:val="20"/>
                <w:color w:val="auto"/>
              </w:rPr>
            </w:pPr>
            <w:r>
              <w:rPr>
                <w:rFonts w:ascii="Arial" w:cs="Arial" w:eastAsia="Arial" w:hAnsi="Arial"/>
                <w:sz w:val="14"/>
                <w:szCs w:val="14"/>
                <w:color w:val="auto"/>
                <w:w w:val="98"/>
              </w:rPr>
              <w:t>2nd Quarter</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jc w:val="right"/>
              <w:ind w:right="500"/>
              <w:spacing w:after="0" w:line="155" w:lineRule="exact"/>
              <w:rPr>
                <w:sz w:val="20"/>
                <w:szCs w:val="20"/>
                <w:color w:val="auto"/>
              </w:rPr>
            </w:pPr>
            <w:r>
              <w:rPr>
                <w:rFonts w:ascii="Arial" w:cs="Arial" w:eastAsia="Arial" w:hAnsi="Arial"/>
                <w:sz w:val="14"/>
                <w:szCs w:val="14"/>
                <w:color w:val="auto"/>
              </w:rPr>
              <w:t>3rd Quarter</w:t>
            </w:r>
          </w:p>
        </w:tc>
        <w:tc>
          <w:tcPr>
            <w:tcW w:w="140" w:type="dxa"/>
            <w:vAlign w:val="bottom"/>
          </w:tcPr>
          <w:p>
            <w:pPr>
              <w:spacing w:after="0"/>
              <w:rPr>
                <w:sz w:val="13"/>
                <w:szCs w:val="13"/>
                <w:color w:val="auto"/>
              </w:rPr>
            </w:pPr>
          </w:p>
        </w:tc>
        <w:tc>
          <w:tcPr>
            <w:tcW w:w="1000" w:type="dxa"/>
            <w:vAlign w:val="bottom"/>
          </w:tcPr>
          <w:p>
            <w:pPr>
              <w:jc w:val="right"/>
              <w:ind w:right="188"/>
              <w:spacing w:after="0" w:line="155" w:lineRule="exact"/>
              <w:rPr>
                <w:sz w:val="20"/>
                <w:szCs w:val="20"/>
                <w:color w:val="auto"/>
              </w:rPr>
            </w:pPr>
            <w:r>
              <w:rPr>
                <w:rFonts w:ascii="Arial" w:cs="Arial" w:eastAsia="Arial" w:hAnsi="Arial"/>
                <w:sz w:val="14"/>
                <w:szCs w:val="14"/>
                <w:color w:val="auto"/>
              </w:rPr>
              <w:t>4th Quarter</w:t>
            </w:r>
          </w:p>
        </w:tc>
        <w:tc>
          <w:tcPr>
            <w:tcW w:w="120" w:type="dxa"/>
            <w:vAlign w:val="bottom"/>
          </w:tcPr>
          <w:p>
            <w:pPr>
              <w:spacing w:after="0"/>
              <w:rPr>
                <w:sz w:val="13"/>
                <w:szCs w:val="13"/>
                <w:color w:val="auto"/>
              </w:rPr>
            </w:pPr>
          </w:p>
        </w:tc>
      </w:tr>
      <w:tr>
        <w:trPr>
          <w:trHeight w:val="155"/>
        </w:trPr>
        <w:tc>
          <w:tcPr>
            <w:tcW w:w="58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Total GES revenue as originally reported</w:t>
            </w: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9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292,485</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25,599</w:t>
            </w:r>
          </w:p>
        </w:tc>
        <w:tc>
          <w:tcPr>
            <w:tcW w:w="1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14,257</w:t>
            </w:r>
          </w:p>
        </w:tc>
        <w:tc>
          <w:tcPr>
            <w:tcW w:w="26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10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18,695</w:t>
            </w:r>
          </w:p>
        </w:tc>
        <w:tc>
          <w:tcPr>
            <w:tcW w:w="120" w:type="dxa"/>
            <w:vAlign w:val="bottom"/>
            <w:tcBorders>
              <w:top w:val="single" w:sz="8" w:color="CFF0FC"/>
            </w:tcBorders>
            <w:shd w:val="clear" w:color="auto" w:fill="CFF0FC"/>
          </w:tcPr>
          <w:p>
            <w:pPr>
              <w:spacing w:after="0"/>
              <w:rPr>
                <w:sz w:val="13"/>
                <w:szCs w:val="13"/>
                <w:color w:val="auto"/>
              </w:rPr>
            </w:pPr>
          </w:p>
        </w:tc>
      </w:tr>
      <w:tr>
        <w:trPr>
          <w:trHeight w:val="162"/>
        </w:trPr>
        <w:tc>
          <w:tcPr>
            <w:tcW w:w="5820" w:type="dxa"/>
            <w:vAlign w:val="bottom"/>
          </w:tcPr>
          <w:p>
            <w:pPr>
              <w:spacing w:after="0"/>
              <w:rPr>
                <w:sz w:val="20"/>
                <w:szCs w:val="20"/>
                <w:color w:val="auto"/>
              </w:rPr>
            </w:pPr>
            <w:r>
              <w:rPr>
                <w:rFonts w:ascii="Arial" w:cs="Arial" w:eastAsia="Arial" w:hAnsi="Arial"/>
                <w:sz w:val="14"/>
                <w:szCs w:val="14"/>
                <w:color w:val="auto"/>
              </w:rPr>
              <w:t>Gross to net correction for GES</w:t>
            </w:r>
          </w:p>
        </w:tc>
        <w:tc>
          <w:tcPr>
            <w:tcW w:w="140" w:type="dxa"/>
            <w:vAlign w:val="bottom"/>
          </w:tcPr>
          <w:p>
            <w:pPr>
              <w:spacing w:after="0"/>
              <w:rPr>
                <w:sz w:val="14"/>
                <w:szCs w:val="14"/>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4"/>
                <w:szCs w:val="14"/>
                <w:color w:val="auto"/>
              </w:rPr>
              <w:t>(11,350)</w:t>
            </w:r>
          </w:p>
        </w:tc>
        <w:tc>
          <w:tcPr>
            <w:tcW w:w="160" w:type="dxa"/>
            <w:vAlign w:val="bottom"/>
          </w:tcPr>
          <w:p>
            <w:pPr>
              <w:spacing w:after="0"/>
              <w:rPr>
                <w:sz w:val="14"/>
                <w:szCs w:val="14"/>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4"/>
                <w:szCs w:val="14"/>
                <w:color w:val="auto"/>
              </w:rPr>
              <w:t>(796)</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(265)</w:t>
            </w:r>
          </w:p>
        </w:tc>
        <w:tc>
          <w:tcPr>
            <w:tcW w:w="140" w:type="dxa"/>
            <w:vAlign w:val="bottom"/>
          </w:tcPr>
          <w:p>
            <w:pPr>
              <w:spacing w:after="0"/>
              <w:rPr>
                <w:sz w:val="14"/>
                <w:szCs w:val="14"/>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r>
      <w:tr>
        <w:trPr>
          <w:trHeight w:val="155"/>
        </w:trPr>
        <w:tc>
          <w:tcPr>
            <w:tcW w:w="5820" w:type="dxa"/>
            <w:vAlign w:val="bottom"/>
            <w:tcBorders>
              <w:top w:val="single" w:sz="8" w:color="CFF0FC"/>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Total GES revenue as corrected</w:t>
            </w:r>
          </w:p>
        </w:tc>
        <w:tc>
          <w:tcPr>
            <w:tcW w:w="140" w:type="dxa"/>
            <w:vAlign w:val="bottom"/>
            <w:tcBorders>
              <w:top w:val="single" w:sz="8" w:color="auto"/>
              <w:bottom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9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281,135</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24,803</w:t>
            </w:r>
          </w:p>
        </w:tc>
        <w:tc>
          <w:tcPr>
            <w:tcW w:w="140" w:type="dxa"/>
            <w:vAlign w:val="bottom"/>
            <w:tcBorders>
              <w:top w:val="single" w:sz="8" w:color="CFF0FC"/>
              <w:bottom w:val="single" w:sz="8" w:color="CFF0FC"/>
            </w:tcBorders>
            <w:shd w:val="clear" w:color="auto" w:fill="CFF0FC"/>
          </w:tcPr>
          <w:p>
            <w:pPr>
              <w:spacing w:after="0"/>
              <w:rPr>
                <w:sz w:val="13"/>
                <w:szCs w:val="13"/>
                <w:color w:val="auto"/>
              </w:rPr>
            </w:pPr>
          </w:p>
        </w:tc>
        <w:tc>
          <w:tcPr>
            <w:tcW w:w="10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13,992</w:t>
            </w:r>
          </w:p>
        </w:tc>
        <w:tc>
          <w:tcPr>
            <w:tcW w:w="26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10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18,695</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r>
      <w:tr>
        <w:trPr>
          <w:trHeight w:val="20"/>
        </w:trPr>
        <w:tc>
          <w:tcPr>
            <w:tcW w:w="58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98" w:lineRule="exact"/>
        <w:rPr>
          <w:sz w:val="20"/>
          <w:szCs w:val="20"/>
          <w:color w:val="auto"/>
        </w:rPr>
      </w:pPr>
    </w:p>
    <w:p>
      <w:pPr>
        <w:ind w:left="440" w:right="280" w:hanging="432"/>
        <w:spacing w:after="0" w:line="328" w:lineRule="auto"/>
        <w:tabs>
          <w:tab w:leader="none" w:pos="440" w:val="left"/>
        </w:tabs>
        <w:numPr>
          <w:ilvl w:val="0"/>
          <w:numId w:val="8"/>
        </w:numPr>
        <w:rPr>
          <w:rFonts w:ascii="Arial" w:cs="Arial" w:eastAsia="Arial" w:hAnsi="Arial"/>
          <w:sz w:val="15"/>
          <w:szCs w:val="15"/>
          <w:color w:val="auto"/>
        </w:rPr>
      </w:pPr>
      <w:r>
        <w:rPr>
          <w:rFonts w:ascii="Arial" w:cs="Arial" w:eastAsia="Arial" w:hAnsi="Arial"/>
          <w:sz w:val="15"/>
          <w:szCs w:val="15"/>
          <w:color w:val="auto"/>
        </w:rPr>
        <w:t>Corporate Activities —The increase in corporate activities expense during the three and six months ended June 30, 2021 was primarily due to lower performance-based compensation expense in 2020 as we reduced our estimated performance achievement to zero as a result of the COVID-19 pandemic.</w:t>
      </w:r>
    </w:p>
    <w:p>
      <w:pPr>
        <w:spacing w:after="0" w:line="1" w:lineRule="exact"/>
        <w:rPr>
          <w:rFonts w:ascii="Arial" w:cs="Arial" w:eastAsia="Arial" w:hAnsi="Arial"/>
          <w:sz w:val="15"/>
          <w:szCs w:val="15"/>
          <w:color w:val="auto"/>
        </w:rPr>
      </w:pPr>
    </w:p>
    <w:p>
      <w:pPr>
        <w:ind w:left="440" w:right="20" w:hanging="432"/>
        <w:spacing w:after="0" w:line="297" w:lineRule="auto"/>
        <w:tabs>
          <w:tab w:leader="none" w:pos="440" w:val="left"/>
        </w:tabs>
        <w:numPr>
          <w:ilvl w:val="0"/>
          <w:numId w:val="8"/>
        </w:numPr>
        <w:rPr>
          <w:rFonts w:ascii="Arial" w:cs="Arial" w:eastAsia="Arial" w:hAnsi="Arial"/>
          <w:sz w:val="15"/>
          <w:szCs w:val="15"/>
          <w:color w:val="auto"/>
        </w:rPr>
      </w:pPr>
      <w:r>
        <w:rPr>
          <w:rFonts w:ascii="Arial" w:cs="Arial" w:eastAsia="Arial" w:hAnsi="Arial"/>
          <w:sz w:val="15"/>
          <w:szCs w:val="15"/>
          <w:color w:val="auto"/>
        </w:rPr>
        <w:t>Restructuring Charges — Restructuring charges during the three and six months ended June 30, 2021 were primarily related to facility closures at GES. In response to the COVID-19 pandemic in 2020, we accelerated our transformation and streamlining efforts at GES to significantly reduce costs and create a lower and more flexible cost structure focused on servicing our more profitable market segments. Restructuring charges during the three and six months ended June 30, 2020 were primarily related to the elimination of certain positions at GES and our corporate office in response to the COVID-19 pandemic.</w:t>
      </w:r>
    </w:p>
    <w:p>
      <w:pPr>
        <w:spacing w:after="0" w:line="23" w:lineRule="exact"/>
        <w:rPr>
          <w:rFonts w:ascii="Arial" w:cs="Arial" w:eastAsia="Arial" w:hAnsi="Arial"/>
          <w:sz w:val="15"/>
          <w:szCs w:val="15"/>
          <w:color w:val="auto"/>
        </w:rPr>
      </w:pPr>
    </w:p>
    <w:p>
      <w:pPr>
        <w:ind w:left="440" w:right="120" w:hanging="432"/>
        <w:spacing w:after="0" w:line="271" w:lineRule="auto"/>
        <w:tabs>
          <w:tab w:leader="none" w:pos="440" w:val="left"/>
        </w:tabs>
        <w:numPr>
          <w:ilvl w:val="0"/>
          <w:numId w:val="8"/>
        </w:numPr>
        <w:rPr>
          <w:rFonts w:ascii="Arial" w:cs="Arial" w:eastAsia="Arial" w:hAnsi="Arial"/>
          <w:sz w:val="16"/>
          <w:szCs w:val="16"/>
          <w:color w:val="auto"/>
        </w:rPr>
      </w:pPr>
      <w:r>
        <w:rPr>
          <w:rFonts w:ascii="Arial" w:cs="Arial" w:eastAsia="Arial" w:hAnsi="Arial"/>
          <w:sz w:val="16"/>
          <w:szCs w:val="16"/>
          <w:color w:val="auto"/>
        </w:rPr>
        <w:t>Impairment Charges — Due to the deteriorating macroeconomic environment related to the COVID-19 pandemic, resulting in disruptions to our operations and the decline in our stock price, we recorded non-cash goodwill impairment charges of $113.1 million and a fixed asset impairment charge of $0.9 million during the three months ended June 30, 2020. During the six months ended June 30, 2020, we recorded non-cash goodwill impairment charges of $185.8 million, a non-cash impairment charge to intangible assets of $15.7 million related to GES’ United States audio-visual production business, and a fixed asset impairment charge of $0.9 million.</w:t>
      </w:r>
    </w:p>
    <w:p>
      <w:pPr>
        <w:spacing w:after="0" w:line="41" w:lineRule="exact"/>
        <w:rPr>
          <w:rFonts w:ascii="Arial" w:cs="Arial" w:eastAsia="Arial" w:hAnsi="Arial"/>
          <w:sz w:val="16"/>
          <w:szCs w:val="16"/>
          <w:color w:val="auto"/>
        </w:rPr>
      </w:pPr>
    </w:p>
    <w:p>
      <w:pPr>
        <w:ind w:left="440" w:hanging="432"/>
        <w:spacing w:after="0"/>
        <w:tabs>
          <w:tab w:leader="none" w:pos="440" w:val="left"/>
        </w:tabs>
        <w:numPr>
          <w:ilvl w:val="0"/>
          <w:numId w:val="8"/>
        </w:numPr>
        <w:rPr>
          <w:rFonts w:ascii="Arial" w:cs="Arial" w:eastAsia="Arial" w:hAnsi="Arial"/>
          <w:sz w:val="15"/>
          <w:szCs w:val="15"/>
          <w:color w:val="auto"/>
        </w:rPr>
      </w:pPr>
      <w:r>
        <w:rPr>
          <w:rFonts w:ascii="Arial" w:cs="Arial" w:eastAsia="Arial" w:hAnsi="Arial"/>
          <w:sz w:val="15"/>
          <w:szCs w:val="15"/>
          <w:color w:val="auto"/>
        </w:rPr>
        <w:t>Net Interest Expense — The increase in interest expense during the three and six months ended June 30, 2021 was primarily due to higher debt balances in 2021.</w:t>
      </w:r>
    </w:p>
    <w:p>
      <w:pPr>
        <w:spacing w:after="0" w:line="97" w:lineRule="exact"/>
        <w:rPr>
          <w:rFonts w:ascii="Arial" w:cs="Arial" w:eastAsia="Arial" w:hAnsi="Arial"/>
          <w:sz w:val="15"/>
          <w:szCs w:val="15"/>
          <w:color w:val="auto"/>
        </w:rPr>
      </w:pPr>
    </w:p>
    <w:p>
      <w:pPr>
        <w:ind w:left="440" w:right="100" w:hanging="432"/>
        <w:spacing w:after="0" w:line="291" w:lineRule="auto"/>
        <w:tabs>
          <w:tab w:leader="none" w:pos="440" w:val="left"/>
        </w:tabs>
        <w:numPr>
          <w:ilvl w:val="0"/>
          <w:numId w:val="8"/>
        </w:numPr>
        <w:rPr>
          <w:rFonts w:ascii="Arial" w:cs="Arial" w:eastAsia="Arial" w:hAnsi="Arial"/>
          <w:sz w:val="15"/>
          <w:szCs w:val="15"/>
          <w:color w:val="auto"/>
        </w:rPr>
      </w:pPr>
      <w:r>
        <w:rPr>
          <w:rFonts w:ascii="Arial" w:cs="Arial" w:eastAsia="Arial" w:hAnsi="Arial"/>
          <w:sz w:val="15"/>
          <w:szCs w:val="15"/>
          <w:color w:val="auto"/>
        </w:rPr>
        <w:t>Income Tax (Expense) Benefit – The effective tax rate was 5% for the three months ended June 30, 2021 and a negative 21% for the three months ended June 30, 2020. The effective tax rate was 6% for the six months ended June 30, 2021 and a negative 7% for the six months ended June 30, 2020. The rate for the three and six months ended June 30, 2021 was lower than the blended statutory rate primarily as a result of excluding the tax benefit on losses recognized in the United States, United Kingdom, and other European countries where we have a valuation allowance. The negative effective tax rates for the three and six months ended June 30, 2020 were due to the recording of a valuation allowance against our remaining United States, United Kingdom, and other European countries net deferred tax assets of $25 million, as well as no tax benefits on non-deductible goodwill impairments and losses recognized in those jurisdictions.</w:t>
      </w:r>
    </w:p>
    <w:p>
      <w:pPr>
        <w:spacing w:after="0" w:line="27" w:lineRule="exact"/>
        <w:rPr>
          <w:rFonts w:ascii="Arial" w:cs="Arial" w:eastAsia="Arial" w:hAnsi="Arial"/>
          <w:sz w:val="15"/>
          <w:szCs w:val="15"/>
          <w:color w:val="auto"/>
        </w:rPr>
      </w:pPr>
    </w:p>
    <w:p>
      <w:pPr>
        <w:ind w:left="440" w:right="40" w:hanging="432"/>
        <w:spacing w:after="0" w:line="273" w:lineRule="auto"/>
        <w:tabs>
          <w:tab w:leader="none" w:pos="440" w:val="left"/>
        </w:tabs>
        <w:numPr>
          <w:ilvl w:val="0"/>
          <w:numId w:val="8"/>
        </w:numPr>
        <w:rPr>
          <w:rFonts w:ascii="Arial" w:cs="Arial" w:eastAsia="Arial" w:hAnsi="Arial"/>
          <w:sz w:val="16"/>
          <w:szCs w:val="16"/>
          <w:color w:val="auto"/>
        </w:rPr>
      </w:pPr>
      <w:r>
        <w:rPr>
          <w:rFonts w:ascii="Arial" w:cs="Arial" w:eastAsia="Arial" w:hAnsi="Arial"/>
          <w:sz w:val="16"/>
          <w:szCs w:val="16"/>
          <w:color w:val="auto"/>
        </w:rPr>
        <w:t>Income (Loss) from Discontinued Operations — Loss from discontinued operations during the three months ended June 30, 2021 was primarily due to legal expenses related to previously sold operations. Income from discontinued operations during the six months ended June 30, 2021 was primarily due to an insurance recovery related to a previously sold operation, offset in part by legal expenses. Loss from discontinued operations during the three and six months ended June 30, 2020 was primarily due to legal expenses related to previously sold operations.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860" w:type="dxa"/>
            <w:vAlign w:val="bottom"/>
            <w:vMerge w:val="restart"/>
          </w:tcPr>
          <w:p>
            <w:pPr>
              <w:spacing w:after="0"/>
              <w:rPr>
                <w:sz w:val="20"/>
                <w:szCs w:val="20"/>
                <w:color w:val="auto"/>
              </w:rPr>
            </w:pPr>
            <w:r>
              <w:rPr>
                <w:rFonts w:ascii="Arial" w:cs="Arial" w:eastAsia="Arial" w:hAnsi="Arial"/>
                <w:sz w:val="14"/>
                <w:szCs w:val="14"/>
                <w:color w:val="auto"/>
              </w:rPr>
              <w:t>($ in thousands, except per share data)</w:t>
            </w:r>
          </w:p>
        </w:tc>
        <w:tc>
          <w:tcPr>
            <w:tcW w:w="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4"/>
                <w:szCs w:val="14"/>
                <w:color w:val="auto"/>
                <w:w w:val="92"/>
              </w:rPr>
              <w:t>Three months ended June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6"/>
          </w:tcPr>
          <w:p>
            <w:pPr>
              <w:jc w:val="right"/>
              <w:ind w:right="220"/>
              <w:spacing w:after="0"/>
              <w:rPr>
                <w:sz w:val="20"/>
                <w:szCs w:val="20"/>
                <w:color w:val="auto"/>
              </w:rPr>
            </w:pPr>
            <w:r>
              <w:rPr>
                <w:rFonts w:ascii="Arial" w:cs="Arial" w:eastAsia="Arial" w:hAnsi="Arial"/>
                <w:sz w:val="14"/>
                <w:szCs w:val="14"/>
                <w:color w:val="auto"/>
                <w:w w:val="89"/>
              </w:rPr>
              <w:t>Six months ended June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6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38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Net loss attributable to Viad</w:t>
            </w:r>
          </w:p>
        </w:tc>
        <w:tc>
          <w:tcPr>
            <w:tcW w:w="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(42,026)</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96"/>
              </w:rPr>
              <w:t>(206,278)</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164,252</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79.6%</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(85,178)</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(292,863)</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207,685</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70.9%</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3860" w:type="dxa"/>
            <w:vAlign w:val="bottom"/>
          </w:tcPr>
          <w:p>
            <w:pPr>
              <w:spacing w:after="0"/>
              <w:rPr>
                <w:sz w:val="20"/>
                <w:szCs w:val="20"/>
                <w:color w:val="auto"/>
              </w:rPr>
            </w:pPr>
            <w:r>
              <w:rPr>
                <w:rFonts w:ascii="Arial" w:cs="Arial" w:eastAsia="Arial" w:hAnsi="Arial"/>
                <w:sz w:val="14"/>
                <w:szCs w:val="14"/>
                <w:color w:val="auto"/>
              </w:rPr>
              <w:t>Convertible preferred stock dividends paid-in-kind</w:t>
            </w:r>
            <w:r>
              <w:rPr>
                <w:rFonts w:ascii="Arial" w:cs="Arial" w:eastAsia="Arial" w:hAnsi="Arial"/>
                <w:sz w:val="13"/>
                <w:szCs w:val="13"/>
                <w:color w:val="auto"/>
              </w:rPr>
              <w:t>1</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(1,923)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gridSpan w:val="2"/>
          </w:tcPr>
          <w:p>
            <w:pPr>
              <w:jc w:val="right"/>
              <w:ind w:right="99"/>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(1,923)</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(3,821)</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(3,821)</w:t>
            </w: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386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w w:val="94"/>
              </w:rPr>
              <w:t>Adjustment to the redemption value of redeemable noncontrolling</w:t>
            </w: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60" w:type="dxa"/>
            <w:vAlign w:val="bottom"/>
            <w:shd w:val="clear" w:color="auto" w:fill="CFF0FC"/>
          </w:tcPr>
          <w:p>
            <w:pPr>
              <w:spacing w:after="0"/>
              <w:rPr>
                <w:sz w:val="20"/>
                <w:szCs w:val="20"/>
                <w:color w:val="auto"/>
              </w:rPr>
            </w:pPr>
            <w:r>
              <w:rPr>
                <w:rFonts w:ascii="Arial" w:cs="Arial" w:eastAsia="Arial" w:hAnsi="Arial"/>
                <w:sz w:val="14"/>
                <w:szCs w:val="14"/>
                <w:color w:val="auto"/>
              </w:rPr>
              <w:t>interest</w:t>
            </w: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(547)</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(332)</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(215)</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-64.8%</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(603)</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(458)</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(145)</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-31.7%</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386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color w:val="auto"/>
              </w:rPr>
              <w:t>Net loss allocated to Viad common shareholders</w:t>
            </w:r>
          </w:p>
        </w:tc>
        <w:tc>
          <w:tcPr>
            <w:tcW w:w="40" w:type="dxa"/>
            <w:vAlign w:val="bottom"/>
            <w:tcBorders>
              <w:bottom w:val="single" w:sz="8" w:color="CFF0FC"/>
            </w:tcBorders>
          </w:tcPr>
          <w:p>
            <w:pPr>
              <w:spacing w:after="0"/>
              <w:rPr>
                <w:sz w:val="17"/>
                <w:szCs w:val="17"/>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(44,496</w:t>
            </w:r>
          </w:p>
        </w:tc>
        <w:tc>
          <w:tcPr>
            <w:tcW w:w="100" w:type="dxa"/>
            <w:vAlign w:val="bottom"/>
            <w:tcBorders>
              <w:bottom w:val="single" w:sz="8" w:color="CFF0FC"/>
            </w:tcBorders>
          </w:tcPr>
          <w:p>
            <w:pPr>
              <w:jc w:val="right"/>
              <w:ind w:right="19"/>
              <w:spacing w:after="0"/>
              <w:rPr>
                <w:sz w:val="20"/>
                <w:szCs w:val="20"/>
                <w:color w:val="auto"/>
              </w:rPr>
            </w:pPr>
            <w:r>
              <w:rPr>
                <w:rFonts w:ascii="Arial" w:cs="Arial" w:eastAsia="Arial" w:hAnsi="Arial"/>
                <w:sz w:val="8"/>
                <w:szCs w:val="8"/>
                <w:color w:val="auto"/>
                <w:w w:val="73"/>
              </w:rPr>
              <w:t>)</w:t>
            </w:r>
          </w:p>
        </w:tc>
        <w:tc>
          <w:tcPr>
            <w:tcW w:w="80" w:type="dxa"/>
            <w:vAlign w:val="bottom"/>
            <w:tcBorders>
              <w:bottom w:val="single" w:sz="8" w:color="CFF0FC"/>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(206,610</w:t>
            </w:r>
          </w:p>
        </w:tc>
        <w:tc>
          <w:tcPr>
            <w:tcW w:w="120" w:type="dxa"/>
            <w:vAlign w:val="bottom"/>
            <w:tcBorders>
              <w:bottom w:val="single" w:sz="8" w:color="CFF0FC"/>
            </w:tcBorders>
          </w:tcPr>
          <w:p>
            <w:pPr>
              <w:jc w:val="right"/>
              <w:ind w:right="39"/>
              <w:spacing w:after="0"/>
              <w:rPr>
                <w:sz w:val="20"/>
                <w:szCs w:val="20"/>
                <w:color w:val="auto"/>
              </w:rPr>
            </w:pPr>
            <w:r>
              <w:rPr>
                <w:rFonts w:ascii="Arial" w:cs="Arial" w:eastAsia="Arial" w:hAnsi="Arial"/>
                <w:sz w:val="8"/>
                <w:szCs w:val="8"/>
                <w:color w:val="auto"/>
                <w:w w:val="73"/>
              </w:rPr>
              <w:t>)</w:t>
            </w:r>
          </w:p>
        </w:tc>
        <w:tc>
          <w:tcPr>
            <w:tcW w:w="6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162,114</w:t>
            </w:r>
          </w:p>
        </w:tc>
        <w:tc>
          <w:tcPr>
            <w:tcW w:w="180" w:type="dxa"/>
            <w:vAlign w:val="bottom"/>
            <w:tcBorders>
              <w:bottom w:val="single" w:sz="8" w:color="CFF0FC"/>
            </w:tcBorders>
          </w:tcPr>
          <w:p>
            <w:pPr>
              <w:spacing w:after="0"/>
              <w:rPr>
                <w:sz w:val="17"/>
                <w:szCs w:val="17"/>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w w:val="90"/>
              </w:rPr>
              <w:t>78.5%</w:t>
            </w:r>
          </w:p>
        </w:tc>
        <w:tc>
          <w:tcPr>
            <w:tcW w:w="180" w:type="dxa"/>
            <w:vAlign w:val="bottom"/>
            <w:tcBorders>
              <w:bottom w:val="single" w:sz="8" w:color="CFF0FC"/>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(89,602</w:t>
            </w:r>
          </w:p>
        </w:tc>
        <w:tc>
          <w:tcPr>
            <w:tcW w:w="100" w:type="dxa"/>
            <w:vAlign w:val="bottom"/>
            <w:tcBorders>
              <w:bottom w:val="single" w:sz="8" w:color="CFF0FC"/>
            </w:tcBorders>
          </w:tcPr>
          <w:p>
            <w:pPr>
              <w:jc w:val="right"/>
              <w:ind w:right="19"/>
              <w:spacing w:after="0"/>
              <w:rPr>
                <w:sz w:val="20"/>
                <w:szCs w:val="20"/>
                <w:color w:val="auto"/>
              </w:rPr>
            </w:pPr>
            <w:r>
              <w:rPr>
                <w:rFonts w:ascii="Arial" w:cs="Arial" w:eastAsia="Arial" w:hAnsi="Arial"/>
                <w:sz w:val="8"/>
                <w:szCs w:val="8"/>
                <w:color w:val="auto"/>
                <w:w w:val="73"/>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(293,321</w:t>
            </w:r>
          </w:p>
        </w:tc>
        <w:tc>
          <w:tcPr>
            <w:tcW w:w="120" w:type="dxa"/>
            <w:vAlign w:val="bottom"/>
            <w:tcBorders>
              <w:bottom w:val="single" w:sz="8" w:color="CFF0FC"/>
            </w:tcBorders>
          </w:tcPr>
          <w:p>
            <w:pPr>
              <w:jc w:val="right"/>
              <w:spacing w:after="0" w:line="155" w:lineRule="exact"/>
              <w:rPr>
                <w:sz w:val="20"/>
                <w:szCs w:val="20"/>
                <w:color w:val="auto"/>
              </w:rPr>
            </w:pPr>
            <w:r>
              <w:rPr>
                <w:rFonts w:ascii="Arial" w:cs="Arial" w:eastAsia="Arial" w:hAnsi="Arial"/>
                <w:sz w:val="14"/>
                <w:szCs w:val="14"/>
                <w:color w:val="auto"/>
                <w:w w:val="84"/>
              </w:rPr>
              <w:t>)</w:t>
            </w:r>
          </w:p>
        </w:tc>
        <w:tc>
          <w:tcPr>
            <w:tcW w:w="8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203,719</w:t>
            </w:r>
          </w:p>
        </w:tc>
        <w:tc>
          <w:tcPr>
            <w:tcW w:w="180" w:type="dxa"/>
            <w:vAlign w:val="bottom"/>
            <w:tcBorders>
              <w:bottom w:val="single" w:sz="8" w:color="CFF0FC"/>
            </w:tcBorders>
          </w:tcPr>
          <w:p>
            <w:pPr>
              <w:spacing w:after="0"/>
              <w:rPr>
                <w:sz w:val="17"/>
                <w:szCs w:val="17"/>
                <w:color w:val="auto"/>
              </w:rPr>
            </w:pP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w w:val="95"/>
              </w:rPr>
              <w:t>69.5%</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386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3860" w:type="dxa"/>
            <w:vAlign w:val="bottom"/>
          </w:tcPr>
          <w:p>
            <w:pPr>
              <w:spacing w:after="0"/>
              <w:rPr>
                <w:sz w:val="20"/>
                <w:szCs w:val="20"/>
                <w:color w:val="auto"/>
              </w:rPr>
            </w:pPr>
            <w:r>
              <w:rPr>
                <w:rFonts w:ascii="Arial" w:cs="Arial" w:eastAsia="Arial" w:hAnsi="Arial"/>
                <w:sz w:val="14"/>
                <w:szCs w:val="14"/>
                <w:color w:val="auto"/>
              </w:rPr>
              <w:t>Weighted-average outstanding common shares</w:t>
            </w:r>
            <w:r>
              <w:rPr>
                <w:rFonts w:ascii="Arial" w:cs="Arial" w:eastAsia="Arial" w:hAnsi="Arial"/>
                <w:sz w:val="13"/>
                <w:szCs w:val="13"/>
                <w:color w:val="auto"/>
              </w:rPr>
              <w:t>1</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20,397</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20,282</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115</w:t>
            </w:r>
          </w:p>
        </w:tc>
        <w:tc>
          <w:tcPr>
            <w:tcW w:w="180" w:type="dxa"/>
            <w:vAlign w:val="bottom"/>
          </w:tcPr>
          <w:p>
            <w:pPr>
              <w:spacing w:after="0"/>
              <w:rPr>
                <w:sz w:val="15"/>
                <w:szCs w:val="15"/>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3"/>
              </w:rPr>
              <w:t>0.6%</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20,384</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20,249</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135</w:t>
            </w:r>
          </w:p>
        </w:tc>
        <w:tc>
          <w:tcPr>
            <w:tcW w:w="18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0.7%</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386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3860" w:type="dxa"/>
            <w:vAlign w:val="bottom"/>
          </w:tcPr>
          <w:p>
            <w:pPr>
              <w:spacing w:after="0" w:line="139" w:lineRule="exact"/>
              <w:rPr>
                <w:sz w:val="20"/>
                <w:szCs w:val="20"/>
                <w:color w:val="auto"/>
              </w:rPr>
            </w:pPr>
            <w:r>
              <w:rPr>
                <w:rFonts w:ascii="Arial" w:cs="Arial" w:eastAsia="Arial" w:hAnsi="Arial"/>
                <w:sz w:val="14"/>
                <w:szCs w:val="14"/>
                <w:b w:val="1"/>
                <w:bCs w:val="1"/>
                <w:color w:val="auto"/>
                <w:w w:val="98"/>
              </w:rPr>
              <w:t>Basic loss per common share attributable to Viad common</w:t>
            </w:r>
          </w:p>
        </w:tc>
        <w:tc>
          <w:tcPr>
            <w:tcW w:w="2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gridSpan w:val="2"/>
            <w:vMerge w:val="restart"/>
          </w:tcPr>
          <w:p>
            <w:pPr>
              <w:jc w:val="right"/>
              <w:ind w:right="19"/>
              <w:spacing w:after="0"/>
              <w:rPr>
                <w:sz w:val="20"/>
                <w:szCs w:val="20"/>
                <w:color w:val="auto"/>
              </w:rPr>
            </w:pPr>
            <w:r>
              <w:rPr>
                <w:rFonts w:ascii="Arial" w:cs="Arial" w:eastAsia="Arial" w:hAnsi="Arial"/>
                <w:sz w:val="14"/>
                <w:szCs w:val="14"/>
                <w:b w:val="1"/>
                <w:bCs w:val="1"/>
                <w:color w:val="auto"/>
              </w:rPr>
              <w:t>(2.18)</w:t>
            </w:r>
          </w:p>
        </w:tc>
        <w:tc>
          <w:tcPr>
            <w:tcW w:w="2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gridSpan w:val="2"/>
            <w:vMerge w:val="restart"/>
          </w:tcPr>
          <w:p>
            <w:pPr>
              <w:jc w:val="right"/>
              <w:ind w:right="39"/>
              <w:spacing w:after="0"/>
              <w:rPr>
                <w:sz w:val="20"/>
                <w:szCs w:val="20"/>
                <w:color w:val="auto"/>
              </w:rPr>
            </w:pPr>
            <w:r>
              <w:rPr>
                <w:rFonts w:ascii="Arial" w:cs="Arial" w:eastAsia="Arial" w:hAnsi="Arial"/>
                <w:sz w:val="14"/>
                <w:szCs w:val="14"/>
                <w:b w:val="1"/>
                <w:bCs w:val="1"/>
                <w:color w:val="auto"/>
              </w:rPr>
              <w:t>(10.19)</w:t>
            </w:r>
          </w:p>
        </w:tc>
        <w:tc>
          <w:tcPr>
            <w:tcW w:w="1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8.01</w:t>
            </w:r>
          </w:p>
        </w:tc>
        <w:tc>
          <w:tcPr>
            <w:tcW w:w="180" w:type="dxa"/>
            <w:vAlign w:val="bottom"/>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78.6%</w:t>
            </w:r>
          </w:p>
        </w:tc>
        <w:tc>
          <w:tcPr>
            <w:tcW w:w="3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tcPr>
          <w:p>
            <w:pPr>
              <w:jc w:val="right"/>
              <w:ind w:right="19"/>
              <w:spacing w:after="0"/>
              <w:rPr>
                <w:sz w:val="20"/>
                <w:szCs w:val="20"/>
                <w:color w:val="auto"/>
              </w:rPr>
            </w:pPr>
            <w:r>
              <w:rPr>
                <w:rFonts w:ascii="Arial" w:cs="Arial" w:eastAsia="Arial" w:hAnsi="Arial"/>
                <w:sz w:val="14"/>
                <w:szCs w:val="14"/>
                <w:b w:val="1"/>
                <w:bCs w:val="1"/>
                <w:color w:val="auto"/>
              </w:rPr>
              <w:t>(4.40)</w:t>
            </w:r>
          </w:p>
        </w:tc>
        <w:tc>
          <w:tcPr>
            <w:tcW w:w="1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(14.49)</w:t>
            </w:r>
          </w:p>
        </w:tc>
        <w:tc>
          <w:tcPr>
            <w:tcW w:w="1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10.09</w:t>
            </w:r>
          </w:p>
        </w:tc>
        <w:tc>
          <w:tcPr>
            <w:tcW w:w="180" w:type="dxa"/>
            <w:vAlign w:val="bottom"/>
          </w:tcPr>
          <w:p>
            <w:pPr>
              <w:spacing w:after="0"/>
              <w:rPr>
                <w:sz w:val="12"/>
                <w:szCs w:val="12"/>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69.6%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60" w:type="dxa"/>
            <w:vAlign w:val="bottom"/>
          </w:tcPr>
          <w:p>
            <w:pPr>
              <w:spacing w:after="0"/>
              <w:rPr>
                <w:sz w:val="20"/>
                <w:szCs w:val="20"/>
                <w:color w:val="auto"/>
              </w:rPr>
            </w:pPr>
            <w:r>
              <w:rPr>
                <w:rFonts w:ascii="Arial" w:cs="Arial" w:eastAsia="Arial" w:hAnsi="Arial"/>
                <w:sz w:val="14"/>
                <w:szCs w:val="14"/>
                <w:b w:val="1"/>
                <w:bCs w:val="1"/>
                <w:color w:val="auto"/>
              </w:rPr>
              <w:t>shareholders</w:t>
            </w:r>
          </w:p>
        </w:tc>
        <w:tc>
          <w:tcPr>
            <w:tcW w:w="200" w:type="dxa"/>
            <w:vAlign w:val="bottom"/>
            <w:gridSpan w:val="2"/>
            <w:vMerge w:val="continue"/>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220" w:type="dxa"/>
            <w:vAlign w:val="bottom"/>
            <w:gridSpan w:val="2"/>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60" w:type="dxa"/>
            <w:vAlign w:val="bottom"/>
            <w:gridSpan w:val="2"/>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60" w:type="dxa"/>
            <w:vAlign w:val="bottom"/>
            <w:gridSpan w:val="2"/>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1" w:lineRule="exact"/>
        <w:rPr>
          <w:sz w:val="20"/>
          <w:szCs w:val="20"/>
          <w:color w:val="auto"/>
        </w:rPr>
      </w:pPr>
    </w:p>
    <w:p>
      <w:pPr>
        <w:ind w:right="40" w:firstLine="8"/>
        <w:spacing w:after="0" w:line="251" w:lineRule="auto"/>
        <w:tabs>
          <w:tab w:leader="none" w:pos="103" w:val="left"/>
        </w:tabs>
        <w:numPr>
          <w:ilvl w:val="0"/>
          <w:numId w:val="9"/>
        </w:numPr>
        <w:rPr>
          <w:rFonts w:ascii="Arial" w:cs="Arial" w:eastAsia="Arial" w:hAnsi="Arial"/>
          <w:sz w:val="25"/>
          <w:szCs w:val="25"/>
          <w:color w:val="auto"/>
          <w:vertAlign w:val="superscript"/>
        </w:rPr>
      </w:pPr>
      <w:r>
        <w:rPr>
          <w:rFonts w:ascii="Arial" w:cs="Arial" w:eastAsia="Arial" w:hAnsi="Arial"/>
          <w:sz w:val="15"/>
          <w:szCs w:val="15"/>
          <w:color w:val="auto"/>
        </w:rPr>
        <w:t>When calculating basic income (loss) per share and diluted loss per share, dividends paid in kind on convertible preferred stock are deducted from the reported net income (loss) for the period and there is no adjustment to the number of common shares outstanding to reflect the potential future conversion of the outstanding preferred shares. When calculating diluted net income per share, the outstanding preferred shares (as if converted at the beginning of the period) are added to the common shares outstanding and there is no adjustment to the reported net income for any dividends paid in kind. The following table shows the outstanding preferred stock expressed in common shares as if converted: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459105</wp:posOffset>
            </wp:positionV>
            <wp:extent cx="71748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75" w:right="3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167"/>
        </w:trPr>
        <w:tc>
          <w:tcPr>
            <w:tcW w:w="5820" w:type="dxa"/>
            <w:vAlign w:val="bottom"/>
            <w:vMerge w:val="restart"/>
          </w:tcPr>
          <w:p>
            <w:pPr>
              <w:spacing w:after="0"/>
              <w:rPr>
                <w:sz w:val="20"/>
                <w:szCs w:val="20"/>
                <w:color w:val="auto"/>
              </w:rPr>
            </w:pPr>
            <w:r>
              <w:rPr>
                <w:rFonts w:ascii="Arial" w:cs="Arial" w:eastAsia="Arial" w:hAnsi="Arial"/>
                <w:sz w:val="14"/>
                <w:szCs w:val="14"/>
                <w:color w:val="auto"/>
              </w:rPr>
              <w:t>Convertible preferred stock as if converted (in thousands):</w:t>
            </w:r>
          </w:p>
        </w:tc>
        <w:tc>
          <w:tcPr>
            <w:tcW w:w="2220" w:type="dxa"/>
            <w:vAlign w:val="bottom"/>
            <w:gridSpan w:val="4"/>
          </w:tcPr>
          <w:p>
            <w:pPr>
              <w:ind w:left="400"/>
              <w:spacing w:after="0"/>
              <w:rPr>
                <w:sz w:val="20"/>
                <w:szCs w:val="20"/>
                <w:color w:val="auto"/>
              </w:rPr>
            </w:pPr>
            <w:r>
              <w:rPr>
                <w:rFonts w:ascii="Arial" w:cs="Arial" w:eastAsia="Arial" w:hAnsi="Arial"/>
                <w:sz w:val="14"/>
                <w:szCs w:val="14"/>
                <w:color w:val="auto"/>
                <w:w w:val="96"/>
              </w:rPr>
              <w:t>Three months ended June 30,</w:t>
            </w: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60" w:type="dxa"/>
            <w:vAlign w:val="bottom"/>
            <w:gridSpan w:val="4"/>
          </w:tcPr>
          <w:p>
            <w:pPr>
              <w:ind w:left="480"/>
              <w:spacing w:after="0"/>
              <w:rPr>
                <w:sz w:val="20"/>
                <w:szCs w:val="20"/>
                <w:color w:val="auto"/>
              </w:rPr>
            </w:pPr>
            <w:r>
              <w:rPr>
                <w:rFonts w:ascii="Arial" w:cs="Arial" w:eastAsia="Arial" w:hAnsi="Arial"/>
                <w:sz w:val="14"/>
                <w:szCs w:val="14"/>
                <w:color w:val="auto"/>
              </w:rPr>
              <w:t>Six months ended June 30,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820" w:type="dxa"/>
            <w:vAlign w:val="bottom"/>
            <w:vMerge w:val="continue"/>
          </w:tcPr>
          <w:p>
            <w:pPr>
              <w:spacing w:after="0"/>
              <w:rPr>
                <w:sz w:val="13"/>
                <w:szCs w:val="13"/>
                <w:color w:val="auto"/>
              </w:rPr>
            </w:pPr>
          </w:p>
        </w:tc>
        <w:tc>
          <w:tcPr>
            <w:tcW w:w="740" w:type="dxa"/>
            <w:vAlign w:val="bottom"/>
            <w:tcBorders>
              <w:top w:val="single" w:sz="8" w:color="auto"/>
            </w:tcBorders>
          </w:tcPr>
          <w:p>
            <w:pPr>
              <w:ind w:left="400"/>
              <w:spacing w:after="0" w:line="155" w:lineRule="exact"/>
              <w:rPr>
                <w:sz w:val="20"/>
                <w:szCs w:val="20"/>
                <w:color w:val="auto"/>
              </w:rPr>
            </w:pPr>
            <w:r>
              <w:rPr>
                <w:rFonts w:ascii="Arial" w:cs="Arial" w:eastAsia="Arial" w:hAnsi="Arial"/>
                <w:sz w:val="14"/>
                <w:szCs w:val="14"/>
                <w:color w:val="auto"/>
              </w:rPr>
              <w:t>2021</w:t>
            </w:r>
          </w:p>
        </w:tc>
        <w:tc>
          <w:tcPr>
            <w:tcW w:w="1480" w:type="dxa"/>
            <w:vAlign w:val="bottom"/>
            <w:tcBorders>
              <w:top w:val="single" w:sz="8" w:color="auto"/>
            </w:tcBorders>
            <w:gridSpan w:val="3"/>
          </w:tcPr>
          <w:p>
            <w:pPr>
              <w:jc w:val="right"/>
              <w:ind w:right="140"/>
              <w:spacing w:after="0" w:line="155" w:lineRule="exact"/>
              <w:rPr>
                <w:sz w:val="20"/>
                <w:szCs w:val="20"/>
                <w:color w:val="auto"/>
              </w:rPr>
            </w:pPr>
            <w:r>
              <w:rPr>
                <w:rFonts w:ascii="Arial" w:cs="Arial" w:eastAsia="Arial" w:hAnsi="Arial"/>
                <w:sz w:val="14"/>
                <w:szCs w:val="14"/>
                <w:color w:val="auto"/>
              </w:rPr>
              <w:t>2020</w:t>
            </w:r>
          </w:p>
        </w:tc>
        <w:tc>
          <w:tcPr>
            <w:tcW w:w="300" w:type="dxa"/>
            <w:vAlign w:val="bottom"/>
            <w:tcBorders>
              <w:top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Borders>
              <w:top w:val="single" w:sz="8" w:color="auto"/>
            </w:tcBorders>
          </w:tcPr>
          <w:p>
            <w:pPr>
              <w:jc w:val="right"/>
              <w:ind w:right="348"/>
              <w:spacing w:after="0" w:line="155" w:lineRule="exact"/>
              <w:rPr>
                <w:sz w:val="20"/>
                <w:szCs w:val="20"/>
                <w:color w:val="auto"/>
              </w:rPr>
            </w:pPr>
            <w:r>
              <w:rPr>
                <w:rFonts w:ascii="Arial" w:cs="Arial" w:eastAsia="Arial" w:hAnsi="Arial"/>
                <w:sz w:val="14"/>
                <w:szCs w:val="14"/>
                <w:color w:val="auto"/>
              </w:rPr>
              <w:t>2021</w:t>
            </w:r>
          </w:p>
        </w:tc>
        <w:tc>
          <w:tcPr>
            <w:tcW w:w="26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ind w:left="420"/>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20" w:type="dxa"/>
            <w:vAlign w:val="bottom"/>
          </w:tcPr>
          <w:p>
            <w:pPr>
              <w:ind w:left="140"/>
              <w:spacing w:after="0" w:line="155" w:lineRule="exact"/>
              <w:rPr>
                <w:sz w:val="20"/>
                <w:szCs w:val="20"/>
                <w:color w:val="auto"/>
              </w:rPr>
            </w:pPr>
            <w:r>
              <w:rPr>
                <w:rFonts w:ascii="Arial" w:cs="Arial" w:eastAsia="Arial" w:hAnsi="Arial"/>
                <w:sz w:val="14"/>
                <w:szCs w:val="14"/>
                <w:color w:val="auto"/>
              </w:rPr>
              <w:t>Beginning of the period</w:t>
            </w:r>
          </w:p>
        </w:tc>
        <w:tc>
          <w:tcPr>
            <w:tcW w:w="740" w:type="dxa"/>
            <w:vAlign w:val="bottom"/>
            <w:tcBorders>
              <w:top w:val="single" w:sz="8" w:color="auto"/>
            </w:tcBorders>
          </w:tcPr>
          <w:p>
            <w:pPr>
              <w:spacing w:after="0"/>
              <w:rPr>
                <w:sz w:val="13"/>
                <w:szCs w:val="13"/>
                <w:color w:val="auto"/>
              </w:rPr>
            </w:pPr>
          </w:p>
        </w:tc>
        <w:tc>
          <w:tcPr>
            <w:tcW w:w="3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6,583</w:t>
            </w:r>
          </w:p>
        </w:tc>
        <w:tc>
          <w:tcPr>
            <w:tcW w:w="240" w:type="dxa"/>
            <w:vAlign w:val="bottom"/>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ind w:left="140"/>
              <w:spacing w:after="0" w:line="155" w:lineRule="exact"/>
              <w:rPr>
                <w:sz w:val="20"/>
                <w:szCs w:val="20"/>
                <w:color w:val="auto"/>
              </w:rPr>
            </w:pPr>
            <w:r>
              <w:rPr>
                <w:rFonts w:ascii="Arial" w:cs="Arial" w:eastAsia="Arial" w:hAnsi="Arial"/>
                <w:sz w:val="14"/>
                <w:szCs w:val="14"/>
                <w:color w:val="auto"/>
                <w:w w:val="99"/>
              </w:rPr>
              <w:t>—</w:t>
            </w:r>
          </w:p>
        </w:tc>
        <w:tc>
          <w:tcPr>
            <w:tcW w:w="240" w:type="dxa"/>
            <w:vAlign w:val="bottom"/>
          </w:tcPr>
          <w:p>
            <w:pPr>
              <w:spacing w:after="0"/>
              <w:rPr>
                <w:sz w:val="13"/>
                <w:szCs w:val="13"/>
                <w:color w:val="auto"/>
              </w:rPr>
            </w:pPr>
          </w:p>
        </w:tc>
        <w:tc>
          <w:tcPr>
            <w:tcW w:w="11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6,494</w:t>
            </w:r>
          </w:p>
        </w:tc>
        <w:tc>
          <w:tcPr>
            <w:tcW w:w="260" w:type="dxa"/>
            <w:vAlign w:val="bottom"/>
          </w:tcPr>
          <w:p>
            <w:pPr>
              <w:spacing w:after="0"/>
              <w:rPr>
                <w:sz w:val="13"/>
                <w:szCs w:val="13"/>
                <w:color w:val="auto"/>
              </w:rPr>
            </w:pPr>
          </w:p>
        </w:tc>
        <w:tc>
          <w:tcPr>
            <w:tcW w:w="1140" w:type="dxa"/>
            <w:vAlign w:val="bottom"/>
            <w:tcBorders>
              <w:top w:val="single" w:sz="8" w:color="auto"/>
            </w:tcBorders>
          </w:tcPr>
          <w:p>
            <w:pPr>
              <w:ind w:left="980"/>
              <w:spacing w:after="0" w:line="155" w:lineRule="exact"/>
              <w:rPr>
                <w:sz w:val="20"/>
                <w:szCs w:val="20"/>
                <w:color w:val="auto"/>
              </w:rPr>
            </w:pPr>
            <w:r>
              <w:rPr>
                <w:rFonts w:ascii="Arial" w:cs="Arial" w:eastAsia="Arial" w:hAnsi="Arial"/>
                <w:sz w:val="14"/>
                <w:szCs w:val="14"/>
                <w:color w:val="auto"/>
                <w:w w:val="99"/>
              </w:rPr>
              <w:t>—</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5820" w:type="dxa"/>
            <w:vAlign w:val="bottom"/>
            <w:shd w:val="clear" w:color="auto" w:fill="CFF0FC"/>
          </w:tcPr>
          <w:p>
            <w:pPr>
              <w:ind w:left="140"/>
              <w:spacing w:after="0"/>
              <w:rPr>
                <w:sz w:val="20"/>
                <w:szCs w:val="20"/>
                <w:color w:val="auto"/>
              </w:rPr>
            </w:pPr>
            <w:r>
              <w:rPr>
                <w:rFonts w:ascii="Arial" w:cs="Arial" w:eastAsia="Arial" w:hAnsi="Arial"/>
                <w:sz w:val="14"/>
                <w:szCs w:val="14"/>
                <w:color w:val="auto"/>
              </w:rPr>
              <w:t>New shares issued</w:t>
            </w:r>
          </w:p>
        </w:tc>
        <w:tc>
          <w:tcPr>
            <w:tcW w:w="740" w:type="dxa"/>
            <w:vAlign w:val="bottom"/>
            <w:shd w:val="clear" w:color="auto" w:fill="CFF0FC"/>
          </w:tcPr>
          <w:p>
            <w:pPr>
              <w:spacing w:after="0"/>
              <w:rPr>
                <w:sz w:val="14"/>
                <w:szCs w:val="14"/>
                <w:color w:val="auto"/>
              </w:rPr>
            </w:pPr>
          </w:p>
        </w:tc>
        <w:tc>
          <w:tcPr>
            <w:tcW w:w="1480" w:type="dxa"/>
            <w:vAlign w:val="bottom"/>
            <w:gridSpan w:val="3"/>
            <w:shd w:val="clear" w:color="auto" w:fill="CFF0FC"/>
          </w:tcPr>
          <w:p>
            <w:pPr>
              <w:jc w:val="right"/>
              <w:ind w:right="1100"/>
              <w:spacing w:after="0"/>
              <w:rPr>
                <w:sz w:val="20"/>
                <w:szCs w:val="20"/>
                <w:color w:val="auto"/>
              </w:rPr>
            </w:pPr>
            <w:r>
              <w:rPr>
                <w:rFonts w:ascii="Arial" w:cs="Arial" w:eastAsia="Arial" w:hAnsi="Arial"/>
                <w:sz w:val="14"/>
                <w:szCs w:val="14"/>
                <w:color w:val="auto"/>
              </w:rPr>
              <w:t>—</w:t>
            </w:r>
          </w:p>
        </w:tc>
        <w:tc>
          <w:tcPr>
            <w:tcW w:w="540" w:type="dxa"/>
            <w:vAlign w:val="bottom"/>
            <w:gridSpan w:val="2"/>
            <w:shd w:val="clear" w:color="auto" w:fill="CFF0FC"/>
          </w:tcPr>
          <w:p>
            <w:pPr>
              <w:ind w:left="140"/>
              <w:spacing w:after="0"/>
              <w:rPr>
                <w:sz w:val="20"/>
                <w:szCs w:val="20"/>
                <w:color w:val="auto"/>
              </w:rPr>
            </w:pPr>
            <w:r>
              <w:rPr>
                <w:rFonts w:ascii="Arial" w:cs="Arial" w:eastAsia="Arial" w:hAnsi="Arial"/>
                <w:sz w:val="14"/>
                <w:szCs w:val="14"/>
                <w:color w:val="auto"/>
              </w:rPr>
              <w:t>—</w:t>
            </w:r>
          </w:p>
        </w:tc>
        <w:tc>
          <w:tcPr>
            <w:tcW w:w="140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60" w:type="dxa"/>
            <w:vAlign w:val="bottom"/>
            <w:gridSpan w:val="2"/>
            <w:shd w:val="clear" w:color="auto" w:fill="CFF0FC"/>
          </w:tcPr>
          <w:p>
            <w:pPr>
              <w:ind w:left="98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820" w:type="dxa"/>
            <w:vAlign w:val="bottom"/>
          </w:tcPr>
          <w:p>
            <w:pPr>
              <w:ind w:left="140"/>
              <w:spacing w:after="0"/>
              <w:rPr>
                <w:sz w:val="20"/>
                <w:szCs w:val="20"/>
                <w:color w:val="auto"/>
              </w:rPr>
            </w:pPr>
            <w:r>
              <w:rPr>
                <w:rFonts w:ascii="Arial" w:cs="Arial" w:eastAsia="Arial" w:hAnsi="Arial"/>
                <w:sz w:val="14"/>
                <w:szCs w:val="14"/>
                <w:color w:val="auto"/>
              </w:rPr>
              <w:t>Dividends paid in kind</w:t>
            </w:r>
          </w:p>
        </w:tc>
        <w:tc>
          <w:tcPr>
            <w:tcW w:w="740" w:type="dxa"/>
            <w:vAlign w:val="bottom"/>
          </w:tcPr>
          <w:p>
            <w:pPr>
              <w:spacing w:after="0"/>
              <w:rPr>
                <w:sz w:val="14"/>
                <w:szCs w:val="14"/>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91</w:t>
            </w:r>
          </w:p>
        </w:tc>
        <w:tc>
          <w:tcPr>
            <w:tcW w:w="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180</w:t>
            </w:r>
          </w:p>
        </w:tc>
        <w:tc>
          <w:tcPr>
            <w:tcW w:w="260" w:type="dxa"/>
            <w:vAlign w:val="bottom"/>
          </w:tcPr>
          <w:p>
            <w:pPr>
              <w:spacing w:after="0"/>
              <w:rPr>
                <w:sz w:val="14"/>
                <w:szCs w:val="14"/>
                <w:color w:val="auto"/>
              </w:rPr>
            </w:pPr>
          </w:p>
        </w:tc>
        <w:tc>
          <w:tcPr>
            <w:tcW w:w="1260" w:type="dxa"/>
            <w:vAlign w:val="bottom"/>
            <w:gridSpan w:val="2"/>
          </w:tcPr>
          <w:p>
            <w:pPr>
              <w:ind w:left="98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820" w:type="dxa"/>
            <w:vAlign w:val="bottom"/>
            <w:tcBorders>
              <w:top w:val="single" w:sz="8" w:color="CFF0FC"/>
              <w:bottom w:val="single" w:sz="8" w:color="CFF0FC"/>
            </w:tcBorders>
            <w:shd w:val="clear" w:color="auto" w:fill="CFF0FC"/>
          </w:tcPr>
          <w:p>
            <w:pPr>
              <w:ind w:left="140"/>
              <w:spacing w:after="0" w:line="155" w:lineRule="exact"/>
              <w:rPr>
                <w:sz w:val="20"/>
                <w:szCs w:val="20"/>
                <w:color w:val="auto"/>
              </w:rPr>
            </w:pPr>
            <w:r>
              <w:rPr>
                <w:rFonts w:ascii="Arial" w:cs="Arial" w:eastAsia="Arial" w:hAnsi="Arial"/>
                <w:sz w:val="14"/>
                <w:szCs w:val="14"/>
                <w:color w:val="auto"/>
              </w:rPr>
              <w:t>End of the period</w:t>
            </w:r>
          </w:p>
        </w:tc>
        <w:tc>
          <w:tcPr>
            <w:tcW w:w="740" w:type="dxa"/>
            <w:vAlign w:val="bottom"/>
            <w:tcBorders>
              <w:top w:val="single" w:sz="8" w:color="auto"/>
              <w:bottom w:val="single" w:sz="8" w:color="auto"/>
            </w:tcBorders>
            <w:shd w:val="clear" w:color="auto" w:fill="CFF0FC"/>
          </w:tcPr>
          <w:p>
            <w:pPr>
              <w:spacing w:after="0"/>
              <w:rPr>
                <w:sz w:val="13"/>
                <w:szCs w:val="13"/>
                <w:color w:val="auto"/>
              </w:rPr>
            </w:pPr>
          </w:p>
        </w:tc>
        <w:tc>
          <w:tcPr>
            <w:tcW w:w="3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6,674</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860" w:type="dxa"/>
            <w:vAlign w:val="bottom"/>
            <w:tcBorders>
              <w:top w:val="single" w:sz="8" w:color="auto"/>
              <w:bottom w:val="single" w:sz="8" w:color="auto"/>
            </w:tcBorders>
            <w:shd w:val="clear" w:color="auto" w:fill="CFF0FC"/>
          </w:tcPr>
          <w:p>
            <w:pPr>
              <w:spacing w:after="0"/>
              <w:rPr>
                <w:sz w:val="13"/>
                <w:szCs w:val="13"/>
                <w:color w:val="auto"/>
              </w:rPr>
            </w:pPr>
          </w:p>
        </w:tc>
        <w:tc>
          <w:tcPr>
            <w:tcW w:w="300" w:type="dxa"/>
            <w:vAlign w:val="bottom"/>
            <w:tcBorders>
              <w:top w:val="single" w:sz="8" w:color="auto"/>
              <w:bottom w:val="single" w:sz="8" w:color="auto"/>
            </w:tcBorders>
            <w:shd w:val="clear" w:color="auto" w:fill="CFF0FC"/>
          </w:tcPr>
          <w:p>
            <w:pPr>
              <w:ind w:left="140"/>
              <w:spacing w:after="0" w:line="155" w:lineRule="exact"/>
              <w:rPr>
                <w:sz w:val="20"/>
                <w:szCs w:val="20"/>
                <w:color w:val="auto"/>
              </w:rPr>
            </w:pPr>
            <w:r>
              <w:rPr>
                <w:rFonts w:ascii="Arial" w:cs="Arial" w:eastAsia="Arial" w:hAnsi="Arial"/>
                <w:sz w:val="14"/>
                <w:szCs w:val="14"/>
                <w:color w:val="auto"/>
                <w:w w:val="99"/>
              </w:rPr>
              <w:t>—</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6,674</w:t>
            </w:r>
          </w:p>
        </w:tc>
        <w:tc>
          <w:tcPr>
            <w:tcW w:w="260" w:type="dxa"/>
            <w:vAlign w:val="bottom"/>
            <w:tcBorders>
              <w:top w:val="single" w:sz="8" w:color="CFF0FC"/>
              <w:bottom w:val="single" w:sz="8" w:color="CFF0FC"/>
            </w:tcBorders>
            <w:shd w:val="clear" w:color="auto" w:fill="CFF0FC"/>
          </w:tcPr>
          <w:p>
            <w:pPr>
              <w:spacing w:after="0"/>
              <w:rPr>
                <w:sz w:val="13"/>
                <w:szCs w:val="13"/>
                <w:color w:val="auto"/>
              </w:rPr>
            </w:pPr>
          </w:p>
        </w:tc>
        <w:tc>
          <w:tcPr>
            <w:tcW w:w="1140" w:type="dxa"/>
            <w:vAlign w:val="bottom"/>
            <w:tcBorders>
              <w:top w:val="single" w:sz="8" w:color="auto"/>
              <w:bottom w:val="single" w:sz="8" w:color="auto"/>
            </w:tcBorders>
            <w:shd w:val="clear" w:color="auto" w:fill="CFF0FC"/>
          </w:tcPr>
          <w:p>
            <w:pPr>
              <w:ind w:left="980"/>
              <w:spacing w:after="0" w:line="155" w:lineRule="exact"/>
              <w:rPr>
                <w:sz w:val="20"/>
                <w:szCs w:val="20"/>
                <w:color w:val="auto"/>
              </w:rPr>
            </w:pPr>
            <w:r>
              <w:rPr>
                <w:rFonts w:ascii="Arial" w:cs="Arial" w:eastAsia="Arial" w:hAnsi="Arial"/>
                <w:sz w:val="14"/>
                <w:szCs w:val="14"/>
                <w:color w:val="auto"/>
                <w:w w:val="99"/>
              </w:rPr>
              <w:t>—</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820" w:type="dxa"/>
            <w:vAlign w:val="bottom"/>
            <w:tcBorders>
              <w:bottom w:val="single" w:sz="8" w:color="CFF0FC"/>
            </w:tcBorders>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6"/>
        </w:trPr>
        <w:tc>
          <w:tcPr>
            <w:tcW w:w="5820" w:type="dxa"/>
            <w:vAlign w:val="bottom"/>
            <w:tcBorders>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Convertible preferred stock (as if converted) for EPS</w:t>
            </w:r>
          </w:p>
        </w:tc>
        <w:tc>
          <w:tcPr>
            <w:tcW w:w="740" w:type="dxa"/>
            <w:vAlign w:val="bottom"/>
            <w:tcBorders>
              <w:bottom w:val="single" w:sz="8" w:color="auto"/>
            </w:tcBorders>
            <w:shd w:val="clear" w:color="auto" w:fill="CFF0FC"/>
          </w:tcPr>
          <w:p>
            <w:pPr>
              <w:spacing w:after="0"/>
              <w:rPr>
                <w:sz w:val="13"/>
                <w:szCs w:val="13"/>
                <w:color w:val="auto"/>
              </w:rPr>
            </w:pPr>
          </w:p>
        </w:tc>
        <w:tc>
          <w:tcPr>
            <w:tcW w:w="3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6,583</w:t>
            </w:r>
          </w:p>
        </w:tc>
        <w:tc>
          <w:tcPr>
            <w:tcW w:w="240" w:type="dxa"/>
            <w:vAlign w:val="bottom"/>
            <w:tcBorders>
              <w:bottom w:val="single" w:sz="8" w:color="CFF0FC"/>
            </w:tcBorders>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spacing w:after="0"/>
              <w:rPr>
                <w:sz w:val="13"/>
                <w:szCs w:val="13"/>
                <w:color w:val="auto"/>
              </w:rPr>
            </w:pPr>
          </w:p>
        </w:tc>
        <w:tc>
          <w:tcPr>
            <w:tcW w:w="300" w:type="dxa"/>
            <w:vAlign w:val="bottom"/>
            <w:tcBorders>
              <w:bottom w:val="single" w:sz="8" w:color="auto"/>
            </w:tcBorders>
            <w:shd w:val="clear" w:color="auto" w:fill="CFF0FC"/>
          </w:tcPr>
          <w:p>
            <w:pPr>
              <w:ind w:left="140"/>
              <w:spacing w:after="0" w:line="155" w:lineRule="exact"/>
              <w:rPr>
                <w:sz w:val="20"/>
                <w:szCs w:val="20"/>
                <w:color w:val="auto"/>
              </w:rPr>
            </w:pPr>
            <w:r>
              <w:rPr>
                <w:rFonts w:ascii="Arial" w:cs="Arial" w:eastAsia="Arial" w:hAnsi="Arial"/>
                <w:sz w:val="14"/>
                <w:szCs w:val="14"/>
                <w:color w:val="auto"/>
                <w:w w:val="99"/>
              </w:rPr>
              <w:t>—</w:t>
            </w:r>
          </w:p>
        </w:tc>
        <w:tc>
          <w:tcPr>
            <w:tcW w:w="240" w:type="dxa"/>
            <w:vAlign w:val="bottom"/>
            <w:tcBorders>
              <w:bottom w:val="single" w:sz="8" w:color="CFF0FC"/>
            </w:tcBorders>
            <w:shd w:val="clear" w:color="auto" w:fill="CFF0FC"/>
          </w:tcPr>
          <w:p>
            <w:pPr>
              <w:spacing w:after="0"/>
              <w:rPr>
                <w:sz w:val="13"/>
                <w:szCs w:val="13"/>
                <w:color w:val="auto"/>
              </w:rPr>
            </w:pPr>
          </w:p>
        </w:tc>
        <w:tc>
          <w:tcPr>
            <w:tcW w:w="11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6,539</w:t>
            </w:r>
          </w:p>
        </w:tc>
        <w:tc>
          <w:tcPr>
            <w:tcW w:w="260" w:type="dxa"/>
            <w:vAlign w:val="bottom"/>
            <w:tcBorders>
              <w:bottom w:val="single" w:sz="8" w:color="CFF0FC"/>
            </w:tcBorders>
            <w:shd w:val="clear" w:color="auto" w:fill="CFF0FC"/>
          </w:tcPr>
          <w:p>
            <w:pPr>
              <w:spacing w:after="0"/>
              <w:rPr>
                <w:sz w:val="13"/>
                <w:szCs w:val="13"/>
                <w:color w:val="auto"/>
              </w:rPr>
            </w:pPr>
          </w:p>
        </w:tc>
        <w:tc>
          <w:tcPr>
            <w:tcW w:w="1140" w:type="dxa"/>
            <w:vAlign w:val="bottom"/>
            <w:tcBorders>
              <w:bottom w:val="single" w:sz="8" w:color="auto"/>
            </w:tcBorders>
            <w:shd w:val="clear" w:color="auto" w:fill="CFF0FC"/>
          </w:tcPr>
          <w:p>
            <w:pPr>
              <w:ind w:left="980"/>
              <w:spacing w:after="0" w:line="155" w:lineRule="exact"/>
              <w:rPr>
                <w:sz w:val="20"/>
                <w:szCs w:val="20"/>
                <w:color w:val="auto"/>
              </w:rPr>
            </w:pPr>
            <w:r>
              <w:rPr>
                <w:rFonts w:ascii="Arial" w:cs="Arial" w:eastAsia="Arial" w:hAnsi="Arial"/>
                <w:sz w:val="14"/>
                <w:szCs w:val="14"/>
                <w:color w:val="auto"/>
                <w:w w:val="99"/>
              </w:rPr>
              <w:t>—</w:t>
            </w:r>
          </w:p>
        </w:tc>
        <w:tc>
          <w:tcPr>
            <w:tcW w:w="120" w:type="dxa"/>
            <w:vAlign w:val="bottom"/>
            <w:tcBorders>
              <w:bottom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820" w:type="dxa"/>
            <w:vAlign w:val="bottom"/>
            <w:vMerge w:val="restart"/>
          </w:tcPr>
          <w:p>
            <w:pPr>
              <w:spacing w:after="0"/>
              <w:rPr>
                <w:sz w:val="20"/>
                <w:szCs w:val="20"/>
                <w:color w:val="auto"/>
              </w:rPr>
            </w:pPr>
            <w:r>
              <w:rPr>
                <w:rFonts w:ascii="Arial" w:cs="Arial" w:eastAsia="Arial" w:hAnsi="Arial"/>
                <w:sz w:val="14"/>
                <w:szCs w:val="14"/>
                <w:color w:val="auto"/>
              </w:rPr>
              <w:t>** Change is greater than +/- 100 percent</w:t>
            </w:r>
          </w:p>
        </w:tc>
        <w:tc>
          <w:tcPr>
            <w:tcW w:w="7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2"/>
        </w:trPr>
        <w:tc>
          <w:tcPr>
            <w:tcW w:w="5820" w:type="dxa"/>
            <w:vAlign w:val="bottom"/>
            <w:vMerge w:val="continue"/>
          </w:tcPr>
          <w:p>
            <w:pPr>
              <w:spacing w:after="0"/>
              <w:rPr>
                <w:sz w:val="21"/>
                <w:szCs w:val="21"/>
                <w:color w:val="auto"/>
              </w:rPr>
            </w:pPr>
          </w:p>
        </w:tc>
        <w:tc>
          <w:tcPr>
            <w:tcW w:w="7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0"/>
        </w:trPr>
        <w:tc>
          <w:tcPr>
            <w:tcW w:w="582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86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458" w:right="31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5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IMPORTANT DISCLOSURES REGARDING NON-GAAP FINANCIAL MEASURES</w:t>
      </w:r>
    </w:p>
    <w:p>
      <w:pPr>
        <w:spacing w:after="0" w:line="32" w:lineRule="exact"/>
        <w:rPr>
          <w:sz w:val="20"/>
          <w:szCs w:val="20"/>
          <w:color w:val="auto"/>
        </w:rPr>
      </w:pPr>
    </w:p>
    <w:p>
      <w:pPr>
        <w:ind w:right="60"/>
        <w:spacing w:after="0" w:line="228" w:lineRule="auto"/>
        <w:rPr>
          <w:sz w:val="20"/>
          <w:szCs w:val="20"/>
          <w:color w:val="auto"/>
        </w:rPr>
      </w:pPr>
      <w:r>
        <w:rPr>
          <w:rFonts w:ascii="Arial" w:cs="Arial" w:eastAsia="Arial" w:hAnsi="Arial"/>
          <w:sz w:val="14"/>
          <w:szCs w:val="14"/>
          <w:color w:val="auto"/>
        </w:rPr>
        <w:t>This document includes the presentation of “Loss Before Other Items”, “Adjusted EBITDA”, “Adjusted Segment EBITDA” and “Adjusted Segment Operating Loss”, which are supplemental to results presented under accounting principles generally accepted in the United States of America (“GAAP”) and may not be comparable to similarly titled measures presented by other companies. These non-GAAP measures are utilized by management to facilitate period-to-period comparisons and analysis of Viad’s operating performance and should be considered in addition to, but not as substitutes for, other similar measures reported in accordance with GAAP. The use of these non-GAAP financial measures is limited, compared to the GAAP measure of net income attributable to Viad, because they do not consider a variety of items affecting Viad’s consolidated financial performance as reconciled below. Because these non-GAAP measures do not consider all items affecting Viad’s consolidated financial performance, a user of Viad’s financial information should consider net income attributable to Viad as an important measure of financial performance because it provides a more complete measure of the Company’s performance.</w:t>
      </w:r>
    </w:p>
    <w:p>
      <w:pPr>
        <w:spacing w:after="0" w:line="36" w:lineRule="exact"/>
        <w:rPr>
          <w:sz w:val="20"/>
          <w:szCs w:val="20"/>
          <w:color w:val="auto"/>
        </w:rPr>
      </w:pPr>
    </w:p>
    <w:p>
      <w:pPr>
        <w:ind w:right="160"/>
        <w:spacing w:after="0" w:line="251" w:lineRule="auto"/>
        <w:rPr>
          <w:sz w:val="20"/>
          <w:szCs w:val="20"/>
          <w:color w:val="auto"/>
        </w:rPr>
      </w:pPr>
      <w:r>
        <w:rPr>
          <w:rFonts w:ascii="Arial" w:cs="Arial" w:eastAsia="Arial" w:hAnsi="Arial"/>
          <w:sz w:val="13"/>
          <w:szCs w:val="13"/>
          <w:color w:val="auto"/>
        </w:rPr>
        <w:t>Loss Before Other Items and Adjusted Segment Operating Loss are considered useful operating metrics, in addition to net income attributable to Viad, as potential variations arising from non-operational expenses/income are eliminated, thus resulting in additional measures considered to be indicative of Viad’s performance. Management believes that the presentation of Adjusted EBITDA and Adjusted Segment EBITDA provide useful information to investors regarding Viad’s results of operations for trending, analyzing and benchmarking the performance and value of Viad’s business. Management also believes that the presentation of Adjusted Segment EBITDA for acquisitions and other major capital projects enables investors to assess how effectively management is investing capital into major corporate development projects, both from a valuation and return perspective.</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840" w:type="dxa"/>
            <w:vAlign w:val="bottom"/>
            <w:vMerge w:val="restart"/>
          </w:tcPr>
          <w:p>
            <w:pPr>
              <w:spacing w:after="0"/>
              <w:rPr>
                <w:sz w:val="20"/>
                <w:szCs w:val="20"/>
                <w:color w:val="auto"/>
              </w:rPr>
            </w:pPr>
            <w:r>
              <w:rPr>
                <w:rFonts w:ascii="Arial" w:cs="Arial" w:eastAsia="Arial" w:hAnsi="Arial"/>
                <w:sz w:val="14"/>
                <w:szCs w:val="14"/>
                <w:color w:val="auto"/>
              </w:rPr>
              <w:t>($ in thousands)</w:t>
            </w: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4"/>
                <w:szCs w:val="14"/>
                <w:color w:val="auto"/>
                <w:w w:val="92"/>
              </w:rPr>
              <w:t>Three months ended June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6"/>
          </w:tcPr>
          <w:p>
            <w:pPr>
              <w:jc w:val="right"/>
              <w:ind w:right="179"/>
              <w:spacing w:after="0"/>
              <w:rPr>
                <w:sz w:val="20"/>
                <w:szCs w:val="20"/>
                <w:color w:val="auto"/>
              </w:rPr>
            </w:pPr>
            <w:r>
              <w:rPr>
                <w:rFonts w:ascii="Arial" w:cs="Arial" w:eastAsia="Arial" w:hAnsi="Arial"/>
                <w:sz w:val="14"/>
                <w:szCs w:val="14"/>
                <w:color w:val="auto"/>
                <w:w w:val="89"/>
              </w:rPr>
              <w:t>Six months ended June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4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39"/>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384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Loss before other items:</w:t>
            </w: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Net loss attributable to Viad</w:t>
            </w:r>
          </w:p>
        </w:tc>
        <w:tc>
          <w:tcPr>
            <w:tcW w:w="22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9"/>
              <w:spacing w:after="0"/>
              <w:rPr>
                <w:sz w:val="20"/>
                <w:szCs w:val="20"/>
                <w:color w:val="auto"/>
              </w:rPr>
            </w:pPr>
            <w:r>
              <w:rPr>
                <w:rFonts w:ascii="Arial" w:cs="Arial" w:eastAsia="Arial" w:hAnsi="Arial"/>
                <w:sz w:val="14"/>
                <w:szCs w:val="14"/>
                <w:color w:val="auto"/>
              </w:rPr>
              <w:t>(42,026)</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39"/>
              <w:spacing w:after="0"/>
              <w:rPr>
                <w:sz w:val="20"/>
                <w:szCs w:val="20"/>
                <w:color w:val="auto"/>
              </w:rPr>
            </w:pPr>
            <w:r>
              <w:rPr>
                <w:rFonts w:ascii="Arial" w:cs="Arial" w:eastAsia="Arial" w:hAnsi="Arial"/>
                <w:sz w:val="14"/>
                <w:szCs w:val="14"/>
                <w:color w:val="auto"/>
              </w:rPr>
              <w:t>(206,278)</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164,252</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0"/>
              </w:rPr>
              <w:t>79.6%</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(85,178)</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(292,863)</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207,685</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70.9%</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w w:val="94"/>
              </w:rPr>
              <w:t>(Income) loss from discontinued operations attributable to Viad</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62</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379</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(317)</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-83.6%</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(286)</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833</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(1,119)</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40" w:type="dxa"/>
            <w:vAlign w:val="bottom"/>
          </w:tcPr>
          <w:p>
            <w:pPr>
              <w:ind w:left="140"/>
              <w:spacing w:after="0" w:line="155" w:lineRule="exact"/>
              <w:rPr>
                <w:sz w:val="20"/>
                <w:szCs w:val="20"/>
                <w:color w:val="auto"/>
              </w:rPr>
            </w:pPr>
            <w:r>
              <w:rPr>
                <w:rFonts w:ascii="Arial" w:cs="Arial" w:eastAsia="Arial" w:hAnsi="Arial"/>
                <w:sz w:val="14"/>
                <w:szCs w:val="14"/>
                <w:color w:val="auto"/>
              </w:rPr>
              <w:t>Loss from continuing operations attributable to Viad</w:t>
            </w:r>
          </w:p>
        </w:tc>
        <w:tc>
          <w:tcPr>
            <w:tcW w:w="6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(41,964)</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w w:val="96"/>
              </w:rPr>
              <w:t>(205,899)</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163,935</w:t>
            </w:r>
          </w:p>
        </w:tc>
        <w:tc>
          <w:tcPr>
            <w:tcW w:w="180" w:type="dxa"/>
            <w:vAlign w:val="bottom"/>
          </w:tcPr>
          <w:p>
            <w:pPr>
              <w:spacing w:after="0"/>
              <w:rPr>
                <w:sz w:val="13"/>
                <w:szCs w:val="13"/>
                <w:color w:val="auto"/>
              </w:rPr>
            </w:pPr>
          </w:p>
        </w:tc>
        <w:tc>
          <w:tcPr>
            <w:tcW w:w="74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0"/>
              </w:rPr>
              <w:t>79.6%</w:t>
            </w:r>
          </w:p>
        </w:tc>
        <w:tc>
          <w:tcPr>
            <w:tcW w:w="1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(85,464)</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(292,030)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206,566</w:t>
            </w:r>
          </w:p>
        </w:tc>
        <w:tc>
          <w:tcPr>
            <w:tcW w:w="180" w:type="dxa"/>
            <w:vAlign w:val="bottom"/>
          </w:tcPr>
          <w:p>
            <w:pPr>
              <w:spacing w:after="0"/>
              <w:rPr>
                <w:sz w:val="13"/>
                <w:szCs w:val="13"/>
                <w:color w:val="auto"/>
              </w:rPr>
            </w:pPr>
          </w:p>
        </w:tc>
        <w:tc>
          <w:tcPr>
            <w:tcW w:w="78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5"/>
              </w:rPr>
              <w:t>70.7%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Restructuring charges, pre-tax</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787</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260</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527</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3,613</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1,111</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2,502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Impairment charges, pre-tax</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114,020</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(114,020)</w:t>
            </w:r>
          </w:p>
        </w:tc>
        <w:tc>
          <w:tcPr>
            <w:tcW w:w="74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202,400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(202,400)</w:t>
            </w: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Pension plan withdrawal, pre-tax</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57</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462</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(405)</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-87.7%</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57</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462</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(405)</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-87.7%</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40" w:type="dxa"/>
            <w:vAlign w:val="bottom"/>
          </w:tcPr>
          <w:p>
            <w:pPr>
              <w:ind w:left="140"/>
              <w:spacing w:after="0" w:line="143" w:lineRule="exact"/>
              <w:rPr>
                <w:sz w:val="20"/>
                <w:szCs w:val="20"/>
                <w:color w:val="auto"/>
              </w:rPr>
            </w:pPr>
            <w:r>
              <w:rPr>
                <w:rFonts w:ascii="Arial" w:cs="Arial" w:eastAsia="Arial" w:hAnsi="Arial"/>
                <w:sz w:val="14"/>
                <w:szCs w:val="14"/>
                <w:color w:val="auto"/>
                <w:w w:val="99"/>
              </w:rPr>
              <w:t>Acquisition-related costs and other non-recurring expenses,</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40" w:type="dxa"/>
            <w:vAlign w:val="bottom"/>
          </w:tcPr>
          <w:p>
            <w:pPr>
              <w:ind w:left="140"/>
              <w:spacing w:after="0"/>
              <w:rPr>
                <w:sz w:val="20"/>
                <w:szCs w:val="20"/>
                <w:color w:val="auto"/>
              </w:rPr>
            </w:pPr>
            <w:r>
              <w:rPr>
                <w:rFonts w:ascii="Arial" w:cs="Arial" w:eastAsia="Arial" w:hAnsi="Arial"/>
                <w:sz w:val="14"/>
                <w:szCs w:val="14"/>
                <w:color w:val="auto"/>
              </w:rPr>
              <w:t>pre-tax (Note A)</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2,704</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875</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1,829</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4,522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2,075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2,447</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Tax benefit on above items</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(141)</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(168)</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27</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16.1%</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(318)</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(636)</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318</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50.0%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Unfavorable tax matters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37,908</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(37,908)</w:t>
            </w:r>
          </w:p>
        </w:tc>
        <w:tc>
          <w:tcPr>
            <w:tcW w:w="74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25,500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(25,500)</w:t>
            </w: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40" w:type="dxa"/>
            <w:vAlign w:val="bottom"/>
            <w:tcBorders>
              <w:top w:val="single" w:sz="8" w:color="CFF0FC"/>
              <w:bottom w:val="single" w:sz="8" w:color="CFF0FC"/>
            </w:tcBorders>
            <w:shd w:val="clear" w:color="auto" w:fill="CFF0FC"/>
          </w:tcPr>
          <w:p>
            <w:pPr>
              <w:ind w:left="140"/>
              <w:spacing w:after="0" w:line="155" w:lineRule="exact"/>
              <w:rPr>
                <w:sz w:val="20"/>
                <w:szCs w:val="20"/>
                <w:color w:val="auto"/>
              </w:rPr>
            </w:pPr>
            <w:r>
              <w:rPr>
                <w:rFonts w:ascii="Arial" w:cs="Arial" w:eastAsia="Arial" w:hAnsi="Arial"/>
                <w:sz w:val="14"/>
                <w:szCs w:val="14"/>
                <w:b w:val="1"/>
                <w:bCs w:val="1"/>
                <w:color w:val="auto"/>
              </w:rPr>
              <w:t>Loss before other items</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(38,557</w:t>
            </w:r>
          </w:p>
        </w:tc>
        <w:tc>
          <w:tcPr>
            <w:tcW w:w="100" w:type="dxa"/>
            <w:vAlign w:val="bottom"/>
            <w:tcBorders>
              <w:top w:val="single" w:sz="8" w:color="CFF0FC"/>
              <w:bottom w:val="single" w:sz="8" w:color="CFF0FC"/>
            </w:tcBorders>
            <w:shd w:val="clear" w:color="auto" w:fill="CFF0FC"/>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(52,542</w:t>
            </w:r>
          </w:p>
        </w:tc>
        <w:tc>
          <w:tcPr>
            <w:tcW w:w="120" w:type="dxa"/>
            <w:vAlign w:val="bottom"/>
            <w:tcBorders>
              <w:top w:val="single" w:sz="8" w:color="CFF0FC"/>
              <w:bottom w:val="single" w:sz="8" w:color="CFF0FC"/>
            </w:tcBorders>
            <w:shd w:val="clear" w:color="auto" w:fill="CFF0FC"/>
          </w:tcPr>
          <w:p>
            <w:pPr>
              <w:jc w:val="right"/>
              <w:ind w:right="3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13,985</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74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26.6%</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(77,590</w:t>
            </w:r>
          </w:p>
        </w:tc>
        <w:tc>
          <w:tcPr>
            <w:tcW w:w="100" w:type="dxa"/>
            <w:vAlign w:val="bottom"/>
            <w:tcBorders>
              <w:top w:val="single" w:sz="8" w:color="CFF0FC"/>
              <w:bottom w:val="single" w:sz="8" w:color="CFF0FC"/>
            </w:tcBorders>
            <w:shd w:val="clear" w:color="auto" w:fill="CFF0FC"/>
          </w:tcPr>
          <w:p>
            <w:pPr>
              <w:jc w:val="right"/>
              <w:ind w:right="19"/>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(61,118</w:t>
            </w:r>
          </w:p>
        </w:tc>
        <w:tc>
          <w:tcPr>
            <w:tcW w:w="120" w:type="dxa"/>
            <w:vAlign w:val="bottom"/>
            <w:tcBorders>
              <w:top w:val="single" w:sz="8" w:color="CFF0FC"/>
              <w:bottom w:val="single" w:sz="8" w:color="CFF0FC"/>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(16,472</w:t>
            </w:r>
          </w:p>
        </w:tc>
        <w:tc>
          <w:tcPr>
            <w:tcW w:w="180" w:type="dxa"/>
            <w:vAlign w:val="bottom"/>
            <w:tcBorders>
              <w:top w:val="single" w:sz="8" w:color="CFF0FC"/>
              <w:bottom w:val="single" w:sz="8" w:color="CFF0FC"/>
            </w:tcBorders>
            <w:shd w:val="clear" w:color="auto" w:fill="CFF0FC"/>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-27.0%</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spacing w:after="0"/>
              <w:rPr>
                <w:sz w:val="20"/>
                <w:szCs w:val="20"/>
                <w:color w:val="auto"/>
              </w:rPr>
            </w:pPr>
            <w:r>
              <w:rPr>
                <w:rFonts w:ascii="Arial" w:cs="Arial" w:eastAsia="Arial" w:hAnsi="Arial"/>
                <w:sz w:val="14"/>
                <w:szCs w:val="14"/>
                <w:color w:val="auto"/>
              </w:rPr>
              <w:t>(per diluted share)</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spacing w:after="0"/>
              <w:rPr>
                <w:sz w:val="20"/>
                <w:szCs w:val="20"/>
                <w:color w:val="auto"/>
              </w:rPr>
            </w:pPr>
            <w:r>
              <w:rPr>
                <w:rFonts w:ascii="Arial" w:cs="Arial" w:eastAsia="Arial" w:hAnsi="Arial"/>
                <w:sz w:val="14"/>
                <w:szCs w:val="14"/>
                <w:b w:val="1"/>
                <w:bCs w:val="1"/>
                <w:color w:val="auto"/>
              </w:rPr>
              <w:t>Loss before other items: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Net loss attributable to Viad</w:t>
            </w:r>
          </w:p>
        </w:tc>
        <w:tc>
          <w:tcPr>
            <w:tcW w:w="22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(2.18)</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FF0FC"/>
          </w:tcPr>
          <w:p>
            <w:pPr>
              <w:jc w:val="right"/>
              <w:ind w:right="39"/>
              <w:spacing w:after="0"/>
              <w:rPr>
                <w:sz w:val="20"/>
                <w:szCs w:val="20"/>
                <w:color w:val="auto"/>
              </w:rPr>
            </w:pPr>
            <w:r>
              <w:rPr>
                <w:rFonts w:ascii="Arial" w:cs="Arial" w:eastAsia="Arial" w:hAnsi="Arial"/>
                <w:sz w:val="14"/>
                <w:szCs w:val="14"/>
                <w:color w:val="auto"/>
              </w:rPr>
              <w:t>(10.19)</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8.01</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78.6%</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(4.40)</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(14.49)</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10.09</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69.6%</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w w:val="94"/>
              </w:rPr>
              <w:t>(Income) loss from discontinued operations attributable to Viad</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(0.02)</w:t>
            </w:r>
          </w:p>
        </w:tc>
        <w:tc>
          <w:tcPr>
            <w:tcW w:w="74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(0.01)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0.05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(0.06)</w:t>
            </w: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40" w:type="dxa"/>
            <w:vAlign w:val="bottom"/>
            <w:tcBorders>
              <w:top w:val="single" w:sz="8" w:color="CFF0FC"/>
            </w:tcBorders>
            <w:shd w:val="clear" w:color="auto" w:fill="CFF0FC"/>
          </w:tcPr>
          <w:p>
            <w:pPr>
              <w:ind w:left="140"/>
              <w:spacing w:after="0" w:line="155" w:lineRule="exact"/>
              <w:rPr>
                <w:sz w:val="20"/>
                <w:szCs w:val="20"/>
                <w:color w:val="auto"/>
              </w:rPr>
            </w:pPr>
            <w:r>
              <w:rPr>
                <w:rFonts w:ascii="Arial" w:cs="Arial" w:eastAsia="Arial" w:hAnsi="Arial"/>
                <w:sz w:val="14"/>
                <w:szCs w:val="14"/>
                <w:color w:val="auto"/>
              </w:rPr>
              <w:t>Loss from continuing operations attributable to Viad</w:t>
            </w: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(2.18)</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(10.17)</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7.99</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0"/>
              </w:rPr>
              <w:t>78.6%</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(4.41)</w:t>
            </w:r>
          </w:p>
        </w:tc>
        <w:tc>
          <w:tcPr>
            <w:tcW w:w="1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(14.44)</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10.03</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5"/>
              </w:rPr>
              <w:t>69.5%</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Restructuring charges, pre-tax</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0.01</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0.03</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0.18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0.05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0.13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Impairment charges, pre-tax</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5.62</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(5.62)</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10.00</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(10.00)</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Pension plan withdrawal, pre-tax</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(0.02)</w:t>
            </w:r>
          </w:p>
        </w:tc>
        <w:tc>
          <w:tcPr>
            <w:tcW w:w="74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99"/>
              <w:spacing w:after="0"/>
              <w:rPr>
                <w:sz w:val="20"/>
                <w:szCs w:val="20"/>
                <w:color w:val="auto"/>
              </w:rPr>
            </w:pPr>
            <w:r>
              <w:rPr>
                <w:rFonts w:ascii="Arial" w:cs="Arial" w:eastAsia="Arial" w:hAnsi="Arial"/>
                <w:sz w:val="14"/>
                <w:szCs w:val="14"/>
                <w:color w:val="auto"/>
              </w:rPr>
              <w:t>(0.02)</w:t>
            </w: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3840" w:type="dxa"/>
            <w:vAlign w:val="bottom"/>
            <w:shd w:val="clear" w:color="auto" w:fill="CFF0FC"/>
          </w:tcPr>
          <w:p>
            <w:pPr>
              <w:ind w:left="140"/>
              <w:spacing w:after="0" w:line="143" w:lineRule="exact"/>
              <w:rPr>
                <w:sz w:val="20"/>
                <w:szCs w:val="20"/>
                <w:color w:val="auto"/>
              </w:rPr>
            </w:pPr>
            <w:r>
              <w:rPr>
                <w:rFonts w:ascii="Arial" w:cs="Arial" w:eastAsia="Arial" w:hAnsi="Arial"/>
                <w:sz w:val="14"/>
                <w:szCs w:val="14"/>
                <w:color w:val="auto"/>
                <w:w w:val="99"/>
              </w:rPr>
              <w:t>Acquisition-related costs and other non-recurring expenses,</w:t>
            </w:r>
          </w:p>
        </w:tc>
        <w:tc>
          <w:tcPr>
            <w:tcW w:w="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pre-tax (Note A)</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0.13</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0.04</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0.09</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0.22</w:t>
            </w: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0.10</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0.12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Pr>
          <w:p>
            <w:pPr>
              <w:ind w:left="140"/>
              <w:spacing w:after="0"/>
              <w:rPr>
                <w:sz w:val="20"/>
                <w:szCs w:val="20"/>
                <w:color w:val="auto"/>
              </w:rPr>
            </w:pPr>
            <w:r>
              <w:rPr>
                <w:rFonts w:ascii="Arial" w:cs="Arial" w:eastAsia="Arial" w:hAnsi="Arial"/>
                <w:sz w:val="14"/>
                <w:szCs w:val="14"/>
                <w:color w:val="auto"/>
              </w:rPr>
              <w:t>Tax benefit on above items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99"/>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19"/>
              <w:spacing w:after="0"/>
              <w:rPr>
                <w:sz w:val="20"/>
                <w:szCs w:val="20"/>
                <w:color w:val="auto"/>
              </w:rPr>
            </w:pPr>
            <w:r>
              <w:rPr>
                <w:rFonts w:ascii="Arial" w:cs="Arial" w:eastAsia="Arial" w:hAnsi="Arial"/>
                <w:sz w:val="14"/>
                <w:szCs w:val="14"/>
                <w:color w:val="auto"/>
              </w:rPr>
              <w:t>(0.01)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(0.03)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0.02</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66.7%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shd w:val="clear" w:color="auto" w:fill="CFF0FC"/>
          </w:tcPr>
          <w:p>
            <w:pPr>
              <w:ind w:left="140"/>
              <w:spacing w:after="0"/>
              <w:rPr>
                <w:sz w:val="20"/>
                <w:szCs w:val="20"/>
                <w:color w:val="auto"/>
              </w:rPr>
            </w:pPr>
            <w:r>
              <w:rPr>
                <w:rFonts w:ascii="Arial" w:cs="Arial" w:eastAsia="Arial" w:hAnsi="Arial"/>
                <w:sz w:val="14"/>
                <w:szCs w:val="14"/>
                <w:color w:val="auto"/>
              </w:rPr>
              <w:t>Unfavorable tax matters</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1.87</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(1.87)</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1"/>
              </w:rPr>
              <w:t>-100.0%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1.26</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(1.26)</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-100.0%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tcBorders>
              <w:bottom w:val="single" w:sz="8" w:color="CFF0FC"/>
            </w:tcBorders>
          </w:tcPr>
          <w:p>
            <w:pPr>
              <w:ind w:left="140"/>
              <w:spacing w:after="0"/>
              <w:rPr>
                <w:sz w:val="20"/>
                <w:szCs w:val="20"/>
                <w:color w:val="auto"/>
              </w:rPr>
            </w:pPr>
            <w:r>
              <w:rPr>
                <w:rFonts w:ascii="Arial" w:cs="Arial" w:eastAsia="Arial" w:hAnsi="Arial"/>
                <w:sz w:val="14"/>
                <w:szCs w:val="14"/>
                <w:color w:val="auto"/>
              </w:rPr>
              <w:t>Equity related adjustments (Note B)</w:t>
            </w:r>
          </w:p>
        </w:tc>
        <w:tc>
          <w:tcPr>
            <w:tcW w:w="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0.12</w:t>
            </w: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Borders>
              <w:bottom w:val="single" w:sz="8" w:color="CFF0FC"/>
            </w:tcBorders>
          </w:tcPr>
          <w:p>
            <w:pPr>
              <w:spacing w:after="0"/>
              <w:rPr>
                <w:sz w:val="14"/>
                <w:szCs w:val="14"/>
                <w:color w:val="auto"/>
              </w:rPr>
            </w:pPr>
          </w:p>
        </w:tc>
        <w:tc>
          <w:tcPr>
            <w:tcW w:w="6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180" w:type="dxa"/>
            <w:vAlign w:val="bottom"/>
            <w:tcBorders>
              <w:bottom w:val="single" w:sz="8" w:color="CFF0FC"/>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Borders>
              <w:bottom w:val="single" w:sz="8" w:color="CFF0FC"/>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0.19</w:t>
            </w:r>
          </w:p>
        </w:tc>
        <w:tc>
          <w:tcPr>
            <w:tcW w:w="180" w:type="dxa"/>
            <w:vAlign w:val="bottom"/>
            <w:tcBorders>
              <w:bottom w:val="single" w:sz="8" w:color="CFF0FC"/>
            </w:tcBorders>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840" w:type="dxa"/>
            <w:vAlign w:val="bottom"/>
            <w:tcBorders>
              <w:bottom w:val="single" w:sz="8" w:color="CFF0FC"/>
            </w:tcBorders>
            <w:shd w:val="clear" w:color="auto" w:fill="CFF0FC"/>
          </w:tcPr>
          <w:p>
            <w:pPr>
              <w:ind w:left="140"/>
              <w:spacing w:after="0" w:line="155" w:lineRule="exact"/>
              <w:rPr>
                <w:sz w:val="20"/>
                <w:szCs w:val="20"/>
                <w:color w:val="auto"/>
              </w:rPr>
            </w:pPr>
            <w:r>
              <w:rPr>
                <w:rFonts w:ascii="Arial" w:cs="Arial" w:eastAsia="Arial" w:hAnsi="Arial"/>
                <w:sz w:val="14"/>
                <w:szCs w:val="14"/>
                <w:b w:val="1"/>
                <w:bCs w:val="1"/>
                <w:color w:val="auto"/>
              </w:rPr>
              <w:t>Loss before other items</w:t>
            </w:r>
          </w:p>
        </w:tc>
        <w:tc>
          <w:tcPr>
            <w:tcW w:w="60" w:type="dxa"/>
            <w:vAlign w:val="bottom"/>
            <w:tcBorders>
              <w:bottom w:val="single" w:sz="8" w:color="CFF0FC"/>
            </w:tcBorders>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(1.89)</w:t>
            </w:r>
          </w:p>
        </w:tc>
        <w:tc>
          <w:tcPr>
            <w:tcW w:w="10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CFF0FC"/>
            </w:tcBorders>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(2.59)</w:t>
            </w:r>
          </w:p>
        </w:tc>
        <w:tc>
          <w:tcPr>
            <w:tcW w:w="120" w:type="dxa"/>
            <w:vAlign w:val="bottom"/>
            <w:tcBorders>
              <w:bottom w:val="single" w:sz="8" w:color="CFF0FC"/>
            </w:tcBorders>
            <w:shd w:val="clear" w:color="auto" w:fill="CFF0FC"/>
          </w:tcPr>
          <w:p>
            <w:pPr>
              <w:spacing w:after="0"/>
              <w:rPr>
                <w:sz w:val="13"/>
                <w:szCs w:val="13"/>
                <w:color w:val="auto"/>
              </w:rPr>
            </w:pPr>
          </w:p>
        </w:tc>
        <w:tc>
          <w:tcPr>
            <w:tcW w:w="6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0.70</w:t>
            </w:r>
          </w:p>
        </w:tc>
        <w:tc>
          <w:tcPr>
            <w:tcW w:w="180" w:type="dxa"/>
            <w:vAlign w:val="bottom"/>
            <w:tcBorders>
              <w:bottom w:val="single" w:sz="8" w:color="CFF0FC"/>
            </w:tcBorders>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27.0%</w:t>
            </w:r>
          </w:p>
        </w:tc>
        <w:tc>
          <w:tcPr>
            <w:tcW w:w="180" w:type="dxa"/>
            <w:vAlign w:val="bottom"/>
            <w:tcBorders>
              <w:bottom w:val="single" w:sz="8" w:color="CFF0FC"/>
            </w:tcBorders>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(3.81)</w:t>
            </w:r>
          </w:p>
        </w:tc>
        <w:tc>
          <w:tcPr>
            <w:tcW w:w="10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(3.02)</w:t>
            </w:r>
          </w:p>
        </w:tc>
        <w:tc>
          <w:tcPr>
            <w:tcW w:w="12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(0.79)</w:t>
            </w:r>
          </w:p>
        </w:tc>
        <w:tc>
          <w:tcPr>
            <w:tcW w:w="180" w:type="dxa"/>
            <w:vAlign w:val="bottom"/>
            <w:tcBorders>
              <w:bottom w:val="single" w:sz="8" w:color="CFF0FC"/>
            </w:tcBorders>
            <w:shd w:val="clear" w:color="auto" w:fill="CFF0FC"/>
          </w:tcPr>
          <w:p>
            <w:pPr>
              <w:spacing w:after="0"/>
              <w:rPr>
                <w:sz w:val="13"/>
                <w:szCs w:val="13"/>
                <w:color w:val="auto"/>
              </w:rPr>
            </w:pPr>
          </w:p>
        </w:tc>
        <w:tc>
          <w:tcPr>
            <w:tcW w:w="780" w:type="dxa"/>
            <w:vAlign w:val="bottom"/>
            <w:tcBorders>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-26.2%</w:t>
            </w:r>
          </w:p>
        </w:tc>
        <w:tc>
          <w:tcPr>
            <w:tcW w:w="120" w:type="dxa"/>
            <w:vAlign w:val="bottom"/>
            <w:tcBorders>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2" w:lineRule="exact"/>
        <w:rPr>
          <w:sz w:val="20"/>
          <w:szCs w:val="20"/>
          <w:color w:val="auto"/>
        </w:rPr>
      </w:pPr>
    </w:p>
    <w:p>
      <w:pPr>
        <w:ind w:left="440" w:hanging="432"/>
        <w:spacing w:after="0"/>
        <w:tabs>
          <w:tab w:leader="none" w:pos="4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Acquisition-related costs and other non-recurring expenses include:</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740" w:type="dxa"/>
            <w:vAlign w:val="bottom"/>
            <w:vMerge w:val="restart"/>
          </w:tcPr>
          <w:p>
            <w:pPr>
              <w:spacing w:after="0"/>
              <w:rPr>
                <w:sz w:val="20"/>
                <w:szCs w:val="20"/>
                <w:color w:val="auto"/>
              </w:rPr>
            </w:pPr>
            <w:r>
              <w:rPr>
                <w:rFonts w:ascii="Arial" w:cs="Arial" w:eastAsia="Arial" w:hAnsi="Arial"/>
                <w:sz w:val="14"/>
                <w:szCs w:val="14"/>
                <w:color w:val="auto"/>
              </w:rPr>
              <w:t>($ in thousands)</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4"/>
                <w:szCs w:val="14"/>
                <w:color w:val="auto"/>
                <w:w w:val="97"/>
              </w:rPr>
              <w:t>Three months ended June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6"/>
          </w:tcPr>
          <w:p>
            <w:pPr>
              <w:jc w:val="right"/>
              <w:ind w:right="220"/>
              <w:spacing w:after="0"/>
              <w:rPr>
                <w:sz w:val="20"/>
                <w:szCs w:val="20"/>
                <w:color w:val="auto"/>
              </w:rPr>
            </w:pPr>
            <w:r>
              <w:rPr>
                <w:rFonts w:ascii="Arial" w:cs="Arial" w:eastAsia="Arial" w:hAnsi="Arial"/>
                <w:sz w:val="14"/>
                <w:szCs w:val="14"/>
                <w:color w:val="auto"/>
                <w:w w:val="89"/>
              </w:rPr>
              <w:t>Six months ended June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7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2021</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2021</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2020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gridSpan w:val="2"/>
          </w:tcPr>
          <w:p>
            <w:pPr>
              <w:jc w:val="right"/>
              <w:ind w:right="280"/>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374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Acquisition integration costs - Pursuit</w:t>
            </w:r>
            <w:r>
              <w:rPr>
                <w:rFonts w:ascii="Arial" w:cs="Arial" w:eastAsia="Arial" w:hAnsi="Arial"/>
                <w:sz w:val="12"/>
                <w:szCs w:val="12"/>
                <w:color w:val="auto"/>
              </w:rPr>
              <w:t>1</w:t>
            </w:r>
          </w:p>
        </w:tc>
        <w:tc>
          <w:tcPr>
            <w:tcW w:w="1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w:t>
            </w:r>
          </w:p>
        </w:tc>
        <w:tc>
          <w:tcPr>
            <w:tcW w:w="1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15</w:t>
            </w:r>
          </w:p>
        </w:tc>
        <w:tc>
          <w:tcPr>
            <w:tcW w:w="18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rPr>
              <w:t>**</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w:t>
            </w:r>
          </w:p>
        </w:tc>
        <w:tc>
          <w:tcPr>
            <w:tcW w:w="1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60</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(54)</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-90.0%</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740" w:type="dxa"/>
            <w:vAlign w:val="bottom"/>
          </w:tcPr>
          <w:p>
            <w:pPr>
              <w:spacing w:after="0"/>
              <w:rPr>
                <w:sz w:val="20"/>
                <w:szCs w:val="20"/>
                <w:color w:val="auto"/>
              </w:rPr>
            </w:pPr>
            <w:r>
              <w:rPr>
                <w:rFonts w:ascii="Arial" w:cs="Arial" w:eastAsia="Arial" w:hAnsi="Arial"/>
                <w:sz w:val="14"/>
                <w:szCs w:val="14"/>
                <w:color w:val="auto"/>
              </w:rPr>
              <w:t>Acquisition transaction-related costs - Pursuit</w:t>
            </w:r>
            <w:r>
              <w:rPr>
                <w:rFonts w:ascii="Arial" w:cs="Arial" w:eastAsia="Arial" w:hAnsi="Arial"/>
                <w:sz w:val="12"/>
                <w:szCs w:val="12"/>
                <w:color w:val="auto"/>
              </w:rPr>
              <w:t>1</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64</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64</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272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4"/>
                <w:szCs w:val="14"/>
                <w:color w:val="auto"/>
              </w:rPr>
              <w:t>(14)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286</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40" w:type="dxa"/>
            <w:vAlign w:val="bottom"/>
            <w:shd w:val="clear" w:color="auto" w:fill="CFF0FC"/>
          </w:tcPr>
          <w:p>
            <w:pPr>
              <w:spacing w:after="0"/>
              <w:rPr>
                <w:sz w:val="20"/>
                <w:szCs w:val="20"/>
                <w:color w:val="auto"/>
              </w:rPr>
            </w:pPr>
            <w:r>
              <w:rPr>
                <w:rFonts w:ascii="Arial" w:cs="Arial" w:eastAsia="Arial" w:hAnsi="Arial"/>
                <w:sz w:val="14"/>
                <w:szCs w:val="14"/>
                <w:color w:val="auto"/>
              </w:rPr>
              <w:t>Acquisition transaction-related costs - Corporate</w:t>
            </w:r>
            <w:r>
              <w:rPr>
                <w:rFonts w:ascii="Arial" w:cs="Arial" w:eastAsia="Arial" w:hAnsi="Arial"/>
                <w:sz w:val="12"/>
                <w:szCs w:val="12"/>
                <w:color w:val="auto"/>
              </w:rPr>
              <w:t>2</w:t>
            </w:r>
          </w:p>
        </w:tc>
        <w:tc>
          <w:tcPr>
            <w:tcW w:w="1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w:t>
            </w:r>
          </w:p>
        </w:tc>
        <w:tc>
          <w:tcPr>
            <w:tcW w:w="1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31</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(7)</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-22.6%</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w:t>
            </w: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(120)</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-67.0%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40" w:type="dxa"/>
            <w:vAlign w:val="bottom"/>
          </w:tcPr>
          <w:p>
            <w:pPr>
              <w:spacing w:after="0"/>
              <w:rPr>
                <w:sz w:val="20"/>
                <w:szCs w:val="20"/>
                <w:color w:val="auto"/>
              </w:rPr>
            </w:pPr>
            <w:r>
              <w:rPr>
                <w:rFonts w:ascii="Arial" w:cs="Arial" w:eastAsia="Arial" w:hAnsi="Arial"/>
                <w:sz w:val="14"/>
                <w:szCs w:val="14"/>
                <w:color w:val="auto"/>
              </w:rPr>
              <w:t>Attraction start-up costs</w:t>
            </w:r>
            <w:r>
              <w:rPr>
                <w:rFonts w:ascii="Arial" w:cs="Arial" w:eastAsia="Arial" w:hAnsi="Arial"/>
                <w:sz w:val="12"/>
                <w:szCs w:val="12"/>
                <w:color w:val="auto"/>
              </w:rPr>
              <w:t>1,3</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2,054</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854</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1,200</w:t>
            </w:r>
          </w:p>
        </w:tc>
        <w:tc>
          <w:tcPr>
            <w:tcW w:w="1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3,618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1,850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1,768</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95.6%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40" w:type="dxa"/>
            <w:vAlign w:val="bottom"/>
            <w:shd w:val="clear" w:color="auto" w:fill="CFF0FC"/>
          </w:tcPr>
          <w:p>
            <w:pPr>
              <w:spacing w:after="0"/>
              <w:rPr>
                <w:sz w:val="20"/>
                <w:szCs w:val="20"/>
                <w:color w:val="auto"/>
              </w:rPr>
            </w:pPr>
            <w:r>
              <w:rPr>
                <w:rFonts w:ascii="Arial" w:cs="Arial" w:eastAsia="Arial" w:hAnsi="Arial"/>
                <w:sz w:val="14"/>
                <w:szCs w:val="14"/>
                <w:color w:val="auto"/>
              </w:rPr>
              <w:t>Other non-recurring expenses</w:t>
            </w:r>
            <w:r>
              <w:rPr>
                <w:rFonts w:ascii="Arial" w:cs="Arial" w:eastAsia="Arial" w:hAnsi="Arial"/>
                <w:sz w:val="12"/>
                <w:szCs w:val="12"/>
                <w:color w:val="auto"/>
              </w:rPr>
              <w:t>2,4</w:t>
            </w:r>
          </w:p>
        </w:tc>
        <w:tc>
          <w:tcPr>
            <w:tcW w:w="1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557</w:t>
            </w:r>
          </w:p>
        </w:tc>
        <w:tc>
          <w:tcPr>
            <w:tcW w:w="1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557</w:t>
            </w:r>
          </w:p>
        </w:tc>
        <w:tc>
          <w:tcPr>
            <w:tcW w:w="18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567</w:t>
            </w: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567</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740" w:type="dxa"/>
            <w:vAlign w:val="bottom"/>
          </w:tcPr>
          <w:p>
            <w:pPr>
              <w:spacing w:after="0" w:line="155" w:lineRule="exact"/>
              <w:rPr>
                <w:sz w:val="20"/>
                <w:szCs w:val="20"/>
                <w:color w:val="auto"/>
              </w:rPr>
            </w:pPr>
            <w:r>
              <w:rPr>
                <w:rFonts w:ascii="Arial" w:cs="Arial" w:eastAsia="Arial" w:hAnsi="Arial"/>
                <w:sz w:val="14"/>
                <w:szCs w:val="14"/>
                <w:color w:val="auto"/>
                <w:w w:val="97"/>
              </w:rPr>
              <w:t>Acquisition-related and other non-recurring expenses, pre-tax</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2,704</w:t>
            </w:r>
          </w:p>
        </w:tc>
        <w:tc>
          <w:tcPr>
            <w:tcW w:w="18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875</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1,829</w:t>
            </w:r>
          </w:p>
        </w:tc>
        <w:tc>
          <w:tcPr>
            <w:tcW w:w="180" w:type="dxa"/>
            <w:vAlign w:val="bottom"/>
          </w:tcPr>
          <w:p>
            <w:pPr>
              <w:spacing w:after="0"/>
              <w:rPr>
                <w:sz w:val="13"/>
                <w:szCs w:val="13"/>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4,522</w:t>
            </w:r>
          </w:p>
        </w:tc>
        <w:tc>
          <w:tcPr>
            <w:tcW w:w="1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2,075</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2,447</w:t>
            </w:r>
          </w:p>
        </w:tc>
        <w:tc>
          <w:tcPr>
            <w:tcW w:w="180" w:type="dxa"/>
            <w:vAlign w:val="bottom"/>
          </w:tcPr>
          <w:p>
            <w:pPr>
              <w:spacing w:after="0"/>
              <w:rPr>
                <w:sz w:val="13"/>
                <w:szCs w:val="13"/>
                <w:color w:val="auto"/>
              </w:rPr>
            </w:pP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ind w:left="100" w:hanging="92"/>
        <w:spacing w:after="0"/>
        <w:tabs>
          <w:tab w:leader="none" w:pos="100" w:val="left"/>
        </w:tabs>
        <w:numPr>
          <w:ilvl w:val="0"/>
          <w:numId w:val="11"/>
        </w:numPr>
        <w:rPr>
          <w:rFonts w:ascii="Arial" w:cs="Arial" w:eastAsia="Arial" w:hAnsi="Arial"/>
          <w:sz w:val="12"/>
          <w:szCs w:val="12"/>
          <w:color w:val="auto"/>
        </w:rPr>
      </w:pPr>
      <w:r>
        <w:rPr>
          <w:rFonts w:ascii="Arial" w:cs="Arial" w:eastAsia="Arial" w:hAnsi="Arial"/>
          <w:sz w:val="14"/>
          <w:szCs w:val="14"/>
          <w:color w:val="auto"/>
        </w:rPr>
        <w:t>Included in segment operating loss</w:t>
      </w:r>
    </w:p>
    <w:p>
      <w:pPr>
        <w:spacing w:after="0" w:line="221" w:lineRule="auto"/>
        <w:rPr>
          <w:rFonts w:ascii="Arial" w:cs="Arial" w:eastAsia="Arial" w:hAnsi="Arial"/>
          <w:sz w:val="12"/>
          <w:szCs w:val="12"/>
          <w:color w:val="auto"/>
        </w:rPr>
      </w:pPr>
      <w:r>
        <w:rPr>
          <w:rFonts w:ascii="Arial" w:cs="Arial" w:eastAsia="Arial" w:hAnsi="Arial"/>
          <w:sz w:val="12"/>
          <w:szCs w:val="12"/>
          <w:color w:val="auto"/>
        </w:rPr>
        <w:t xml:space="preserve">2 </w:t>
      </w:r>
      <w:r>
        <w:rPr>
          <w:rFonts w:ascii="Arial" w:cs="Arial" w:eastAsia="Arial" w:hAnsi="Arial"/>
          <w:sz w:val="14"/>
          <w:szCs w:val="14"/>
          <w:color w:val="auto"/>
        </w:rPr>
        <w:t>Included in corporate activities</w:t>
      </w:r>
    </w:p>
    <w:p>
      <w:pPr>
        <w:ind w:right="780" w:firstLine="1"/>
        <w:spacing w:after="0" w:line="237" w:lineRule="auto"/>
        <w:rPr>
          <w:rFonts w:ascii="Arial" w:cs="Arial" w:eastAsia="Arial" w:hAnsi="Arial"/>
          <w:sz w:val="12"/>
          <w:szCs w:val="12"/>
          <w:color w:val="auto"/>
        </w:rPr>
      </w:pPr>
      <w:r>
        <w:rPr>
          <w:rFonts w:ascii="Arial" w:cs="Arial" w:eastAsia="Arial" w:hAnsi="Arial"/>
          <w:sz w:val="12"/>
          <w:szCs w:val="12"/>
          <w:color w:val="auto"/>
        </w:rPr>
        <w:t xml:space="preserve">3 </w:t>
      </w:r>
      <w:r>
        <w:rPr>
          <w:rFonts w:ascii="Arial" w:cs="Arial" w:eastAsia="Arial" w:hAnsi="Arial"/>
          <w:sz w:val="14"/>
          <w:szCs w:val="14"/>
          <w:color w:val="auto"/>
        </w:rPr>
        <w:t>Includes costs related to the development of Pursuit’s new FlyOver attractions in Iceland, Las Vegas, and Toronto, the Sky Lagoon in Iceland, and the Golden Skybridge in Canada.</w:t>
      </w:r>
      <w:r>
        <w:rPr>
          <w:rFonts w:ascii="Arial" w:cs="Arial" w:eastAsia="Arial" w:hAnsi="Arial"/>
          <w:sz w:val="12"/>
          <w:szCs w:val="12"/>
          <w:color w:val="auto"/>
        </w:rPr>
        <w:t xml:space="preserve"> 4 </w:t>
      </w:r>
      <w:r>
        <w:rPr>
          <w:rFonts w:ascii="Arial" w:cs="Arial" w:eastAsia="Arial" w:hAnsi="Arial"/>
          <w:sz w:val="14"/>
          <w:szCs w:val="14"/>
          <w:color w:val="auto"/>
        </w:rPr>
        <w:t>Includes non-capitalizable fees and expenses related to Viad’s credit facility refinancing efforts.</w:t>
      </w:r>
    </w:p>
    <w:p>
      <w:pPr>
        <w:spacing w:after="0" w:line="8" w:lineRule="exact"/>
        <w:rPr>
          <w:sz w:val="20"/>
          <w:szCs w:val="20"/>
          <w:color w:val="auto"/>
        </w:rPr>
      </w:pPr>
    </w:p>
    <w:p>
      <w:pPr>
        <w:ind w:right="1920" w:firstLine="8"/>
        <w:spacing w:after="0" w:line="253" w:lineRule="auto"/>
        <w:tabs>
          <w:tab w:leader="none" w:pos="432" w:val="left"/>
        </w:tabs>
        <w:numPr>
          <w:ilvl w:val="0"/>
          <w:numId w:val="12"/>
        </w:numPr>
        <w:rPr>
          <w:rFonts w:ascii="Arial" w:cs="Arial" w:eastAsia="Arial" w:hAnsi="Arial"/>
          <w:sz w:val="14"/>
          <w:szCs w:val="14"/>
          <w:color w:val="auto"/>
        </w:rPr>
      </w:pPr>
      <w:r>
        <w:rPr>
          <w:rFonts w:ascii="Arial" w:cs="Arial" w:eastAsia="Arial" w:hAnsi="Arial"/>
          <w:sz w:val="14"/>
          <w:szCs w:val="14"/>
          <w:color w:val="auto"/>
        </w:rPr>
        <w:t>Equity related adjustments include convertible preferred stock dividends and an adjustment to the redemption value of redeemable noncontrolling interest. **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280670</wp:posOffset>
            </wp:positionV>
            <wp:extent cx="71748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243"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4" w:lineRule="exact"/>
        <w:rPr>
          <w:sz w:val="20"/>
          <w:szCs w:val="20"/>
          <w:color w:val="auto"/>
        </w:rPr>
      </w:pPr>
    </w:p>
    <w:p>
      <w:pPr>
        <w:ind w:right="300"/>
        <w:spacing w:after="0" w:line="235" w:lineRule="auto"/>
        <w:rPr>
          <w:sz w:val="20"/>
          <w:szCs w:val="20"/>
          <w:color w:val="auto"/>
        </w:rPr>
      </w:pPr>
      <w:r>
        <w:rPr>
          <w:rFonts w:ascii="Arial" w:cs="Arial" w:eastAsia="Arial" w:hAnsi="Arial"/>
          <w:sz w:val="14"/>
          <w:szCs w:val="14"/>
          <w:b w:val="1"/>
          <w:bCs w:val="1"/>
          <w:color w:val="auto"/>
        </w:rPr>
        <w:t xml:space="preserve">Organic </w:t>
      </w:r>
      <w:r>
        <w:rPr>
          <w:rFonts w:ascii="Arial" w:cs="Arial" w:eastAsia="Arial" w:hAnsi="Arial"/>
          <w:sz w:val="14"/>
          <w:szCs w:val="14"/>
          <w:color w:val="auto"/>
        </w:rPr>
        <w:t>- The term “organic” is used within this document to refer to results without the impact of exchange rate variances and acquisitions, if any, until such acquisitions are included in the</w:t>
      </w:r>
      <w:r>
        <w:rPr>
          <w:rFonts w:ascii="Arial" w:cs="Arial" w:eastAsia="Arial" w:hAnsi="Arial"/>
          <w:sz w:val="14"/>
          <w:szCs w:val="14"/>
          <w:b w:val="1"/>
          <w:bCs w:val="1"/>
          <w:color w:val="auto"/>
        </w:rPr>
        <w:t xml:space="preserve"> </w:t>
      </w:r>
      <w:r>
        <w:rPr>
          <w:rFonts w:ascii="Arial" w:cs="Arial" w:eastAsia="Arial" w:hAnsi="Arial"/>
          <w:sz w:val="14"/>
          <w:szCs w:val="14"/>
          <w:color w:val="auto"/>
        </w:rPr>
        <w:t>entirety of both comparable periods. The impact of exchange rate variances (or “FX Impact”) is calculated as the difference between current period activity translated at the current period’s exchange rates and the comparable prior period’s exchange rates. Management believes that the presentation of “organic” results permits investors to better understand Viad’s performance without the effects of exchange rate variances or acquisitions.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00" w:type="dxa"/>
            <w:vAlign w:val="bottom"/>
            <w:gridSpan w:val="8"/>
          </w:tcPr>
          <w:p>
            <w:pPr>
              <w:jc w:val="right"/>
              <w:ind w:right="80"/>
              <w:spacing w:after="0"/>
              <w:rPr>
                <w:sz w:val="20"/>
                <w:szCs w:val="20"/>
                <w:color w:val="auto"/>
              </w:rPr>
            </w:pPr>
            <w:r>
              <w:rPr>
                <w:rFonts w:ascii="Arial" w:cs="Arial" w:eastAsia="Arial" w:hAnsi="Arial"/>
                <w:sz w:val="14"/>
                <w:szCs w:val="14"/>
                <w:color w:val="auto"/>
                <w:w w:val="90"/>
              </w:rPr>
              <w:t>Three months ended June 30, 2021</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760" w:type="dxa"/>
            <w:vAlign w:val="bottom"/>
            <w:gridSpan w:val="9"/>
          </w:tcPr>
          <w:p>
            <w:pPr>
              <w:jc w:val="center"/>
              <w:ind w:right="300"/>
              <w:spacing w:after="0"/>
              <w:rPr>
                <w:sz w:val="20"/>
                <w:szCs w:val="20"/>
                <w:color w:val="auto"/>
              </w:rPr>
            </w:pPr>
            <w:r>
              <w:rPr>
                <w:rFonts w:ascii="Arial" w:cs="Arial" w:eastAsia="Arial" w:hAnsi="Arial"/>
                <w:sz w:val="14"/>
                <w:szCs w:val="14"/>
                <w:color w:val="auto"/>
                <w:w w:val="91"/>
              </w:rPr>
              <w:t>Three months ended June 30, 2020</w:t>
            </w:r>
          </w:p>
        </w:tc>
        <w:tc>
          <w:tcPr>
            <w:tcW w:w="0" w:type="dxa"/>
            <w:vAlign w:val="bottom"/>
          </w:tcPr>
          <w:p>
            <w:pPr>
              <w:spacing w:after="0"/>
              <w:rPr>
                <w:sz w:val="1"/>
                <w:szCs w:val="1"/>
                <w:color w:val="auto"/>
              </w:rPr>
            </w:pPr>
          </w:p>
        </w:tc>
      </w:tr>
      <w:tr>
        <w:trPr>
          <w:trHeight w:val="137"/>
        </w:trPr>
        <w:tc>
          <w:tcPr>
            <w:tcW w:w="3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3"/>
          </w:tcPr>
          <w:p>
            <w:pPr>
              <w:jc w:val="right"/>
              <w:ind w:right="220"/>
              <w:spacing w:after="0" w:line="137" w:lineRule="exact"/>
              <w:rPr>
                <w:sz w:val="20"/>
                <w:szCs w:val="20"/>
                <w:color w:val="auto"/>
              </w:rPr>
            </w:pPr>
            <w:r>
              <w:rPr>
                <w:rFonts w:ascii="Arial" w:cs="Arial" w:eastAsia="Arial" w:hAnsi="Arial"/>
                <w:sz w:val="14"/>
                <w:szCs w:val="14"/>
                <w:color w:val="auto"/>
                <w:w w:val="96"/>
              </w:rPr>
              <w:t>Acquisitions</w:t>
            </w:r>
          </w:p>
        </w:tc>
        <w:tc>
          <w:tcPr>
            <w:tcW w:w="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center"/>
              <w:spacing w:after="0" w:line="137" w:lineRule="exact"/>
              <w:rPr>
                <w:sz w:val="20"/>
                <w:szCs w:val="20"/>
                <w:color w:val="auto"/>
              </w:rPr>
            </w:pPr>
            <w:r>
              <w:rPr>
                <w:rFonts w:ascii="Arial" w:cs="Arial" w:eastAsia="Arial" w:hAnsi="Arial"/>
                <w:sz w:val="14"/>
                <w:szCs w:val="14"/>
                <w:color w:val="auto"/>
                <w:w w:val="96"/>
              </w:rPr>
              <w:t>Acquisitions</w:t>
            </w:r>
          </w:p>
        </w:tc>
        <w:tc>
          <w:tcPr>
            <w:tcW w:w="2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3780" w:type="dxa"/>
            <w:vAlign w:val="bottom"/>
          </w:tcPr>
          <w:p>
            <w:pPr>
              <w:spacing w:after="0"/>
              <w:rPr>
                <w:sz w:val="20"/>
                <w:szCs w:val="20"/>
                <w:color w:val="auto"/>
              </w:rPr>
            </w:pPr>
            <w:r>
              <w:rPr>
                <w:rFonts w:ascii="Arial" w:cs="Arial" w:eastAsia="Arial" w:hAnsi="Arial"/>
                <w:sz w:val="14"/>
                <w:szCs w:val="14"/>
                <w:color w:val="auto"/>
              </w:rPr>
              <w:t>($ in thousands)</w:t>
            </w:r>
          </w:p>
        </w:tc>
        <w:tc>
          <w:tcPr>
            <w:tcW w:w="420" w:type="dxa"/>
            <w:vAlign w:val="bottom"/>
          </w:tcPr>
          <w:p>
            <w:pPr>
              <w:spacing w:after="0"/>
              <w:rPr>
                <w:sz w:val="14"/>
                <w:szCs w:val="14"/>
                <w:color w:val="auto"/>
              </w:rPr>
            </w:pPr>
          </w:p>
        </w:tc>
        <w:tc>
          <w:tcPr>
            <w:tcW w:w="920" w:type="dxa"/>
            <w:vAlign w:val="bottom"/>
            <w:gridSpan w:val="3"/>
          </w:tcPr>
          <w:p>
            <w:pPr>
              <w:jc w:val="right"/>
              <w:ind w:right="88"/>
              <w:spacing w:after="0"/>
              <w:rPr>
                <w:sz w:val="20"/>
                <w:szCs w:val="20"/>
                <w:color w:val="auto"/>
              </w:rPr>
            </w:pPr>
            <w:r>
              <w:rPr>
                <w:rFonts w:ascii="Arial" w:cs="Arial" w:eastAsia="Arial" w:hAnsi="Arial"/>
                <w:sz w:val="14"/>
                <w:szCs w:val="14"/>
                <w:color w:val="auto"/>
                <w:w w:val="95"/>
              </w:rPr>
              <w:t>As Reported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320"/>
              <w:spacing w:after="0"/>
              <w:rPr>
                <w:sz w:val="20"/>
                <w:szCs w:val="20"/>
                <w:color w:val="auto"/>
              </w:rPr>
            </w:pPr>
            <w:r>
              <w:rPr>
                <w:rFonts w:ascii="Arial" w:cs="Arial" w:eastAsia="Arial" w:hAnsi="Arial"/>
                <w:sz w:val="14"/>
                <w:szCs w:val="14"/>
                <w:color w:val="auto"/>
                <w:w w:val="99"/>
              </w:rPr>
              <w:t>(Note A)</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4"/>
                <w:szCs w:val="14"/>
                <w:color w:val="auto"/>
                <w:w w:val="93"/>
              </w:rPr>
              <w:t>FX Impact</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2"/>
          </w:tcPr>
          <w:p>
            <w:pPr>
              <w:jc w:val="right"/>
              <w:ind w:right="319"/>
              <w:spacing w:after="0"/>
              <w:rPr>
                <w:sz w:val="20"/>
                <w:szCs w:val="20"/>
                <w:color w:val="auto"/>
              </w:rPr>
            </w:pPr>
            <w:r>
              <w:rPr>
                <w:rFonts w:ascii="Arial" w:cs="Arial" w:eastAsia="Arial" w:hAnsi="Arial"/>
                <w:sz w:val="14"/>
                <w:szCs w:val="14"/>
                <w:color w:val="auto"/>
                <w:w w:val="97"/>
              </w:rPr>
              <w:t>Organic</w:t>
            </w:r>
          </w:p>
        </w:tc>
        <w:tc>
          <w:tcPr>
            <w:tcW w:w="60" w:type="dxa"/>
            <w:vAlign w:val="bottom"/>
          </w:tcPr>
          <w:p>
            <w:pPr>
              <w:spacing w:after="0"/>
              <w:rPr>
                <w:sz w:val="14"/>
                <w:szCs w:val="14"/>
                <w:color w:val="auto"/>
              </w:rPr>
            </w:pPr>
          </w:p>
        </w:tc>
        <w:tc>
          <w:tcPr>
            <w:tcW w:w="920" w:type="dxa"/>
            <w:vAlign w:val="bottom"/>
            <w:gridSpan w:val="3"/>
          </w:tcPr>
          <w:p>
            <w:pPr>
              <w:jc w:val="right"/>
              <w:ind w:right="108"/>
              <w:spacing w:after="0"/>
              <w:rPr>
                <w:sz w:val="20"/>
                <w:szCs w:val="20"/>
                <w:color w:val="auto"/>
              </w:rPr>
            </w:pPr>
            <w:r>
              <w:rPr>
                <w:rFonts w:ascii="Arial" w:cs="Arial" w:eastAsia="Arial" w:hAnsi="Arial"/>
                <w:sz w:val="14"/>
                <w:szCs w:val="14"/>
                <w:color w:val="auto"/>
                <w:w w:val="92"/>
              </w:rPr>
              <w:t>As Reported</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center"/>
              <w:ind w:right="48"/>
              <w:spacing w:after="0"/>
              <w:rPr>
                <w:sz w:val="20"/>
                <w:szCs w:val="20"/>
                <w:color w:val="auto"/>
              </w:rPr>
            </w:pPr>
            <w:r>
              <w:rPr>
                <w:rFonts w:ascii="Arial" w:cs="Arial" w:eastAsia="Arial" w:hAnsi="Arial"/>
                <w:sz w:val="14"/>
                <w:szCs w:val="14"/>
                <w:color w:val="auto"/>
                <w:w w:val="99"/>
              </w:rPr>
              <w:t>(Note A)</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4"/>
                <w:szCs w:val="14"/>
                <w:color w:val="auto"/>
              </w:rPr>
              <w:t>Organic</w:t>
            </w:r>
          </w:p>
        </w:tc>
        <w:tc>
          <w:tcPr>
            <w:tcW w:w="0" w:type="dxa"/>
            <w:vAlign w:val="bottom"/>
          </w:tcPr>
          <w:p>
            <w:pPr>
              <w:spacing w:after="0"/>
              <w:rPr>
                <w:sz w:val="1"/>
                <w:szCs w:val="1"/>
                <w:color w:val="auto"/>
              </w:rPr>
            </w:pPr>
          </w:p>
        </w:tc>
      </w:tr>
      <w:tr>
        <w:trPr>
          <w:trHeight w:val="155"/>
        </w:trPr>
        <w:tc>
          <w:tcPr>
            <w:tcW w:w="37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Viad Consolidated:</w:t>
            </w:r>
          </w:p>
        </w:tc>
        <w:tc>
          <w:tcPr>
            <w:tcW w:w="4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3780" w:type="dxa"/>
            <w:vAlign w:val="bottom"/>
          </w:tcPr>
          <w:p>
            <w:pPr>
              <w:spacing w:after="0"/>
              <w:rPr>
                <w:sz w:val="20"/>
                <w:szCs w:val="20"/>
                <w:color w:val="auto"/>
              </w:rPr>
            </w:pPr>
            <w:r>
              <w:rPr>
                <w:rFonts w:ascii="Arial" w:cs="Arial" w:eastAsia="Arial" w:hAnsi="Arial"/>
                <w:sz w:val="14"/>
                <w:szCs w:val="14"/>
                <w:color w:val="auto"/>
              </w:rPr>
              <w:t>Revenue</w:t>
            </w:r>
          </w:p>
        </w:tc>
        <w:tc>
          <w:tcPr>
            <w:tcW w:w="420" w:type="dxa"/>
            <w:vAlign w:val="bottom"/>
          </w:tcPr>
          <w:p>
            <w:pPr>
              <w:spacing w:after="0"/>
              <w:rPr>
                <w:sz w:val="17"/>
                <w:szCs w:val="17"/>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61,233</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234</w:t>
            </w:r>
          </w:p>
        </w:tc>
        <w:tc>
          <w:tcPr>
            <w:tcW w:w="180" w:type="dxa"/>
            <w:vAlign w:val="bottom"/>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1,690</w:t>
            </w:r>
          </w:p>
        </w:tc>
        <w:tc>
          <w:tcPr>
            <w:tcW w:w="16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59,309</w:t>
            </w:r>
          </w:p>
        </w:tc>
        <w:tc>
          <w:tcPr>
            <w:tcW w:w="180" w:type="dxa"/>
            <w:vAlign w:val="bottom"/>
          </w:tcPr>
          <w:p>
            <w:pPr>
              <w:spacing w:after="0"/>
              <w:rPr>
                <w:sz w:val="17"/>
                <w:szCs w:val="17"/>
                <w:color w:val="auto"/>
              </w:rPr>
            </w:pPr>
          </w:p>
        </w:tc>
        <w:tc>
          <w:tcPr>
            <w:tcW w:w="220" w:type="dxa"/>
            <w:vAlign w:val="bottom"/>
            <w:gridSpan w:val="2"/>
          </w:tcPr>
          <w:p>
            <w:pPr>
              <w:jc w:val="right"/>
              <w:ind w:right="46"/>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30,067</w:t>
            </w:r>
          </w:p>
        </w:tc>
        <w:tc>
          <w:tcPr>
            <w:tcW w:w="14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30,067</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3780" w:type="dxa"/>
            <w:vAlign w:val="bottom"/>
            <w:tcBorders>
              <w:top w:val="single" w:sz="8" w:color="CFF0FC"/>
            </w:tcBorders>
            <w:shd w:val="clear" w:color="auto" w:fill="CFF0FC"/>
          </w:tcPr>
          <w:p>
            <w:pPr>
              <w:spacing w:after="0" w:line="143" w:lineRule="exact"/>
              <w:rPr>
                <w:sz w:val="20"/>
                <w:szCs w:val="20"/>
                <w:color w:val="auto"/>
              </w:rPr>
            </w:pPr>
            <w:r>
              <w:rPr>
                <w:rFonts w:ascii="Arial" w:cs="Arial" w:eastAsia="Arial" w:hAnsi="Arial"/>
                <w:sz w:val="14"/>
                <w:szCs w:val="14"/>
                <w:color w:val="auto"/>
              </w:rPr>
              <w:t>Net loss attributable to Viad</w:t>
            </w:r>
          </w:p>
        </w:tc>
        <w:tc>
          <w:tcPr>
            <w:tcW w:w="42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jc w:val="right"/>
              <w:ind w:right="68"/>
              <w:spacing w:after="0" w:line="143"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color w:val="auto"/>
              </w:rPr>
              <w:t>(42,026)</w:t>
            </w:r>
          </w:p>
        </w:tc>
        <w:tc>
          <w:tcPr>
            <w:tcW w:w="1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jc w:val="right"/>
              <w:ind w:right="46"/>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4"/>
                <w:szCs w:val="14"/>
                <w:color w:val="auto"/>
              </w:rPr>
              <w:t>(206,278)</w:t>
            </w:r>
          </w:p>
        </w:tc>
        <w:tc>
          <w:tcPr>
            <w:tcW w:w="14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Net loss attributable to noncontrolling interest</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(510)</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right"/>
              <w:ind w:right="8"/>
              <w:spacing w:after="0"/>
              <w:rPr>
                <w:sz w:val="20"/>
                <w:szCs w:val="20"/>
                <w:color w:val="auto"/>
              </w:rPr>
            </w:pPr>
            <w:r>
              <w:rPr>
                <w:rFonts w:ascii="Arial" w:cs="Arial" w:eastAsia="Arial" w:hAnsi="Arial"/>
                <w:sz w:val="14"/>
                <w:szCs w:val="14"/>
                <w:color w:val="auto"/>
              </w:rPr>
              <w:t>(1,634)</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Net loss attributable to redeemable noncontrolling interest</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(431)</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(204)</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Loss from discontinued operations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379</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Income tax expense (benefit)</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(2,166)</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35,516</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Net interest expense</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5,565</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5,010</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Other expense</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680</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265</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Pension plan withdrawal</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462</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Impairment charges</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114,020</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Restructuring charges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787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260</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Corporate activities expense</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3,006</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2,468</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Corporate eliminations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right"/>
              <w:ind w:right="8"/>
              <w:spacing w:after="0"/>
              <w:rPr>
                <w:sz w:val="20"/>
                <w:szCs w:val="20"/>
                <w:color w:val="auto"/>
              </w:rPr>
            </w:pPr>
            <w:r>
              <w:rPr>
                <w:rFonts w:ascii="Arial" w:cs="Arial" w:eastAsia="Arial" w:hAnsi="Arial"/>
                <w:sz w:val="14"/>
                <w:szCs w:val="14"/>
                <w:color w:val="auto"/>
              </w:rPr>
              <w:t>(16)</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7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Segment operating loss</w:t>
            </w:r>
          </w:p>
        </w:tc>
        <w:tc>
          <w:tcPr>
            <w:tcW w:w="4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jc w:val="right"/>
              <w:ind w:right="6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(34,994)</w:t>
            </w:r>
          </w:p>
        </w:tc>
        <w:tc>
          <w:tcPr>
            <w:tcW w:w="1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CFF0FC"/>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860" w:type="dxa"/>
            <w:vAlign w:val="bottom"/>
            <w:tcBorders>
              <w:top w:val="single" w:sz="8" w:color="CFF0FC"/>
            </w:tcBorders>
            <w:gridSpan w:val="2"/>
            <w:shd w:val="clear" w:color="auto" w:fill="CFF0FC"/>
          </w:tcPr>
          <w:p>
            <w:pPr>
              <w:jc w:val="right"/>
              <w:ind w:right="120"/>
              <w:spacing w:after="0" w:line="155" w:lineRule="exact"/>
              <w:rPr>
                <w:sz w:val="20"/>
                <w:szCs w:val="20"/>
                <w:color w:val="auto"/>
              </w:rPr>
            </w:pPr>
            <w:r>
              <w:rPr>
                <w:rFonts w:ascii="Arial" w:cs="Arial" w:eastAsia="Arial" w:hAnsi="Arial"/>
                <w:sz w:val="14"/>
                <w:szCs w:val="14"/>
                <w:color w:val="auto"/>
              </w:rPr>
              <w:t>(258)</w:t>
            </w:r>
          </w:p>
        </w:tc>
        <w:tc>
          <w:tcPr>
            <w:tcW w:w="140" w:type="dxa"/>
            <w:vAlign w:val="bottom"/>
            <w:tcBorders>
              <w:top w:val="single" w:sz="8" w:color="CFF0FC"/>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880" w:type="dxa"/>
            <w:vAlign w:val="bottom"/>
            <w:tcBorders>
              <w:top w:val="single" w:sz="8" w:color="CFF0FC"/>
            </w:tcBorders>
            <w:gridSpan w:val="2"/>
            <w:shd w:val="clear" w:color="auto" w:fill="CFF0FC"/>
          </w:tcPr>
          <w:p>
            <w:pPr>
              <w:jc w:val="right"/>
              <w:ind w:right="120"/>
              <w:spacing w:after="0" w:line="155" w:lineRule="exact"/>
              <w:rPr>
                <w:sz w:val="20"/>
                <w:szCs w:val="20"/>
                <w:color w:val="auto"/>
              </w:rPr>
            </w:pPr>
            <w:r>
              <w:rPr>
                <w:rFonts w:ascii="Arial" w:cs="Arial" w:eastAsia="Arial" w:hAnsi="Arial"/>
                <w:sz w:val="14"/>
                <w:szCs w:val="14"/>
                <w:color w:val="auto"/>
              </w:rPr>
              <w:t>(1,577)</w:t>
            </w:r>
          </w:p>
        </w:tc>
        <w:tc>
          <w:tcPr>
            <w:tcW w:w="180" w:type="dxa"/>
            <w:vAlign w:val="bottom"/>
            <w:tcBorders>
              <w:top w:val="single" w:sz="8" w:color="CFF0FC"/>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860" w:type="dxa"/>
            <w:vAlign w:val="bottom"/>
            <w:tcBorders>
              <w:top w:val="single" w:sz="8" w:color="CFF0FC"/>
            </w:tcBorders>
            <w:gridSpan w:val="2"/>
            <w:shd w:val="clear" w:color="auto" w:fill="CFF0FC"/>
          </w:tcPr>
          <w:p>
            <w:pPr>
              <w:jc w:val="right"/>
              <w:ind w:right="99"/>
              <w:spacing w:after="0" w:line="155" w:lineRule="exact"/>
              <w:rPr>
                <w:sz w:val="20"/>
                <w:szCs w:val="20"/>
                <w:color w:val="auto"/>
              </w:rPr>
            </w:pPr>
            <w:r>
              <w:rPr>
                <w:rFonts w:ascii="Arial" w:cs="Arial" w:eastAsia="Arial" w:hAnsi="Arial"/>
                <w:sz w:val="14"/>
                <w:szCs w:val="14"/>
                <w:color w:val="auto"/>
              </w:rPr>
              <w:t>(33,159)</w:t>
            </w: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46"/>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(49,752)</w:t>
            </w:r>
          </w:p>
        </w:tc>
        <w:tc>
          <w:tcPr>
            <w:tcW w:w="14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CFF0FC"/>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CFF0FC"/>
            </w:tcBorders>
            <w:shd w:val="clear" w:color="auto" w:fill="CFF0FC"/>
          </w:tcPr>
          <w:p>
            <w:pPr>
              <w:ind w:left="520"/>
              <w:spacing w:after="0" w:line="155" w:lineRule="exact"/>
              <w:rPr>
                <w:sz w:val="20"/>
                <w:szCs w:val="20"/>
                <w:color w:val="auto"/>
              </w:rPr>
            </w:pPr>
            <w:r>
              <w:rPr>
                <w:rFonts w:ascii="Arial" w:cs="Arial" w:eastAsia="Arial" w:hAnsi="Arial"/>
                <w:sz w:val="14"/>
                <w:szCs w:val="14"/>
                <w:color w:val="auto"/>
                <w:w w:val="99"/>
              </w:rPr>
              <w:t>—</w:t>
            </w:r>
          </w:p>
        </w:tc>
        <w:tc>
          <w:tcPr>
            <w:tcW w:w="320" w:type="dxa"/>
            <w:vAlign w:val="bottom"/>
            <w:tcBorders>
              <w:top w:val="single" w:sz="8" w:color="CFF0FC"/>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820" w:type="dxa"/>
            <w:vAlign w:val="bottom"/>
            <w:tcBorders>
              <w:top w:val="single" w:sz="8" w:color="CFF0FC"/>
            </w:tcBorders>
            <w:gridSpan w:val="2"/>
            <w:shd w:val="clear" w:color="auto" w:fill="CFF0FC"/>
          </w:tcPr>
          <w:p>
            <w:pPr>
              <w:jc w:val="right"/>
              <w:ind w:right="80"/>
              <w:spacing w:after="0" w:line="155" w:lineRule="exact"/>
              <w:rPr>
                <w:sz w:val="20"/>
                <w:szCs w:val="20"/>
                <w:color w:val="auto"/>
              </w:rPr>
            </w:pPr>
            <w:r>
              <w:rPr>
                <w:rFonts w:ascii="Arial" w:cs="Arial" w:eastAsia="Arial" w:hAnsi="Arial"/>
                <w:sz w:val="14"/>
                <w:szCs w:val="14"/>
                <w:color w:val="auto"/>
              </w:rPr>
              <w:t>(49,752)</w:t>
            </w: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Attraction start-up costs (B)</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2,054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1,830</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854</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854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Integration costs</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(10)</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Acquisition transaction-related costs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59</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5"/>
        </w:trPr>
        <w:tc>
          <w:tcPr>
            <w:tcW w:w="3780" w:type="dxa"/>
            <w:vAlign w:val="bottom"/>
            <w:tcBorders>
              <w:top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b w:val="1"/>
                <w:bCs w:val="1"/>
                <w:color w:val="auto"/>
              </w:rPr>
              <w:t>Adjusted segment operating loss</w:t>
            </w:r>
          </w:p>
        </w:tc>
        <w:tc>
          <w:tcPr>
            <w:tcW w:w="4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(32,871)</w:t>
            </w: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(34)</w:t>
            </w:r>
          </w:p>
        </w:tc>
        <w:tc>
          <w:tcPr>
            <w:tcW w:w="1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(1,572)</w:t>
            </w:r>
          </w:p>
        </w:tc>
        <w:tc>
          <w:tcPr>
            <w:tcW w:w="1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(31,265)</w:t>
            </w:r>
          </w:p>
        </w:tc>
        <w:tc>
          <w:tcPr>
            <w:tcW w:w="1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(48,908)</w:t>
            </w:r>
          </w:p>
        </w:tc>
        <w:tc>
          <w:tcPr>
            <w:tcW w:w="14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(48,908)</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Segment depreciation</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10,662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626</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10,021</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11,478</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11,478</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Segment amortization</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2,659</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121</w:t>
            </w: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2,538</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2,354</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2,354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3780" w:type="dxa"/>
            <w:vAlign w:val="bottom"/>
            <w:tcBorders>
              <w:bottom w:val="single" w:sz="8" w:color="CFF0FC"/>
            </w:tcBorders>
          </w:tcPr>
          <w:p>
            <w:pPr>
              <w:ind w:left="26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42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jc w:val="right"/>
              <w:ind w:right="6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(19,550</w:t>
            </w:r>
          </w:p>
        </w:tc>
        <w:tc>
          <w:tcPr>
            <w:tcW w:w="120" w:type="dxa"/>
            <w:vAlign w:val="bottom"/>
            <w:tcBorders>
              <w:bottom w:val="single" w:sz="8" w:color="CFF0FC"/>
            </w:tcBorders>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120" w:type="dxa"/>
            <w:vAlign w:val="bottom"/>
            <w:tcBorders>
              <w:bottom w:val="single" w:sz="8" w:color="CFF0FC"/>
            </w:tcBorders>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(19)</w:t>
            </w:r>
          </w:p>
        </w:tc>
        <w:tc>
          <w:tcPr>
            <w:tcW w:w="18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(825)</w:t>
            </w:r>
          </w:p>
        </w:tc>
        <w:tc>
          <w:tcPr>
            <w:tcW w:w="16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(18,706</w:t>
            </w:r>
          </w:p>
        </w:tc>
        <w:tc>
          <w:tcPr>
            <w:tcW w:w="180" w:type="dxa"/>
            <w:vAlign w:val="bottom"/>
            <w:tcBorders>
              <w:bottom w:val="single" w:sz="8" w:color="CFF0FC"/>
            </w:tcBorders>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bottom w:val="single" w:sz="8" w:color="CFF0FC"/>
            </w:tcBorders>
          </w:tcPr>
          <w:p>
            <w:pPr>
              <w:spacing w:after="0"/>
              <w:rPr>
                <w:sz w:val="17"/>
                <w:szCs w:val="17"/>
                <w:color w:val="auto"/>
              </w:rPr>
            </w:pPr>
          </w:p>
        </w:tc>
        <w:tc>
          <w:tcPr>
            <w:tcW w:w="16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0"/>
                <w:szCs w:val="10"/>
                <w:b w:val="1"/>
                <w:bCs w:val="1"/>
                <w:color w:val="auto"/>
                <w:w w:val="71"/>
              </w:rPr>
              <w:t>$</w:t>
            </w:r>
          </w:p>
        </w:tc>
        <w:tc>
          <w:tcPr>
            <w:tcW w:w="6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(35,076</w:t>
            </w:r>
          </w:p>
        </w:tc>
        <w:tc>
          <w:tcPr>
            <w:tcW w:w="140" w:type="dxa"/>
            <w:vAlign w:val="bottom"/>
            <w:tcBorders>
              <w:bottom w:val="single" w:sz="8" w:color="CFF0FC"/>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84"/>
              </w:rPr>
              <w:t>)</w:t>
            </w:r>
          </w:p>
        </w:tc>
        <w:tc>
          <w:tcPr>
            <w:tcW w:w="6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(35,076)</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378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Adjusted segment operating margin</w:t>
            </w:r>
          </w:p>
        </w:tc>
        <w:tc>
          <w:tcPr>
            <w:tcW w:w="42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spacing w:after="0" w:line="143" w:lineRule="exact"/>
              <w:rPr>
                <w:sz w:val="20"/>
                <w:szCs w:val="20"/>
                <w:color w:val="auto"/>
              </w:rPr>
            </w:pPr>
            <w:r>
              <w:rPr>
                <w:rFonts w:ascii="Arial" w:cs="Arial" w:eastAsia="Arial" w:hAnsi="Arial"/>
                <w:sz w:val="14"/>
                <w:szCs w:val="14"/>
                <w:color w:val="auto"/>
              </w:rPr>
              <w:t>-53.7%</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60" w:type="dxa"/>
            <w:vAlign w:val="bottom"/>
            <w:gridSpan w:val="2"/>
            <w:shd w:val="clear" w:color="auto" w:fill="CFF0FC"/>
          </w:tcPr>
          <w:p>
            <w:pPr>
              <w:jc w:val="right"/>
              <w:ind w:right="60"/>
              <w:spacing w:after="0" w:line="143" w:lineRule="exact"/>
              <w:rPr>
                <w:sz w:val="20"/>
                <w:szCs w:val="20"/>
                <w:color w:val="auto"/>
              </w:rPr>
            </w:pPr>
            <w:r>
              <w:rPr>
                <w:rFonts w:ascii="Arial" w:cs="Arial" w:eastAsia="Arial" w:hAnsi="Arial"/>
                <w:sz w:val="14"/>
                <w:szCs w:val="14"/>
                <w:color w:val="auto"/>
              </w:rPr>
              <w:t>-14.5%</w:t>
            </w: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shd w:val="clear" w:color="auto" w:fill="CFF0FC"/>
          </w:tcPr>
          <w:p>
            <w:pPr>
              <w:jc w:val="right"/>
              <w:ind w:right="40"/>
              <w:spacing w:after="0" w:line="143" w:lineRule="exact"/>
              <w:rPr>
                <w:sz w:val="20"/>
                <w:szCs w:val="20"/>
                <w:color w:val="auto"/>
              </w:rPr>
            </w:pPr>
            <w:r>
              <w:rPr>
                <w:rFonts w:ascii="Arial" w:cs="Arial" w:eastAsia="Arial" w:hAnsi="Arial"/>
                <w:sz w:val="14"/>
                <w:szCs w:val="14"/>
                <w:color w:val="auto"/>
              </w:rPr>
              <w:t>-93.0%</w:t>
            </w: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60" w:type="dxa"/>
            <w:vAlign w:val="bottom"/>
            <w:gridSpan w:val="2"/>
            <w:shd w:val="clear" w:color="auto" w:fill="CFF0FC"/>
          </w:tcPr>
          <w:p>
            <w:pPr>
              <w:jc w:val="right"/>
              <w:ind w:right="19"/>
              <w:spacing w:after="0" w:line="143" w:lineRule="exact"/>
              <w:rPr>
                <w:sz w:val="20"/>
                <w:szCs w:val="20"/>
                <w:color w:val="auto"/>
              </w:rPr>
            </w:pPr>
            <w:r>
              <w:rPr>
                <w:rFonts w:ascii="Arial" w:cs="Arial" w:eastAsia="Arial" w:hAnsi="Arial"/>
                <w:sz w:val="14"/>
                <w:szCs w:val="14"/>
                <w:color w:val="auto"/>
              </w:rPr>
              <w:t>-52.7%</w:t>
            </w:r>
          </w:p>
        </w:tc>
        <w:tc>
          <w:tcPr>
            <w:tcW w:w="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Adjusted segment EBITDA margin</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-31.9%</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4"/>
                <w:szCs w:val="14"/>
                <w:color w:val="auto"/>
              </w:rPr>
              <w:t>-8.1%</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4"/>
                <w:szCs w:val="14"/>
                <w:color w:val="auto"/>
              </w:rPr>
              <w:t>-48.8%</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2"/>
          </w:tcPr>
          <w:p>
            <w:pPr>
              <w:jc w:val="right"/>
              <w:ind w:right="19"/>
              <w:spacing w:after="0"/>
              <w:rPr>
                <w:sz w:val="20"/>
                <w:szCs w:val="20"/>
                <w:color w:val="auto"/>
              </w:rPr>
            </w:pPr>
            <w:r>
              <w:rPr>
                <w:rFonts w:ascii="Arial" w:cs="Arial" w:eastAsia="Arial" w:hAnsi="Arial"/>
                <w:sz w:val="14"/>
                <w:szCs w:val="14"/>
                <w:color w:val="auto"/>
              </w:rPr>
              <w:t>-31.5%</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b w:val="1"/>
                <w:bCs w:val="1"/>
                <w:color w:val="auto"/>
              </w:rPr>
              <w:t>GES: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Revenue</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24,920</w:t>
            </w:r>
          </w:p>
        </w:tc>
        <w:tc>
          <w:tcPr>
            <w:tcW w:w="12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415</w:t>
            </w:r>
          </w:p>
        </w:tc>
        <w:tc>
          <w:tcPr>
            <w:tcW w:w="160" w:type="dxa"/>
            <w:vAlign w:val="bottom"/>
            <w:shd w:val="clear" w:color="auto" w:fill="CFF0FC"/>
          </w:tcPr>
          <w:p>
            <w:pPr>
              <w:spacing w:after="0"/>
              <w:rPr>
                <w:sz w:val="14"/>
                <w:szCs w:val="14"/>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24,505</w:t>
            </w:r>
          </w:p>
        </w:tc>
        <w:tc>
          <w:tcPr>
            <w:tcW w:w="18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46"/>
              <w:spacing w:after="0"/>
              <w:rPr>
                <w:sz w:val="20"/>
                <w:szCs w:val="20"/>
                <w:color w:val="auto"/>
              </w:rPr>
            </w:pPr>
            <w:r>
              <w:rPr>
                <w:rFonts w:ascii="Arial" w:cs="Arial" w:eastAsia="Arial" w:hAnsi="Arial"/>
                <w:sz w:val="14"/>
                <w:szCs w:val="14"/>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24,803</w:t>
            </w:r>
          </w:p>
        </w:tc>
        <w:tc>
          <w:tcPr>
            <w:tcW w:w="140" w:type="dxa"/>
            <w:vAlign w:val="bottom"/>
            <w:shd w:val="clear" w:color="auto" w:fill="CFF0FC"/>
          </w:tcPr>
          <w:p>
            <w:pPr>
              <w:spacing w:after="0"/>
              <w:rPr>
                <w:sz w:val="14"/>
                <w:szCs w:val="14"/>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24,803</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7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4"/>
                <w:szCs w:val="14"/>
                <w:color w:val="auto"/>
              </w:rPr>
              <w:t>Segment operating loss</w:t>
            </w:r>
          </w:p>
        </w:tc>
        <w:tc>
          <w:tcPr>
            <w:tcW w:w="4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780" w:type="dxa"/>
            <w:vAlign w:val="bottom"/>
            <w:tcBorders>
              <w:bottom w:val="single" w:sz="8" w:color="CFF0FC"/>
            </w:tcBorders>
            <w:vMerge w:val="continue"/>
          </w:tcPr>
          <w:p>
            <w:pPr>
              <w:spacing w:after="0"/>
              <w:rPr>
                <w:sz w:val="12"/>
                <w:szCs w:val="12"/>
                <w:color w:val="auto"/>
              </w:rPr>
            </w:pPr>
          </w:p>
        </w:tc>
        <w:tc>
          <w:tcPr>
            <w:tcW w:w="420" w:type="dxa"/>
            <w:vAlign w:val="bottom"/>
            <w:tcBorders>
              <w:bottom w:val="single" w:sz="8" w:color="CFF0FC"/>
            </w:tcBorders>
          </w:tcPr>
          <w:p>
            <w:pPr>
              <w:spacing w:after="0"/>
              <w:rPr>
                <w:sz w:val="12"/>
                <w:szCs w:val="12"/>
                <w:color w:val="auto"/>
              </w:rPr>
            </w:pPr>
          </w:p>
        </w:tc>
        <w:tc>
          <w:tcPr>
            <w:tcW w:w="220" w:type="dxa"/>
            <w:vAlign w:val="bottom"/>
            <w:tcBorders>
              <w:bottom w:val="single" w:sz="8" w:color="auto"/>
            </w:tcBorders>
          </w:tcPr>
          <w:p>
            <w:pPr>
              <w:jc w:val="right"/>
              <w:ind w:right="68"/>
              <w:spacing w:after="0" w:line="143"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(26,897)</w:t>
            </w:r>
          </w:p>
        </w:tc>
        <w:tc>
          <w:tcPr>
            <w:tcW w:w="120" w:type="dxa"/>
            <w:vAlign w:val="bottom"/>
            <w:tcBorders>
              <w:bottom w:val="single" w:sz="8" w:color="CFF0FC"/>
            </w:tcBorders>
          </w:tcPr>
          <w:p>
            <w:pPr>
              <w:spacing w:after="0"/>
              <w:rPr>
                <w:sz w:val="12"/>
                <w:szCs w:val="12"/>
                <w:color w:val="auto"/>
              </w:rPr>
            </w:pPr>
          </w:p>
        </w:tc>
        <w:tc>
          <w:tcPr>
            <w:tcW w:w="120" w:type="dxa"/>
            <w:vAlign w:val="bottom"/>
            <w:tcBorders>
              <w:bottom w:val="single" w:sz="8" w:color="CFF0FC"/>
            </w:tcBorders>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w:t>
            </w:r>
          </w:p>
        </w:tc>
        <w:tc>
          <w:tcPr>
            <w:tcW w:w="180" w:type="dxa"/>
            <w:vAlign w:val="bottom"/>
            <w:tcBorders>
              <w:bottom w:val="single" w:sz="8" w:color="CFF0FC"/>
            </w:tcBorders>
          </w:tcPr>
          <w:p>
            <w:pPr>
              <w:spacing w:after="0"/>
              <w:rPr>
                <w:sz w:val="12"/>
                <w:szCs w:val="12"/>
                <w:color w:val="auto"/>
              </w:rPr>
            </w:pPr>
          </w:p>
        </w:tc>
        <w:tc>
          <w:tcPr>
            <w:tcW w:w="60" w:type="dxa"/>
            <w:vAlign w:val="bottom"/>
            <w:tcBorders>
              <w:bottom w:val="single" w:sz="8" w:color="CFF0FC"/>
            </w:tcBorders>
          </w:tcPr>
          <w:p>
            <w:pPr>
              <w:spacing w:after="0"/>
              <w:rPr>
                <w:sz w:val="12"/>
                <w:szCs w:val="12"/>
                <w:color w:val="auto"/>
              </w:rPr>
            </w:pPr>
          </w:p>
        </w:tc>
        <w:tc>
          <w:tcPr>
            <w:tcW w:w="8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(438)</w:t>
            </w:r>
          </w:p>
        </w:tc>
        <w:tc>
          <w:tcPr>
            <w:tcW w:w="160" w:type="dxa"/>
            <w:vAlign w:val="bottom"/>
            <w:tcBorders>
              <w:bottom w:val="single" w:sz="8" w:color="CFF0FC"/>
            </w:tcBorders>
          </w:tcPr>
          <w:p>
            <w:pPr>
              <w:spacing w:after="0"/>
              <w:rPr>
                <w:sz w:val="12"/>
                <w:szCs w:val="12"/>
                <w:color w:val="auto"/>
              </w:rPr>
            </w:pPr>
          </w:p>
        </w:tc>
        <w:tc>
          <w:tcPr>
            <w:tcW w:w="60" w:type="dxa"/>
            <w:vAlign w:val="bottom"/>
            <w:tcBorders>
              <w:bottom w:val="single" w:sz="8" w:color="CFF0FC"/>
            </w:tcBorders>
          </w:tcPr>
          <w:p>
            <w:pPr>
              <w:spacing w:after="0"/>
              <w:rPr>
                <w:sz w:val="12"/>
                <w:szCs w:val="12"/>
                <w:color w:val="auto"/>
              </w:rPr>
            </w:pPr>
          </w:p>
        </w:tc>
        <w:tc>
          <w:tcPr>
            <w:tcW w:w="12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(26,459)</w:t>
            </w:r>
          </w:p>
        </w:tc>
        <w:tc>
          <w:tcPr>
            <w:tcW w:w="180" w:type="dxa"/>
            <w:vAlign w:val="bottom"/>
            <w:tcBorders>
              <w:bottom w:val="single" w:sz="8" w:color="CFF0FC"/>
            </w:tcBorders>
          </w:tcPr>
          <w:p>
            <w:pPr>
              <w:spacing w:after="0"/>
              <w:rPr>
                <w:sz w:val="12"/>
                <w:szCs w:val="12"/>
                <w:color w:val="auto"/>
              </w:rPr>
            </w:pPr>
          </w:p>
        </w:tc>
        <w:tc>
          <w:tcPr>
            <w:tcW w:w="60" w:type="dxa"/>
            <w:vAlign w:val="bottom"/>
            <w:tcBorders>
              <w:bottom w:val="single" w:sz="8" w:color="CFF0FC"/>
            </w:tcBorders>
          </w:tcPr>
          <w:p>
            <w:pPr>
              <w:spacing w:after="0"/>
              <w:rPr>
                <w:sz w:val="12"/>
                <w:szCs w:val="12"/>
                <w:color w:val="auto"/>
              </w:rPr>
            </w:pPr>
          </w:p>
        </w:tc>
        <w:tc>
          <w:tcPr>
            <w:tcW w:w="160" w:type="dxa"/>
            <w:vAlign w:val="bottom"/>
            <w:tcBorders>
              <w:bottom w:val="single" w:sz="8" w:color="auto"/>
            </w:tcBorders>
          </w:tcPr>
          <w:p>
            <w:pPr>
              <w:jc w:val="right"/>
              <w:ind w:right="46"/>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(32,060)</w:t>
            </w:r>
          </w:p>
        </w:tc>
        <w:tc>
          <w:tcPr>
            <w:tcW w:w="140" w:type="dxa"/>
            <w:vAlign w:val="bottom"/>
            <w:tcBorders>
              <w:bottom w:val="single" w:sz="8" w:color="CFF0FC"/>
            </w:tcBorders>
          </w:tcPr>
          <w:p>
            <w:pPr>
              <w:spacing w:after="0"/>
              <w:rPr>
                <w:sz w:val="12"/>
                <w:szCs w:val="12"/>
                <w:color w:val="auto"/>
              </w:rPr>
            </w:pPr>
          </w:p>
        </w:tc>
        <w:tc>
          <w:tcPr>
            <w:tcW w:w="60" w:type="dxa"/>
            <w:vAlign w:val="bottom"/>
            <w:tcBorders>
              <w:bottom w:val="single" w:sz="8" w:color="CFF0FC"/>
            </w:tcBorders>
          </w:tcPr>
          <w:p>
            <w:pPr>
              <w:spacing w:after="0"/>
              <w:rPr>
                <w:sz w:val="12"/>
                <w:szCs w:val="12"/>
                <w:color w:val="auto"/>
              </w:rPr>
            </w:pPr>
          </w:p>
        </w:tc>
        <w:tc>
          <w:tcPr>
            <w:tcW w:w="12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tcPr>
          <w:p>
            <w:pPr>
              <w:ind w:left="520"/>
              <w:spacing w:after="0" w:line="143" w:lineRule="exact"/>
              <w:rPr>
                <w:sz w:val="20"/>
                <w:szCs w:val="20"/>
                <w:color w:val="auto"/>
              </w:rPr>
            </w:pPr>
            <w:r>
              <w:rPr>
                <w:rFonts w:ascii="Arial" w:cs="Arial" w:eastAsia="Arial" w:hAnsi="Arial"/>
                <w:sz w:val="14"/>
                <w:szCs w:val="14"/>
                <w:color w:val="auto"/>
                <w:w w:val="99"/>
              </w:rPr>
              <w:t>—</w:t>
            </w:r>
          </w:p>
        </w:tc>
        <w:tc>
          <w:tcPr>
            <w:tcW w:w="200" w:type="dxa"/>
            <w:vAlign w:val="bottom"/>
            <w:tcBorders>
              <w:bottom w:val="single" w:sz="8" w:color="CFF0FC"/>
            </w:tcBorders>
          </w:tcPr>
          <w:p>
            <w:pPr>
              <w:spacing w:after="0"/>
              <w:rPr>
                <w:sz w:val="12"/>
                <w:szCs w:val="12"/>
                <w:color w:val="auto"/>
              </w:rPr>
            </w:pPr>
          </w:p>
        </w:tc>
        <w:tc>
          <w:tcPr>
            <w:tcW w:w="12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line="143" w:lineRule="exact"/>
              <w:rPr>
                <w:sz w:val="20"/>
                <w:szCs w:val="20"/>
                <w:color w:val="auto"/>
              </w:rPr>
            </w:pPr>
            <w:r>
              <w:rPr>
                <w:rFonts w:ascii="Arial" w:cs="Arial" w:eastAsia="Arial" w:hAnsi="Arial"/>
                <w:sz w:val="14"/>
                <w:szCs w:val="14"/>
                <w:color w:val="auto"/>
              </w:rPr>
              <w:t>(32,060)</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3780" w:type="dxa"/>
            <w:vAlign w:val="bottom"/>
            <w:shd w:val="clear" w:color="auto" w:fill="CFF0FC"/>
          </w:tcPr>
          <w:p>
            <w:pPr>
              <w:ind w:left="260"/>
              <w:spacing w:after="0" w:line="155" w:lineRule="exact"/>
              <w:rPr>
                <w:sz w:val="20"/>
                <w:szCs w:val="20"/>
                <w:color w:val="auto"/>
              </w:rPr>
            </w:pPr>
            <w:r>
              <w:rPr>
                <w:rFonts w:ascii="Arial" w:cs="Arial" w:eastAsia="Arial" w:hAnsi="Arial"/>
                <w:sz w:val="14"/>
                <w:szCs w:val="14"/>
                <w:b w:val="1"/>
                <w:bCs w:val="1"/>
                <w:color w:val="auto"/>
              </w:rPr>
              <w:t>Adjusted segment operating loss</w:t>
            </w:r>
          </w:p>
        </w:tc>
        <w:tc>
          <w:tcPr>
            <w:tcW w:w="4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58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(26,897)</w:t>
            </w:r>
          </w:p>
        </w:tc>
        <w:tc>
          <w:tcPr>
            <w:tcW w:w="1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(438)</w:t>
            </w: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(26,459)</w:t>
            </w:r>
          </w:p>
        </w:tc>
        <w:tc>
          <w:tcPr>
            <w:tcW w:w="1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2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(32,060)</w:t>
            </w:r>
          </w:p>
        </w:tc>
        <w:tc>
          <w:tcPr>
            <w:tcW w:w="1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(32,060)</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Depreciation</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4,116</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81</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4,035</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5,485</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5,485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Amortization</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1,220</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1,211</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1,399</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1,399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3780" w:type="dxa"/>
            <w:vAlign w:val="bottom"/>
            <w:tcBorders>
              <w:bottom w:val="single" w:sz="8" w:color="CFF0FC"/>
            </w:tcBorders>
          </w:tcPr>
          <w:p>
            <w:pPr>
              <w:ind w:left="26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42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jc w:val="right"/>
              <w:ind w:right="6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(21,561</w:t>
            </w:r>
          </w:p>
        </w:tc>
        <w:tc>
          <w:tcPr>
            <w:tcW w:w="120" w:type="dxa"/>
            <w:vAlign w:val="bottom"/>
            <w:tcBorders>
              <w:bottom w:val="single" w:sz="8" w:color="CFF0FC"/>
            </w:tcBorders>
          </w:tcPr>
          <w:p>
            <w:pPr>
              <w:jc w:val="right"/>
              <w:spacing w:after="0" w:line="155" w:lineRule="exact"/>
              <w:rPr>
                <w:sz w:val="20"/>
                <w:szCs w:val="20"/>
                <w:color w:val="auto"/>
              </w:rPr>
            </w:pPr>
            <w:r>
              <w:rPr>
                <w:rFonts w:ascii="Arial" w:cs="Arial" w:eastAsia="Arial" w:hAnsi="Arial"/>
                <w:sz w:val="14"/>
                <w:szCs w:val="14"/>
                <w:b w:val="1"/>
                <w:bCs w:val="1"/>
                <w:color w:val="auto"/>
                <w:w w:val="84"/>
              </w:rPr>
              <w:t>)</w:t>
            </w:r>
          </w:p>
        </w:tc>
        <w:tc>
          <w:tcPr>
            <w:tcW w:w="120" w:type="dxa"/>
            <w:vAlign w:val="bottom"/>
            <w:tcBorders>
              <w:bottom w:val="single" w:sz="8" w:color="CFF0FC"/>
            </w:tcBorders>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(348)</w:t>
            </w:r>
          </w:p>
        </w:tc>
        <w:tc>
          <w:tcPr>
            <w:tcW w:w="16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(21,213</w:t>
            </w:r>
          </w:p>
        </w:tc>
        <w:tc>
          <w:tcPr>
            <w:tcW w:w="180" w:type="dxa"/>
            <w:vAlign w:val="bottom"/>
            <w:tcBorders>
              <w:bottom w:val="single" w:sz="8" w:color="CFF0FC"/>
            </w:tcBorders>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60" w:type="dxa"/>
            <w:vAlign w:val="bottom"/>
            <w:tcBorders>
              <w:bottom w:val="single" w:sz="8" w:color="CFF0FC"/>
            </w:tcBorders>
          </w:tcPr>
          <w:p>
            <w:pPr>
              <w:spacing w:after="0"/>
              <w:rPr>
                <w:sz w:val="17"/>
                <w:szCs w:val="17"/>
                <w:color w:val="auto"/>
              </w:rPr>
            </w:pPr>
          </w:p>
        </w:tc>
        <w:tc>
          <w:tcPr>
            <w:tcW w:w="16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0"/>
                <w:szCs w:val="10"/>
                <w:b w:val="1"/>
                <w:bCs w:val="1"/>
                <w:color w:val="auto"/>
                <w:w w:val="71"/>
              </w:rPr>
              <w:t>$</w:t>
            </w:r>
          </w:p>
        </w:tc>
        <w:tc>
          <w:tcPr>
            <w:tcW w:w="6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(25,176</w:t>
            </w:r>
          </w:p>
        </w:tc>
        <w:tc>
          <w:tcPr>
            <w:tcW w:w="140" w:type="dxa"/>
            <w:vAlign w:val="bottom"/>
            <w:tcBorders>
              <w:bottom w:val="single" w:sz="8" w:color="CFF0FC"/>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84"/>
              </w:rPr>
              <w:t>)</w:t>
            </w:r>
          </w:p>
        </w:tc>
        <w:tc>
          <w:tcPr>
            <w:tcW w:w="6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tcBorders>
              <w:bottom w:val="single" w:sz="8" w:color="CFF0FC"/>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(25,176)</w:t>
            </w: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378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Adjusted segment operating margin</w:t>
            </w:r>
          </w:p>
        </w:tc>
        <w:tc>
          <w:tcPr>
            <w:tcW w:w="42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8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line="143" w:lineRule="exact"/>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Adjusted segment EBITDA margin</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-86.5%</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4"/>
                <w:szCs w:val="14"/>
                <w:color w:val="auto"/>
              </w:rPr>
              <w:t>-83.9%</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2"/>
          </w:tcPr>
          <w:p>
            <w:pPr>
              <w:jc w:val="right"/>
              <w:ind w:right="19"/>
              <w:spacing w:after="0"/>
              <w:rPr>
                <w:sz w:val="20"/>
                <w:szCs w:val="20"/>
                <w:color w:val="auto"/>
              </w:rPr>
            </w:pPr>
            <w:r>
              <w:rPr>
                <w:rFonts w:ascii="Arial" w:cs="Arial" w:eastAsia="Arial" w:hAnsi="Arial"/>
                <w:sz w:val="14"/>
                <w:szCs w:val="14"/>
                <w:color w:val="auto"/>
              </w:rPr>
              <w:t>-86.6%</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b w:val="1"/>
                <w:bCs w:val="1"/>
                <w:color w:val="auto"/>
              </w:rPr>
              <w:t>Pursuit:</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Revenue</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36,313</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234</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1,275</w:t>
            </w:r>
          </w:p>
        </w:tc>
        <w:tc>
          <w:tcPr>
            <w:tcW w:w="160" w:type="dxa"/>
            <w:vAlign w:val="bottom"/>
            <w:shd w:val="clear" w:color="auto" w:fill="CFF0FC"/>
          </w:tcPr>
          <w:p>
            <w:pPr>
              <w:spacing w:after="0"/>
              <w:rPr>
                <w:sz w:val="14"/>
                <w:szCs w:val="14"/>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34,804</w:t>
            </w:r>
          </w:p>
        </w:tc>
        <w:tc>
          <w:tcPr>
            <w:tcW w:w="18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46"/>
              <w:spacing w:after="0"/>
              <w:rPr>
                <w:sz w:val="20"/>
                <w:szCs w:val="20"/>
                <w:color w:val="auto"/>
              </w:rPr>
            </w:pPr>
            <w:r>
              <w:rPr>
                <w:rFonts w:ascii="Arial" w:cs="Arial" w:eastAsia="Arial" w:hAnsi="Arial"/>
                <w:sz w:val="14"/>
                <w:szCs w:val="14"/>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5,264</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5,264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7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4"/>
                <w:szCs w:val="14"/>
                <w:color w:val="auto"/>
              </w:rPr>
              <w:t>Segment operating loss</w:t>
            </w:r>
          </w:p>
        </w:tc>
        <w:tc>
          <w:tcPr>
            <w:tcW w:w="4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780" w:type="dxa"/>
            <w:vAlign w:val="bottom"/>
            <w:vMerge w:val="continue"/>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jc w:val="right"/>
              <w:ind w:right="68"/>
              <w:spacing w:after="0" w:line="143" w:lineRule="exact"/>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line="143" w:lineRule="exact"/>
              <w:rPr>
                <w:sz w:val="20"/>
                <w:szCs w:val="20"/>
                <w:color w:val="auto"/>
              </w:rPr>
            </w:pPr>
            <w:r>
              <w:rPr>
                <w:rFonts w:ascii="Arial" w:cs="Arial" w:eastAsia="Arial" w:hAnsi="Arial"/>
                <w:sz w:val="14"/>
                <w:szCs w:val="14"/>
                <w:color w:val="auto"/>
              </w:rPr>
              <w:t>(8,097)</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line="143" w:lineRule="exact"/>
              <w:rPr>
                <w:sz w:val="20"/>
                <w:szCs w:val="20"/>
                <w:color w:val="auto"/>
              </w:rPr>
            </w:pPr>
            <w:r>
              <w:rPr>
                <w:rFonts w:ascii="Arial" w:cs="Arial" w:eastAsia="Arial" w:hAnsi="Arial"/>
                <w:sz w:val="14"/>
                <w:szCs w:val="14"/>
                <w:color w:val="auto"/>
              </w:rPr>
              <w:t>(258)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jc w:val="right"/>
              <w:spacing w:after="0" w:line="143"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line="143" w:lineRule="exact"/>
              <w:rPr>
                <w:sz w:val="20"/>
                <w:szCs w:val="20"/>
                <w:color w:val="auto"/>
              </w:rPr>
            </w:pPr>
            <w:r>
              <w:rPr>
                <w:rFonts w:ascii="Arial" w:cs="Arial" w:eastAsia="Arial" w:hAnsi="Arial"/>
                <w:sz w:val="14"/>
                <w:szCs w:val="14"/>
                <w:color w:val="auto"/>
              </w:rPr>
              <w:t>(1,139)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jc w:val="right"/>
              <w:spacing w:after="0" w:line="143"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43" w:lineRule="exact"/>
              <w:rPr>
                <w:sz w:val="20"/>
                <w:szCs w:val="20"/>
                <w:color w:val="auto"/>
              </w:rPr>
            </w:pPr>
            <w:r>
              <w:rPr>
                <w:rFonts w:ascii="Arial" w:cs="Arial" w:eastAsia="Arial" w:hAnsi="Arial"/>
                <w:sz w:val="14"/>
                <w:szCs w:val="14"/>
                <w:color w:val="auto"/>
              </w:rPr>
              <w:t>(6,700)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620" w:type="dxa"/>
            <w:vAlign w:val="bottom"/>
          </w:tcPr>
          <w:p>
            <w:pPr>
              <w:jc w:val="right"/>
              <w:spacing w:after="0" w:line="143" w:lineRule="exact"/>
              <w:rPr>
                <w:sz w:val="20"/>
                <w:szCs w:val="20"/>
                <w:color w:val="auto"/>
              </w:rPr>
            </w:pPr>
            <w:r>
              <w:rPr>
                <w:rFonts w:ascii="Arial" w:cs="Arial" w:eastAsia="Arial" w:hAnsi="Arial"/>
                <w:sz w:val="14"/>
                <w:szCs w:val="14"/>
                <w:color w:val="auto"/>
              </w:rPr>
              <w:t>(17,692)</w:t>
            </w: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jc w:val="right"/>
              <w:spacing w:after="0" w:line="143" w:lineRule="exact"/>
              <w:rPr>
                <w:sz w:val="20"/>
                <w:szCs w:val="20"/>
                <w:color w:val="auto"/>
              </w:rPr>
            </w:pPr>
            <w:r>
              <w:rPr>
                <w:rFonts w:ascii="Arial" w:cs="Arial" w:eastAsia="Arial" w:hAnsi="Arial"/>
                <w:sz w:val="14"/>
                <w:szCs w:val="14"/>
                <w:color w:val="auto"/>
                <w:w w:val="76"/>
              </w:rPr>
              <w:t>$</w:t>
            </w:r>
          </w:p>
        </w:tc>
        <w:tc>
          <w:tcPr>
            <w:tcW w:w="680" w:type="dxa"/>
            <w:vAlign w:val="bottom"/>
          </w:tcPr>
          <w:p>
            <w:pPr>
              <w:ind w:left="520"/>
              <w:spacing w:after="0" w:line="143" w:lineRule="exact"/>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2"/>
                <w:szCs w:val="12"/>
                <w:color w:val="auto"/>
              </w:rPr>
            </w:pPr>
          </w:p>
        </w:tc>
        <w:tc>
          <w:tcPr>
            <w:tcW w:w="120" w:type="dxa"/>
            <w:vAlign w:val="bottom"/>
          </w:tcPr>
          <w:p>
            <w:pPr>
              <w:jc w:val="right"/>
              <w:spacing w:after="0" w:line="143"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43" w:lineRule="exact"/>
              <w:rPr>
                <w:sz w:val="20"/>
                <w:szCs w:val="20"/>
                <w:color w:val="auto"/>
              </w:rPr>
            </w:pPr>
            <w:r>
              <w:rPr>
                <w:rFonts w:ascii="Arial" w:cs="Arial" w:eastAsia="Arial" w:hAnsi="Arial"/>
                <w:sz w:val="14"/>
                <w:szCs w:val="14"/>
                <w:color w:val="auto"/>
              </w:rPr>
              <w:t>(17,692)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Integration costs</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8"/>
              <w:spacing w:after="0"/>
              <w:rPr>
                <w:sz w:val="20"/>
                <w:szCs w:val="20"/>
                <w:color w:val="auto"/>
              </w:rPr>
            </w:pPr>
            <w:r>
              <w:rPr>
                <w:rFonts w:ascii="Arial" w:cs="Arial" w:eastAsia="Arial" w:hAnsi="Arial"/>
                <w:sz w:val="14"/>
                <w:szCs w:val="14"/>
                <w:color w:val="auto"/>
              </w:rPr>
              <w:t>(10)</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Acquisition transaction-related costs</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59</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Attraction start-up costs (B)</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2,054</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224</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1,830</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854</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780" w:type="dxa"/>
            <w:vAlign w:val="bottom"/>
          </w:tcPr>
          <w:p>
            <w:pPr>
              <w:ind w:left="260"/>
              <w:spacing w:after="0" w:line="155" w:lineRule="exact"/>
              <w:rPr>
                <w:sz w:val="20"/>
                <w:szCs w:val="20"/>
                <w:color w:val="auto"/>
              </w:rPr>
            </w:pPr>
            <w:r>
              <w:rPr>
                <w:rFonts w:ascii="Arial" w:cs="Arial" w:eastAsia="Arial" w:hAnsi="Arial"/>
                <w:sz w:val="14"/>
                <w:szCs w:val="14"/>
                <w:b w:val="1"/>
                <w:bCs w:val="1"/>
                <w:color w:val="auto"/>
              </w:rPr>
              <w:t>Adjusted segment operating loss</w:t>
            </w:r>
          </w:p>
        </w:tc>
        <w:tc>
          <w:tcPr>
            <w:tcW w:w="420" w:type="dxa"/>
            <w:vAlign w:val="bottom"/>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(5,974)</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(1,134)</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(4,806)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(16,848)</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(16,848)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Depreciation</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6,546</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545</w:t>
            </w: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5,986</w:t>
            </w: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5,993</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5,993</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780" w:type="dxa"/>
            <w:vAlign w:val="bottom"/>
          </w:tcPr>
          <w:p>
            <w:pPr>
              <w:spacing w:after="0"/>
              <w:rPr>
                <w:sz w:val="20"/>
                <w:szCs w:val="20"/>
                <w:color w:val="auto"/>
              </w:rPr>
            </w:pPr>
            <w:r>
              <w:rPr>
                <w:rFonts w:ascii="Arial" w:cs="Arial" w:eastAsia="Arial" w:hAnsi="Arial"/>
                <w:sz w:val="14"/>
                <w:szCs w:val="14"/>
                <w:color w:val="auto"/>
              </w:rPr>
              <w:t>Amortization</w:t>
            </w: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1,439</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112</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1,327</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955</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ind w:left="520"/>
              <w:spacing w:after="0"/>
              <w:rPr>
                <w:sz w:val="20"/>
                <w:szCs w:val="20"/>
                <w:color w:val="auto"/>
              </w:rPr>
            </w:pPr>
            <w:r>
              <w:rPr>
                <w:rFonts w:ascii="Arial" w:cs="Arial" w:eastAsia="Arial" w:hAnsi="Arial"/>
                <w:sz w:val="14"/>
                <w:szCs w:val="14"/>
                <w:color w:val="auto"/>
                <w:w w:val="99"/>
              </w:rPr>
              <w:t>—</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955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780" w:type="dxa"/>
            <w:vAlign w:val="bottom"/>
            <w:tcBorders>
              <w:top w:val="single" w:sz="8" w:color="CFF0FC"/>
              <w:bottom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420" w:type="dxa"/>
            <w:vAlign w:val="bottom"/>
            <w:tcBorders>
              <w:top w:val="single" w:sz="8" w:color="CFF0FC"/>
              <w:bottom w:val="single" w:sz="8" w:color="CFF0FC"/>
            </w:tcBorders>
            <w:shd w:val="clear" w:color="auto" w:fill="CFF0FC"/>
          </w:tcPr>
          <w:p>
            <w:pPr>
              <w:spacing w:after="0"/>
              <w:rPr>
                <w:sz w:val="13"/>
                <w:szCs w:val="13"/>
                <w:color w:val="auto"/>
              </w:rPr>
            </w:pPr>
          </w:p>
        </w:tc>
        <w:tc>
          <w:tcPr>
            <w:tcW w:w="220" w:type="dxa"/>
            <w:vAlign w:val="bottom"/>
            <w:tcBorders>
              <w:top w:val="single" w:sz="8" w:color="auto"/>
              <w:bottom w:val="single" w:sz="8" w:color="auto"/>
            </w:tcBorders>
            <w:shd w:val="clear" w:color="auto" w:fill="CFF0FC"/>
          </w:tcPr>
          <w:p>
            <w:pPr>
              <w:jc w:val="right"/>
              <w:ind w:right="6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2,011</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(19)</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(477)</w:t>
            </w:r>
          </w:p>
        </w:tc>
        <w:tc>
          <w:tcPr>
            <w:tcW w:w="16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2,507</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46"/>
              <w:spacing w:after="0"/>
              <w:rPr>
                <w:sz w:val="20"/>
                <w:szCs w:val="20"/>
                <w:color w:val="auto"/>
              </w:rPr>
            </w:pPr>
            <w:r>
              <w:rPr>
                <w:rFonts w:ascii="Arial" w:cs="Arial" w:eastAsia="Arial" w:hAnsi="Arial"/>
                <w:sz w:val="10"/>
                <w:szCs w:val="10"/>
                <w:b w:val="1"/>
                <w:bCs w:val="1"/>
                <w:color w:val="auto"/>
                <w:w w:val="71"/>
              </w:rPr>
              <w:t>$</w:t>
            </w:r>
          </w:p>
        </w:tc>
        <w:tc>
          <w:tcPr>
            <w:tcW w:w="6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(9,900)</w:t>
            </w:r>
          </w:p>
        </w:tc>
        <w:tc>
          <w:tcPr>
            <w:tcW w:w="14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FF0FC"/>
          </w:tcPr>
          <w:p>
            <w:pPr>
              <w:ind w:left="520"/>
              <w:spacing w:after="0" w:line="155" w:lineRule="exact"/>
              <w:rPr>
                <w:sz w:val="20"/>
                <w:szCs w:val="20"/>
                <w:color w:val="auto"/>
              </w:rPr>
            </w:pPr>
            <w:r>
              <w:rPr>
                <w:rFonts w:ascii="Arial" w:cs="Arial" w:eastAsia="Arial" w:hAnsi="Arial"/>
                <w:sz w:val="14"/>
                <w:szCs w:val="14"/>
                <w:b w:val="1"/>
                <w:bCs w:val="1"/>
                <w:color w:val="auto"/>
                <w:w w:val="99"/>
              </w:rPr>
              <w:t>—</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(9,900)</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780" w:type="dxa"/>
            <w:vAlign w:val="bottom"/>
            <w:vMerge w:val="restart"/>
          </w:tcPr>
          <w:p>
            <w:pPr>
              <w:spacing w:after="0"/>
              <w:rPr>
                <w:sz w:val="20"/>
                <w:szCs w:val="20"/>
                <w:color w:val="auto"/>
              </w:rPr>
            </w:pPr>
            <w:r>
              <w:rPr>
                <w:rFonts w:ascii="Arial" w:cs="Arial" w:eastAsia="Arial" w:hAnsi="Arial"/>
                <w:sz w:val="14"/>
                <w:szCs w:val="14"/>
                <w:color w:val="auto"/>
              </w:rPr>
              <w:t>Adjusted segment operating margin</w:t>
            </w:r>
          </w:p>
        </w:tc>
        <w:tc>
          <w:tcPr>
            <w:tcW w:w="4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780" w:type="dxa"/>
            <w:vAlign w:val="bottom"/>
            <w:vMerge w:val="continue"/>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00" w:type="dxa"/>
            <w:vAlign w:val="bottom"/>
            <w:gridSpan w:val="2"/>
          </w:tcPr>
          <w:p>
            <w:pPr>
              <w:jc w:val="right"/>
              <w:spacing w:after="0" w:line="143" w:lineRule="exact"/>
              <w:rPr>
                <w:sz w:val="20"/>
                <w:szCs w:val="20"/>
                <w:color w:val="auto"/>
              </w:rPr>
            </w:pPr>
            <w:r>
              <w:rPr>
                <w:rFonts w:ascii="Arial" w:cs="Arial" w:eastAsia="Arial" w:hAnsi="Arial"/>
                <w:sz w:val="14"/>
                <w:szCs w:val="14"/>
                <w:color w:val="auto"/>
              </w:rPr>
              <w:t>-16.5%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right"/>
              <w:ind w:right="60"/>
              <w:spacing w:after="0" w:line="143" w:lineRule="exact"/>
              <w:rPr>
                <w:sz w:val="20"/>
                <w:szCs w:val="20"/>
                <w:color w:val="auto"/>
              </w:rPr>
            </w:pPr>
            <w:r>
              <w:rPr>
                <w:rFonts w:ascii="Arial" w:cs="Arial" w:eastAsia="Arial" w:hAnsi="Arial"/>
                <w:sz w:val="14"/>
                <w:szCs w:val="14"/>
                <w:color w:val="auto"/>
              </w:rPr>
              <w:t>-14.5%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ind w:right="40"/>
              <w:spacing w:after="0" w:line="143" w:lineRule="exact"/>
              <w:rPr>
                <w:sz w:val="20"/>
                <w:szCs w:val="20"/>
                <w:color w:val="auto"/>
              </w:rPr>
            </w:pPr>
            <w:r>
              <w:rPr>
                <w:rFonts w:ascii="Arial" w:cs="Arial" w:eastAsia="Arial" w:hAnsi="Arial"/>
                <w:sz w:val="14"/>
                <w:szCs w:val="14"/>
                <w:color w:val="auto"/>
              </w:rPr>
              <w:t>-88.9%</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2"/>
          </w:tcPr>
          <w:p>
            <w:pPr>
              <w:jc w:val="right"/>
              <w:ind w:right="19"/>
              <w:spacing w:after="0" w:line="143" w:lineRule="exact"/>
              <w:rPr>
                <w:sz w:val="20"/>
                <w:szCs w:val="20"/>
                <w:color w:val="auto"/>
              </w:rPr>
            </w:pPr>
            <w:r>
              <w:rPr>
                <w:rFonts w:ascii="Arial" w:cs="Arial" w:eastAsia="Arial" w:hAnsi="Arial"/>
                <w:sz w:val="14"/>
                <w:szCs w:val="14"/>
                <w:color w:val="auto"/>
              </w:rPr>
              <w:t>-13.8%</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spacing w:after="0" w:line="143"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3"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780" w:type="dxa"/>
            <w:vAlign w:val="bottom"/>
            <w:shd w:val="clear" w:color="auto" w:fill="CFF0FC"/>
          </w:tcPr>
          <w:p>
            <w:pPr>
              <w:spacing w:after="0"/>
              <w:rPr>
                <w:sz w:val="20"/>
                <w:szCs w:val="20"/>
                <w:color w:val="auto"/>
              </w:rPr>
            </w:pPr>
            <w:r>
              <w:rPr>
                <w:rFonts w:ascii="Arial" w:cs="Arial" w:eastAsia="Arial" w:hAnsi="Arial"/>
                <w:sz w:val="14"/>
                <w:szCs w:val="14"/>
                <w:color w:val="auto"/>
              </w:rPr>
              <w:t>Adjusted segment EBITDA margin</w:t>
            </w: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-8.1%</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gridSpan w:val="2"/>
            <w:shd w:val="clear" w:color="auto" w:fill="CFF0FC"/>
          </w:tcPr>
          <w:p>
            <w:pPr>
              <w:jc w:val="right"/>
              <w:ind w:right="40"/>
              <w:spacing w:after="0"/>
              <w:rPr>
                <w:sz w:val="20"/>
                <w:szCs w:val="20"/>
                <w:color w:val="auto"/>
              </w:rPr>
            </w:pPr>
            <w:r>
              <w:rPr>
                <w:rFonts w:ascii="Arial" w:cs="Arial" w:eastAsia="Arial" w:hAnsi="Arial"/>
                <w:sz w:val="14"/>
                <w:szCs w:val="14"/>
                <w:color w:val="auto"/>
              </w:rPr>
              <w:t>-37.4%</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9"/>
              <w:spacing w:after="0"/>
              <w:rPr>
                <w:sz w:val="20"/>
                <w:szCs w:val="20"/>
                <w:color w:val="auto"/>
              </w:rPr>
            </w:pPr>
            <w:r>
              <w:rPr>
                <w:rFonts w:ascii="Arial" w:cs="Arial" w:eastAsia="Arial" w:hAnsi="Arial"/>
                <w:sz w:val="14"/>
                <w:szCs w:val="14"/>
                <w:color w:val="auto"/>
              </w:rPr>
              <w:t>7.2%</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bl>
    <w:p>
      <w:pPr>
        <w:spacing w:after="0" w:line="264" w:lineRule="exact"/>
        <w:rPr>
          <w:sz w:val="20"/>
          <w:szCs w:val="20"/>
          <w:color w:val="auto"/>
        </w:rPr>
      </w:pPr>
    </w:p>
    <w:p>
      <w:pPr>
        <w:ind w:left="440" w:hanging="432"/>
        <w:spacing w:after="0"/>
        <w:tabs>
          <w:tab w:leader="none" w:pos="4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Acquisitions include the Golden Skybridge (acquired March 2021 and opened June 2021) for Pursuit.</w:t>
      </w:r>
    </w:p>
    <w:p>
      <w:pPr>
        <w:ind w:left="440" w:hanging="432"/>
        <w:spacing w:after="0"/>
        <w:tabs>
          <w:tab w:leader="none" w:pos="4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costs related to the development of Pursuit’s new FlyOver attractions in Las Vegas and Toronto, the Sky Lagoon in Iceland, and the Golden Skybridge in Canada..</w:t>
      </w:r>
    </w:p>
    <w:sectPr>
      <w:pgSz w:w="11900" w:h="16838" w:orient="portrait"/>
      <w:cols w:equalWidth="0" w:num="1">
        <w:col w:w="11240"/>
      </w:cols>
      <w:pgMar w:left="320" w:top="13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decimal"/>
      <w:start w:val="104"/>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1)"/>
      <w:numFmt w:val="decimal"/>
      <w:start w:val="602"/>
    </w:lvl>
  </w:abstractNum>
  <w:abstractNum w:abstractNumId="6">
    <w:nsid w:val="4DB127F8"/>
    <w:multiLevelType w:val="hybridMultilevel"/>
    <w:lvl w:ilvl="0">
      <w:lvlJc w:val="left"/>
      <w:lvlText w:val="(%1)"/>
      <w:numFmt w:val="upperLetter"/>
      <w:start w:val="1"/>
    </w:lvl>
  </w:abstractNum>
  <w:abstractNum w:abstractNumId="7">
    <w:nsid w:val="216231B"/>
    <w:multiLevelType w:val="hybridMultilevel"/>
    <w:lvl w:ilvl="0">
      <w:lvlJc w:val="left"/>
      <w:lvlText w:val="(%1)"/>
      <w:numFmt w:val="upperLetter"/>
      <w:start w:val="2"/>
    </w:lvl>
  </w:abstractNum>
  <w:abstractNum w:abstractNumId="8">
    <w:nsid w:val="1F16E9E8"/>
    <w:multiLevelType w:val="hybridMultilevel"/>
    <w:lvl w:ilvl="0">
      <w:lvlJc w:val="left"/>
      <w:lvlText w:val="1"/>
      <w:numFmt w:val="bullet"/>
      <w:start w:val="1"/>
    </w:lvl>
  </w:abstractNum>
  <w:abstractNum w:abstractNumId="9">
    <w:nsid w:val="1190CDE7"/>
    <w:multiLevelType w:val="hybridMultilevel"/>
    <w:lvl w:ilvl="0">
      <w:lvlJc w:val="left"/>
      <w:lvlText w:val="(%1)"/>
      <w:numFmt w:val="upperLetter"/>
      <w:start w:val="1"/>
    </w:lvl>
  </w:abstractNum>
  <w:abstractNum w:abstractNumId="10">
    <w:nsid w:val="66EF438D"/>
    <w:multiLevelType w:val="hybridMultilevel"/>
    <w:lvl w:ilvl="0">
      <w:lvlJc w:val="left"/>
      <w:lvlText w:val="1"/>
      <w:numFmt w:val="bullet"/>
      <w:start w:val="1"/>
    </w:lvl>
  </w:abstractNum>
  <w:abstractNum w:abstractNumId="11">
    <w:nsid w:val="140E0F76"/>
    <w:multiLevelType w:val="hybridMultilevel"/>
    <w:lvl w:ilvl="0">
      <w:lvlJc w:val="left"/>
      <w:lvlText w:val="(%1)"/>
      <w:numFmt w:val="upperLetter"/>
      <w:start w:val="2"/>
    </w:lvl>
  </w:abstractNum>
  <w:abstractNum w:abstractNumId="12">
    <w:nsid w:val="3352255A"/>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2021-08-05T15:53:38Z</dcterms:created>
  <dcterms:modified xsi:type="dcterms:W3CDTF">2021-08-05T15:53:38Z</dcterms:modified>
</cp:coreProperties>
</file>