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2" w:lineRule="exact"/>
        <w:rPr>
          <w:sz w:val="24"/>
          <w:szCs w:val="24"/>
          <w:color w:val="auto"/>
        </w:rPr>
      </w:pPr>
    </w:p>
    <w:p>
      <w:pPr>
        <w:ind w:left="380"/>
        <w:spacing w:after="0" w:line="244"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4"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0"/>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40640</wp:posOffset>
            </wp:positionV>
            <wp:extent cx="6964045" cy="16668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666875"/>
                    </a:xfrm>
                    <a:prstGeom prst="rect">
                      <a:avLst/>
                    </a:prstGeom>
                    <a:noFill/>
                  </pic:spPr>
                </pic:pic>
              </a:graphicData>
            </a:graphic>
          </wp:anchor>
        </w:drawing>
      </w:r>
    </w:p>
    <w:p>
      <w:pPr>
        <w:spacing w:after="0" w:line="114"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3">
        <w:r>
          <w:rPr>
            <w:rFonts w:ascii="Times New Roman" w:cs="Times New Roman" w:eastAsia="Times New Roman" w:hAnsi="Times New Roman"/>
            <w:sz w:val="21"/>
            <w:szCs w:val="21"/>
            <w:u w:val="single" w:color="auto"/>
            <w:color w:val="0000EE"/>
          </w:rPr>
          <w:t>STRIEDEL LESLIE S</w:t>
        </w:r>
      </w:hyperlink>
    </w:p>
    <w:p>
      <w:pPr>
        <w:spacing w:after="0" w:line="305"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9"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1850 N. CENTRAL AVE., SUITE 1900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2" w:lineRule="exact"/>
        <w:rPr>
          <w:sz w:val="24"/>
          <w:szCs w:val="24"/>
          <w:color w:val="auto"/>
        </w:rPr>
      </w:pPr>
    </w:p>
    <w:p>
      <w:pPr>
        <w:spacing w:after="0"/>
        <w:rPr>
          <w:rFonts w:ascii="Times New Roman" w:cs="Times New Roman" w:eastAsia="Times New Roman" w:hAnsi="Times New Roman"/>
          <w:sz w:val="21"/>
          <w:szCs w:val="21"/>
          <w:color w:val="0000EE"/>
        </w:rPr>
      </w:pPr>
      <w:hyperlink r:id="rId14">
        <w:r>
          <w:rPr>
            <w:rFonts w:ascii="Times New Roman" w:cs="Times New Roman" w:eastAsia="Times New Roman" w:hAnsi="Times New Roman"/>
            <w:sz w:val="21"/>
            <w:szCs w:val="21"/>
            <w:u w:val="single" w:color="auto"/>
            <w:color w:val="0000EE"/>
          </w:rPr>
          <w:t>VIAD CORP</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VVI</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05"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9"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02/23/2021</w:t>
      </w:r>
    </w:p>
    <w:p>
      <w:pPr>
        <w:spacing w:after="0" w:line="20" w:lineRule="exact"/>
        <w:rPr>
          <w:sz w:val="24"/>
          <w:szCs w:val="24"/>
          <w:color w:val="auto"/>
        </w:rPr>
      </w:pPr>
      <w:r>
        <w:rPr>
          <w:sz w:val="24"/>
          <w:szCs w:val="24"/>
          <w:color w:val="auto"/>
        </w:rPr>
        <w:br w:type="column"/>
      </w:r>
    </w:p>
    <w:p>
      <w:pPr>
        <w:ind w:left="5" w:right="540" w:hanging="5"/>
        <w:spacing w:after="0" w:line="267"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179"/>
        </w:trPr>
        <w:tc>
          <w:tcPr>
            <w:tcW w:w="220" w:type="dxa"/>
            <w:vAlign w:val="bottom"/>
          </w:tcPr>
          <w:p>
            <w:pPr>
              <w:spacing w:after="0"/>
              <w:rPr>
                <w:sz w:val="15"/>
                <w:szCs w:val="15"/>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68"/>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22"/>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685"/>
        <w:spacing w:after="0"/>
        <w:rPr>
          <w:sz w:val="20"/>
          <w:szCs w:val="20"/>
          <w:color w:val="auto"/>
        </w:rPr>
      </w:pPr>
      <w:r>
        <w:rPr>
          <w:rFonts w:ascii="Times New Roman" w:cs="Times New Roman" w:eastAsia="Times New Roman" w:hAnsi="Times New Roman"/>
          <w:sz w:val="17"/>
          <w:szCs w:val="17"/>
          <w:color w:val="0000FF"/>
        </w:rPr>
        <w:t>Chief Accounting Officer</w:t>
      </w:r>
    </w:p>
    <w:p>
      <w:pPr>
        <w:spacing w:after="0" w:line="322"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160" w:lineRule="exact"/>
        <w:rPr>
          <w:sz w:val="24"/>
          <w:szCs w:val="24"/>
          <w:color w:val="auto"/>
        </w:rPr>
      </w:pPr>
    </w:p>
    <w:tbl>
      <w:tblPr>
        <w:tblLayout w:type="fixed"/>
        <w:tblInd w:w="80" w:type="dxa"/>
        <w:tblCellMar>
          <w:top w:w="0" w:type="dxa"/>
          <w:left w:w="0" w:type="dxa"/>
          <w:bottom w:w="0" w:type="dxa"/>
          <w:right w:w="0" w:type="dxa"/>
        </w:tblCellMar>
      </w:tblPr>
      <w:tr>
        <w:trPr>
          <w:trHeight w:val="179"/>
        </w:trPr>
        <w:tc>
          <w:tcPr>
            <w:tcW w:w="10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5"/>
                <w:szCs w:val="15"/>
                <w:color w:val="auto"/>
              </w:rPr>
            </w:pPr>
          </w:p>
        </w:tc>
        <w:tc>
          <w:tcPr>
            <w:tcW w:w="160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000" w:type="dxa"/>
            <w:vAlign w:val="bottom"/>
          </w:tcPr>
          <w:p>
            <w:pPr>
              <w:spacing w:after="0"/>
              <w:rPr>
                <w:sz w:val="20"/>
                <w:szCs w:val="20"/>
                <w:color w:val="auto"/>
              </w:rPr>
            </w:pPr>
            <w:r>
              <w:rPr>
                <w:rFonts w:ascii="Times New Roman" w:cs="Times New Roman" w:eastAsia="Times New Roman" w:hAnsi="Times New Roman"/>
                <w:sz w:val="17"/>
                <w:szCs w:val="17"/>
                <w:color w:val="0000FF"/>
              </w:rPr>
              <w:t>PHOENIX</w:t>
            </w:r>
          </w:p>
        </w:tc>
        <w:tc>
          <w:tcPr>
            <w:tcW w:w="104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AZ</w:t>
            </w:r>
          </w:p>
        </w:tc>
        <w:tc>
          <w:tcPr>
            <w:tcW w:w="1600" w:type="dxa"/>
            <w:vAlign w:val="bottom"/>
          </w:tcPr>
          <w:p>
            <w:pPr>
              <w:ind w:left="400"/>
              <w:spacing w:after="0"/>
              <w:rPr>
                <w:sz w:val="20"/>
                <w:szCs w:val="20"/>
                <w:color w:val="auto"/>
              </w:rPr>
            </w:pPr>
            <w:r>
              <w:rPr>
                <w:rFonts w:ascii="Times New Roman" w:cs="Times New Roman" w:eastAsia="Times New Roman" w:hAnsi="Times New Roman"/>
                <w:sz w:val="17"/>
                <w:szCs w:val="17"/>
                <w:color w:val="0000FF"/>
              </w:rPr>
              <w:t>85004</w:t>
            </w:r>
          </w:p>
        </w:tc>
      </w:tr>
      <w:tr>
        <w:trPr>
          <w:trHeight w:val="155"/>
        </w:trPr>
        <w:tc>
          <w:tcPr>
            <w:tcW w:w="4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000" w:type="dxa"/>
            <w:vAlign w:val="bottom"/>
          </w:tcPr>
          <w:p>
            <w:pPr>
              <w:spacing w:after="0"/>
              <w:rPr>
                <w:sz w:val="20"/>
                <w:szCs w:val="20"/>
                <w:color w:val="auto"/>
              </w:rPr>
            </w:pPr>
            <w:r>
              <w:rPr>
                <w:rFonts w:ascii="Arial" w:cs="Arial" w:eastAsia="Arial" w:hAnsi="Arial"/>
                <w:sz w:val="13"/>
                <w:szCs w:val="13"/>
                <w:color w:val="auto"/>
              </w:rPr>
              <w:t>(City)</w:t>
            </w:r>
          </w:p>
        </w:tc>
        <w:tc>
          <w:tcPr>
            <w:tcW w:w="1040" w:type="dxa"/>
            <w:vAlign w:val="bottom"/>
          </w:tcPr>
          <w:p>
            <w:pPr>
              <w:ind w:left="2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13" w:lineRule="exact"/>
        <w:rPr>
          <w:sz w:val="24"/>
          <w:szCs w:val="24"/>
          <w:color w:val="auto"/>
        </w:rPr>
      </w:pPr>
    </w:p>
    <w:p>
      <w:pPr>
        <w:ind w:left="3820"/>
        <w:spacing w:after="0"/>
        <w:rPr>
          <w:sz w:val="20"/>
          <w:szCs w:val="20"/>
          <w:color w:val="auto"/>
        </w:rPr>
      </w:pPr>
      <w:r>
        <w:rPr>
          <w:rFonts w:ascii="Arial" w:cs="Arial" w:eastAsia="Arial" w:hAnsi="Arial"/>
          <w:sz w:val="13"/>
          <w:szCs w:val="13"/>
          <w:color w:val="auto"/>
        </w:rPr>
        <w:t>Line)</w:t>
      </w:r>
    </w:p>
    <w:p>
      <w:pPr>
        <w:spacing w:after="0" w:line="6" w:lineRule="exact"/>
        <w:rPr>
          <w:sz w:val="24"/>
          <w:szCs w:val="24"/>
          <w:color w:val="auto"/>
        </w:rPr>
      </w:pPr>
    </w:p>
    <w:p>
      <w:pPr>
        <w:ind w:left="4020"/>
        <w:spacing w:after="0"/>
        <w:tabs>
          <w:tab w:leader="none" w:pos="43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6"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spacing w:after="0" w:line="13"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-2484120</wp:posOffset>
            </wp:positionH>
            <wp:positionV relativeFrom="paragraph">
              <wp:posOffset>159385</wp:posOffset>
            </wp:positionV>
            <wp:extent cx="6964045" cy="13455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1345565"/>
                    </a:xfrm>
                    <a:prstGeom prst="rect">
                      <a:avLst/>
                    </a:prstGeom>
                    <a:noFill/>
                  </pic:spPr>
                </pic:pic>
              </a:graphicData>
            </a:graphic>
          </wp:anchor>
        </w:drawing>
      </w:r>
    </w:p>
    <w:p>
      <w:pPr>
        <w:spacing w:after="0" w:line="310" w:lineRule="exact"/>
        <w:rPr>
          <w:sz w:val="24"/>
          <w:szCs w:val="24"/>
          <w:color w:val="auto"/>
        </w:rPr>
      </w:pPr>
    </w:p>
    <w:p>
      <w:pPr>
        <w:sectPr>
          <w:pgSz w:w="11900" w:h="16838" w:orient="portrait"/>
          <w:cols w:equalWidth="0" w:num="2">
            <w:col w:w="3760" w:space="160"/>
            <w:col w:w="7160"/>
          </w:cols>
          <w:pgMar w:left="460" w:top="219"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9"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180" w:type="dxa"/>
            <w:vAlign w:val="bottom"/>
          </w:tcPr>
          <w:p>
            <w:pPr>
              <w:spacing w:after="0"/>
              <w:rPr>
                <w:sz w:val="13"/>
                <w:szCs w:val="13"/>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29"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6"/>
          </w:tcPr>
          <w:p>
            <w:pPr>
              <w:ind w:left="80"/>
              <w:spacing w:after="0" w:line="129" w:lineRule="exact"/>
              <w:rPr>
                <w:sz w:val="20"/>
                <w:szCs w:val="20"/>
                <w:color w:val="auto"/>
              </w:rPr>
            </w:pPr>
            <w:r>
              <w:rPr>
                <w:rFonts w:ascii="Arial" w:cs="Arial" w:eastAsia="Arial" w:hAnsi="Arial"/>
                <w:sz w:val="12"/>
                <w:szCs w:val="12"/>
                <w:b w:val="1"/>
                <w:bCs w:val="1"/>
                <w:color w:val="auto"/>
              </w:rPr>
              <w:t>Disposed Of (D) (Instr. 3, 4 and</w:t>
            </w:r>
          </w:p>
        </w:tc>
        <w:tc>
          <w:tcPr>
            <w:tcW w:w="122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29"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60" w:type="dxa"/>
            <w:vAlign w:val="bottom"/>
          </w:tcPr>
          <w:p>
            <w:pPr>
              <w:spacing w:after="0"/>
              <w:rPr>
                <w:sz w:val="3"/>
                <w:szCs w:val="3"/>
                <w:color w:val="auto"/>
              </w:rPr>
            </w:pPr>
          </w:p>
        </w:tc>
        <w:tc>
          <w:tcPr>
            <w:tcW w:w="640" w:type="dxa"/>
            <w:vAlign w:val="bottom"/>
            <w:gridSpan w:val="2"/>
            <w:vMerge w:val="restart"/>
          </w:tcPr>
          <w:p>
            <w:pPr>
              <w:ind w:left="140"/>
              <w:spacing w:after="0"/>
              <w:rPr>
                <w:sz w:val="20"/>
                <w:szCs w:val="20"/>
                <w:color w:val="auto"/>
              </w:rPr>
            </w:pPr>
            <w:r>
              <w:rPr>
                <w:rFonts w:ascii="Arial" w:cs="Arial" w:eastAsia="Arial" w:hAnsi="Arial"/>
                <w:sz w:val="12"/>
                <w:szCs w:val="12"/>
                <w:b w:val="1"/>
                <w:bCs w:val="1"/>
                <w:color w:val="auto"/>
              </w:rPr>
              <w:t>(A) or</w:t>
            </w:r>
          </w:p>
        </w:tc>
        <w:tc>
          <w:tcPr>
            <w:tcW w:w="30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vMerge w:val="continue"/>
          </w:tcPr>
          <w:p>
            <w:pPr>
              <w:spacing w:after="0"/>
              <w:rPr>
                <w:sz w:val="11"/>
                <w:szCs w:val="11"/>
                <w:color w:val="auto"/>
              </w:rPr>
            </w:pPr>
          </w:p>
        </w:tc>
        <w:tc>
          <w:tcPr>
            <w:tcW w:w="38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180" w:type="dxa"/>
            <w:vAlign w:val="bottom"/>
          </w:tcPr>
          <w:p>
            <w:pPr>
              <w:spacing w:after="0"/>
              <w:rPr>
                <w:sz w:val="11"/>
                <w:szCs w:val="11"/>
                <w:color w:val="auto"/>
              </w:rPr>
            </w:pP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40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(D)</w:t>
            </w:r>
          </w:p>
        </w:tc>
        <w:tc>
          <w:tcPr>
            <w:tcW w:w="240" w:type="dxa"/>
            <w:vAlign w:val="bottom"/>
          </w:tcPr>
          <w:p>
            <w:pPr>
              <w:spacing w:after="0"/>
              <w:rPr>
                <w:sz w:val="8"/>
                <w:szCs w:val="8"/>
                <w:color w:val="auto"/>
              </w:rPr>
            </w:pPr>
          </w:p>
        </w:tc>
        <w:tc>
          <w:tcPr>
            <w:tcW w:w="380" w:type="dxa"/>
            <w:vAlign w:val="bottom"/>
            <w:gridSpan w:val="2"/>
            <w:vMerge w:val="continue"/>
          </w:tcPr>
          <w:p>
            <w:pPr>
              <w:spacing w:after="0"/>
              <w:rPr>
                <w:sz w:val="8"/>
                <w:szCs w:val="8"/>
                <w:color w:val="auto"/>
              </w:rPr>
            </w:pPr>
          </w:p>
        </w:tc>
        <w:tc>
          <w:tcPr>
            <w:tcW w:w="180" w:type="dxa"/>
            <w:vAlign w:val="bottom"/>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60" w:type="dxa"/>
            <w:vAlign w:val="bottom"/>
          </w:tcPr>
          <w:p>
            <w:pPr>
              <w:spacing w:after="0"/>
              <w:rPr>
                <w:sz w:val="5"/>
                <w:szCs w:val="5"/>
                <w:color w:val="auto"/>
              </w:rPr>
            </w:pPr>
          </w:p>
        </w:tc>
        <w:tc>
          <w:tcPr>
            <w:tcW w:w="400" w:type="dxa"/>
            <w:vAlign w:val="bottom"/>
            <w:vMerge w:val="continue"/>
          </w:tcPr>
          <w:p>
            <w:pPr>
              <w:spacing w:after="0"/>
              <w:rPr>
                <w:sz w:val="5"/>
                <w:szCs w:val="5"/>
                <w:color w:val="auto"/>
              </w:rPr>
            </w:pPr>
          </w:p>
        </w:tc>
        <w:tc>
          <w:tcPr>
            <w:tcW w:w="240" w:type="dxa"/>
            <w:vAlign w:val="bottom"/>
          </w:tcPr>
          <w:p>
            <w:pPr>
              <w:spacing w:after="0"/>
              <w:rPr>
                <w:sz w:val="5"/>
                <w:szCs w:val="5"/>
                <w:color w:val="auto"/>
              </w:rPr>
            </w:pPr>
          </w:p>
        </w:tc>
        <w:tc>
          <w:tcPr>
            <w:tcW w:w="30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520" w:type="dxa"/>
            <w:vAlign w:val="bottom"/>
            <w:tcBorders>
              <w:bottom w:val="single" w:sz="8" w:color="2C2C2C"/>
            </w:tcBorders>
            <w:gridSpan w:val="2"/>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gridSpan w:val="2"/>
          </w:tcPr>
          <w:p>
            <w:pPr>
              <w:spacing w:after="0"/>
              <w:rPr>
                <w:sz w:val="3"/>
                <w:szCs w:val="3"/>
                <w:color w:val="auto"/>
              </w:rPr>
            </w:pPr>
          </w:p>
        </w:tc>
        <w:tc>
          <w:tcPr>
            <w:tcW w:w="122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gridSpan w:val="2"/>
          </w:tcPr>
          <w:p>
            <w:pPr>
              <w:ind w:left="640"/>
              <w:spacing w:after="0"/>
              <w:rPr>
                <w:sz w:val="20"/>
                <w:szCs w:val="20"/>
                <w:color w:val="auto"/>
              </w:rPr>
            </w:pPr>
            <w:r>
              <w:rPr>
                <w:rFonts w:ascii="Times New Roman" w:cs="Times New Roman" w:eastAsia="Times New Roman" w:hAnsi="Times New Roman"/>
                <w:sz w:val="17"/>
                <w:szCs w:val="17"/>
                <w:color w:val="0000FF"/>
              </w:rPr>
              <w:t>02/23/2021</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76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rPr>
              <w:t>2,902</w:t>
            </w:r>
            <w:r>
              <w:rPr>
                <w:rFonts w:ascii="Times New Roman" w:cs="Times New Roman" w:eastAsia="Times New Roman" w:hAnsi="Times New Roman"/>
                <w:sz w:val="22"/>
                <w:szCs w:val="22"/>
                <w:color w:val="008000"/>
                <w:vertAlign w:val="superscript"/>
              </w:rPr>
              <w:t>(1)</w:t>
            </w:r>
          </w:p>
        </w:tc>
        <w:tc>
          <w:tcPr>
            <w:tcW w:w="400" w:type="dxa"/>
            <w:vAlign w:val="bottom"/>
            <w:tcBorders>
              <w:bottom w:val="single" w:sz="8" w:color="2C2C2C"/>
            </w:tcBorders>
          </w:tcPr>
          <w:p>
            <w:pPr>
              <w:ind w:left="260"/>
              <w:spacing w:after="0"/>
              <w:rPr>
                <w:sz w:val="20"/>
                <w:szCs w:val="20"/>
                <w:color w:val="auto"/>
              </w:rPr>
            </w:pPr>
            <w:r>
              <w:rPr>
                <w:rFonts w:ascii="Times New Roman" w:cs="Times New Roman" w:eastAsia="Times New Roman" w:hAnsi="Times New Roman"/>
                <w:sz w:val="17"/>
                <w:szCs w:val="17"/>
                <w:color w:val="0000FF"/>
                <w:w w:val="97"/>
              </w:rPr>
              <w:t>A</w:t>
            </w:r>
          </w:p>
        </w:tc>
        <w:tc>
          <w:tcPr>
            <w:tcW w:w="24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gridSpan w:val="3"/>
          </w:tcPr>
          <w:p>
            <w:pPr>
              <w:jc w:val="right"/>
              <w:ind w:right="6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44.8</w:t>
            </w:r>
          </w:p>
        </w:tc>
        <w:tc>
          <w:tcPr>
            <w:tcW w:w="1220" w:type="dxa"/>
            <w:vAlign w:val="bottom"/>
            <w:tcBorders>
              <w:bottom w:val="single" w:sz="8" w:color="2C2C2C"/>
            </w:tcBorders>
            <w:gridSpan w:val="2"/>
          </w:tcPr>
          <w:p>
            <w:pPr>
              <w:jc w:val="right"/>
              <w:ind w:right="340"/>
              <w:spacing w:after="0"/>
              <w:rPr>
                <w:sz w:val="20"/>
                <w:szCs w:val="20"/>
                <w:color w:val="auto"/>
              </w:rPr>
            </w:pPr>
            <w:r>
              <w:rPr>
                <w:rFonts w:ascii="Times New Roman" w:cs="Times New Roman" w:eastAsia="Times New Roman" w:hAnsi="Times New Roman"/>
                <w:sz w:val="17"/>
                <w:szCs w:val="17"/>
                <w:color w:val="0000FF"/>
              </w:rPr>
              <w:t>12,238</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Pr>
          <w:p>
            <w:pPr>
              <w:spacing w:after="0"/>
              <w:rPr>
                <w:sz w:val="24"/>
                <w:szCs w:val="24"/>
                <w:color w:val="auto"/>
              </w:rPr>
            </w:pPr>
          </w:p>
        </w:tc>
        <w:tc>
          <w:tcPr>
            <w:tcW w:w="1520" w:type="dxa"/>
            <w:vAlign w:val="bottom"/>
            <w:gridSpan w:val="2"/>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1120" w:type="dxa"/>
            <w:vAlign w:val="bottom"/>
          </w:tcPr>
          <w:p>
            <w:pPr>
              <w:spacing w:after="0"/>
              <w:rPr>
                <w:sz w:val="24"/>
                <w:szCs w:val="24"/>
                <w:color w:val="auto"/>
              </w:rPr>
            </w:pPr>
          </w:p>
        </w:tc>
        <w:tc>
          <w:tcPr>
            <w:tcW w:w="1580" w:type="dxa"/>
            <w:vAlign w:val="bottom"/>
            <w:gridSpan w:val="2"/>
          </w:tcPr>
          <w:p>
            <w:pPr>
              <w:ind w:left="640"/>
              <w:spacing w:after="0"/>
              <w:rPr>
                <w:sz w:val="20"/>
                <w:szCs w:val="20"/>
                <w:color w:val="auto"/>
              </w:rPr>
            </w:pPr>
            <w:r>
              <w:rPr>
                <w:rFonts w:ascii="Times New Roman" w:cs="Times New Roman" w:eastAsia="Times New Roman" w:hAnsi="Times New Roman"/>
                <w:sz w:val="17"/>
                <w:szCs w:val="17"/>
                <w:color w:val="0000FF"/>
              </w:rPr>
              <w:t>02/23/2021</w:t>
            </w:r>
          </w:p>
        </w:tc>
        <w:tc>
          <w:tcPr>
            <w:tcW w:w="4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780" w:type="dxa"/>
            <w:vAlign w:val="bottom"/>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760" w:type="dxa"/>
            <w:vAlign w:val="bottom"/>
          </w:tcPr>
          <w:p>
            <w:pPr>
              <w:jc w:val="right"/>
              <w:spacing w:after="0"/>
              <w:rPr>
                <w:sz w:val="20"/>
                <w:szCs w:val="20"/>
                <w:color w:val="auto"/>
              </w:rPr>
            </w:pPr>
            <w:r>
              <w:rPr>
                <w:rFonts w:ascii="Times New Roman" w:cs="Times New Roman" w:eastAsia="Times New Roman" w:hAnsi="Times New Roman"/>
                <w:sz w:val="17"/>
                <w:szCs w:val="17"/>
                <w:color w:val="0000FF"/>
              </w:rPr>
              <w:t>71.1047</w:t>
            </w:r>
          </w:p>
        </w:tc>
        <w:tc>
          <w:tcPr>
            <w:tcW w:w="400" w:type="dxa"/>
            <w:vAlign w:val="bottom"/>
          </w:tcPr>
          <w:p>
            <w:pPr>
              <w:ind w:left="260"/>
              <w:spacing w:after="0"/>
              <w:rPr>
                <w:sz w:val="20"/>
                <w:szCs w:val="20"/>
                <w:color w:val="auto"/>
              </w:rPr>
            </w:pPr>
            <w:r>
              <w:rPr>
                <w:rFonts w:ascii="Times New Roman" w:cs="Times New Roman" w:eastAsia="Times New Roman" w:hAnsi="Times New Roman"/>
                <w:sz w:val="17"/>
                <w:szCs w:val="17"/>
                <w:color w:val="0000FF"/>
                <w:w w:val="97"/>
              </w:rPr>
              <w:t>A</w:t>
            </w:r>
          </w:p>
        </w:tc>
        <w:tc>
          <w:tcPr>
            <w:tcW w:w="240" w:type="dxa"/>
            <w:vAlign w:val="bottom"/>
          </w:tcPr>
          <w:p>
            <w:pPr>
              <w:spacing w:after="0"/>
              <w:rPr>
                <w:sz w:val="24"/>
                <w:szCs w:val="24"/>
                <w:color w:val="auto"/>
              </w:rPr>
            </w:pPr>
          </w:p>
        </w:tc>
        <w:tc>
          <w:tcPr>
            <w:tcW w:w="560" w:type="dxa"/>
            <w:vAlign w:val="bottom"/>
            <w:gridSpan w:val="3"/>
          </w:tcPr>
          <w:p>
            <w:pPr>
              <w:jc w:val="right"/>
              <w:ind w:right="6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1220" w:type="dxa"/>
            <w:vAlign w:val="bottom"/>
            <w:gridSpan w:val="2"/>
          </w:tcPr>
          <w:p>
            <w:pPr>
              <w:jc w:val="center"/>
              <w:ind w:right="100"/>
              <w:spacing w:after="0"/>
              <w:rPr>
                <w:sz w:val="20"/>
                <w:szCs w:val="20"/>
                <w:color w:val="auto"/>
              </w:rPr>
            </w:pPr>
            <w:r>
              <w:rPr>
                <w:rFonts w:ascii="Times New Roman" w:cs="Times New Roman" w:eastAsia="Times New Roman" w:hAnsi="Times New Roman"/>
                <w:sz w:val="17"/>
                <w:szCs w:val="17"/>
                <w:color w:val="0000FF"/>
              </w:rPr>
              <w:t>1,644.2911</w:t>
            </w:r>
            <w:r>
              <w:rPr>
                <w:rFonts w:ascii="Times New Roman" w:cs="Times New Roman" w:eastAsia="Times New Roman" w:hAnsi="Times New Roman"/>
                <w:sz w:val="22"/>
                <w:szCs w:val="22"/>
                <w:color w:val="008000"/>
                <w:vertAlign w:val="superscript"/>
              </w:rPr>
              <w:t>(2)</w:t>
            </w:r>
          </w:p>
        </w:tc>
        <w:tc>
          <w:tcPr>
            <w:tcW w:w="920" w:type="dxa"/>
            <w:vAlign w:val="bottom"/>
          </w:tcPr>
          <w:p>
            <w:pPr>
              <w:ind w:left="380"/>
              <w:spacing w:after="0"/>
              <w:rPr>
                <w:sz w:val="20"/>
                <w:szCs w:val="20"/>
                <w:color w:val="auto"/>
              </w:rPr>
            </w:pPr>
            <w:r>
              <w:rPr>
                <w:rFonts w:ascii="Times New Roman" w:cs="Times New Roman" w:eastAsia="Times New Roman" w:hAnsi="Times New Roman"/>
                <w:sz w:val="17"/>
                <w:szCs w:val="17"/>
                <w:color w:val="0000FF"/>
              </w:rPr>
              <w:t>I</w:t>
            </w:r>
          </w:p>
        </w:tc>
        <w:tc>
          <w:tcPr>
            <w:tcW w:w="820" w:type="dxa"/>
            <w:vAlign w:val="bottom"/>
            <w:gridSpan w:val="4"/>
          </w:tcPr>
          <w:p>
            <w:pPr>
              <w:spacing w:after="0"/>
              <w:rPr>
                <w:sz w:val="20"/>
                <w:szCs w:val="20"/>
                <w:color w:val="auto"/>
              </w:rPr>
            </w:pPr>
            <w:r>
              <w:rPr>
                <w:rFonts w:ascii="Times New Roman" w:cs="Times New Roman" w:eastAsia="Times New Roman" w:hAnsi="Times New Roman"/>
                <w:sz w:val="17"/>
                <w:szCs w:val="17"/>
                <w:color w:val="0000FF"/>
              </w:rPr>
              <w:t>by 401K</w:t>
            </w:r>
          </w:p>
        </w:tc>
        <w:tc>
          <w:tcPr>
            <w:tcW w:w="0" w:type="dxa"/>
            <w:vAlign w:val="bottom"/>
          </w:tcPr>
          <w:p>
            <w:pPr>
              <w:spacing w:after="0"/>
              <w:rPr>
                <w:sz w:val="1"/>
                <w:szCs w:val="1"/>
                <w:color w:val="auto"/>
              </w:rPr>
            </w:pPr>
          </w:p>
        </w:tc>
      </w:tr>
      <w:tr>
        <w:trPr>
          <w:trHeight w:val="219"/>
        </w:trPr>
        <w:tc>
          <w:tcPr>
            <w:tcW w:w="2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4"/>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8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9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4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gridSpan w:val="3"/>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20" w:type="dxa"/>
            <w:vAlign w:val="bottom"/>
            <w:gridSpan w:val="4"/>
          </w:tcPr>
          <w:p>
            <w:pPr>
              <w:ind w:left="2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6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w w:val="99"/>
              </w:rPr>
              <w:t>Amount of</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Security (Instr.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3 and 4)</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6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Date</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Expiration</w:t>
            </w:r>
          </w:p>
        </w:tc>
        <w:tc>
          <w:tcPr>
            <w:tcW w:w="40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vMerge w:val="continue"/>
          </w:tcPr>
          <w:p>
            <w:pPr>
              <w:spacing w:after="0"/>
              <w:rPr>
                <w:sz w:val="11"/>
                <w:szCs w:val="11"/>
                <w:color w:val="auto"/>
              </w:rPr>
            </w:pPr>
          </w:p>
        </w:tc>
        <w:tc>
          <w:tcPr>
            <w:tcW w:w="760" w:type="dxa"/>
            <w:vAlign w:val="bottom"/>
            <w:vMerge w:val="continue"/>
          </w:tcPr>
          <w:p>
            <w:pPr>
              <w:spacing w:after="0"/>
              <w:rPr>
                <w:sz w:val="11"/>
                <w:szCs w:val="11"/>
                <w:color w:val="auto"/>
              </w:rPr>
            </w:pPr>
          </w:p>
        </w:tc>
        <w:tc>
          <w:tcPr>
            <w:tcW w:w="4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Title</w:t>
            </w:r>
          </w:p>
        </w:tc>
        <w:tc>
          <w:tcPr>
            <w:tcW w:w="2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vMerge w:val="continue"/>
          </w:tcPr>
          <w:p>
            <w:pPr>
              <w:spacing w:after="0"/>
              <w:rPr>
                <w:sz w:val="14"/>
                <w:szCs w:val="14"/>
                <w:color w:val="auto"/>
              </w:rPr>
            </w:pPr>
          </w:p>
        </w:tc>
        <w:tc>
          <w:tcPr>
            <w:tcW w:w="420" w:type="dxa"/>
            <w:vAlign w:val="bottom"/>
            <w:vMerge w:val="continue"/>
          </w:tcPr>
          <w:p>
            <w:pPr>
              <w:spacing w:after="0"/>
              <w:rPr>
                <w:sz w:val="14"/>
                <w:szCs w:val="14"/>
                <w:color w:val="auto"/>
              </w:rPr>
            </w:pPr>
          </w:p>
        </w:tc>
        <w:tc>
          <w:tcPr>
            <w:tcW w:w="720" w:type="dxa"/>
            <w:vAlign w:val="bottom"/>
            <w:vMerge w:val="continue"/>
          </w:tcPr>
          <w:p>
            <w:pPr>
              <w:spacing w:after="0"/>
              <w:rPr>
                <w:sz w:val="14"/>
                <w:szCs w:val="14"/>
                <w:color w:val="auto"/>
              </w:rPr>
            </w:pP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00" w:type="dxa"/>
            <w:vAlign w:val="bottom"/>
            <w:vMerge w:val="continue"/>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18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-1753235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pacing w:after="0" w:line="6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40" w:right="16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Restricted Stock Units granted on February 23, 2021, pursuant to the 2017 Viad Corp Omnibus Incentive Plan, and will vest in three equal tranches on each of February 23, 2022, February 23, 2023 and February 23, 2024.</w:t>
      </w:r>
    </w:p>
    <w:p>
      <w:pPr>
        <w:spacing w:after="0" w:line="7" w:lineRule="exact"/>
        <w:rPr>
          <w:rFonts w:ascii="Times New Roman" w:cs="Times New Roman" w:eastAsia="Times New Roman" w:hAnsi="Times New Roman"/>
          <w:sz w:val="13"/>
          <w:szCs w:val="13"/>
          <w:color w:val="008000"/>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Between December 2020 and February 2021, the reporting person acquired 71.1047 shares of VVI common stock under the Viad Corp 401(k) plan.</w:t>
      </w:r>
    </w:p>
    <w:p>
      <w:pPr>
        <w:spacing w:after="0" w:line="42"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ind w:left="6580"/>
        <w:spacing w:after="0" w:line="231" w:lineRule="auto"/>
        <w:rPr>
          <w:sz w:val="20"/>
          <w:szCs w:val="20"/>
          <w:color w:val="auto"/>
        </w:rPr>
      </w:pPr>
      <w:r>
        <w:rPr>
          <w:rFonts w:ascii="Times New Roman" w:cs="Times New Roman" w:eastAsia="Times New Roman" w:hAnsi="Times New Roman"/>
          <w:sz w:val="17"/>
          <w:szCs w:val="17"/>
          <w:color w:val="0000FF"/>
        </w:rPr>
        <w:t xml:space="preserve">/s/ Derek P. Linde as Attorney- </w:t>
      </w:r>
      <w:r>
        <w:rPr>
          <w:rFonts w:ascii="Times New Roman" w:cs="Times New Roman" w:eastAsia="Times New Roman" w:hAnsi="Times New Roman"/>
          <w:sz w:val="34"/>
          <w:szCs w:val="34"/>
          <w:color w:val="0000FF"/>
          <w:vertAlign w:val="subscript"/>
        </w:rPr>
        <w:t>02/25/2021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-27940</wp:posOffset>
            </wp:positionV>
            <wp:extent cx="136271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362710" cy="8255"/>
                    </a:xfrm>
                    <a:prstGeom prst="rect">
                      <a:avLst/>
                    </a:prstGeom>
                    <a:noFill/>
                  </pic:spPr>
                </pic:pic>
              </a:graphicData>
            </a:graphic>
          </wp:anchor>
        </w:drawing>
      </w:r>
    </w:p>
    <w:p>
      <w:pPr>
        <w:ind w:left="6580"/>
        <w:spacing w:after="0"/>
        <w:rPr>
          <w:sz w:val="20"/>
          <w:szCs w:val="20"/>
          <w:color w:val="auto"/>
        </w:rPr>
      </w:pPr>
      <w:r>
        <w:rPr>
          <w:rFonts w:ascii="Times New Roman" w:cs="Times New Roman" w:eastAsia="Times New Roman" w:hAnsi="Times New Roman"/>
          <w:sz w:val="17"/>
          <w:szCs w:val="17"/>
          <w:color w:val="0000FF"/>
        </w:rPr>
        <w:t>in-Fact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31178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31178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29"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3" Type="http://schemas.openxmlformats.org/officeDocument/2006/relationships/hyperlink" Target="http://www.sec.gov/cgi-bin/browse-edgar?action=getcompany&amp;CIK=0001605820" TargetMode="External"/><Relationship Id="rId14" Type="http://schemas.openxmlformats.org/officeDocument/2006/relationships/hyperlink" Target="http://www.sec.gov/cgi-bin/browse-edgar?action=getcompany&amp;CIK=000088421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2021-02-25T13:18:06Z</dcterms:created>
  <dcterms:modified xsi:type="dcterms:W3CDTF">2021-02-25T13:18:06Z</dcterms:modified>
</cp:coreProperties>
</file>