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MOSTER STEVEN W</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1850 N. CENTRAL AVE., SUITE 1900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VIAD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VVI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4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02/16/2021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465"/>
        <w:spacing w:after="0"/>
        <w:rPr>
          <w:sz w:val="20"/>
          <w:szCs w:val="20"/>
          <w:color w:val="auto"/>
        </w:rPr>
      </w:pPr>
      <w:r>
        <w:rPr>
          <w:rFonts w:ascii="Arial" w:cs="Arial" w:eastAsia="Arial" w:hAnsi="Arial"/>
          <w:sz w:val="17"/>
          <w:szCs w:val="17"/>
          <w:color w:val="0000FF"/>
        </w:rPr>
        <w:t>President &amp; Chief Executive Of</w:t>
      </w:r>
    </w:p>
    <w:p>
      <w:pPr>
        <w:spacing w:after="0" w:line="266"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6"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560" w:type="dxa"/>
            <w:vAlign w:val="bottom"/>
            <w:shd w:val="clear" w:color="auto" w:fill="9A9A9A"/>
          </w:tcPr>
          <w:p>
            <w:pPr>
              <w:spacing w:after="0"/>
              <w:rPr>
                <w:sz w:val="2"/>
                <w:szCs w:val="2"/>
                <w:color w:val="auto"/>
              </w:rPr>
            </w:pPr>
          </w:p>
        </w:tc>
        <w:tc>
          <w:tcPr>
            <w:tcW w:w="280" w:type="dxa"/>
            <w:vAlign w:val="bottom"/>
            <w:shd w:val="clear" w:color="auto" w:fill="9A9A9A"/>
          </w:tcPr>
          <w:p>
            <w:pPr>
              <w:spacing w:after="0"/>
              <w:rPr>
                <w:sz w:val="2"/>
                <w:szCs w:val="2"/>
                <w:color w:val="auto"/>
              </w:rPr>
            </w:pPr>
          </w:p>
        </w:tc>
        <w:tc>
          <w:tcPr>
            <w:tcW w:w="84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800" w:type="dxa"/>
            <w:vAlign w:val="bottom"/>
            <w:gridSpan w:val="6"/>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500" w:type="dxa"/>
            <w:vAlign w:val="bottom"/>
            <w:gridSpan w:val="9"/>
            <w:vMerge w:val="restart"/>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vMerge w:val="continue"/>
          </w:tcPr>
          <w:p>
            <w:pPr>
              <w:spacing w:after="0"/>
              <w:rPr>
                <w:sz w:val="11"/>
                <w:szCs w:val="11"/>
                <w:color w:val="auto"/>
              </w:rPr>
            </w:pPr>
          </w:p>
        </w:tc>
        <w:tc>
          <w:tcPr>
            <w:tcW w:w="3800" w:type="dxa"/>
            <w:vAlign w:val="bottom"/>
            <w:gridSpan w:val="6"/>
            <w:vMerge w:val="continue"/>
          </w:tcPr>
          <w:p>
            <w:pPr>
              <w:spacing w:after="0"/>
              <w:rPr>
                <w:sz w:val="11"/>
                <w:szCs w:val="11"/>
                <w:color w:val="auto"/>
              </w:rPr>
            </w:pPr>
          </w:p>
        </w:tc>
        <w:tc>
          <w:tcPr>
            <w:tcW w:w="350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60" w:type="dxa"/>
            <w:vAlign w:val="bottom"/>
            <w:gridSpan w:val="2"/>
          </w:tcPr>
          <w:p>
            <w:pPr>
              <w:ind w:left="160"/>
              <w:spacing w:after="0"/>
              <w:rPr>
                <w:sz w:val="20"/>
                <w:szCs w:val="20"/>
                <w:color w:val="auto"/>
              </w:rPr>
            </w:pPr>
            <w:r>
              <w:rPr>
                <w:rFonts w:ascii="Arial" w:cs="Arial" w:eastAsia="Arial" w:hAnsi="Arial"/>
                <w:sz w:val="13"/>
                <w:szCs w:val="13"/>
                <w:color w:val="auto"/>
              </w:rPr>
              <w:t>Line)</w:t>
            </w: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PHOENIX</w:t>
            </w:r>
          </w:p>
        </w:tc>
        <w:tc>
          <w:tcPr>
            <w:tcW w:w="280" w:type="dxa"/>
            <w:vAlign w:val="bottom"/>
          </w:tcPr>
          <w:p>
            <w:pPr>
              <w:ind w:left="40"/>
              <w:spacing w:after="0"/>
              <w:rPr>
                <w:sz w:val="20"/>
                <w:szCs w:val="20"/>
                <w:color w:val="auto"/>
              </w:rPr>
            </w:pPr>
            <w:r>
              <w:rPr>
                <w:rFonts w:ascii="Arial" w:cs="Arial" w:eastAsia="Arial" w:hAnsi="Arial"/>
                <w:sz w:val="17"/>
                <w:szCs w:val="17"/>
                <w:color w:val="0000FF"/>
              </w:rPr>
              <w:t>AZ</w:t>
            </w:r>
          </w:p>
        </w:tc>
        <w:tc>
          <w:tcPr>
            <w:tcW w:w="840" w:type="dxa"/>
            <w:vAlign w:val="bottom"/>
          </w:tcPr>
          <w:p>
            <w:pPr>
              <w:spacing w:after="0"/>
              <w:rPr>
                <w:sz w:val="21"/>
                <w:szCs w:val="21"/>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85004</w:t>
            </w:r>
          </w:p>
        </w:tc>
        <w:tc>
          <w:tcPr>
            <w:tcW w:w="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220" w:type="dxa"/>
            <w:vAlign w:val="bottom"/>
            <w:gridSpan w:val="8"/>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28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9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280" w:type="dxa"/>
            <w:vAlign w:val="bottom"/>
            <w:tcBorders>
              <w:top w:val="single" w:sz="8" w:color="EEEEEE"/>
            </w:tcBorders>
          </w:tcPr>
          <w:p>
            <w:pPr>
              <w:spacing w:after="0"/>
              <w:rPr>
                <w:sz w:val="3"/>
                <w:szCs w:val="3"/>
                <w:color w:val="auto"/>
              </w:rPr>
            </w:pPr>
          </w:p>
        </w:tc>
        <w:tc>
          <w:tcPr>
            <w:tcW w:w="84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94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13"/>
                <w:szCs w:val="13"/>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7"/>
          </w:tcPr>
          <w:p>
            <w:pPr>
              <w:spacing w:after="0"/>
              <w:rPr>
                <w:sz w:val="11"/>
                <w:szCs w:val="11"/>
                <w:color w:val="auto"/>
              </w:rPr>
            </w:pPr>
          </w:p>
        </w:tc>
        <w:tc>
          <w:tcPr>
            <w:tcW w:w="148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13"/>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6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2"/>
            <w:vMerge w:val="continue"/>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8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02/16/2021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w w:val="85"/>
              </w:rPr>
              <w:t>80,357</w:t>
            </w:r>
            <w:r>
              <w:rPr>
                <w:rFonts w:ascii="Arial" w:cs="Arial" w:eastAsia="Arial" w:hAnsi="Arial"/>
                <w:sz w:val="22"/>
                <w:szCs w:val="22"/>
                <w:color w:val="008000"/>
                <w:w w:val="85"/>
                <w:vertAlign w:val="superscript"/>
              </w:rPr>
              <w:t>(1)</w:t>
            </w:r>
          </w:p>
        </w:tc>
        <w:tc>
          <w:tcPr>
            <w:tcW w:w="66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560" w:type="dxa"/>
            <w:vAlign w:val="bottom"/>
            <w:tcBorders>
              <w:bottom w:val="single" w:sz="8" w:color="2C2C2C"/>
            </w:tcBorders>
            <w:gridSpan w:val="2"/>
          </w:tcPr>
          <w:p>
            <w:pPr>
              <w:jc w:val="right"/>
              <w:ind w:right="55"/>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jc w:val="center"/>
              <w:ind w:right="17"/>
              <w:spacing w:after="0"/>
              <w:rPr>
                <w:sz w:val="20"/>
                <w:szCs w:val="20"/>
                <w:color w:val="auto"/>
              </w:rPr>
            </w:pPr>
            <w:r>
              <w:rPr>
                <w:rFonts w:ascii="Arial" w:cs="Arial" w:eastAsia="Arial" w:hAnsi="Arial"/>
                <w:sz w:val="17"/>
                <w:szCs w:val="17"/>
                <w:color w:val="0000FF"/>
                <w:w w:val="91"/>
              </w:rPr>
              <w:t>159,968</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2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3,621.6094</w:t>
            </w:r>
          </w:p>
        </w:tc>
        <w:tc>
          <w:tcPr>
            <w:tcW w:w="920" w:type="dxa"/>
            <w:vAlign w:val="bottom"/>
            <w:vMerge w:val="restart"/>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700" w:type="dxa"/>
            <w:vAlign w:val="bottom"/>
            <w:vMerge w:val="restart"/>
          </w:tcPr>
          <w:p>
            <w:pPr>
              <w:spacing w:after="0"/>
              <w:rPr>
                <w:sz w:val="20"/>
                <w:szCs w:val="20"/>
                <w:color w:val="auto"/>
              </w:rPr>
            </w:pPr>
            <w:r>
              <w:rPr>
                <w:rFonts w:ascii="Arial" w:cs="Arial" w:eastAsia="Arial" w:hAnsi="Arial"/>
                <w:sz w:val="17"/>
                <w:szCs w:val="17"/>
                <w:color w:val="0000FF"/>
              </w:rPr>
              <w:t>401K</w:t>
            </w:r>
            <w:r>
              <w:rPr>
                <w:rFonts w:ascii="Arial" w:cs="Arial" w:eastAsia="Arial" w:hAnsi="Arial"/>
                <w:sz w:val="22"/>
                <w:szCs w:val="22"/>
                <w:color w:val="008000"/>
                <w:vertAlign w:val="superscript"/>
              </w:rPr>
              <w:t>(2)</w:t>
            </w:r>
          </w:p>
        </w:tc>
        <w:tc>
          <w:tcPr>
            <w:tcW w:w="120" w:type="dxa"/>
            <w:vAlign w:val="bottom"/>
            <w:gridSpan w:val="3"/>
            <w:vMerge w:val="restart"/>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56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840" w:type="dxa"/>
            <w:vAlign w:val="bottom"/>
            <w:tcBorders>
              <w:bottom w:val="single" w:sz="8" w:color="2C2C2C"/>
            </w:tcBorders>
          </w:tcPr>
          <w:p>
            <w:pPr>
              <w:spacing w:after="0"/>
              <w:rPr>
                <w:sz w:val="14"/>
                <w:szCs w:val="14"/>
                <w:color w:val="auto"/>
              </w:rPr>
            </w:pPr>
          </w:p>
        </w:tc>
        <w:tc>
          <w:tcPr>
            <w:tcW w:w="1340" w:type="dxa"/>
            <w:vAlign w:val="bottom"/>
            <w:tcBorders>
              <w:bottom w:val="single" w:sz="8" w:color="2C2C2C"/>
            </w:tcBorders>
          </w:tcPr>
          <w:p>
            <w:pPr>
              <w:spacing w:after="0"/>
              <w:rPr>
                <w:sz w:val="14"/>
                <w:szCs w:val="14"/>
                <w:color w:val="auto"/>
              </w:rPr>
            </w:pPr>
          </w:p>
        </w:tc>
        <w:tc>
          <w:tcPr>
            <w:tcW w:w="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66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40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vMerge w:val="continue"/>
          </w:tcPr>
          <w:p>
            <w:pPr>
              <w:spacing w:after="0"/>
              <w:rPr>
                <w:sz w:val="14"/>
                <w:szCs w:val="14"/>
                <w:color w:val="auto"/>
              </w:rPr>
            </w:pPr>
          </w:p>
        </w:tc>
        <w:tc>
          <w:tcPr>
            <w:tcW w:w="12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2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00" w:type="dxa"/>
            <w:vAlign w:val="bottom"/>
            <w:vMerge w:val="restart"/>
          </w:tcPr>
          <w:p>
            <w:pPr>
              <w:jc w:val="center"/>
              <w:ind w:right="397"/>
              <w:spacing w:after="0"/>
              <w:rPr>
                <w:sz w:val="20"/>
                <w:szCs w:val="20"/>
                <w:color w:val="auto"/>
              </w:rPr>
            </w:pPr>
            <w:r>
              <w:rPr>
                <w:rFonts w:ascii="Arial" w:cs="Arial" w:eastAsia="Arial" w:hAnsi="Arial"/>
                <w:sz w:val="17"/>
                <w:szCs w:val="17"/>
                <w:color w:val="0000FF"/>
                <w:w w:val="91"/>
              </w:rPr>
              <w:t>666</w:t>
            </w:r>
          </w:p>
        </w:tc>
        <w:tc>
          <w:tcPr>
            <w:tcW w:w="920" w:type="dxa"/>
            <w:vAlign w:val="bottom"/>
            <w:vMerge w:val="restart"/>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20" w:type="dxa"/>
            <w:vAlign w:val="bottom"/>
            <w:gridSpan w:val="4"/>
            <w:vMerge w:val="restart"/>
          </w:tcPr>
          <w:p>
            <w:pPr>
              <w:spacing w:after="0"/>
              <w:rPr>
                <w:sz w:val="20"/>
                <w:szCs w:val="20"/>
                <w:color w:val="auto"/>
              </w:rPr>
            </w:pPr>
            <w:r>
              <w:rPr>
                <w:rFonts w:ascii="Arial" w:cs="Arial" w:eastAsia="Arial" w:hAnsi="Arial"/>
                <w:sz w:val="17"/>
                <w:szCs w:val="17"/>
                <w:color w:val="0000FF"/>
              </w:rPr>
              <w:t>Spouse</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0" w:type="dxa"/>
            <w:vAlign w:val="bottom"/>
          </w:tcPr>
          <w:p>
            <w:pPr>
              <w:spacing w:after="0"/>
              <w:rPr>
                <w:sz w:val="9"/>
                <w:szCs w:val="9"/>
                <w:color w:val="auto"/>
              </w:rPr>
            </w:pPr>
          </w:p>
        </w:tc>
        <w:tc>
          <w:tcPr>
            <w:tcW w:w="920" w:type="dxa"/>
            <w:vAlign w:val="bottom"/>
          </w:tcPr>
          <w:p>
            <w:pPr>
              <w:spacing w:after="0"/>
              <w:rPr>
                <w:sz w:val="9"/>
                <w:szCs w:val="9"/>
                <w:color w:val="auto"/>
              </w:rPr>
            </w:pPr>
          </w:p>
        </w:tc>
        <w:tc>
          <w:tcPr>
            <w:tcW w:w="82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4080" w:type="dxa"/>
            <w:vAlign w:val="bottom"/>
            <w:tcBorders>
              <w:bottom w:val="single" w:sz="8" w:color="2C2C2C"/>
            </w:tcBorders>
            <w:gridSpan w:val="7"/>
          </w:tcPr>
          <w:p>
            <w:pPr>
              <w:spacing w:after="0"/>
              <w:rPr>
                <w:sz w:val="8"/>
                <w:szCs w:val="8"/>
                <w:color w:val="auto"/>
              </w:rPr>
            </w:pPr>
          </w:p>
        </w:tc>
        <w:tc>
          <w:tcPr>
            <w:tcW w:w="1480" w:type="dxa"/>
            <w:vAlign w:val="bottom"/>
            <w:tcBorders>
              <w:bottom w:val="single" w:sz="8" w:color="2C2C2C"/>
            </w:tcBorders>
            <w:gridSpan w:val="3"/>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2"/>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7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4"/>
                <w:szCs w:val="14"/>
                <w:color w:val="auto"/>
              </w:rPr>
            </w:pP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72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8"/>
              </w:rPr>
              <w:t>Underlying</w:t>
            </w:r>
          </w:p>
        </w:tc>
        <w:tc>
          <w:tcPr>
            <w:tcW w:w="28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280" w:type="dxa"/>
            <w:vAlign w:val="bottom"/>
          </w:tcPr>
          <w:p>
            <w:pPr>
              <w:spacing w:after="0"/>
              <w:rPr>
                <w:sz w:val="4"/>
                <w:szCs w:val="4"/>
                <w:color w:val="auto"/>
              </w:rPr>
            </w:pPr>
          </w:p>
        </w:tc>
        <w:tc>
          <w:tcPr>
            <w:tcW w:w="400" w:type="dxa"/>
            <w:vAlign w:val="bottom"/>
          </w:tcPr>
          <w:p>
            <w:pPr>
              <w:spacing w:after="0"/>
              <w:rPr>
                <w:sz w:val="4"/>
                <w:szCs w:val="4"/>
                <w:color w:val="auto"/>
              </w:rPr>
            </w:pPr>
          </w:p>
        </w:tc>
        <w:tc>
          <w:tcPr>
            <w:tcW w:w="8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20" w:type="dxa"/>
            <w:vAlign w:val="bottom"/>
            <w:gridSpan w:val="3"/>
          </w:tcPr>
          <w:p>
            <w:pPr>
              <w:ind w:left="420"/>
              <w:spacing w:after="0"/>
              <w:rPr>
                <w:sz w:val="20"/>
                <w:szCs w:val="20"/>
                <w:color w:val="auto"/>
              </w:rPr>
            </w:pPr>
            <w:r>
              <w:rPr>
                <w:rFonts w:ascii="Arial" w:cs="Arial" w:eastAsia="Arial" w:hAnsi="Arial"/>
                <w:sz w:val="12"/>
                <w:szCs w:val="12"/>
                <w:b w:val="1"/>
                <w:bCs w:val="1"/>
                <w:color w:val="auto"/>
              </w:rPr>
              <w:t>Amount</w:t>
            </w:r>
          </w:p>
        </w:tc>
        <w:tc>
          <w:tcPr>
            <w:tcW w:w="4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ind w:left="420"/>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20" w:type="dxa"/>
            <w:vAlign w:val="bottom"/>
            <w:gridSpan w:val="3"/>
          </w:tcPr>
          <w:p>
            <w:pPr>
              <w:ind w:left="420"/>
              <w:spacing w:after="0" w:line="133" w:lineRule="exact"/>
              <w:rPr>
                <w:sz w:val="20"/>
                <w:szCs w:val="20"/>
                <w:color w:val="auto"/>
              </w:rPr>
            </w:pPr>
            <w:r>
              <w:rPr>
                <w:rFonts w:ascii="Arial" w:cs="Arial" w:eastAsia="Arial" w:hAnsi="Arial"/>
                <w:sz w:val="12"/>
                <w:szCs w:val="12"/>
                <w:b w:val="1"/>
                <w:bCs w:val="1"/>
                <w:color w:val="auto"/>
              </w:rPr>
              <w:t>Number</w:t>
            </w:r>
          </w:p>
        </w:tc>
        <w:tc>
          <w:tcPr>
            <w:tcW w:w="4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ind w:left="420"/>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220" w:type="dxa"/>
            <w:vAlign w:val="bottom"/>
            <w:gridSpan w:val="3"/>
          </w:tcPr>
          <w:p>
            <w:pPr>
              <w:ind w:left="20"/>
              <w:spacing w:after="0"/>
              <w:rPr>
                <w:sz w:val="20"/>
                <w:szCs w:val="20"/>
                <w:color w:val="auto"/>
              </w:rPr>
            </w:pPr>
            <w:r>
              <w:rPr>
                <w:rFonts w:ascii="Arial" w:cs="Arial" w:eastAsia="Arial" w:hAnsi="Arial"/>
                <w:sz w:val="12"/>
                <w:szCs w:val="12"/>
                <w:b w:val="1"/>
                <w:bCs w:val="1"/>
                <w:color w:val="auto"/>
              </w:rPr>
              <w:t>Title  Shares</w:t>
            </w: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-3584575</wp:posOffset>
            </wp:positionV>
            <wp:extent cx="7031355" cy="3630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36302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8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Performance-Based Restricted Stock Units ("PRSUs") granted on February 16, 2021 pursuant to the 2017 Viad Corp Omnibus Incentive Plan. The PRSUs will become earned based on the achievement of certain stock price goals at any time between the grant date and December 31, 2024. Any PRSUs that become earned will vest on December 31, 2024, subject to Mr. Mosters continued employment. The PRSUs are payable in shares of VVI common stock on a one-for-one basis upon vesting.</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Between February 2020 and February 2021, the reporting person acquired 270.6785 shares of VVI common stock under the Viad Corp 401(k) plan.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Derek P. Linde as Attorney- </w:t>
      </w:r>
      <w:r>
        <w:rPr>
          <w:rFonts w:ascii="Arial" w:cs="Arial" w:eastAsia="Arial" w:hAnsi="Arial"/>
          <w:sz w:val="34"/>
          <w:szCs w:val="34"/>
          <w:color w:val="0000FF"/>
          <w:vertAlign w:val="subscript"/>
        </w:rPr>
        <w:t>02/18/2021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627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6271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504727" TargetMode="External"/><Relationship Id="rId14"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2021-02-18T13:05:47Z</dcterms:created>
  <dcterms:modified xsi:type="dcterms:W3CDTF">2021-02-18T13:05:47Z</dcterms:modified>
</cp:coreProperties>
</file>