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294640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10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12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9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Pursuant to Section 13 or 15(d) of the Securities Exchange Act of 1934</w:t>
      </w:r>
    </w:p>
    <w:p>
      <w:pPr>
        <w:spacing w:after="0" w:line="10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Date of Report (Date of earliest event reported): September 10,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3013710</wp:posOffset>
            </wp:positionH>
            <wp:positionV relativeFrom="paragraph">
              <wp:posOffset>156845</wp:posOffset>
            </wp:positionV>
            <wp:extent cx="1123315" cy="5918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123315" cy="59182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0"/>
          <w:szCs w:val="40"/>
          <w:b w:val="1"/>
          <w:bCs w:val="1"/>
          <w:color w:val="auto"/>
        </w:rPr>
        <w:t>Viad Corp</w:t>
      </w:r>
    </w:p>
    <w:p>
      <w:pPr>
        <w:spacing w:after="0" w:line="4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3"/>
          <w:szCs w:val="13"/>
          <w:b w:val="1"/>
          <w:bCs w:val="1"/>
          <w:color w:val="auto"/>
        </w:rPr>
        <w:t>(Exact name of registrant as specified in its charter)</w:t>
      </w:r>
    </w:p>
    <w:p>
      <w:pPr>
        <w:spacing w:after="0" w:line="178" w:lineRule="exact"/>
        <w:rPr>
          <w:sz w:val="24"/>
          <w:szCs w:val="24"/>
          <w:color w:val="auto"/>
        </w:rPr>
      </w:pPr>
    </w:p>
    <w:tbl>
      <w:tblPr>
        <w:tblLayout w:type="fixed"/>
        <w:tblInd w:w="360" w:type="dxa"/>
        <w:tblCellMar>
          <w:top w:w="0" w:type="dxa"/>
          <w:left w:w="0" w:type="dxa"/>
          <w:bottom w:w="0" w:type="dxa"/>
          <w:right w:w="0" w:type="dxa"/>
        </w:tblCellMar>
      </w:tblPr>
      <w:tr>
        <w:trPr>
          <w:trHeight w:val="222"/>
        </w:trPr>
        <w:tc>
          <w:tcPr>
            <w:tcW w:w="3760" w:type="dxa"/>
            <w:vAlign w:val="bottom"/>
          </w:tcPr>
          <w:p>
            <w:pPr>
              <w:jc w:val="center"/>
              <w:ind w:right="641"/>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3500" w:type="dxa"/>
            <w:vAlign w:val="bottom"/>
          </w:tcPr>
          <w:p>
            <w:pPr>
              <w:jc w:val="right"/>
              <w:ind w:right="1541"/>
              <w:spacing w:after="0"/>
              <w:rPr>
                <w:sz w:val="20"/>
                <w:szCs w:val="20"/>
                <w:color w:val="auto"/>
              </w:rPr>
            </w:pPr>
            <w:r>
              <w:rPr>
                <w:rFonts w:ascii="Times New Roman" w:cs="Times New Roman" w:eastAsia="Times New Roman" w:hAnsi="Times New Roman"/>
                <w:sz w:val="18"/>
                <w:szCs w:val="18"/>
                <w:b w:val="1"/>
                <w:bCs w:val="1"/>
                <w:color w:val="auto"/>
              </w:rPr>
              <w:t>001-11015</w:t>
            </w:r>
          </w:p>
        </w:tc>
        <w:tc>
          <w:tcPr>
            <w:tcW w:w="2280" w:type="dxa"/>
            <w:vAlign w:val="bottom"/>
          </w:tcPr>
          <w:p>
            <w:pPr>
              <w:jc w:val="center"/>
              <w:ind w:left="1144"/>
              <w:spacing w:after="0"/>
              <w:rPr>
                <w:sz w:val="20"/>
                <w:szCs w:val="20"/>
                <w:color w:val="auto"/>
              </w:rPr>
            </w:pPr>
            <w:r>
              <w:rPr>
                <w:rFonts w:ascii="Times New Roman" w:cs="Times New Roman" w:eastAsia="Times New Roman" w:hAnsi="Times New Roman"/>
                <w:sz w:val="18"/>
                <w:szCs w:val="18"/>
                <w:b w:val="1"/>
                <w:bCs w:val="1"/>
                <w:color w:val="auto"/>
                <w:w w:val="98"/>
              </w:rPr>
              <w:t>36-1169950</w:t>
            </w:r>
          </w:p>
        </w:tc>
      </w:tr>
      <w:tr>
        <w:trPr>
          <w:trHeight w:val="148"/>
        </w:trPr>
        <w:tc>
          <w:tcPr>
            <w:tcW w:w="3760" w:type="dxa"/>
            <w:vAlign w:val="bottom"/>
          </w:tcPr>
          <w:p>
            <w:pPr>
              <w:jc w:val="center"/>
              <w:ind w:right="661"/>
              <w:spacing w:after="0"/>
              <w:rPr>
                <w:sz w:val="20"/>
                <w:szCs w:val="20"/>
                <w:color w:val="auto"/>
              </w:rPr>
            </w:pPr>
            <w:r>
              <w:rPr>
                <w:rFonts w:ascii="Times New Roman" w:cs="Times New Roman" w:eastAsia="Times New Roman" w:hAnsi="Times New Roman"/>
                <w:sz w:val="13"/>
                <w:szCs w:val="13"/>
                <w:b w:val="1"/>
                <w:bCs w:val="1"/>
                <w:color w:val="auto"/>
              </w:rPr>
              <w:t>(State or other jurisdiction</w:t>
            </w:r>
          </w:p>
        </w:tc>
        <w:tc>
          <w:tcPr>
            <w:tcW w:w="3500" w:type="dxa"/>
            <w:vAlign w:val="bottom"/>
          </w:tcPr>
          <w:p>
            <w:pPr>
              <w:spacing w:after="0"/>
              <w:rPr>
                <w:sz w:val="12"/>
                <w:szCs w:val="12"/>
                <w:color w:val="auto"/>
              </w:rPr>
            </w:pPr>
          </w:p>
        </w:tc>
        <w:tc>
          <w:tcPr>
            <w:tcW w:w="2280" w:type="dxa"/>
            <w:vAlign w:val="bottom"/>
          </w:tcPr>
          <w:p>
            <w:pPr>
              <w:jc w:val="center"/>
              <w:ind w:left="1124"/>
              <w:spacing w:after="0"/>
              <w:rPr>
                <w:sz w:val="20"/>
                <w:szCs w:val="20"/>
                <w:color w:val="auto"/>
              </w:rPr>
            </w:pPr>
            <w:r>
              <w:rPr>
                <w:rFonts w:ascii="Times New Roman" w:cs="Times New Roman" w:eastAsia="Times New Roman" w:hAnsi="Times New Roman"/>
                <w:sz w:val="13"/>
                <w:szCs w:val="13"/>
                <w:b w:val="1"/>
                <w:bCs w:val="1"/>
                <w:color w:val="auto"/>
              </w:rPr>
              <w:t>(IRS Employer</w:t>
            </w:r>
          </w:p>
        </w:tc>
      </w:tr>
      <w:tr>
        <w:trPr>
          <w:trHeight w:val="178"/>
        </w:trPr>
        <w:tc>
          <w:tcPr>
            <w:tcW w:w="3760" w:type="dxa"/>
            <w:vAlign w:val="bottom"/>
          </w:tcPr>
          <w:p>
            <w:pPr>
              <w:jc w:val="center"/>
              <w:ind w:right="641"/>
              <w:spacing w:after="0"/>
              <w:rPr>
                <w:sz w:val="20"/>
                <w:szCs w:val="20"/>
                <w:color w:val="auto"/>
              </w:rPr>
            </w:pPr>
            <w:r>
              <w:rPr>
                <w:rFonts w:ascii="Times New Roman" w:cs="Times New Roman" w:eastAsia="Times New Roman" w:hAnsi="Times New Roman"/>
                <w:sz w:val="13"/>
                <w:szCs w:val="13"/>
                <w:b w:val="1"/>
                <w:bCs w:val="1"/>
                <w:color w:val="auto"/>
              </w:rPr>
              <w:t>of incorporation)</w:t>
            </w:r>
          </w:p>
        </w:tc>
        <w:tc>
          <w:tcPr>
            <w:tcW w:w="3500" w:type="dxa"/>
            <w:vAlign w:val="bottom"/>
          </w:tcPr>
          <w:p>
            <w:pPr>
              <w:jc w:val="center"/>
              <w:ind w:right="421"/>
              <w:spacing w:after="0"/>
              <w:rPr>
                <w:sz w:val="20"/>
                <w:szCs w:val="20"/>
                <w:color w:val="auto"/>
              </w:rPr>
            </w:pPr>
            <w:r>
              <w:rPr>
                <w:rFonts w:ascii="Times New Roman" w:cs="Times New Roman" w:eastAsia="Times New Roman" w:hAnsi="Times New Roman"/>
                <w:sz w:val="13"/>
                <w:szCs w:val="13"/>
                <w:b w:val="1"/>
                <w:bCs w:val="1"/>
                <w:color w:val="auto"/>
              </w:rPr>
              <w:t>(Commission File Number)</w:t>
            </w:r>
          </w:p>
        </w:tc>
        <w:tc>
          <w:tcPr>
            <w:tcW w:w="2280" w:type="dxa"/>
            <w:vAlign w:val="bottom"/>
          </w:tcPr>
          <w:p>
            <w:pPr>
              <w:jc w:val="center"/>
              <w:ind w:left="1144"/>
              <w:spacing w:after="0"/>
              <w:rPr>
                <w:sz w:val="20"/>
                <w:szCs w:val="20"/>
                <w:color w:val="auto"/>
              </w:rPr>
            </w:pPr>
            <w:r>
              <w:rPr>
                <w:rFonts w:ascii="Times New Roman" w:cs="Times New Roman" w:eastAsia="Times New Roman" w:hAnsi="Times New Roman"/>
                <w:sz w:val="13"/>
                <w:szCs w:val="13"/>
                <w:b w:val="1"/>
                <w:bCs w:val="1"/>
                <w:color w:val="auto"/>
              </w:rPr>
              <w:t>Identification No.)</w:t>
            </w:r>
          </w:p>
        </w:tc>
      </w:tr>
      <w:tr>
        <w:trPr>
          <w:trHeight w:val="383"/>
        </w:trPr>
        <w:tc>
          <w:tcPr>
            <w:tcW w:w="3760" w:type="dxa"/>
            <w:vAlign w:val="bottom"/>
          </w:tcPr>
          <w:p>
            <w:pPr>
              <w:jc w:val="center"/>
              <w:ind w:right="641"/>
              <w:spacing w:after="0"/>
              <w:rPr>
                <w:sz w:val="20"/>
                <w:szCs w:val="20"/>
                <w:color w:val="auto"/>
              </w:rPr>
            </w:pPr>
            <w:r>
              <w:rPr>
                <w:rFonts w:ascii="Times New Roman" w:cs="Times New Roman" w:eastAsia="Times New Roman" w:hAnsi="Times New Roman"/>
                <w:sz w:val="18"/>
                <w:szCs w:val="18"/>
                <w:b w:val="1"/>
                <w:bCs w:val="1"/>
                <w:color w:val="auto"/>
                <w:w w:val="99"/>
              </w:rPr>
              <w:t>1850 North Central Avenue, Suite 1900,</w:t>
            </w:r>
          </w:p>
        </w:tc>
        <w:tc>
          <w:tcPr>
            <w:tcW w:w="350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222"/>
        </w:trPr>
        <w:tc>
          <w:tcPr>
            <w:tcW w:w="3760" w:type="dxa"/>
            <w:vAlign w:val="bottom"/>
          </w:tcPr>
          <w:p>
            <w:pPr>
              <w:jc w:val="center"/>
              <w:ind w:right="641"/>
              <w:spacing w:after="0"/>
              <w:rPr>
                <w:sz w:val="20"/>
                <w:szCs w:val="20"/>
                <w:color w:val="auto"/>
              </w:rPr>
            </w:pPr>
            <w:r>
              <w:rPr>
                <w:rFonts w:ascii="Times New Roman" w:cs="Times New Roman" w:eastAsia="Times New Roman" w:hAnsi="Times New Roman"/>
                <w:sz w:val="18"/>
                <w:szCs w:val="18"/>
                <w:b w:val="1"/>
                <w:bCs w:val="1"/>
                <w:color w:val="auto"/>
                <w:w w:val="99"/>
              </w:rPr>
              <w:t>Phoenix, Arizona</w:t>
            </w:r>
          </w:p>
        </w:tc>
        <w:tc>
          <w:tcPr>
            <w:tcW w:w="3500" w:type="dxa"/>
            <w:vAlign w:val="bottom"/>
          </w:tcPr>
          <w:p>
            <w:pPr>
              <w:spacing w:after="0"/>
              <w:rPr>
                <w:sz w:val="19"/>
                <w:szCs w:val="19"/>
                <w:color w:val="auto"/>
              </w:rPr>
            </w:pPr>
          </w:p>
        </w:tc>
        <w:tc>
          <w:tcPr>
            <w:tcW w:w="2280" w:type="dxa"/>
            <w:vAlign w:val="bottom"/>
          </w:tcPr>
          <w:p>
            <w:pPr>
              <w:jc w:val="center"/>
              <w:ind w:left="1124"/>
              <w:spacing w:after="0"/>
              <w:rPr>
                <w:sz w:val="20"/>
                <w:szCs w:val="20"/>
                <w:color w:val="auto"/>
              </w:rPr>
            </w:pPr>
            <w:r>
              <w:rPr>
                <w:rFonts w:ascii="Times New Roman" w:cs="Times New Roman" w:eastAsia="Times New Roman" w:hAnsi="Times New Roman"/>
                <w:sz w:val="18"/>
                <w:szCs w:val="18"/>
                <w:b w:val="1"/>
                <w:bCs w:val="1"/>
                <w:color w:val="auto"/>
              </w:rPr>
              <w:t>85004-4565</w:t>
            </w:r>
          </w:p>
        </w:tc>
      </w:tr>
      <w:tr>
        <w:trPr>
          <w:trHeight w:val="178"/>
        </w:trPr>
        <w:tc>
          <w:tcPr>
            <w:tcW w:w="3760" w:type="dxa"/>
            <w:vAlign w:val="bottom"/>
          </w:tcPr>
          <w:p>
            <w:pPr>
              <w:jc w:val="center"/>
              <w:ind w:right="641"/>
              <w:spacing w:after="0"/>
              <w:rPr>
                <w:sz w:val="20"/>
                <w:szCs w:val="20"/>
                <w:color w:val="auto"/>
              </w:rPr>
            </w:pPr>
            <w:r>
              <w:rPr>
                <w:rFonts w:ascii="Times New Roman" w:cs="Times New Roman" w:eastAsia="Times New Roman" w:hAnsi="Times New Roman"/>
                <w:sz w:val="13"/>
                <w:szCs w:val="13"/>
                <w:b w:val="1"/>
                <w:bCs w:val="1"/>
                <w:color w:val="auto"/>
              </w:rPr>
              <w:t>(Address of principal executive offices)</w:t>
            </w:r>
          </w:p>
        </w:tc>
        <w:tc>
          <w:tcPr>
            <w:tcW w:w="3500" w:type="dxa"/>
            <w:vAlign w:val="bottom"/>
          </w:tcPr>
          <w:p>
            <w:pPr>
              <w:spacing w:after="0"/>
              <w:rPr>
                <w:sz w:val="15"/>
                <w:szCs w:val="15"/>
                <w:color w:val="auto"/>
              </w:rPr>
            </w:pPr>
          </w:p>
        </w:tc>
        <w:tc>
          <w:tcPr>
            <w:tcW w:w="2280" w:type="dxa"/>
            <w:vAlign w:val="bottom"/>
          </w:tcPr>
          <w:p>
            <w:pPr>
              <w:jc w:val="center"/>
              <w:ind w:left="1144"/>
              <w:spacing w:after="0"/>
              <w:rPr>
                <w:sz w:val="20"/>
                <w:szCs w:val="20"/>
                <w:color w:val="auto"/>
              </w:rPr>
            </w:pPr>
            <w:r>
              <w:rPr>
                <w:rFonts w:ascii="Times New Roman" w:cs="Times New Roman" w:eastAsia="Times New Roman" w:hAnsi="Times New Roman"/>
                <w:sz w:val="13"/>
                <w:szCs w:val="13"/>
                <w:b w:val="1"/>
                <w:bCs w:val="1"/>
                <w:color w:val="auto"/>
              </w:rPr>
              <w:t>(Zip Code)</w:t>
            </w:r>
          </w:p>
        </w:tc>
      </w:tr>
    </w:tbl>
    <w:p>
      <w:pPr>
        <w:spacing w:after="0" w:line="7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(602) 207-1000</w:t>
      </w:r>
    </w:p>
    <w:p>
      <w:pPr>
        <w:spacing w:after="0" w:line="11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3"/>
          <w:szCs w:val="13"/>
          <w:b w:val="1"/>
          <w:bCs w:val="1"/>
          <w:color w:val="auto"/>
        </w:rPr>
        <w:t>(Former name or former address, if changed since last report)</w:t>
      </w:r>
    </w:p>
    <w:p>
      <w:pPr>
        <w:spacing w:after="0" w:line="143" w:lineRule="exact"/>
        <w:rPr>
          <w:sz w:val="24"/>
          <w:szCs w:val="24"/>
          <w:color w:val="auto"/>
        </w:rPr>
      </w:pPr>
    </w:p>
    <w:p>
      <w:pPr>
        <w:ind w:right="6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w:t>
      </w:r>
      <w:r>
        <w:rPr>
          <w:rFonts w:ascii="Times New Roman" w:cs="Times New Roman" w:eastAsia="Times New Roman" w:hAnsi="Times New Roman"/>
          <w:sz w:val="18"/>
          <w:szCs w:val="18"/>
          <w:i w:val="1"/>
          <w:iCs w:val="1"/>
          <w:color w:val="auto"/>
        </w:rPr>
        <w:t>see</w:t>
      </w:r>
      <w:r>
        <w:rPr>
          <w:rFonts w:ascii="Times New Roman" w:cs="Times New Roman" w:eastAsia="Times New Roman" w:hAnsi="Times New Roman"/>
          <w:sz w:val="18"/>
          <w:szCs w:val="18"/>
          <w:color w:val="auto"/>
        </w:rPr>
        <w:t xml:space="preserve"> General Instruction A.2. below):</w:t>
      </w:r>
    </w:p>
    <w:p>
      <w:pPr>
        <w:spacing w:after="0" w:line="148"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171"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193"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440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180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Trading</w:t>
            </w:r>
          </w:p>
        </w:tc>
        <w:tc>
          <w:tcPr>
            <w:tcW w:w="504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Name of each exchange on which registered</w:t>
            </w:r>
          </w:p>
        </w:tc>
        <w:tc>
          <w:tcPr>
            <w:tcW w:w="0" w:type="dxa"/>
            <w:vAlign w:val="bottom"/>
          </w:tcPr>
          <w:p>
            <w:pPr>
              <w:spacing w:after="0"/>
              <w:rPr>
                <w:sz w:val="1"/>
                <w:szCs w:val="1"/>
                <w:color w:val="auto"/>
              </w:rPr>
            </w:pPr>
          </w:p>
        </w:tc>
      </w:tr>
      <w:tr>
        <w:trPr>
          <w:trHeight w:val="173"/>
        </w:trPr>
        <w:tc>
          <w:tcPr>
            <w:tcW w:w="4400" w:type="dxa"/>
            <w:vAlign w:val="bottom"/>
            <w:gridSpan w:val="2"/>
            <w:vMerge w:val="continue"/>
          </w:tcPr>
          <w:p>
            <w:pPr>
              <w:spacing w:after="0"/>
              <w:rPr>
                <w:sz w:val="15"/>
                <w:szCs w:val="15"/>
                <w:color w:val="auto"/>
              </w:rPr>
            </w:pPr>
          </w:p>
        </w:tc>
        <w:tc>
          <w:tcPr>
            <w:tcW w:w="180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Symbol(s)</w:t>
            </w:r>
          </w:p>
        </w:tc>
        <w:tc>
          <w:tcPr>
            <w:tcW w:w="50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4280" w:type="dxa"/>
            <w:vAlign w:val="bottom"/>
            <w:tcBorders>
              <w:top w:val="single" w:sz="8" w:color="auto"/>
            </w:tcBorders>
          </w:tcPr>
          <w:p>
            <w:pPr>
              <w:jc w:val="center"/>
              <w:spacing w:after="0" w:line="188" w:lineRule="exact"/>
              <w:rPr>
                <w:sz w:val="20"/>
                <w:szCs w:val="20"/>
                <w:color w:val="auto"/>
              </w:rPr>
            </w:pPr>
            <w:r>
              <w:rPr>
                <w:rFonts w:ascii="Times New Roman" w:cs="Times New Roman" w:eastAsia="Times New Roman" w:hAnsi="Times New Roman"/>
                <w:sz w:val="18"/>
                <w:szCs w:val="18"/>
                <w:b w:val="1"/>
                <w:bCs w:val="1"/>
                <w:color w:val="auto"/>
                <w:w w:val="99"/>
              </w:rPr>
              <w:t>Common Stock, $1.50 Par Value</w:t>
            </w:r>
          </w:p>
        </w:tc>
        <w:tc>
          <w:tcPr>
            <w:tcW w:w="120" w:type="dxa"/>
            <w:vAlign w:val="bottom"/>
          </w:tcPr>
          <w:p>
            <w:pPr>
              <w:spacing w:after="0"/>
              <w:rPr>
                <w:sz w:val="16"/>
                <w:szCs w:val="16"/>
                <w:color w:val="auto"/>
              </w:rPr>
            </w:pPr>
          </w:p>
        </w:tc>
        <w:tc>
          <w:tcPr>
            <w:tcW w:w="1680" w:type="dxa"/>
            <w:vAlign w:val="bottom"/>
            <w:tcBorders>
              <w:top w:val="single" w:sz="8" w:color="auto"/>
            </w:tcBorders>
          </w:tcPr>
          <w:p>
            <w:pPr>
              <w:jc w:val="center"/>
              <w:spacing w:after="0" w:line="188" w:lineRule="exact"/>
              <w:rPr>
                <w:sz w:val="20"/>
                <w:szCs w:val="20"/>
                <w:color w:val="auto"/>
              </w:rPr>
            </w:pPr>
            <w:r>
              <w:rPr>
                <w:rFonts w:ascii="Times New Roman" w:cs="Times New Roman" w:eastAsia="Times New Roman" w:hAnsi="Times New Roman"/>
                <w:sz w:val="18"/>
                <w:szCs w:val="18"/>
                <w:b w:val="1"/>
                <w:bCs w:val="1"/>
                <w:color w:val="auto"/>
              </w:rPr>
              <w:t>VVI</w:t>
            </w:r>
          </w:p>
        </w:tc>
        <w:tc>
          <w:tcPr>
            <w:tcW w:w="120" w:type="dxa"/>
            <w:vAlign w:val="bottom"/>
          </w:tcPr>
          <w:p>
            <w:pPr>
              <w:spacing w:after="0"/>
              <w:rPr>
                <w:sz w:val="16"/>
                <w:szCs w:val="16"/>
                <w:color w:val="auto"/>
              </w:rPr>
            </w:pPr>
          </w:p>
        </w:tc>
        <w:tc>
          <w:tcPr>
            <w:tcW w:w="5040" w:type="dxa"/>
            <w:vAlign w:val="bottom"/>
            <w:tcBorders>
              <w:top w:val="single" w:sz="8" w:color="auto"/>
            </w:tcBorders>
          </w:tcPr>
          <w:p>
            <w:pPr>
              <w:jc w:val="center"/>
              <w:spacing w:after="0" w:line="188" w:lineRule="exact"/>
              <w:rPr>
                <w:sz w:val="20"/>
                <w:szCs w:val="20"/>
                <w:color w:val="auto"/>
              </w:rPr>
            </w:pPr>
            <w:r>
              <w:rPr>
                <w:rFonts w:ascii="Times New Roman" w:cs="Times New Roman" w:eastAsia="Times New Roman" w:hAnsi="Times New Roman"/>
                <w:sz w:val="18"/>
                <w:szCs w:val="18"/>
                <w:b w:val="1"/>
                <w:bCs w:val="1"/>
                <w:color w:val="auto"/>
                <w:w w:val="99"/>
              </w:rPr>
              <w:t>New York Stock Exchange</w:t>
            </w:r>
          </w:p>
        </w:tc>
        <w:tc>
          <w:tcPr>
            <w:tcW w:w="0" w:type="dxa"/>
            <w:vAlign w:val="bottom"/>
          </w:tcPr>
          <w:p>
            <w:pPr>
              <w:spacing w:after="0"/>
              <w:rPr>
                <w:sz w:val="1"/>
                <w:szCs w:val="1"/>
                <w:color w:val="auto"/>
              </w:rPr>
            </w:pPr>
          </w:p>
        </w:tc>
      </w:tr>
      <w:tr>
        <w:trPr>
          <w:trHeight w:val="238"/>
        </w:trPr>
        <w:tc>
          <w:tcPr>
            <w:tcW w:w="440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9"/>
              </w:rPr>
              <w:t>Preferred Stock Purchase Rights</w:t>
            </w:r>
          </w:p>
        </w:tc>
        <w:tc>
          <w:tcPr>
            <w:tcW w:w="168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__</w:t>
            </w:r>
          </w:p>
        </w:tc>
        <w:tc>
          <w:tcPr>
            <w:tcW w:w="120" w:type="dxa"/>
            <w:vAlign w:val="bottom"/>
          </w:tcPr>
          <w:p>
            <w:pPr>
              <w:spacing w:after="0"/>
              <w:rPr>
                <w:sz w:val="20"/>
                <w:szCs w:val="20"/>
                <w:color w:val="auto"/>
              </w:rPr>
            </w:pPr>
          </w:p>
        </w:tc>
        <w:tc>
          <w:tcPr>
            <w:tcW w:w="504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New York Stock Exchange</w:t>
            </w:r>
          </w:p>
        </w:tc>
        <w:tc>
          <w:tcPr>
            <w:tcW w:w="0" w:type="dxa"/>
            <w:vAlign w:val="bottom"/>
          </w:tcPr>
          <w:p>
            <w:pPr>
              <w:spacing w:after="0"/>
              <w:rPr>
                <w:sz w:val="1"/>
                <w:szCs w:val="1"/>
                <w:color w:val="auto"/>
              </w:rPr>
            </w:pPr>
          </w:p>
        </w:tc>
      </w:tr>
      <w:tr>
        <w:trPr>
          <w:trHeight w:val="108"/>
        </w:trPr>
        <w:tc>
          <w:tcPr>
            <w:tcW w:w="4400" w:type="dxa"/>
            <w:vAlign w:val="bottom"/>
            <w:gridSpan w:val="2"/>
            <w:vMerge w:val="continue"/>
          </w:tcPr>
          <w:p>
            <w:pPr>
              <w:spacing w:after="0"/>
              <w:rPr>
                <w:sz w:val="9"/>
                <w:szCs w:val="9"/>
                <w:color w:val="auto"/>
              </w:rPr>
            </w:pPr>
          </w:p>
        </w:tc>
        <w:tc>
          <w:tcPr>
            <w:tcW w:w="1680" w:type="dxa"/>
            <w:vAlign w:val="bottom"/>
          </w:tcPr>
          <w:p>
            <w:pPr>
              <w:spacing w:after="0"/>
              <w:rPr>
                <w:sz w:val="9"/>
                <w:szCs w:val="9"/>
                <w:color w:val="auto"/>
              </w:rPr>
            </w:pPr>
          </w:p>
        </w:tc>
        <w:tc>
          <w:tcPr>
            <w:tcW w:w="120" w:type="dxa"/>
            <w:vAlign w:val="bottom"/>
          </w:tcPr>
          <w:p>
            <w:pPr>
              <w:spacing w:after="0"/>
              <w:rPr>
                <w:sz w:val="9"/>
                <w:szCs w:val="9"/>
                <w:color w:val="auto"/>
              </w:rPr>
            </w:pPr>
          </w:p>
        </w:tc>
        <w:tc>
          <w:tcPr>
            <w:tcW w:w="504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144" w:lineRule="exact"/>
        <w:rPr>
          <w:sz w:val="24"/>
          <w:szCs w:val="24"/>
          <w:color w:val="auto"/>
        </w:rPr>
      </w:pPr>
    </w:p>
    <w:p>
      <w:pPr>
        <w:ind w:right="48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 230.405 of this chapter) or Rule 12b-2 of the Securities Exchange Act of 1934 (§ 240.12b-2 of this chapter).</w:t>
      </w:r>
    </w:p>
    <w:p>
      <w:pPr>
        <w:spacing w:after="0" w:line="79"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00" w:lineRule="exact"/>
        <w:rPr>
          <w:sz w:val="24"/>
          <w:szCs w:val="24"/>
          <w:color w:val="auto"/>
        </w:rPr>
      </w:pPr>
    </w:p>
    <w:p>
      <w:pPr>
        <w:ind w:right="16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159385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562610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86" w:right="3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7.01 Regulation FD Disclosure.</w:t>
      </w:r>
    </w:p>
    <w:p>
      <w:pPr>
        <w:spacing w:after="0" w:line="229"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8"/>
          <w:szCs w:val="18"/>
          <w:color w:val="auto"/>
        </w:rPr>
        <w:t>We will post an updated investor presentation on our website at www.viad.com at 7:00 a.m. Eastern Time on September 16, 2020. The presentation will be used during meetings with investors and will include information regarding Management’s response to the COVID-19 pandemic and business performance. The presentation will also include forward-looking statements and cautionary statements identifying important factors that could cause actual results to differ materially from those anticipated, as well as certain non-GAAP financial measures and a reconciliation of those measures to applicable GAAP financial measures.</w:t>
      </w:r>
    </w:p>
    <w:p>
      <w:pPr>
        <w:spacing w:after="0" w:line="183" w:lineRule="exact"/>
        <w:rPr>
          <w:sz w:val="20"/>
          <w:szCs w:val="20"/>
          <w:color w:val="auto"/>
        </w:rPr>
      </w:pPr>
    </w:p>
    <w:p>
      <w:pPr>
        <w:ind w:right="160"/>
        <w:spacing w:after="0" w:line="266" w:lineRule="auto"/>
        <w:rPr>
          <w:sz w:val="20"/>
          <w:szCs w:val="20"/>
          <w:color w:val="auto"/>
        </w:rPr>
      </w:pPr>
      <w:r>
        <w:rPr>
          <w:rFonts w:ascii="Times New Roman" w:cs="Times New Roman" w:eastAsia="Times New Roman" w:hAnsi="Times New Roman"/>
          <w:sz w:val="18"/>
          <w:szCs w:val="18"/>
          <w:color w:val="auto"/>
        </w:rPr>
        <w:t>The information in this report will not be deemed “filed” for purposes of Section 18 of the Securities Exchange Act of 1934, as amended (the “Exchange Act”), or otherwise subject to the liabilities of that section and it will not be incorporated by reference in any filing under the Securities Act of 1933, as amended, or the Exchange Act, except as expressly set forth by specific reference in such a filing.</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333" w:right="39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3520" w:type="dxa"/>
            <w:vAlign w:val="bottom"/>
          </w:tcPr>
          <w:p>
            <w:pPr>
              <w:spacing w:after="0"/>
              <w:rPr>
                <w:sz w:val="19"/>
                <w:szCs w:val="19"/>
                <w:color w:val="auto"/>
              </w:rPr>
            </w:pPr>
          </w:p>
        </w:tc>
        <w:tc>
          <w:tcPr>
            <w:tcW w:w="7720" w:type="dxa"/>
            <w:vAlign w:val="bottom"/>
            <w:gridSpan w:val="2"/>
          </w:tcPr>
          <w:p>
            <w:pPr>
              <w:ind w:left="2220"/>
              <w:spacing w:after="0"/>
              <w:rPr>
                <w:sz w:val="20"/>
                <w:szCs w:val="20"/>
                <w:color w:val="auto"/>
              </w:rPr>
            </w:pPr>
            <w:r>
              <w:rPr>
                <w:rFonts w:ascii="Times New Roman" w:cs="Times New Roman" w:eastAsia="Times New Roman" w:hAnsi="Times New Roman"/>
                <w:sz w:val="18"/>
                <w:szCs w:val="18"/>
                <w:color w:val="auto"/>
              </w:rPr>
              <w:t>Viad Corp</w:t>
            </w:r>
          </w:p>
        </w:tc>
      </w:tr>
      <w:tr>
        <w:trPr>
          <w:trHeight w:val="234"/>
        </w:trPr>
        <w:tc>
          <w:tcPr>
            <w:tcW w:w="3520" w:type="dxa"/>
            <w:vAlign w:val="bottom"/>
          </w:tcPr>
          <w:p>
            <w:pPr>
              <w:spacing w:after="0"/>
              <w:rPr>
                <w:sz w:val="20"/>
                <w:szCs w:val="20"/>
                <w:color w:val="auto"/>
              </w:rPr>
            </w:pPr>
          </w:p>
        </w:tc>
        <w:tc>
          <w:tcPr>
            <w:tcW w:w="7720" w:type="dxa"/>
            <w:vAlign w:val="bottom"/>
            <w:gridSpan w:val="2"/>
          </w:tcPr>
          <w:p>
            <w:pPr>
              <w:ind w:left="2220"/>
              <w:spacing w:after="0"/>
              <w:rPr>
                <w:sz w:val="20"/>
                <w:szCs w:val="20"/>
                <w:color w:val="auto"/>
              </w:rPr>
            </w:pPr>
            <w:r>
              <w:rPr>
                <w:rFonts w:ascii="Times New Roman" w:cs="Times New Roman" w:eastAsia="Times New Roman" w:hAnsi="Times New Roman"/>
                <w:sz w:val="18"/>
                <w:szCs w:val="18"/>
                <w:color w:val="auto"/>
              </w:rPr>
              <w:t>(Registrant)</w:t>
            </w:r>
          </w:p>
        </w:tc>
      </w:tr>
      <w:tr>
        <w:trPr>
          <w:trHeight w:val="459"/>
        </w:trPr>
        <w:tc>
          <w:tcPr>
            <w:tcW w:w="3520" w:type="dxa"/>
            <w:vAlign w:val="bottom"/>
          </w:tcPr>
          <w:p>
            <w:pPr>
              <w:spacing w:after="0"/>
              <w:rPr>
                <w:sz w:val="20"/>
                <w:szCs w:val="20"/>
                <w:color w:val="auto"/>
              </w:rPr>
            </w:pPr>
            <w:r>
              <w:rPr>
                <w:rFonts w:ascii="Times New Roman" w:cs="Times New Roman" w:eastAsia="Times New Roman" w:hAnsi="Times New Roman"/>
                <w:sz w:val="18"/>
                <w:szCs w:val="18"/>
                <w:color w:val="auto"/>
              </w:rPr>
              <w:t>September 10, 2020</w:t>
            </w:r>
          </w:p>
        </w:tc>
        <w:tc>
          <w:tcPr>
            <w:tcW w:w="7720" w:type="dxa"/>
            <w:vAlign w:val="bottom"/>
            <w:gridSpan w:val="2"/>
          </w:tcPr>
          <w:p>
            <w:pPr>
              <w:ind w:left="2220"/>
              <w:spacing w:after="0"/>
              <w:rPr>
                <w:sz w:val="20"/>
                <w:szCs w:val="20"/>
                <w:color w:val="auto"/>
              </w:rPr>
            </w:pPr>
            <w:r>
              <w:rPr>
                <w:rFonts w:ascii="Times New Roman" w:cs="Times New Roman" w:eastAsia="Times New Roman" w:hAnsi="Times New Roman"/>
                <w:sz w:val="18"/>
                <w:szCs w:val="18"/>
                <w:color w:val="auto"/>
              </w:rPr>
              <w:t>By: /s/ Derek P. Linde</w:t>
            </w:r>
          </w:p>
        </w:tc>
      </w:tr>
      <w:tr>
        <w:trPr>
          <w:trHeight w:val="218"/>
        </w:trPr>
        <w:tc>
          <w:tcPr>
            <w:tcW w:w="35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518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Derek P. Linde</w:t>
            </w:r>
          </w:p>
        </w:tc>
      </w:tr>
      <w:tr>
        <w:trPr>
          <w:trHeight w:val="234"/>
        </w:trPr>
        <w:tc>
          <w:tcPr>
            <w:tcW w:w="352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5180" w:type="dxa"/>
            <w:vAlign w:val="bottom"/>
          </w:tcPr>
          <w:p>
            <w:pPr>
              <w:spacing w:after="0"/>
              <w:rPr>
                <w:sz w:val="20"/>
                <w:szCs w:val="20"/>
                <w:color w:val="auto"/>
              </w:rPr>
            </w:pPr>
            <w:r>
              <w:rPr>
                <w:rFonts w:ascii="Times New Roman" w:cs="Times New Roman" w:eastAsia="Times New Roman" w:hAnsi="Times New Roman"/>
                <w:sz w:val="18"/>
                <w:szCs w:val="18"/>
                <w:color w:val="auto"/>
              </w:rPr>
              <w:t>General Counsel and Corporate Secretary</w:t>
            </w:r>
          </w:p>
        </w:tc>
      </w:tr>
      <w:tr>
        <w:trPr>
          <w:trHeight w:val="864"/>
        </w:trPr>
        <w:tc>
          <w:tcPr>
            <w:tcW w:w="3520" w:type="dxa"/>
            <w:vAlign w:val="bottom"/>
          </w:tcPr>
          <w:p>
            <w:pPr>
              <w:spacing w:after="0"/>
              <w:rPr>
                <w:sz w:val="24"/>
                <w:szCs w:val="24"/>
                <w:color w:val="auto"/>
              </w:rPr>
            </w:pPr>
          </w:p>
        </w:tc>
        <w:tc>
          <w:tcPr>
            <w:tcW w:w="2540" w:type="dxa"/>
            <w:vAlign w:val="bottom"/>
          </w:tcPr>
          <w:p>
            <w:pPr>
              <w:jc w:val="right"/>
              <w:ind w:right="310"/>
              <w:spacing w:after="0"/>
              <w:rPr>
                <w:sz w:val="20"/>
                <w:szCs w:val="20"/>
                <w:color w:val="auto"/>
              </w:rPr>
            </w:pPr>
            <w:r>
              <w:rPr>
                <w:rFonts w:ascii="Times New Roman" w:cs="Times New Roman" w:eastAsia="Times New Roman" w:hAnsi="Times New Roman"/>
                <w:sz w:val="18"/>
                <w:szCs w:val="18"/>
                <w:color w:val="auto"/>
              </w:rPr>
              <w:t>2</w:t>
            </w:r>
          </w:p>
        </w:tc>
        <w:tc>
          <w:tcPr>
            <w:tcW w:w="5180" w:type="dxa"/>
            <w:vAlign w:val="bottom"/>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333"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2020-09-10T15:38:34Z</dcterms:created>
  <dcterms:modified xsi:type="dcterms:W3CDTF">2020-09-10T15:38:34Z</dcterms:modified>
</cp:coreProperties>
</file>