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99" w:lineRule="exact"/>
        <w:rPr>
          <w:sz w:val="24"/>
          <w:szCs w:val="24"/>
          <w:color w:val="auto"/>
        </w:rPr>
      </w:pPr>
    </w:p>
    <w:p>
      <w:pPr>
        <w:ind w:left="4960"/>
        <w:spacing w:after="0"/>
        <w:rPr>
          <w:sz w:val="20"/>
          <w:szCs w:val="20"/>
          <w:color w:val="auto"/>
        </w:rPr>
      </w:pPr>
      <w:r>
        <w:rPr>
          <w:rFonts w:ascii="Arial" w:cs="Arial" w:eastAsia="Arial" w:hAnsi="Arial"/>
          <w:sz w:val="18"/>
          <w:szCs w:val="18"/>
          <w:b w:val="1"/>
          <w:bCs w:val="1"/>
          <w:color w:val="auto"/>
        </w:rPr>
        <w:t>SCHEDULE 14A</w:t>
      </w:r>
    </w:p>
    <w:p>
      <w:pPr>
        <w:spacing w:after="0" w:line="121"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Proxy Statement Pursuant to Section 14(a) of the Securities</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Exchange Act of 1934 (Amendment No. )</w:t>
      </w:r>
    </w:p>
    <w:p>
      <w:pPr>
        <w:spacing w:after="0" w:line="9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6"/>
          <w:szCs w:val="16"/>
          <w:color w:val="auto"/>
        </w:rPr>
        <w:t>☑</w:t>
      </w:r>
    </w:p>
    <w:p>
      <w:pPr>
        <w:spacing w:after="0" w:line="96"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58"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53"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61"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44" w:lineRule="exact"/>
        <w:rPr>
          <w:sz w:val="24"/>
          <w:szCs w:val="24"/>
          <w:color w:val="auto"/>
        </w:rPr>
      </w:pPr>
    </w:p>
    <w:p>
      <w:pPr>
        <w:ind w:left="340" w:hanging="332"/>
        <w:spacing w:after="0"/>
        <w:tabs>
          <w:tab w:leader="none" w:pos="340" w:val="left"/>
        </w:tabs>
        <w:numPr>
          <w:ilvl w:val="0"/>
          <w:numId w:val="2"/>
        </w:numPr>
        <w:rPr>
          <w:rFonts w:ascii="MS PGothic" w:cs="MS PGothic" w:eastAsia="MS PGothic" w:hAnsi="MS PGothic"/>
          <w:sz w:val="16"/>
          <w:szCs w:val="16"/>
          <w:color w:val="auto"/>
        </w:rPr>
      </w:pPr>
      <w:r>
        <w:rPr>
          <w:rFonts w:ascii="Arial" w:cs="Arial" w:eastAsia="Arial" w:hAnsi="Arial"/>
          <w:sz w:val="18"/>
          <w:szCs w:val="18"/>
          <w:color w:val="auto"/>
        </w:rPr>
        <w:t>Definitive Additional Materials</w:t>
      </w:r>
    </w:p>
    <w:p>
      <w:pPr>
        <w:spacing w:after="0" w:line="158" w:lineRule="exact"/>
        <w:rPr>
          <w:sz w:val="24"/>
          <w:szCs w:val="24"/>
          <w:color w:val="auto"/>
        </w:rPr>
      </w:pPr>
    </w:p>
    <w:p>
      <w:pPr>
        <w:ind w:left="340" w:hanging="332"/>
        <w:spacing w:after="0"/>
        <w:tabs>
          <w:tab w:leader="none" w:pos="3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1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Viad Corp</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46" w:lineRule="exact"/>
        <w:rPr>
          <w:sz w:val="24"/>
          <w:szCs w:val="24"/>
          <w:color w:val="auto"/>
        </w:rPr>
      </w:pPr>
    </w:p>
    <w:p>
      <w:pPr>
        <w:ind w:left="30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9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31" w:lineRule="exact"/>
        <w:rPr>
          <w:sz w:val="24"/>
          <w:szCs w:val="24"/>
          <w:color w:val="auto"/>
        </w:rPr>
      </w:pPr>
    </w:p>
    <w:p>
      <w:pPr>
        <w:ind w:left="340" w:hanging="332"/>
        <w:spacing w:after="0"/>
        <w:tabs>
          <w:tab w:leader="none" w:pos="340" w:val="left"/>
        </w:tabs>
        <w:numPr>
          <w:ilvl w:val="0"/>
          <w:numId w:val="4"/>
        </w:numPr>
        <w:rPr>
          <w:rFonts w:ascii="MS PGothic" w:cs="MS PGothic" w:eastAsia="MS PGothic" w:hAnsi="MS PGothic"/>
          <w:sz w:val="16"/>
          <w:szCs w:val="16"/>
          <w:color w:val="auto"/>
        </w:rPr>
      </w:pPr>
      <w:r>
        <w:rPr>
          <w:rFonts w:ascii="Arial" w:cs="Arial" w:eastAsia="Arial" w:hAnsi="Arial"/>
          <w:sz w:val="18"/>
          <w:szCs w:val="18"/>
          <w:color w:val="auto"/>
        </w:rPr>
        <w:t>No fee required.</w:t>
      </w:r>
    </w:p>
    <w:p>
      <w:pPr>
        <w:spacing w:after="0" w:line="131" w:lineRule="exact"/>
        <w:rPr>
          <w:sz w:val="24"/>
          <w:szCs w:val="24"/>
          <w:color w:val="auto"/>
        </w:rPr>
      </w:pPr>
    </w:p>
    <w:p>
      <w:pPr>
        <w:ind w:left="340" w:hanging="332"/>
        <w:spacing w:after="0"/>
        <w:tabs>
          <w:tab w:leader="none" w:pos="3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79" w:lineRule="exact"/>
        <w:rPr>
          <w:rFonts w:ascii="MS PGothic" w:cs="MS PGothic" w:eastAsia="MS PGothic" w:hAnsi="MS PGothic"/>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11"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171" w:lineRule="exact"/>
        <w:rPr>
          <w:rFonts w:ascii="Arial" w:cs="Arial" w:eastAsia="Arial" w:hAnsi="Arial"/>
          <w:sz w:val="18"/>
          <w:szCs w:val="18"/>
          <w:color w:val="auto"/>
        </w:rPr>
      </w:pPr>
    </w:p>
    <w:p>
      <w:pPr>
        <w:ind w:left="680" w:right="20" w:hanging="335"/>
        <w:spacing w:after="0" w:line="277" w:lineRule="auto"/>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56"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11"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184"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30" w:lineRule="exact"/>
        <w:rPr>
          <w:rFonts w:ascii="MS PGothic" w:cs="MS PGothic" w:eastAsia="MS PGothic" w:hAnsi="MS PGothic"/>
          <w:sz w:val="18"/>
          <w:szCs w:val="18"/>
          <w:color w:val="auto"/>
        </w:rPr>
      </w:pPr>
    </w:p>
    <w:p>
      <w:pPr>
        <w:ind w:left="340" w:hanging="332"/>
        <w:spacing w:after="0" w:line="277" w:lineRule="auto"/>
        <w:tabs>
          <w:tab w:leader="none" w:pos="34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75" w:lineRule="exact"/>
        <w:rPr>
          <w:rFonts w:ascii="MS PGothic" w:cs="MS PGothic" w:eastAsia="MS PGothic" w:hAnsi="MS PGothic"/>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198"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11"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11" w:lineRule="exact"/>
        <w:rPr>
          <w:rFonts w:ascii="Arial" w:cs="Arial" w:eastAsia="Arial" w:hAnsi="Arial"/>
          <w:sz w:val="18"/>
          <w:szCs w:val="18"/>
          <w:color w:val="auto"/>
        </w:rPr>
      </w:pPr>
    </w:p>
    <w:p>
      <w:pPr>
        <w:ind w:left="680" w:hanging="335"/>
        <w:spacing w:after="0"/>
        <w:tabs>
          <w:tab w:leader="none" w:pos="6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433705</wp:posOffset>
            </wp:positionH>
            <wp:positionV relativeFrom="paragraph">
              <wp:posOffset>-1562100</wp:posOffset>
            </wp:positionV>
            <wp:extent cx="670369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-1827530</wp:posOffset>
            </wp:positionV>
            <wp:extent cx="670369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-2093595</wp:posOffset>
            </wp:positionV>
            <wp:extent cx="67036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03695" cy="8890"/>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-2470785</wp:posOffset>
            </wp:positionV>
            <wp:extent cx="67036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-2736215</wp:posOffset>
            </wp:positionV>
            <wp:extent cx="67036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48895</wp:posOffset>
            </wp:positionV>
            <wp:extent cx="67036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-215900</wp:posOffset>
            </wp:positionV>
            <wp:extent cx="67036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03695" cy="8890"/>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-481965</wp:posOffset>
            </wp:positionV>
            <wp:extent cx="67036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433705</wp:posOffset>
            </wp:positionH>
            <wp:positionV relativeFrom="paragraph">
              <wp:posOffset>-747395</wp:posOffset>
            </wp:positionV>
            <wp:extent cx="67036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426085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49465" cy="72948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729488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49465" cy="7303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730377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49465" cy="72866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728662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1108075</wp:posOffset>
            </wp:positionH>
            <wp:positionV relativeFrom="page">
              <wp:posOffset>226060</wp:posOffset>
            </wp:positionV>
            <wp:extent cx="5340350" cy="6917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5340350" cy="691769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2020-04-03T12:25:11Z</dcterms:created>
  <dcterms:modified xsi:type="dcterms:W3CDTF">2020-04-03T12:25:11Z</dcterms:modified>
</cp:coreProperties>
</file>