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t>UNITED STATES</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spacing w:after="0" w:line="21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FORM 8-K</w:t>
      </w:r>
    </w:p>
    <w:p>
      <w:pPr>
        <w:spacing w:after="0" w:line="200" w:lineRule="exact"/>
        <w:rPr>
          <w:sz w:val="24"/>
          <w:szCs w:val="24"/>
          <w:color w:val="auto"/>
        </w:rPr>
      </w:pPr>
    </w:p>
    <w:p>
      <w:pPr>
        <w:spacing w:after="0" w:line="23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0" w:lineRule="exact"/>
        <w:rPr>
          <w:sz w:val="24"/>
          <w:szCs w:val="24"/>
          <w:color w:val="auto"/>
        </w:rPr>
      </w:pPr>
    </w:p>
    <w:p>
      <w:pPr>
        <w:spacing w:after="0" w:line="21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December 11, 2012</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Report (Date of earliest event reported)</w:t>
      </w:r>
    </w:p>
    <w:p>
      <w:pPr>
        <w:spacing w:after="0" w:line="200" w:lineRule="exact"/>
        <w:rPr>
          <w:sz w:val="24"/>
          <w:szCs w:val="24"/>
          <w:color w:val="auto"/>
        </w:rPr>
      </w:pPr>
    </w:p>
    <w:p>
      <w:pPr>
        <w:spacing w:after="0" w:line="21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VIAD CORP</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34" w:lineRule="exact"/>
        <w:rPr>
          <w:sz w:val="24"/>
          <w:szCs w:val="24"/>
          <w:color w:val="auto"/>
        </w:rPr>
      </w:pPr>
    </w:p>
    <w:tbl>
      <w:tblPr>
        <w:tblLayout w:type="fixed"/>
        <w:tblInd w:w="960" w:type="dxa"/>
        <w:tblCellMar>
          <w:top w:w="0" w:type="dxa"/>
          <w:left w:w="0" w:type="dxa"/>
          <w:bottom w:w="0" w:type="dxa"/>
          <w:right w:w="0" w:type="dxa"/>
        </w:tblCellMar>
      </w:tblPr>
      <w:tr>
        <w:trPr>
          <w:trHeight w:val="219"/>
        </w:trPr>
        <w:tc>
          <w:tcPr>
            <w:tcW w:w="3080" w:type="dxa"/>
            <w:vAlign w:val="bottom"/>
          </w:tcPr>
          <w:p>
            <w:pPr>
              <w:jc w:val="center"/>
              <w:ind w:right="1111"/>
              <w:spacing w:after="0"/>
              <w:rPr>
                <w:sz w:val="20"/>
                <w:szCs w:val="20"/>
                <w:color w:val="auto"/>
              </w:rPr>
            </w:pPr>
            <w:r>
              <w:rPr>
                <w:rFonts w:ascii="Arial" w:cs="Arial" w:eastAsia="Arial" w:hAnsi="Arial"/>
                <w:sz w:val="18"/>
                <w:szCs w:val="18"/>
                <w:b w:val="1"/>
                <w:bCs w:val="1"/>
                <w:color w:val="auto"/>
                <w:w w:val="91"/>
              </w:rPr>
              <w:t>Delaware</w:t>
            </w:r>
          </w:p>
        </w:tc>
        <w:tc>
          <w:tcPr>
            <w:tcW w:w="3500" w:type="dxa"/>
            <w:vAlign w:val="bottom"/>
          </w:tcPr>
          <w:p>
            <w:pPr>
              <w:jc w:val="center"/>
              <w:ind w:right="51"/>
              <w:spacing w:after="0"/>
              <w:rPr>
                <w:sz w:val="20"/>
                <w:szCs w:val="20"/>
                <w:color w:val="auto"/>
              </w:rPr>
            </w:pPr>
            <w:r>
              <w:rPr>
                <w:rFonts w:ascii="Arial" w:cs="Arial" w:eastAsia="Arial" w:hAnsi="Arial"/>
                <w:sz w:val="18"/>
                <w:szCs w:val="18"/>
                <w:b w:val="1"/>
                <w:bCs w:val="1"/>
                <w:color w:val="auto"/>
                <w:w w:val="88"/>
              </w:rPr>
              <w:t>001-11015</w:t>
            </w:r>
          </w:p>
        </w:tc>
        <w:tc>
          <w:tcPr>
            <w:tcW w:w="2660" w:type="dxa"/>
            <w:vAlign w:val="bottom"/>
          </w:tcPr>
          <w:p>
            <w:pPr>
              <w:jc w:val="center"/>
              <w:ind w:left="1251"/>
              <w:spacing w:after="0"/>
              <w:rPr>
                <w:sz w:val="20"/>
                <w:szCs w:val="20"/>
                <w:color w:val="auto"/>
              </w:rPr>
            </w:pPr>
            <w:r>
              <w:rPr>
                <w:rFonts w:ascii="Arial" w:cs="Arial" w:eastAsia="Arial" w:hAnsi="Arial"/>
                <w:sz w:val="18"/>
                <w:szCs w:val="18"/>
                <w:b w:val="1"/>
                <w:bCs w:val="1"/>
                <w:color w:val="auto"/>
                <w:w w:val="87"/>
              </w:rPr>
              <w:t>36-1169950</w:t>
            </w:r>
          </w:p>
        </w:tc>
      </w:tr>
      <w:tr>
        <w:trPr>
          <w:trHeight w:val="215"/>
        </w:trPr>
        <w:tc>
          <w:tcPr>
            <w:tcW w:w="3080" w:type="dxa"/>
            <w:vAlign w:val="bottom"/>
          </w:tcPr>
          <w:p>
            <w:pPr>
              <w:jc w:val="center"/>
              <w:ind w:right="1111"/>
              <w:spacing w:after="0"/>
              <w:rPr>
                <w:sz w:val="20"/>
                <w:szCs w:val="20"/>
                <w:color w:val="auto"/>
              </w:rPr>
            </w:pPr>
            <w:r>
              <w:rPr>
                <w:rFonts w:ascii="Arial" w:cs="Arial" w:eastAsia="Arial" w:hAnsi="Arial"/>
                <w:sz w:val="18"/>
                <w:szCs w:val="18"/>
                <w:color w:val="auto"/>
                <w:w w:val="91"/>
              </w:rPr>
              <w:t>(State or other jurisdiction</w:t>
            </w:r>
          </w:p>
        </w:tc>
        <w:tc>
          <w:tcPr>
            <w:tcW w:w="3500" w:type="dxa"/>
            <w:vAlign w:val="bottom"/>
          </w:tcPr>
          <w:p>
            <w:pPr>
              <w:jc w:val="center"/>
              <w:ind w:right="51"/>
              <w:spacing w:after="0"/>
              <w:rPr>
                <w:sz w:val="20"/>
                <w:szCs w:val="20"/>
                <w:color w:val="auto"/>
              </w:rPr>
            </w:pPr>
            <w:r>
              <w:rPr>
                <w:rFonts w:ascii="Arial" w:cs="Arial" w:eastAsia="Arial" w:hAnsi="Arial"/>
                <w:sz w:val="18"/>
                <w:szCs w:val="18"/>
                <w:color w:val="auto"/>
                <w:w w:val="91"/>
              </w:rPr>
              <w:t>(Commission</w:t>
            </w:r>
          </w:p>
        </w:tc>
        <w:tc>
          <w:tcPr>
            <w:tcW w:w="2660" w:type="dxa"/>
            <w:vAlign w:val="bottom"/>
          </w:tcPr>
          <w:p>
            <w:pPr>
              <w:jc w:val="center"/>
              <w:ind w:left="1251"/>
              <w:spacing w:after="0"/>
              <w:rPr>
                <w:sz w:val="20"/>
                <w:szCs w:val="20"/>
                <w:color w:val="auto"/>
              </w:rPr>
            </w:pPr>
            <w:r>
              <w:rPr>
                <w:rFonts w:ascii="Arial" w:cs="Arial" w:eastAsia="Arial" w:hAnsi="Arial"/>
                <w:sz w:val="18"/>
                <w:szCs w:val="18"/>
                <w:color w:val="auto"/>
                <w:w w:val="92"/>
              </w:rPr>
              <w:t>(IRS Employer</w:t>
            </w:r>
          </w:p>
        </w:tc>
      </w:tr>
      <w:tr>
        <w:trPr>
          <w:trHeight w:val="229"/>
        </w:trPr>
        <w:tc>
          <w:tcPr>
            <w:tcW w:w="3080" w:type="dxa"/>
            <w:vAlign w:val="bottom"/>
          </w:tcPr>
          <w:p>
            <w:pPr>
              <w:jc w:val="center"/>
              <w:ind w:right="1131"/>
              <w:spacing w:after="0"/>
              <w:rPr>
                <w:sz w:val="20"/>
                <w:szCs w:val="20"/>
                <w:color w:val="auto"/>
              </w:rPr>
            </w:pPr>
            <w:r>
              <w:rPr>
                <w:rFonts w:ascii="Arial" w:cs="Arial" w:eastAsia="Arial" w:hAnsi="Arial"/>
                <w:sz w:val="18"/>
                <w:szCs w:val="18"/>
                <w:color w:val="auto"/>
                <w:w w:val="93"/>
              </w:rPr>
              <w:t>of incorporation)</w:t>
            </w:r>
          </w:p>
        </w:tc>
        <w:tc>
          <w:tcPr>
            <w:tcW w:w="3500" w:type="dxa"/>
            <w:vAlign w:val="bottom"/>
          </w:tcPr>
          <w:p>
            <w:pPr>
              <w:jc w:val="center"/>
              <w:ind w:right="51"/>
              <w:spacing w:after="0"/>
              <w:rPr>
                <w:sz w:val="20"/>
                <w:szCs w:val="20"/>
                <w:color w:val="auto"/>
              </w:rPr>
            </w:pPr>
            <w:r>
              <w:rPr>
                <w:rFonts w:ascii="Arial" w:cs="Arial" w:eastAsia="Arial" w:hAnsi="Arial"/>
                <w:sz w:val="18"/>
                <w:szCs w:val="18"/>
                <w:color w:val="auto"/>
                <w:w w:val="92"/>
              </w:rPr>
              <w:t>File Number)</w:t>
            </w:r>
          </w:p>
        </w:tc>
        <w:tc>
          <w:tcPr>
            <w:tcW w:w="2660" w:type="dxa"/>
            <w:vAlign w:val="bottom"/>
          </w:tcPr>
          <w:p>
            <w:pPr>
              <w:jc w:val="center"/>
              <w:ind w:left="1251"/>
              <w:spacing w:after="0"/>
              <w:rPr>
                <w:sz w:val="20"/>
                <w:szCs w:val="20"/>
                <w:color w:val="auto"/>
              </w:rPr>
            </w:pPr>
            <w:r>
              <w:rPr>
                <w:rFonts w:ascii="Arial" w:cs="Arial" w:eastAsia="Arial" w:hAnsi="Arial"/>
                <w:sz w:val="18"/>
                <w:szCs w:val="18"/>
                <w:color w:val="auto"/>
                <w:w w:val="94"/>
              </w:rPr>
              <w:t>Identification No.)</w:t>
            </w:r>
          </w:p>
        </w:tc>
      </w:tr>
      <w:tr>
        <w:trPr>
          <w:trHeight w:val="630"/>
        </w:trPr>
        <w:tc>
          <w:tcPr>
            <w:tcW w:w="6580" w:type="dxa"/>
            <w:vAlign w:val="bottom"/>
            <w:gridSpan w:val="2"/>
          </w:tcPr>
          <w:p>
            <w:pPr>
              <w:jc w:val="center"/>
              <w:ind w:right="751"/>
              <w:spacing w:after="0"/>
              <w:rPr>
                <w:sz w:val="20"/>
                <w:szCs w:val="20"/>
                <w:color w:val="auto"/>
              </w:rPr>
            </w:pPr>
            <w:r>
              <w:rPr>
                <w:rFonts w:ascii="Arial" w:cs="Arial" w:eastAsia="Arial" w:hAnsi="Arial"/>
                <w:sz w:val="18"/>
                <w:szCs w:val="18"/>
                <w:b w:val="1"/>
                <w:bCs w:val="1"/>
                <w:color w:val="auto"/>
                <w:w w:val="90"/>
              </w:rPr>
              <w:t>1850 North Central Avenue, Suite 1900, Phoenix, Arizona</w:t>
            </w:r>
          </w:p>
        </w:tc>
        <w:tc>
          <w:tcPr>
            <w:tcW w:w="2660" w:type="dxa"/>
            <w:vAlign w:val="bottom"/>
          </w:tcPr>
          <w:p>
            <w:pPr>
              <w:jc w:val="center"/>
              <w:ind w:left="1251"/>
              <w:spacing w:after="0"/>
              <w:rPr>
                <w:sz w:val="20"/>
                <w:szCs w:val="20"/>
                <w:color w:val="auto"/>
              </w:rPr>
            </w:pPr>
            <w:r>
              <w:rPr>
                <w:rFonts w:ascii="Arial" w:cs="Arial" w:eastAsia="Arial" w:hAnsi="Arial"/>
                <w:sz w:val="18"/>
                <w:szCs w:val="18"/>
                <w:b w:val="1"/>
                <w:bCs w:val="1"/>
                <w:color w:val="auto"/>
                <w:w w:val="91"/>
              </w:rPr>
              <w:t>85004-4565</w:t>
            </w:r>
          </w:p>
        </w:tc>
      </w:tr>
      <w:tr>
        <w:trPr>
          <w:trHeight w:val="229"/>
        </w:trPr>
        <w:tc>
          <w:tcPr>
            <w:tcW w:w="6580" w:type="dxa"/>
            <w:vAlign w:val="bottom"/>
            <w:gridSpan w:val="2"/>
          </w:tcPr>
          <w:p>
            <w:pPr>
              <w:jc w:val="center"/>
              <w:ind w:right="731"/>
              <w:spacing w:after="0"/>
              <w:rPr>
                <w:sz w:val="20"/>
                <w:szCs w:val="20"/>
                <w:color w:val="auto"/>
              </w:rPr>
            </w:pPr>
            <w:r>
              <w:rPr>
                <w:rFonts w:ascii="Arial" w:cs="Arial" w:eastAsia="Arial" w:hAnsi="Arial"/>
                <w:sz w:val="18"/>
                <w:szCs w:val="18"/>
                <w:color w:val="auto"/>
                <w:w w:val="92"/>
              </w:rPr>
              <w:t>(Address of principal executive offices)</w:t>
            </w:r>
          </w:p>
        </w:tc>
        <w:tc>
          <w:tcPr>
            <w:tcW w:w="2660" w:type="dxa"/>
            <w:vAlign w:val="bottom"/>
          </w:tcPr>
          <w:p>
            <w:pPr>
              <w:jc w:val="center"/>
              <w:ind w:left="1251"/>
              <w:spacing w:after="0"/>
              <w:rPr>
                <w:sz w:val="20"/>
                <w:szCs w:val="20"/>
                <w:color w:val="auto"/>
              </w:rPr>
            </w:pPr>
            <w:r>
              <w:rPr>
                <w:rFonts w:ascii="Arial" w:cs="Arial" w:eastAsia="Arial" w:hAnsi="Arial"/>
                <w:sz w:val="18"/>
                <w:szCs w:val="18"/>
                <w:color w:val="auto"/>
                <w:w w:val="94"/>
              </w:rPr>
              <w:t>(Zip Code)</w:t>
            </w:r>
          </w:p>
        </w:tc>
      </w:tr>
    </w:tbl>
    <w:p>
      <w:pPr>
        <w:spacing w:after="0" w:line="200" w:lineRule="exact"/>
        <w:rPr>
          <w:sz w:val="24"/>
          <w:szCs w:val="24"/>
          <w:color w:val="auto"/>
        </w:rPr>
      </w:pPr>
    </w:p>
    <w:p>
      <w:pPr>
        <w:spacing w:after="0" w:line="215" w:lineRule="exact"/>
        <w:rPr>
          <w:sz w:val="24"/>
          <w:szCs w:val="24"/>
          <w:color w:val="auto"/>
        </w:rPr>
      </w:pPr>
    </w:p>
    <w:p>
      <w:pPr>
        <w:spacing w:after="0"/>
        <w:rPr>
          <w:sz w:val="20"/>
          <w:szCs w:val="20"/>
          <w:color w:val="auto"/>
        </w:rPr>
      </w:pPr>
      <w:r>
        <w:rPr>
          <w:rFonts w:ascii="Arial" w:cs="Arial" w:eastAsia="Arial" w:hAnsi="Arial"/>
          <w:sz w:val="18"/>
          <w:szCs w:val="18"/>
          <w:color w:val="auto"/>
        </w:rPr>
        <w:t>Registrant’s telephone number, including area code: (602) 207-1000</w:t>
      </w:r>
    </w:p>
    <w:p>
      <w:pPr>
        <w:spacing w:after="0" w:line="223" w:lineRule="exact"/>
        <w:rPr>
          <w:sz w:val="24"/>
          <w:szCs w:val="24"/>
          <w:color w:val="auto"/>
        </w:rPr>
      </w:pPr>
    </w:p>
    <w:p>
      <w:pPr>
        <w:spacing w:after="0" w:line="27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220" w:hanging="213"/>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2" w:lineRule="exact"/>
        <w:rPr>
          <w:rFonts w:ascii="MS PGothic" w:cs="MS PGothic" w:eastAsia="MS PGothic" w:hAnsi="MS PGothic"/>
          <w:sz w:val="18"/>
          <w:szCs w:val="18"/>
          <w:color w:val="auto"/>
        </w:rPr>
      </w:pPr>
    </w:p>
    <w:p>
      <w:pPr>
        <w:ind w:left="220" w:hanging="213"/>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2" w:lineRule="exact"/>
        <w:rPr>
          <w:rFonts w:ascii="MS PGothic" w:cs="MS PGothic" w:eastAsia="MS PGothic" w:hAnsi="MS PGothic"/>
          <w:sz w:val="18"/>
          <w:szCs w:val="18"/>
          <w:color w:val="auto"/>
        </w:rPr>
      </w:pPr>
    </w:p>
    <w:p>
      <w:pPr>
        <w:ind w:left="220" w:hanging="213"/>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2" w:lineRule="exact"/>
        <w:rPr>
          <w:rFonts w:ascii="MS PGothic" w:cs="MS PGothic" w:eastAsia="MS PGothic" w:hAnsi="MS PGothic"/>
          <w:sz w:val="18"/>
          <w:szCs w:val="18"/>
          <w:color w:val="auto"/>
        </w:rPr>
      </w:pPr>
    </w:p>
    <w:p>
      <w:pPr>
        <w:ind w:left="220" w:hanging="213"/>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560070</wp:posOffset>
            </wp:positionV>
            <wp:extent cx="72472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7255" cy="8255"/>
                    </a:xfrm>
                    <a:prstGeom prst="rect">
                      <a:avLst/>
                    </a:prstGeom>
                    <a:noFill/>
                  </pic:spPr>
                </pic:pic>
              </a:graphicData>
            </a:graphic>
          </wp:anchor>
        </w:drawing>
      </w:r>
    </w:p>
    <w:p>
      <w:pPr>
        <w:sectPr>
          <w:pgSz w:w="11900" w:h="16838" w:orient="portrait"/>
          <w:cols w:equalWidth="0" w:num="1">
            <w:col w:w="11400"/>
          </w:cols>
          <w:pgMar w:left="240" w:top="229" w:right="259" w:bottom="1440" w:gutter="0" w:footer="0" w:header="0"/>
        </w:sectPr>
      </w:pPr>
    </w:p>
    <w:bookmarkStart w:id="1" w:name="page2"/>
    <w:bookmarkEnd w:id="1"/>
    <w:p>
      <w:pPr>
        <w:jc w:val="both"/>
        <w:ind w:left="1300" w:hanging="1288"/>
        <w:spacing w:after="0" w:line="279" w:lineRule="auto"/>
        <w:tabs>
          <w:tab w:leader="none" w:pos="128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(b) Departure of Directors</w:t>
      </w:r>
    </w:p>
    <w:p>
      <w:pPr>
        <w:spacing w:after="0" w:line="22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December 11, 2012, Jess Hay, Lead Independent Director of Viad Corp (the “Company”), informed the Board of Directors of the Company of his decision to retire and not stand for re-election. Mr. Hay’s current term will expire at the Company’s 2013 Annual Meeting of Shareholders on May 21, 2013. The independent members of the Board appointed Richard H. Dozer, a Director of the Company since 2008, to serve a two-year term as Lead Independent Director effective May 21, 2013.</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 copy of the Company’s press release, dated December 13, 2012, relating to Mr. Hay’s decision to retire is being furnished as Exhibit 99 to this Current Report on Form 8-K. Exhibit 99 shall not be deemed “filed” for purposes of Section 18 of the Securities Exchange Act of 1934 (the “Exchange Act”), or otherwise subject to the liabilities under that Section and shall not be deemed to be incorporated by reference into any filing of the Company under the Securities Act of 1933 or the Exchange Act.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Exhibit 99 is furnished as part of this Current Report on Form 8-K:</w:t>
      </w:r>
    </w:p>
    <w:p>
      <w:pPr>
        <w:spacing w:after="0" w:line="2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99 – Press Release dated December 13, 2012.</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7"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9"/>
        </w:trPr>
        <w:tc>
          <w:tcPr>
            <w:tcW w:w="416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4100" w:type="dxa"/>
            <w:vAlign w:val="bottom"/>
          </w:tcPr>
          <w:p>
            <w:pPr>
              <w:spacing w:after="0"/>
              <w:rPr>
                <w:sz w:val="20"/>
                <w:szCs w:val="20"/>
                <w:color w:val="auto"/>
              </w:rPr>
            </w:pPr>
            <w:r>
              <w:rPr>
                <w:rFonts w:ascii="Arial" w:cs="Arial" w:eastAsia="Arial" w:hAnsi="Arial"/>
                <w:sz w:val="18"/>
                <w:szCs w:val="18"/>
                <w:b w:val="1"/>
                <w:bCs w:val="1"/>
                <w:color w:val="auto"/>
              </w:rPr>
              <w:t>VIAD CORP</w:t>
            </w:r>
          </w:p>
        </w:tc>
      </w:tr>
      <w:tr>
        <w:trPr>
          <w:trHeight w:val="229"/>
        </w:trPr>
        <w:tc>
          <w:tcPr>
            <w:tcW w:w="416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(Registrant)</w:t>
            </w:r>
          </w:p>
        </w:tc>
      </w:tr>
      <w:tr>
        <w:trPr>
          <w:trHeight w:val="644"/>
        </w:trPr>
        <w:tc>
          <w:tcPr>
            <w:tcW w:w="4160" w:type="dxa"/>
            <w:vAlign w:val="bottom"/>
          </w:tcPr>
          <w:p>
            <w:pPr>
              <w:spacing w:after="0"/>
              <w:rPr>
                <w:sz w:val="20"/>
                <w:szCs w:val="20"/>
                <w:color w:val="auto"/>
              </w:rPr>
            </w:pPr>
            <w:r>
              <w:rPr>
                <w:rFonts w:ascii="Arial" w:cs="Arial" w:eastAsia="Arial" w:hAnsi="Arial"/>
                <w:sz w:val="18"/>
                <w:szCs w:val="18"/>
                <w:color w:val="auto"/>
              </w:rPr>
              <w:t>December 13, 2012</w:t>
            </w:r>
          </w:p>
        </w:tc>
        <w:tc>
          <w:tcPr>
            <w:tcW w:w="7260" w:type="dxa"/>
            <w:vAlign w:val="bottom"/>
            <w:gridSpan w:val="2"/>
          </w:tcPr>
          <w:p>
            <w:pPr>
              <w:ind w:left="2740"/>
              <w:spacing w:after="0"/>
              <w:rPr>
                <w:sz w:val="20"/>
                <w:szCs w:val="20"/>
                <w:color w:val="auto"/>
              </w:rPr>
            </w:pPr>
            <w:r>
              <w:rPr>
                <w:rFonts w:ascii="Arial" w:cs="Arial" w:eastAsia="Arial" w:hAnsi="Arial"/>
                <w:sz w:val="18"/>
                <w:szCs w:val="18"/>
                <w:color w:val="auto"/>
              </w:rPr>
              <w:t>By:  /s/ G. Michael Latta</w:t>
            </w:r>
          </w:p>
        </w:tc>
      </w:tr>
      <w:tr>
        <w:trPr>
          <w:trHeight w:val="194"/>
        </w:trPr>
        <w:tc>
          <w:tcPr>
            <w:tcW w:w="4160" w:type="dxa"/>
            <w:vAlign w:val="bottom"/>
          </w:tcPr>
          <w:p>
            <w:pPr>
              <w:spacing w:after="0"/>
              <w:rPr>
                <w:sz w:val="16"/>
                <w:szCs w:val="16"/>
                <w:color w:val="auto"/>
              </w:rPr>
            </w:pPr>
          </w:p>
        </w:tc>
        <w:tc>
          <w:tcPr>
            <w:tcW w:w="3160" w:type="dxa"/>
            <w:vAlign w:val="bottom"/>
          </w:tcPr>
          <w:p>
            <w:pPr>
              <w:spacing w:after="0"/>
              <w:rPr>
                <w:sz w:val="16"/>
                <w:szCs w:val="16"/>
                <w:color w:val="auto"/>
              </w:rPr>
            </w:pPr>
          </w:p>
        </w:tc>
        <w:tc>
          <w:tcPr>
            <w:tcW w:w="4100" w:type="dxa"/>
            <w:vAlign w:val="bottom"/>
            <w:tcBorders>
              <w:top w:val="single" w:sz="8" w:color="auto"/>
            </w:tcBorders>
          </w:tcPr>
          <w:p>
            <w:pPr>
              <w:spacing w:after="0" w:line="194" w:lineRule="exact"/>
              <w:rPr>
                <w:sz w:val="20"/>
                <w:szCs w:val="20"/>
                <w:color w:val="auto"/>
              </w:rPr>
            </w:pPr>
            <w:r>
              <w:rPr>
                <w:rFonts w:ascii="Arial" w:cs="Arial" w:eastAsia="Arial" w:hAnsi="Arial"/>
                <w:sz w:val="18"/>
                <w:szCs w:val="18"/>
                <w:color w:val="auto"/>
              </w:rPr>
              <w:t>G. Michael Latta</w:t>
            </w:r>
          </w:p>
        </w:tc>
      </w:tr>
      <w:tr>
        <w:trPr>
          <w:trHeight w:val="229"/>
        </w:trPr>
        <w:tc>
          <w:tcPr>
            <w:tcW w:w="416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Chief Accounting Officer - Controller</w:t>
            </w:r>
          </w:p>
        </w:tc>
      </w:tr>
      <w:tr>
        <w:trPr>
          <w:trHeight w:val="859"/>
        </w:trPr>
        <w:tc>
          <w:tcPr>
            <w:tcW w:w="416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41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0" w:right="239" w:bottom="1440" w:gutter="0" w:footer="0" w:header="0"/>
        </w:sectPr>
      </w:pPr>
    </w:p>
    <w:bookmarkStart w:id="2" w:name="page3"/>
    <w:bookmarkEnd w:id="2"/>
    <w:p>
      <w:pPr>
        <w:jc w:val="center"/>
        <w:ind w:right="-79"/>
        <w:spacing w:after="0"/>
        <w:rPr>
          <w:sz w:val="20"/>
          <w:szCs w:val="20"/>
          <w:color w:val="auto"/>
        </w:rPr>
      </w:pPr>
      <w:r>
        <w:rPr>
          <w:rFonts w:ascii="Arial" w:cs="Arial" w:eastAsia="Arial" w:hAnsi="Arial"/>
          <w:sz w:val="21"/>
          <w:szCs w:val="21"/>
          <w:b w:val="1"/>
          <w:bCs w:val="1"/>
          <w:color w:val="auto"/>
        </w:rPr>
        <w:t>Jess Hay to Retire From Viad Corp's Board of Directors in 2013</w:t>
      </w:r>
    </w:p>
    <w:p>
      <w:pPr>
        <w:spacing w:after="0" w:line="289" w:lineRule="exact"/>
        <w:rPr>
          <w:sz w:val="20"/>
          <w:szCs w:val="20"/>
          <w:color w:val="auto"/>
        </w:rPr>
      </w:pPr>
    </w:p>
    <w:p>
      <w:pPr>
        <w:ind w:right="100"/>
        <w:spacing w:after="0" w:line="250" w:lineRule="auto"/>
        <w:rPr>
          <w:sz w:val="20"/>
          <w:szCs w:val="20"/>
          <w:color w:val="auto"/>
        </w:rPr>
      </w:pPr>
      <w:r>
        <w:rPr>
          <w:rFonts w:ascii="Arial" w:cs="Arial" w:eastAsia="Arial" w:hAnsi="Arial"/>
          <w:sz w:val="21"/>
          <w:szCs w:val="21"/>
          <w:color w:val="auto"/>
        </w:rPr>
        <w:t>PHOENIX, Dec. 13, 2012 /PRNewswire/ -- Viad Corp (NYSE: VVI) today announced the decision of Jess Hay, lead independent director, to retire from the Viad Board of Directors. Mr. Hay, who has served as a director of Viad since 1981 and as lead independent director since 2005, will not stand for re-election at the Company's 2013 Annual Meeting of Shareholders on May 21, 2013.</w:t>
      </w:r>
    </w:p>
    <w:p>
      <w:pPr>
        <w:spacing w:after="0" w:line="175" w:lineRule="exact"/>
        <w:rPr>
          <w:sz w:val="20"/>
          <w:szCs w:val="20"/>
          <w:color w:val="auto"/>
        </w:rPr>
      </w:pPr>
    </w:p>
    <w:p>
      <w:pPr>
        <w:jc w:val="both"/>
        <w:spacing w:after="0" w:line="256" w:lineRule="auto"/>
        <w:rPr>
          <w:sz w:val="20"/>
          <w:szCs w:val="20"/>
          <w:color w:val="auto"/>
        </w:rPr>
      </w:pPr>
      <w:r>
        <w:rPr>
          <w:rFonts w:ascii="Arial" w:cs="Arial" w:eastAsia="Arial" w:hAnsi="Arial"/>
          <w:sz w:val="21"/>
          <w:szCs w:val="21"/>
          <w:color w:val="auto"/>
        </w:rPr>
        <w:t>Paul B. Dykstra, chairman, president and chief executive officer of Viad, said, "The Viad Board greatly benefits from the leadership wisdom and integrity of Jess Hay. While his presence and innumerable contributions will be missed, we respect his decision to retir at the end of his term in May 2013 and wish him well."</w:t>
      </w:r>
    </w:p>
    <w:p>
      <w:pPr>
        <w:spacing w:after="0" w:line="167" w:lineRule="exact"/>
        <w:rPr>
          <w:sz w:val="20"/>
          <w:szCs w:val="20"/>
          <w:color w:val="auto"/>
        </w:rPr>
      </w:pPr>
    </w:p>
    <w:p>
      <w:pPr>
        <w:spacing w:after="0" w:line="280" w:lineRule="auto"/>
        <w:rPr>
          <w:sz w:val="20"/>
          <w:szCs w:val="20"/>
          <w:color w:val="auto"/>
        </w:rPr>
      </w:pPr>
      <w:r>
        <w:rPr>
          <w:rFonts w:ascii="Arial" w:cs="Arial" w:eastAsia="Arial" w:hAnsi="Arial"/>
          <w:sz w:val="19"/>
          <w:szCs w:val="19"/>
          <w:color w:val="auto"/>
        </w:rPr>
        <w:t>Mr. Hay's retirement will bring to a close more than 30 years of remarkable service to the Company. During his distinguished tenure, Mr. Hay has provided leadership and insight that were instrumental to the Company's successful implementation of many growth and change initiatives, as well as the achievement of on-going financial strength. Mr. Hay said, "It has been my privilege to serve the Company and its shareholders and to work alongside my fellow Board members, past and present, whom I deeply respect. I am confident that under the leadership of the Viad Board and management team, great opportunities are ahead for our businesses."</w:t>
      </w:r>
    </w:p>
    <w:p>
      <w:pPr>
        <w:spacing w:after="0" w:line="149" w:lineRule="exact"/>
        <w:rPr>
          <w:sz w:val="20"/>
          <w:szCs w:val="20"/>
          <w:color w:val="auto"/>
        </w:rPr>
      </w:pPr>
    </w:p>
    <w:p>
      <w:pPr>
        <w:ind w:right="20"/>
        <w:spacing w:after="0" w:line="248" w:lineRule="auto"/>
        <w:rPr>
          <w:sz w:val="20"/>
          <w:szCs w:val="20"/>
          <w:color w:val="auto"/>
        </w:rPr>
      </w:pPr>
      <w:r>
        <w:rPr>
          <w:rFonts w:ascii="Arial" w:cs="Arial" w:eastAsia="Arial" w:hAnsi="Arial"/>
          <w:sz w:val="21"/>
          <w:szCs w:val="21"/>
          <w:color w:val="auto"/>
        </w:rPr>
        <w:t>The Board, with the assistance of a nationally-recognized executive search firm, has initiated a search for a new director who will stand for election at the 2013 Annual Meeting. Upon Mr. Hay's retirement, with the addition of the new director, the Board will be comprised of 9 highly-qualified and experienced directors, 8 of whom are independent. The independent members of the Board appointed Richard H. Dozer as lead independent director effective May 21, 2013. Mr. Dozer, a director since 2008, will serve a two year term as lead independent director.</w:t>
      </w:r>
    </w:p>
    <w:p>
      <w:pPr>
        <w:spacing w:after="0" w:line="17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About Viad</w:t>
      </w:r>
    </w:p>
    <w:p>
      <w:pPr>
        <w:spacing w:after="0" w:line="221" w:lineRule="exact"/>
        <w:rPr>
          <w:sz w:val="20"/>
          <w:szCs w:val="20"/>
          <w:color w:val="auto"/>
        </w:rPr>
      </w:pPr>
    </w:p>
    <w:p>
      <w:pPr>
        <w:jc w:val="both"/>
        <w:ind w:right="340"/>
        <w:spacing w:after="0" w:line="256" w:lineRule="auto"/>
        <w:rPr>
          <w:sz w:val="20"/>
          <w:szCs w:val="20"/>
          <w:color w:val="auto"/>
        </w:rPr>
      </w:pPr>
      <w:r>
        <w:rPr>
          <w:rFonts w:ascii="Arial" w:cs="Arial" w:eastAsia="Arial" w:hAnsi="Arial"/>
          <w:sz w:val="21"/>
          <w:szCs w:val="21"/>
          <w:color w:val="auto"/>
        </w:rPr>
        <w:t>Viad is an S&amp;P SmallCap 600 company. Viad operates through its Marketing &amp; Events Group, comprised of Global Experience Specialists, Inc. and affiliates, and its Travel &amp; Recreation Group, comprised of Brewster, Glacier Park, Inc. and Alaska Denali Travel. For more information, visit the Company's Web site at www.viad.com.</w:t>
      </w:r>
    </w:p>
    <w:p>
      <w:pPr>
        <w:spacing w:after="0" w:line="167" w:lineRule="exact"/>
        <w:rPr>
          <w:sz w:val="20"/>
          <w:szCs w:val="20"/>
          <w:color w:val="auto"/>
        </w:rPr>
      </w:pPr>
    </w:p>
    <w:p>
      <w:pPr>
        <w:spacing w:after="0"/>
        <w:rPr>
          <w:sz w:val="20"/>
          <w:szCs w:val="20"/>
          <w:color w:val="auto"/>
        </w:rPr>
      </w:pPr>
      <w:r>
        <w:rPr>
          <w:rFonts w:ascii="Arial" w:cs="Arial" w:eastAsia="Arial" w:hAnsi="Arial"/>
          <w:sz w:val="21"/>
          <w:szCs w:val="21"/>
          <w:b w:val="1"/>
          <w:bCs w:val="1"/>
          <w:i w:val="1"/>
          <w:iCs w:val="1"/>
          <w:color w:val="auto"/>
        </w:rPr>
        <w:t>Forward-Looking Statements</w:t>
      </w:r>
    </w:p>
    <w:p>
      <w:pPr>
        <w:spacing w:after="0" w:line="215" w:lineRule="exact"/>
        <w:rPr>
          <w:sz w:val="20"/>
          <w:szCs w:val="20"/>
          <w:color w:val="auto"/>
        </w:rPr>
      </w:pPr>
    </w:p>
    <w:p>
      <w:pPr>
        <w:spacing w:after="0" w:line="269" w:lineRule="auto"/>
        <w:rPr>
          <w:sz w:val="20"/>
          <w:szCs w:val="20"/>
          <w:color w:val="auto"/>
        </w:rPr>
      </w:pPr>
      <w:r>
        <w:rPr>
          <w:rFonts w:ascii="Arial" w:cs="Arial" w:eastAsia="Arial" w:hAnsi="Arial"/>
          <w:sz w:val="19"/>
          <w:szCs w:val="19"/>
          <w:i w:val="1"/>
          <w:iCs w:val="1"/>
          <w:color w:val="auto"/>
        </w:rPr>
        <w:t>As provided by the safe harbor provision under the Private Securities Litigation Reform Act of 1995, Viad cautions readers that, in addition to historical information contained herein, this press release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or renewal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acquisitions, adverse developments in liabilities associated with discontinued operations and any deterioration in the economy, may individually or in combination impact future results. In addition to factors mentioned elsewhere, economic, competitive, governmental, technological, capital marketplace and other factors, including terrorist activities or war, a pandemic health crisis and international conditions, could affect the forward-looking statements in this press release. Additional information concerning business and other risk factors that could cause actual results to materially differ from those in the forward-looking statements can be found in Viad's annual and quarterly reports filed with the Securities and Exchange Commission.</w:t>
      </w:r>
    </w:p>
    <w:p>
      <w:pPr>
        <w:spacing w:after="0" w:line="164" w:lineRule="exact"/>
        <w:rPr>
          <w:sz w:val="20"/>
          <w:szCs w:val="20"/>
          <w:color w:val="auto"/>
        </w:rPr>
      </w:pPr>
    </w:p>
    <w:p>
      <w:pPr>
        <w:spacing w:after="0" w:line="248" w:lineRule="auto"/>
        <w:rPr>
          <w:sz w:val="20"/>
          <w:szCs w:val="20"/>
          <w:color w:val="auto"/>
        </w:rPr>
      </w:pPr>
      <w:r>
        <w:rPr>
          <w:rFonts w:ascii="Arial" w:cs="Arial" w:eastAsia="Arial" w:hAnsi="Arial"/>
          <w:sz w:val="21"/>
          <w:szCs w:val="21"/>
          <w:i w:val="1"/>
          <w:iCs w:val="1"/>
          <w:color w:val="auto"/>
        </w:rPr>
        <w:t>Information about Viad Corp obtained from sources other than the company may be out-of-date or incorrect. Please rely only on company press releases, SEC filings and other information provided by the company, keeping in mind that forward-looking statements speak only as of the date made. Viad undertakes no obligation to update any forward-looking statements, including prior forward-looking statements, to reflect events or circumstances arising after the date as of which the forward-looking statements were made.</w:t>
      </w:r>
    </w:p>
    <w:p>
      <w:pPr>
        <w:spacing w:after="0" w:line="17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Contacts:</w:t>
      </w:r>
    </w:p>
    <w:p>
      <w:pPr>
        <w:spacing w:after="0" w:line="24" w:lineRule="exact"/>
        <w:rPr>
          <w:sz w:val="20"/>
          <w:szCs w:val="20"/>
          <w:color w:val="auto"/>
        </w:rPr>
      </w:pPr>
    </w:p>
    <w:p>
      <w:pPr>
        <w:spacing w:after="0"/>
        <w:rPr>
          <w:sz w:val="20"/>
          <w:szCs w:val="20"/>
          <w:color w:val="auto"/>
        </w:rPr>
      </w:pPr>
      <w:r>
        <w:rPr>
          <w:rFonts w:ascii="Arial" w:cs="Arial" w:eastAsia="Arial" w:hAnsi="Arial"/>
          <w:sz w:val="21"/>
          <w:szCs w:val="21"/>
          <w:color w:val="auto"/>
        </w:rPr>
        <w:t>Carrie Long</w:t>
      </w:r>
    </w:p>
    <w:p>
      <w:pPr>
        <w:spacing w:after="0"/>
        <w:rPr>
          <w:sz w:val="20"/>
          <w:szCs w:val="20"/>
          <w:color w:val="auto"/>
        </w:rPr>
      </w:pPr>
      <w:r>
        <w:rPr>
          <w:rFonts w:ascii="Arial" w:cs="Arial" w:eastAsia="Arial" w:hAnsi="Arial"/>
          <w:sz w:val="21"/>
          <w:szCs w:val="21"/>
          <w:color w:val="auto"/>
        </w:rPr>
        <w:t>Viad Corp</w:t>
      </w:r>
    </w:p>
    <w:p>
      <w:pPr>
        <w:ind w:left="520" w:hanging="514"/>
        <w:spacing w:after="0"/>
        <w:tabs>
          <w:tab w:leader="none" w:pos="520" w:val="left"/>
        </w:tabs>
        <w:numPr>
          <w:ilvl w:val="0"/>
          <w:numId w:val="2"/>
        </w:numPr>
        <w:rPr>
          <w:rFonts w:ascii="Arial" w:cs="Arial" w:eastAsia="Arial" w:hAnsi="Arial"/>
          <w:sz w:val="21"/>
          <w:szCs w:val="21"/>
          <w:color w:val="auto"/>
        </w:rPr>
      </w:pPr>
      <w:r>
        <w:rPr>
          <w:rFonts w:ascii="Arial" w:cs="Arial" w:eastAsia="Arial" w:hAnsi="Arial"/>
          <w:sz w:val="21"/>
          <w:szCs w:val="21"/>
          <w:color w:val="auto"/>
        </w:rPr>
        <w:t>207-2681</w:t>
      </w:r>
    </w:p>
    <w:p>
      <w:pPr>
        <w:spacing w:after="0"/>
        <w:rPr>
          <w:rFonts w:ascii="Arial" w:cs="Arial" w:eastAsia="Arial" w:hAnsi="Arial"/>
          <w:sz w:val="21"/>
          <w:szCs w:val="21"/>
          <w:color w:val="auto"/>
        </w:rPr>
      </w:pPr>
      <w:r>
        <w:rPr>
          <w:rFonts w:ascii="Arial" w:cs="Arial" w:eastAsia="Arial" w:hAnsi="Arial"/>
          <w:sz w:val="21"/>
          <w:szCs w:val="21"/>
          <w:color w:val="auto"/>
        </w:rPr>
        <w:t>IR@viad.com</w:t>
      </w:r>
    </w:p>
    <w:p>
      <w:pPr>
        <w:spacing w:after="0" w:line="197" w:lineRule="exact"/>
        <w:rPr>
          <w:sz w:val="20"/>
          <w:szCs w:val="20"/>
          <w:color w:val="auto"/>
        </w:rPr>
      </w:pPr>
    </w:p>
    <w:p>
      <w:pPr>
        <w:spacing w:after="0"/>
        <w:rPr>
          <w:sz w:val="20"/>
          <w:szCs w:val="20"/>
          <w:color w:val="auto"/>
        </w:rPr>
      </w:pPr>
      <w:r>
        <w:rPr>
          <w:rFonts w:ascii="Arial" w:cs="Arial" w:eastAsia="Arial" w:hAnsi="Arial"/>
          <w:sz w:val="21"/>
          <w:szCs w:val="21"/>
          <w:color w:val="auto"/>
        </w:rPr>
        <w:t>(Logo: http://photos.prnewswire.com/prnh/20111011/LA84399LOGO)</w:t>
      </w:r>
    </w:p>
    <w:sectPr>
      <w:pgSz w:w="11900" w:h="16838" w:orient="portrait"/>
      <w:cols w:equalWidth="0" w:num="1">
        <w:col w:w="11340"/>
      </w:cols>
      <w:pgMar w:left="420" w:top="111" w:right="1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602"/>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2020-01-29T22:08:46Z</dcterms:created>
  <dcterms:modified xsi:type="dcterms:W3CDTF">2020-01-29T22:08:46Z</dcterms:modified>
</cp:coreProperties>
</file>