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3)</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VIAD CORP.</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(Name of Issuer)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(Title of Class of Securities)</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92552R406</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(CUSIP Number)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2012</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6" w:lineRule="exact"/>
        <w:rPr>
          <w:sz w:val="24"/>
          <w:szCs w:val="24"/>
          <w:color w:val="auto"/>
        </w:rPr>
      </w:pPr>
    </w:p>
    <w:p>
      <w:pPr>
        <w:ind w:right="399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41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81" w:lineRule="exact"/>
        <w:rPr>
          <w:sz w:val="24"/>
          <w:szCs w:val="24"/>
          <w:color w:val="auto"/>
        </w:rPr>
      </w:pPr>
    </w:p>
    <w:p>
      <w:pPr>
        <w:ind w:right="4199"/>
        <w:spacing w:after="0" w:line="268" w:lineRule="auto"/>
        <w:rPr>
          <w:sz w:val="20"/>
          <w:szCs w:val="20"/>
          <w:color w:val="auto"/>
        </w:rPr>
      </w:pPr>
      <w:r>
        <w:rPr>
          <w:rFonts w:ascii="Courier New" w:cs="Courier New" w:eastAsia="Courier New" w:hAnsi="Courier New"/>
          <w:sz w:val="16"/>
          <w:szCs w:val="16"/>
          <w:color w:val="auto"/>
        </w:rPr>
        <w:t>*The remainder of this cover page shall be filled out for a reporting person's initial filing on this form with respect to the subject class of securities, and for any subsequent amendment containing information which</w:t>
      </w:r>
    </w:p>
    <w:p>
      <w:pPr>
        <w:spacing w:after="0" w:line="234"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41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0"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92552R406</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4"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9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1569721</w:t>
      </w:r>
    </w:p>
    <w:p>
      <w:pPr>
        <w:spacing w:after="0" w:line="11" w:lineRule="exact"/>
        <w:rPr>
          <w:rFonts w:ascii="Courier New" w:cs="Courier New" w:eastAsia="Courier New" w:hAnsi="Courier New"/>
          <w:sz w:val="18"/>
          <w:szCs w:val="18"/>
          <w:color w:val="auto"/>
        </w:rPr>
      </w:pPr>
    </w:p>
    <w:p>
      <w:pPr>
        <w:ind w:left="540" w:right="7779" w:hanging="532"/>
        <w:spacing w:after="0" w:line="470" w:lineRule="auto"/>
        <w:tabs>
          <w:tab w:leader="none" w:pos="435"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 None</w:t>
      </w:r>
    </w:p>
    <w:p>
      <w:pPr>
        <w:spacing w:after="0" w:line="11" w:lineRule="exact"/>
        <w:rPr>
          <w:rFonts w:ascii="Courier New" w:cs="Courier New" w:eastAsia="Courier New" w:hAnsi="Courier New"/>
          <w:sz w:val="18"/>
          <w:szCs w:val="18"/>
          <w:color w:val="auto"/>
        </w:rPr>
      </w:pPr>
    </w:p>
    <w:p>
      <w:pPr>
        <w:ind w:left="120" w:right="747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 1569721</w:t>
      </w:r>
    </w:p>
    <w:p>
      <w:pPr>
        <w:sectPr>
          <w:pgSz w:w="11900" w:h="16848" w:orient="portrait"/>
          <w:cols w:equalWidth="0" w:num="1">
            <w:col w:w="10219"/>
          </w:cols>
          <w:pgMar w:left="240" w:top="244" w:right="1440" w:bottom="0" w:gutter="0" w:footer="0" w:header="0"/>
        </w:sectPr>
      </w:pPr>
    </w:p>
    <w:bookmarkStart w:id="1" w:name="page2"/>
    <w:bookmarkEnd w:id="1"/>
    <w:p>
      <w:pPr>
        <w:ind w:left="540" w:right="7259" w:hanging="532"/>
        <w:spacing w:after="0" w:line="470" w:lineRule="auto"/>
        <w:tabs>
          <w:tab w:leader="none" w:pos="435"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 None</w:t>
      </w:r>
    </w:p>
    <w:p>
      <w:pPr>
        <w:spacing w:after="0" w:line="11" w:lineRule="exact"/>
        <w:rPr>
          <w:rFonts w:ascii="Courier New" w:cs="Courier New" w:eastAsia="Courier New" w:hAnsi="Courier New"/>
          <w:sz w:val="18"/>
          <w:szCs w:val="18"/>
          <w:color w:val="auto"/>
        </w:rPr>
      </w:pPr>
    </w:p>
    <w:p>
      <w:pPr>
        <w:ind w:left="120" w:right="3479" w:hanging="112"/>
        <w:spacing w:after="0" w:line="470"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1569721</w:t>
      </w:r>
    </w:p>
    <w:p>
      <w:pPr>
        <w:spacing w:after="0" w:line="6"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7.75%</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VIAD CORP.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1850 North Central Ave Suite 800</w:t>
      </w:r>
    </w:p>
    <w:p>
      <w:pPr>
        <w:spacing w:after="0" w:line="238" w:lineRule="auto"/>
        <w:rPr>
          <w:sz w:val="20"/>
          <w:szCs w:val="20"/>
          <w:color w:val="auto"/>
        </w:rPr>
      </w:pPr>
      <w:r>
        <w:rPr>
          <w:rFonts w:ascii="Courier New" w:cs="Courier New" w:eastAsia="Courier New" w:hAnsi="Courier New"/>
          <w:sz w:val="18"/>
          <w:szCs w:val="18"/>
          <w:color w:val="auto"/>
        </w:rPr>
        <w:t>Phoenix AZ 85004-4545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37" w:lineRule="auto"/>
        <w:rPr>
          <w:sz w:val="20"/>
          <w:szCs w:val="20"/>
          <w:color w:val="auto"/>
        </w:rPr>
      </w:pPr>
      <w:r>
        <w:rPr>
          <w:rFonts w:ascii="Courier New" w:cs="Courier New" w:eastAsia="Courier New" w:hAnsi="Courier New"/>
          <w:sz w:val="18"/>
          <w:szCs w:val="18"/>
          <w:color w:val="auto"/>
        </w:rPr>
        <w:t>40 East 52nd Street</w:t>
      </w:r>
    </w:p>
    <w:p>
      <w:pPr>
        <w:spacing w:after="0" w:line="238" w:lineRule="auto"/>
        <w:rPr>
          <w:sz w:val="20"/>
          <w:szCs w:val="20"/>
          <w:color w:val="auto"/>
        </w:rPr>
      </w:pPr>
      <w:r>
        <w:rPr>
          <w:rFonts w:ascii="Courier New" w:cs="Courier New" w:eastAsia="Courier New" w:hAnsi="Courier New"/>
          <w:sz w:val="18"/>
          <w:szCs w:val="18"/>
          <w:color w:val="auto"/>
        </w:rPr>
        <w:t>New York, NY 10022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Common Stock</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41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31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w:t>
      </w:r>
    </w:p>
    <w:p>
      <w:pPr>
        <w:sectPr>
          <w:pgSz w:w="11900" w:h="16838" w:orient="portrait"/>
          <w:cols w:equalWidth="0" w:num="1">
            <w:col w:w="10219"/>
          </w:cols>
          <w:pgMar w:left="240" w:top="142" w:right="1440" w:bottom="0" w:gutter="0" w:footer="0" w:header="0"/>
        </w:sectPr>
      </w:pPr>
    </w:p>
    <w:bookmarkStart w:id="2" w:name="page3"/>
    <w:bookmarkEnd w:id="2"/>
    <w:p>
      <w:pPr>
        <w:ind w:left="1280"/>
        <w:spacing w:after="0"/>
        <w:rPr>
          <w:sz w:val="20"/>
          <w:szCs w:val="20"/>
          <w:color w:val="auto"/>
        </w:rPr>
      </w:pPr>
      <w:r>
        <w:rPr>
          <w:rFonts w:ascii="Courier New" w:cs="Courier New" w:eastAsia="Courier New" w:hAnsi="Courier New"/>
          <w:sz w:val="18"/>
          <w:szCs w:val="18"/>
          <w:color w:val="auto"/>
        </w:rPr>
        <w:t>Rule 13d-1(b)(1)(ii)(F);</w:t>
      </w:r>
    </w:p>
    <w:p>
      <w:pPr>
        <w:spacing w:after="0" w:line="4" w:lineRule="exact"/>
        <w:rPr>
          <w:sz w:val="20"/>
          <w:szCs w:val="20"/>
          <w:color w:val="auto"/>
        </w:rPr>
      </w:pPr>
    </w:p>
    <w:p>
      <w:pPr>
        <w:ind w:left="1280" w:right="3359" w:hanging="1272"/>
        <w:spacing w:after="0" w:line="235" w:lineRule="auto"/>
        <w:tabs>
          <w:tab w:leader="none" w:pos="43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3039" w:hanging="1263"/>
        <w:spacing w:after="0" w:line="235" w:lineRule="auto"/>
        <w:rPr>
          <w:sz w:val="20"/>
          <w:szCs w:val="20"/>
          <w:color w:val="auto"/>
        </w:rPr>
      </w:pPr>
      <w:r>
        <w:rPr>
          <w:rFonts w:ascii="Courier New" w:cs="Courier New" w:eastAsia="Courier New" w:hAnsi="Courier New"/>
          <w:sz w:val="18"/>
          <w:szCs w:val="18"/>
          <w:color w:val="auto"/>
        </w:rPr>
        <w:t>[ ]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7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rPr>
          <w:sz w:val="20"/>
          <w:szCs w:val="20"/>
          <w:color w:val="auto"/>
        </w:rPr>
      </w:pPr>
      <w:r>
        <w:rPr>
          <w:rFonts w:ascii="Courier New" w:cs="Courier New" w:eastAsia="Courier New" w:hAnsi="Courier New"/>
          <w:sz w:val="18"/>
          <w:szCs w:val="18"/>
          <w:color w:val="auto"/>
        </w:rPr>
        <w:t>[ ] A non-U.S. institution in accordance with</w:t>
      </w:r>
    </w:p>
    <w:p>
      <w:pPr>
        <w:ind w:left="1280"/>
        <w:spacing w:after="0" w:line="238" w:lineRule="auto"/>
        <w:rPr>
          <w:sz w:val="20"/>
          <w:szCs w:val="20"/>
          <w:color w:val="auto"/>
        </w:rPr>
      </w:pPr>
      <w:r>
        <w:rPr>
          <w:rFonts w:ascii="Courier New" w:cs="Courier New" w:eastAsia="Courier New" w:hAnsi="Courier New"/>
          <w:sz w:val="18"/>
          <w:szCs w:val="18"/>
          <w:color w:val="auto"/>
        </w:rPr>
        <w:t>Rule 240.13d-1(b)(1)(ii)(J);</w:t>
      </w:r>
    </w:p>
    <w:p>
      <w:pPr>
        <w:spacing w:after="0" w:line="5" w:lineRule="exact"/>
        <w:rPr>
          <w:sz w:val="20"/>
          <w:szCs w:val="20"/>
          <w:color w:val="auto"/>
        </w:rPr>
      </w:pPr>
    </w:p>
    <w:p>
      <w:pPr>
        <w:ind w:left="1280" w:right="3039" w:hanging="1272"/>
        <w:spacing w:after="0" w:line="235" w:lineRule="auto"/>
        <w:tabs>
          <w:tab w:leader="none" w:pos="227"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15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1569721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7.75%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1569721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None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1569721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right="241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Various persons have the right to receive or the power to direct</w:t>
      </w:r>
    </w:p>
    <w:p>
      <w:pPr>
        <w:spacing w:after="0" w:line="238" w:lineRule="auto"/>
        <w:rPr>
          <w:sz w:val="20"/>
          <w:szCs w:val="20"/>
          <w:color w:val="auto"/>
        </w:rPr>
      </w:pPr>
      <w:r>
        <w:rPr>
          <w:rFonts w:ascii="Courier New" w:cs="Courier New" w:eastAsia="Courier New" w:hAnsi="Courier New"/>
          <w:sz w:val="18"/>
          <w:szCs w:val="18"/>
          <w:color w:val="auto"/>
        </w:rPr>
        <w:t>the receipt of dividends from, or the proceeds from the sale of</w:t>
      </w:r>
    </w:p>
    <w:p>
      <w:pPr>
        <w:spacing w:after="0"/>
        <w:rPr>
          <w:sz w:val="20"/>
          <w:szCs w:val="20"/>
          <w:color w:val="auto"/>
        </w:rPr>
      </w:pPr>
      <w:r>
        <w:rPr>
          <w:rFonts w:ascii="Courier New" w:cs="Courier New" w:eastAsia="Courier New" w:hAnsi="Courier New"/>
          <w:sz w:val="18"/>
          <w:szCs w:val="18"/>
          <w:color w:val="auto"/>
        </w:rPr>
        <w:t>the common stock of</w:t>
      </w:r>
    </w:p>
    <w:p>
      <w:pPr>
        <w:spacing w:after="0" w:line="237" w:lineRule="auto"/>
        <w:rPr>
          <w:sz w:val="20"/>
          <w:szCs w:val="20"/>
          <w:color w:val="auto"/>
        </w:rPr>
      </w:pPr>
      <w:r>
        <w:rPr>
          <w:rFonts w:ascii="Courier New" w:cs="Courier New" w:eastAsia="Courier New" w:hAnsi="Courier New"/>
          <w:sz w:val="18"/>
          <w:szCs w:val="18"/>
          <w:color w:val="auto"/>
        </w:rPr>
        <w:t>VIAD CORP..</w:t>
      </w:r>
    </w:p>
    <w:p>
      <w:pPr>
        <w:spacing w:after="0" w:line="238" w:lineRule="auto"/>
        <w:rPr>
          <w:sz w:val="20"/>
          <w:szCs w:val="20"/>
          <w:color w:val="auto"/>
        </w:rPr>
      </w:pPr>
      <w:r>
        <w:rPr>
          <w:rFonts w:ascii="Courier New" w:cs="Courier New" w:eastAsia="Courier New" w:hAnsi="Courier New"/>
          <w:sz w:val="18"/>
          <w:szCs w:val="18"/>
          <w:color w:val="auto"/>
        </w:rPr>
        <w:t>No one person's interest in the common stock of</w:t>
      </w:r>
    </w:p>
    <w:p>
      <w:pPr>
        <w:spacing w:after="0"/>
        <w:rPr>
          <w:sz w:val="20"/>
          <w:szCs w:val="20"/>
          <w:color w:val="auto"/>
        </w:rPr>
      </w:pPr>
      <w:r>
        <w:rPr>
          <w:rFonts w:ascii="Courier New" w:cs="Courier New" w:eastAsia="Courier New" w:hAnsi="Courier New"/>
          <w:sz w:val="18"/>
          <w:szCs w:val="18"/>
          <w:color w:val="auto"/>
        </w:rPr>
        <w:t>VIAD CORP.</w:t>
      </w:r>
    </w:p>
    <w:p>
      <w:pPr>
        <w:sectPr>
          <w:pgSz w:w="11900" w:h="16838" w:orient="portrait"/>
          <w:cols w:equalWidth="0" w:num="1">
            <w:col w:w="10219"/>
          </w:cols>
          <w:pgMar w:left="240" w:top="136" w:right="1440" w:bottom="0" w:gutter="0" w:footer="0" w:header="0"/>
        </w:sectPr>
      </w:pPr>
    </w:p>
    <w:bookmarkStart w:id="3" w:name="page4"/>
    <w:bookmarkEnd w:id="3"/>
    <w:p>
      <w:pPr>
        <w:spacing w:after="0"/>
        <w:rPr>
          <w:sz w:val="20"/>
          <w:szCs w:val="20"/>
          <w:color w:val="auto"/>
        </w:rPr>
      </w:pPr>
      <w:r>
        <w:rPr>
          <w:rFonts w:ascii="Courier New" w:cs="Courier New" w:eastAsia="Courier New" w:hAnsi="Courier New"/>
          <w:sz w:val="18"/>
          <w:szCs w:val="18"/>
          <w:color w:val="auto"/>
        </w:rPr>
        <w:t>is more than five percent of the total outstanding common shares.</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35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060" w:type="dxa"/>
            <w:vAlign w:val="bottom"/>
            <w:gridSpan w:val="2"/>
          </w:tcPr>
          <w:p>
            <w:pPr>
              <w:spacing w:after="0"/>
              <w:rPr>
                <w:sz w:val="20"/>
                <w:szCs w:val="20"/>
                <w:color w:val="auto"/>
              </w:rPr>
            </w:pPr>
            <w:r>
              <w:rPr>
                <w:rFonts w:ascii="Courier New" w:cs="Courier New" w:eastAsia="Courier New" w:hAnsi="Courier New"/>
                <w:sz w:val="18"/>
                <w:szCs w:val="18"/>
                <w:color w:val="auto"/>
                <w:w w:val="96"/>
              </w:rPr>
              <w:t>If a group</w:t>
            </w:r>
          </w:p>
        </w:tc>
        <w:tc>
          <w:tcPr>
            <w:tcW w:w="480" w:type="dxa"/>
            <w:vAlign w:val="bottom"/>
          </w:tcPr>
          <w:p>
            <w:pPr>
              <w:jc w:val="right"/>
              <w:spacing w:after="0"/>
              <w:rPr>
                <w:sz w:val="20"/>
                <w:szCs w:val="20"/>
                <w:color w:val="auto"/>
              </w:rPr>
            </w:pPr>
            <w:r>
              <w:rPr>
                <w:rFonts w:ascii="Courier New" w:cs="Courier New" w:eastAsia="Courier New" w:hAnsi="Courier New"/>
                <w:sz w:val="18"/>
                <w:szCs w:val="18"/>
                <w:color w:val="auto"/>
              </w:rPr>
              <w:t>has</w:t>
            </w:r>
          </w:p>
        </w:tc>
        <w:tc>
          <w:tcPr>
            <w:tcW w:w="1160" w:type="dxa"/>
            <w:vAlign w:val="bottom"/>
            <w:gridSpan w:val="2"/>
          </w:tcPr>
          <w:p>
            <w:pPr>
              <w:jc w:val="right"/>
              <w:spacing w:after="0"/>
              <w:rPr>
                <w:sz w:val="20"/>
                <w:szCs w:val="20"/>
                <w:color w:val="auto"/>
              </w:rPr>
            </w:pPr>
            <w:r>
              <w:rPr>
                <w:rFonts w:ascii="Courier New" w:cs="Courier New" w:eastAsia="Courier New" w:hAnsi="Courier New"/>
                <w:sz w:val="18"/>
                <w:szCs w:val="18"/>
                <w:color w:val="auto"/>
                <w:w w:val="99"/>
              </w:rPr>
              <w:t>filed this</w:t>
            </w:r>
          </w:p>
        </w:tc>
        <w:tc>
          <w:tcPr>
            <w:tcW w:w="1900" w:type="dxa"/>
            <w:vAlign w:val="bottom"/>
            <w:gridSpan w:val="3"/>
          </w:tcPr>
          <w:p>
            <w:pPr>
              <w:ind w:left="40"/>
              <w:spacing w:after="0"/>
              <w:rPr>
                <w:sz w:val="20"/>
                <w:szCs w:val="20"/>
                <w:color w:val="auto"/>
              </w:rPr>
            </w:pPr>
            <w:r>
              <w:rPr>
                <w:rFonts w:ascii="Courier New" w:cs="Courier New" w:eastAsia="Courier New" w:hAnsi="Courier New"/>
                <w:sz w:val="18"/>
                <w:szCs w:val="18"/>
                <w:color w:val="auto"/>
              </w:rPr>
              <w:t>schedule pursuant</w:t>
            </w:r>
          </w:p>
        </w:tc>
        <w:tc>
          <w:tcPr>
            <w:tcW w:w="2780" w:type="dxa"/>
            <w:vAlign w:val="bottom"/>
            <w:gridSpan w:val="2"/>
          </w:tcPr>
          <w:p>
            <w:pPr>
              <w:ind w:left="4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4"/>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20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9"/>
              </w:rPr>
              <w:t>Item 3(j) and attach</w:t>
            </w:r>
          </w:p>
        </w:tc>
        <w:tc>
          <w:tcPr>
            <w:tcW w:w="200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w w:val="99"/>
              </w:rPr>
              <w:t>an exhibit 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5"/>
              </w:rPr>
              <w:t>Item 3</w:t>
            </w:r>
          </w:p>
        </w:tc>
        <w:tc>
          <w:tcPr>
            <w:tcW w:w="1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classification</w:t>
            </w:r>
          </w:p>
        </w:tc>
        <w:tc>
          <w:tcPr>
            <w:tcW w:w="158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3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w:t>
            </w:r>
          </w:p>
        </w:tc>
        <w:tc>
          <w:tcPr>
            <w:tcW w:w="14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4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2"/>
              </w:rPr>
              <w:t>this</w:t>
            </w:r>
          </w:p>
        </w:tc>
        <w:tc>
          <w:tcPr>
            <w:tcW w:w="2740" w:type="dxa"/>
            <w:vAlign w:val="bottom"/>
            <w:gridSpan w:val="4"/>
          </w:tcPr>
          <w:p>
            <w:pPr>
              <w:ind w:left="40"/>
              <w:spacing w:after="0" w:line="203" w:lineRule="exact"/>
              <w:rPr>
                <w:sz w:val="20"/>
                <w:szCs w:val="20"/>
                <w:color w:val="auto"/>
              </w:rPr>
            </w:pPr>
            <w:r>
              <w:rPr>
                <w:rFonts w:ascii="Courier New" w:cs="Courier New" w:eastAsia="Courier New" w:hAnsi="Courier New"/>
                <w:sz w:val="18"/>
                <w:szCs w:val="18"/>
                <w:color w:val="auto"/>
                <w:w w:val="99"/>
              </w:rPr>
              <w:t>schedule pursuant to Rule</w:t>
            </w:r>
          </w:p>
        </w:tc>
        <w:tc>
          <w:tcPr>
            <w:tcW w:w="17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9"/>
              </w:rPr>
              <w:t>13d-1(c) 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6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the identity</w:t>
            </w:r>
          </w:p>
        </w:tc>
        <w:tc>
          <w:tcPr>
            <w:tcW w:w="3320" w:type="dxa"/>
            <w:vAlign w:val="bottom"/>
            <w:gridSpan w:val="4"/>
          </w:tcPr>
          <w:p>
            <w:pPr>
              <w:ind w:left="60"/>
              <w:spacing w:after="0" w:line="203" w:lineRule="exact"/>
              <w:rPr>
                <w:sz w:val="20"/>
                <w:szCs w:val="20"/>
                <w:color w:val="auto"/>
              </w:rPr>
            </w:pPr>
            <w:r>
              <w:rPr>
                <w:rFonts w:ascii="Courier New" w:cs="Courier New" w:eastAsia="Courier New" w:hAnsi="Courier New"/>
                <w:sz w:val="18"/>
                <w:szCs w:val="18"/>
                <w:color w:val="auto"/>
              </w:rPr>
              <w:t>of 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93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47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25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6" w:lineRule="exact"/>
        <w:rPr>
          <w:sz w:val="20"/>
          <w:szCs w:val="20"/>
          <w:color w:val="auto"/>
        </w:rPr>
      </w:pPr>
    </w:p>
    <w:p>
      <w:pPr>
        <w:spacing w:after="0"/>
        <w:tabs>
          <w:tab w:leader="none" w:pos="840" w:val="left"/>
        </w:tabs>
        <w:rPr>
          <w:sz w:val="20"/>
          <w:szCs w:val="20"/>
          <w:color w:val="auto"/>
        </w:rPr>
      </w:pPr>
      <w:r>
        <w:rPr>
          <w:rFonts w:ascii="Courier New" w:cs="Courier New" w:eastAsia="Courier New" w:hAnsi="Courier New"/>
          <w:sz w:val="18"/>
          <w:szCs w:val="18"/>
          <w:color w:val="auto"/>
        </w:rPr>
        <w:t>Dated:</w:t>
        <w:tab/>
        <w:t>February 4, 2013</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Matthew J. Fitzgerald</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Name/Title</w:t>
        <w:tab/>
        <w:t>Attorney-In-Fact</w:t>
      </w:r>
    </w:p>
    <w:p>
      <w:pPr>
        <w:spacing w:after="0" w:line="200" w:lineRule="exact"/>
        <w:rPr>
          <w:sz w:val="20"/>
          <w:szCs w:val="20"/>
          <w:color w:val="auto"/>
        </w:rPr>
      </w:pPr>
    </w:p>
    <w:p>
      <w:pPr>
        <w:spacing w:after="0" w:line="209" w:lineRule="exact"/>
        <w:rPr>
          <w:sz w:val="20"/>
          <w:szCs w:val="20"/>
          <w:color w:val="auto"/>
        </w:rPr>
      </w:pPr>
    </w:p>
    <w:p>
      <w:pPr>
        <w:ind w:right="3159"/>
        <w:spacing w:after="0" w:line="271"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 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18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ectPr>
          <w:pgSz w:w="11900" w:h="16838" w:orient="portrait"/>
          <w:cols w:equalWidth="0" w:num="1">
            <w:col w:w="10219"/>
          </w:cols>
          <w:pgMar w:left="240" w:top="136" w:right="1440" w:bottom="335" w:gutter="0" w:footer="0" w:header="0"/>
        </w:sectPr>
      </w:pPr>
    </w:p>
    <w:bookmarkStart w:id="4" w:name="page5"/>
    <w:bookmarkEnd w:id="4"/>
    <w:p>
      <w:pPr>
        <w:spacing w:after="0"/>
        <w:rPr>
          <w:sz w:val="20"/>
          <w:szCs w:val="20"/>
          <w:color w:val="auto"/>
        </w:rPr>
      </w:pPr>
      <w:r>
        <w:rPr>
          <w:rFonts w:ascii="Courier New" w:cs="Courier New" w:eastAsia="Courier New" w:hAnsi="Courier New"/>
          <w:sz w:val="18"/>
          <w:szCs w:val="18"/>
          <w:color w:val="auto"/>
        </w:rPr>
        <w:t>Subsidiary</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Advisors, LLC</w:t>
      </w:r>
    </w:p>
    <w:p>
      <w:pPr>
        <w:spacing w:after="0" w:line="238" w:lineRule="auto"/>
        <w:rPr>
          <w:sz w:val="20"/>
          <w:szCs w:val="20"/>
          <w:color w:val="auto"/>
        </w:rPr>
      </w:pPr>
      <w:r>
        <w:rPr>
          <w:rFonts w:ascii="Courier New" w:cs="Courier New" w:eastAsia="Courier New" w:hAnsi="Courier New"/>
          <w:sz w:val="18"/>
          <w:szCs w:val="18"/>
          <w:color w:val="auto"/>
        </w:rPr>
        <w:t>BlackRock Investment Management, LLC</w:t>
      </w:r>
    </w:p>
    <w:p>
      <w:pPr>
        <w:spacing w:after="0"/>
        <w:rPr>
          <w:sz w:val="20"/>
          <w:szCs w:val="20"/>
          <w:color w:val="auto"/>
        </w:rPr>
      </w:pPr>
      <w:r>
        <w:rPr>
          <w:rFonts w:ascii="Courier New" w:cs="Courier New" w:eastAsia="Courier New" w:hAnsi="Courier New"/>
          <w:sz w:val="18"/>
          <w:szCs w:val="18"/>
          <w:color w:val="auto"/>
        </w:rPr>
        <w:t>BlackRock Asset Management Australia Limited</w:t>
      </w:r>
    </w:p>
    <w:p>
      <w:pPr>
        <w:spacing w:after="0" w:line="237" w:lineRule="auto"/>
        <w:rPr>
          <w:sz w:val="20"/>
          <w:szCs w:val="20"/>
          <w:color w:val="auto"/>
        </w:rPr>
      </w:pPr>
      <w:r>
        <w:rPr>
          <w:rFonts w:ascii="Courier New" w:cs="Courier New" w:eastAsia="Courier New" w:hAnsi="Courier New"/>
          <w:sz w:val="18"/>
          <w:szCs w:val="18"/>
          <w:color w:val="auto"/>
        </w:rPr>
        <w:t>BlackRock Asset Management Canada Limited</w:t>
      </w:r>
    </w:p>
    <w:p>
      <w:pPr>
        <w:spacing w:after="0" w:line="238" w:lineRule="auto"/>
        <w:rPr>
          <w:sz w:val="20"/>
          <w:szCs w:val="20"/>
          <w:color w:val="auto"/>
        </w:rPr>
      </w:pPr>
      <w:r>
        <w:rPr>
          <w:rFonts w:ascii="Courier New" w:cs="Courier New" w:eastAsia="Courier New" w:hAnsi="Courier New"/>
          <w:sz w:val="18"/>
          <w:szCs w:val="18"/>
          <w:color w:val="auto"/>
        </w:rPr>
        <w:t>BlackRock Asset Management Ireland Limited</w:t>
      </w:r>
    </w:p>
    <w:p>
      <w:pPr>
        <w:spacing w:after="0"/>
        <w:rPr>
          <w:sz w:val="20"/>
          <w:szCs w:val="20"/>
          <w:color w:val="auto"/>
        </w:rPr>
      </w:pPr>
      <w:r>
        <w:rPr>
          <w:rFonts w:ascii="Courier New" w:cs="Courier New" w:eastAsia="Courier New" w:hAnsi="Courier New"/>
          <w:sz w:val="18"/>
          <w:szCs w:val="18"/>
          <w:color w:val="auto"/>
        </w:rPr>
        <w:t>BlackRock Advisors (UK) Limited</w:t>
      </w:r>
    </w:p>
    <w:p>
      <w:pPr>
        <w:spacing w:after="0" w:line="237" w:lineRule="auto"/>
        <w:rPr>
          <w:sz w:val="20"/>
          <w:szCs w:val="20"/>
          <w:color w:val="auto"/>
        </w:rPr>
      </w:pPr>
      <w:r>
        <w:rPr>
          <w:rFonts w:ascii="Courier New" w:cs="Courier New" w:eastAsia="Courier New" w:hAnsi="Courier New"/>
          <w:sz w:val="18"/>
          <w:szCs w:val="18"/>
          <w:color w:val="auto"/>
        </w:rPr>
        <w:t>BlackRock Fund Advisors</w:t>
      </w:r>
    </w:p>
    <w:p>
      <w:pPr>
        <w:spacing w:after="0"/>
        <w:rPr>
          <w:sz w:val="20"/>
          <w:szCs w:val="20"/>
          <w:color w:val="auto"/>
        </w:rPr>
      </w:pPr>
      <w:r>
        <w:rPr>
          <w:rFonts w:ascii="Courier New" w:cs="Courier New" w:eastAsia="Courier New" w:hAnsi="Courier New"/>
          <w:sz w:val="18"/>
          <w:szCs w:val="18"/>
          <w:color w:val="auto"/>
        </w:rPr>
        <w:t>BlackRock Institutional Trust Company, N.A.</w:t>
      </w:r>
    </w:p>
    <w:p>
      <w:pPr>
        <w:spacing w:after="0" w:line="237" w:lineRule="auto"/>
        <w:rPr>
          <w:sz w:val="20"/>
          <w:szCs w:val="20"/>
          <w:color w:val="auto"/>
        </w:rPr>
      </w:pPr>
      <w:r>
        <w:rPr>
          <w:rFonts w:ascii="Courier New" w:cs="Courier New" w:eastAsia="Courier New" w:hAnsi="Courier New"/>
          <w:sz w:val="18"/>
          <w:szCs w:val="18"/>
          <w:color w:val="auto"/>
        </w:rPr>
        <w:t>BlackRock Japan Co. Ltd.</w:t>
      </w:r>
    </w:p>
    <w:p>
      <w:pPr>
        <w:spacing w:after="0"/>
        <w:rPr>
          <w:sz w:val="20"/>
          <w:szCs w:val="20"/>
          <w:color w:val="auto"/>
        </w:rPr>
      </w:pPr>
      <w:r>
        <w:rPr>
          <w:rFonts w:ascii="Courier New" w:cs="Courier New" w:eastAsia="Courier New" w:hAnsi="Courier New"/>
          <w:sz w:val="18"/>
          <w:szCs w:val="18"/>
          <w:color w:val="auto"/>
        </w:rPr>
        <w:t>BlackRock Investment Management (UK) Limited</w:t>
      </w: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rPr>
          <w:sz w:val="20"/>
          <w:szCs w:val="20"/>
          <w:color w:val="auto"/>
        </w:rPr>
      </w:pPr>
      <w:r>
        <w:rPr>
          <w:rFonts w:ascii="Courier New" w:cs="Courier New" w:eastAsia="Courier New" w:hAnsi="Courier New"/>
          <w:sz w:val="18"/>
          <w:szCs w:val="18"/>
          <w:color w:val="auto"/>
        </w:rPr>
        <w:t>Schedule 13G.</w:t>
      </w:r>
    </w:p>
    <w:p>
      <w:pPr>
        <w:spacing w:after="0" w:line="237" w:lineRule="auto"/>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3479"/>
        <w:spacing w:after="0" w:line="268" w:lineRule="auto"/>
        <w:rPr>
          <w:sz w:val="20"/>
          <w:szCs w:val="20"/>
          <w:color w:val="auto"/>
        </w:rPr>
      </w:pPr>
      <w:r>
        <w:rPr>
          <w:rFonts w:ascii="Courier New" w:cs="Courier New" w:eastAsia="Courier New" w:hAnsi="Courier New"/>
          <w:sz w:val="16"/>
          <w:szCs w:val="16"/>
          <w:color w:val="auto"/>
        </w:rPr>
        <w:t>The undersigned, BLACKROCK, INC., a corporation duly organized under the laws of the State of Delaware, United States (the "Company"), does hereby make, constitute and appoint each of Matthew Mallow,Howard Surloff,Edward Baer, Bartholomew Battista,</w:t>
      </w:r>
    </w:p>
    <w:p>
      <w:pPr>
        <w:spacing w:after="0" w:line="1" w:lineRule="exact"/>
        <w:rPr>
          <w:sz w:val="20"/>
          <w:szCs w:val="20"/>
          <w:color w:val="auto"/>
        </w:rPr>
      </w:pPr>
    </w:p>
    <w:p>
      <w:pPr>
        <w:ind w:right="2619"/>
        <w:spacing w:after="0" w:line="268" w:lineRule="auto"/>
        <w:rPr>
          <w:sz w:val="20"/>
          <w:szCs w:val="20"/>
          <w:color w:val="auto"/>
        </w:rPr>
      </w:pPr>
      <w:r>
        <w:rPr>
          <w:rFonts w:ascii="Courier New" w:cs="Courier New" w:eastAsia="Courier New" w:hAnsi="Courier New"/>
          <w:sz w:val="16"/>
          <w:szCs w:val="16"/>
          <w:color w:val="auto"/>
        </w:rPr>
        <w:t>Dan Waltcher, Karen Clark, Daniel Ronnen,John Stelley, Brian Kindelan, John Blevins, Richard Froio, Matthew Fitzgerald and Con Tzatzakis acting severally, as its true and lawful attorneys-in-fact, for the purpose of, from time to time,executing in its name and on its behalf, whether the Company is acting individually or as representative of others, any and all documents, certificates, instruments, statements, other filings and amendments tothe foregoing (collectively, "documents") determined by such person to be necessary or appropriate to comply with ownership or control-person reporting requirements imposed by any United States</w:t>
      </w:r>
    </w:p>
    <w:p>
      <w:pPr>
        <w:spacing w:after="0" w:line="2" w:lineRule="exact"/>
        <w:rPr>
          <w:sz w:val="20"/>
          <w:szCs w:val="20"/>
          <w:color w:val="auto"/>
        </w:rPr>
      </w:pPr>
    </w:p>
    <w:p>
      <w:pPr>
        <w:ind w:right="3039"/>
        <w:spacing w:after="0" w:line="270" w:lineRule="auto"/>
        <w:rPr>
          <w:sz w:val="20"/>
          <w:szCs w:val="20"/>
          <w:color w:val="auto"/>
        </w:rPr>
      </w:pPr>
      <w:r>
        <w:rPr>
          <w:rFonts w:ascii="Courier New" w:cs="Courier New" w:eastAsia="Courier New" w:hAnsi="Courier New"/>
          <w:sz w:val="16"/>
          <w:szCs w:val="16"/>
          <w:color w:val="auto"/>
        </w:rPr>
        <w:t>or non-United States governmental or regulatory authority, including without limitation Forms 3, 4, 5, 13D, 13F, 13G and 13H and any amendments to any of the foregoing as may be required to be filed with the Securities and Exchange Commission, and delivering, furnishing or filing any such documents with the appropriate governmental, regulatory authority or other person, and giving and granting to each such attorney-in-fact power and authority to act in the premises as fully and to all intents and purposes as the Company might or could do if personally present by one of its authorized signatories, hereby ratifying and confirming all that said attorney-in-fact shall lawfully do or cause to be done by</w:t>
      </w:r>
    </w:p>
    <w:p>
      <w:pPr>
        <w:spacing w:after="0" w:line="189" w:lineRule="exact"/>
        <w:rPr>
          <w:sz w:val="20"/>
          <w:szCs w:val="20"/>
          <w:color w:val="auto"/>
        </w:rPr>
      </w:pPr>
    </w:p>
    <w:p>
      <w:pPr>
        <w:jc w:val="both"/>
        <w:ind w:right="3259"/>
        <w:spacing w:after="0" w:line="279" w:lineRule="auto"/>
        <w:rPr>
          <w:sz w:val="20"/>
          <w:szCs w:val="20"/>
          <w:color w:val="auto"/>
        </w:rPr>
      </w:pPr>
      <w:r>
        <w:rPr>
          <w:rFonts w:ascii="Courier New" w:cs="Courier New" w:eastAsia="Courier New" w:hAnsi="Courier New"/>
          <w:sz w:val="16"/>
          <w:szCs w:val="16"/>
          <w:color w:val="auto"/>
        </w:rPr>
        <w:t>virtue hereof. Any such determination by an attorney-in-fact named herein shall be conclusively evidenced by such person's execution, delivery, furnishing or filing of the applicable document.</w:t>
      </w:r>
    </w:p>
    <w:p>
      <w:pPr>
        <w:spacing w:after="0" w:line="178"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30th day of November,2011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10" w:lineRule="exact"/>
        <w:rPr>
          <w:sz w:val="20"/>
          <w:szCs w:val="20"/>
          <w:color w:val="auto"/>
        </w:rPr>
      </w:pPr>
    </w:p>
    <w:p>
      <w:pPr>
        <w:ind w:right="389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10th day of July, 2012.</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Chris Leavy</w:t>
      </w:r>
    </w:p>
    <w:p>
      <w:pPr>
        <w:spacing w:after="0" w:line="238" w:lineRule="auto"/>
        <w:rPr>
          <w:sz w:val="20"/>
          <w:szCs w:val="20"/>
          <w:color w:val="auto"/>
        </w:rPr>
      </w:pPr>
      <w:r>
        <w:rPr>
          <w:rFonts w:ascii="Courier New" w:cs="Courier New" w:eastAsia="Courier New" w:hAnsi="Courier New"/>
          <w:sz w:val="18"/>
          <w:szCs w:val="18"/>
          <w:color w:val="auto"/>
        </w:rPr>
        <w:t>Name: Chris Leavy</w:t>
      </w:r>
    </w:p>
    <w:p>
      <w:pPr>
        <w:spacing w:after="0"/>
        <w:rPr>
          <w:sz w:val="20"/>
          <w:szCs w:val="20"/>
          <w:color w:val="auto"/>
        </w:rPr>
      </w:pPr>
      <w:r>
        <w:rPr>
          <w:rFonts w:ascii="Courier New" w:cs="Courier New" w:eastAsia="Courier New" w:hAnsi="Courier New"/>
          <w:sz w:val="18"/>
          <w:szCs w:val="18"/>
          <w:color w:val="auto"/>
        </w:rPr>
        <w:t>Title: Chief Investment Officer</w:t>
      </w:r>
    </w:p>
    <w:sectPr>
      <w:pgSz w:w="11900" w:h="16838" w:orient="portrait"/>
      <w:cols w:equalWidth="0" w:num="1">
        <w:col w:w="10219"/>
      </w:cols>
      <w:pgMar w:left="240" w:top="33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38E1F29"/>
    <w:multiLevelType w:val="hybridMultilevel"/>
    <w:lvl w:ilvl="0">
      <w:lvlJc w:val="left"/>
      <w:lvlText w:val="[%1]"/>
      <w:numFmt w:val="upperLetter"/>
      <w:start w:val="24"/>
    </w:lvl>
  </w:abstractNum>
  <w:abstractNum w:abstractNumId="1">
    <w:nsid w:val="46E87CCD"/>
    <w:multiLevelType w:val="hybridMultilevel"/>
    <w:lvl w:ilvl="0">
      <w:lvlJc w:val="left"/>
      <w:lvlText w:val="(%1)"/>
      <w:numFmt w:val="decimal"/>
      <w:start w:val="2"/>
    </w:lvl>
  </w:abstractNum>
  <w:abstractNum w:abstractNumId="2">
    <w:nsid w:val="3D1B58BA"/>
    <w:multiLevelType w:val="hybridMultilevel"/>
    <w:lvl w:ilvl="0">
      <w:lvlJc w:val="left"/>
      <w:lvlText w:val="(%1)"/>
      <w:numFmt w:val="decimal"/>
      <w:start w:val="5"/>
    </w:lvl>
  </w:abstractNum>
  <w:abstractNum w:abstractNumId="3">
    <w:nsid w:val="507ED7AB"/>
    <w:multiLevelType w:val="hybridMultilevel"/>
    <w:lvl w:ilvl="0">
      <w:lvlJc w:val="left"/>
      <w:lvlText w:val="(%1)"/>
      <w:numFmt w:val="decimal"/>
      <w:start w:val="8"/>
    </w:lvl>
  </w:abstractNum>
  <w:abstractNum w:abstractNumId="4">
    <w:nsid w:val="2EB141F2"/>
    <w:multiLevelType w:val="hybridMultilevel"/>
    <w:lvl w:ilvl="0">
      <w:lvlJc w:val="left"/>
      <w:lvlText w:val="(%1)"/>
      <w:numFmt w:val="decimal"/>
      <w:start w:val="12"/>
    </w:lvl>
  </w:abstractNum>
  <w:abstractNum w:abstractNumId="5">
    <w:nsid w:val="41B71EFB"/>
    <w:multiLevelType w:val="hybridMultilevel"/>
    <w:lvl w:ilvl="0">
      <w:lvlJc w:val="left"/>
      <w:lvlText w:val="["/>
      <w:numFmt w:val="bullet"/>
      <w:start w:val="1"/>
    </w:lvl>
  </w:abstractNum>
  <w:abstractNum w:abstractNumId="6">
    <w:nsid w:val="79E2A9E3"/>
    <w:multiLevelType w:val="hybridMultilevel"/>
    <w:lvl w:ilvl="0">
      <w:lvlJc w:val="left"/>
      <w:lvlText w:val="[%1]"/>
      <w:numFmt w:val="upperLetter"/>
      <w:start w:val="24"/>
    </w:lvl>
  </w:abstractNum>
  <w:abstractNum w:abstractNumId="7">
    <w:nsid w:val="7545E146"/>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2020-02-20T19:45:46Z</dcterms:created>
  <dcterms:modified xsi:type="dcterms:W3CDTF">2020-02-20T19:45:46Z</dcterms:modified>
</cp:coreProperties>
</file>