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Arial" w:cs="Arial" w:eastAsia="Arial" w:hAnsi="Arial"/>
          <w:sz w:val="24"/>
          <w:szCs w:val="24"/>
          <w:color w:val="auto"/>
        </w:rPr>
        <w:drawing>
          <wp:anchor simplePos="0" relativeHeight="251657728" behindDoc="1" locked="0" layoutInCell="0" allowOverlap="1">
            <wp:simplePos x="0" y="0"/>
            <wp:positionH relativeFrom="page">
              <wp:posOffset>155575</wp:posOffset>
            </wp:positionH>
            <wp:positionV relativeFrom="page">
              <wp:posOffset>738505</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t>UNITED STATES</w:t>
      </w:r>
    </w:p>
    <w:p>
      <w:pPr>
        <w:spacing w:after="0" w:line="28" w:lineRule="exact"/>
        <w:rPr>
          <w:sz w:val="24"/>
          <w:szCs w:val="24"/>
          <w:color w:val="auto"/>
        </w:rPr>
      </w:pPr>
    </w:p>
    <w:p>
      <w:pPr>
        <w:jc w:val="center"/>
        <w:ind w:right="-339"/>
        <w:spacing w:after="0"/>
        <w:rPr>
          <w:sz w:val="20"/>
          <w:szCs w:val="20"/>
          <w:color w:val="auto"/>
        </w:rPr>
      </w:pPr>
      <w:r>
        <w:rPr>
          <w:rFonts w:ascii="Arial" w:cs="Arial" w:eastAsia="Arial" w:hAnsi="Arial"/>
          <w:sz w:val="24"/>
          <w:szCs w:val="24"/>
          <w:color w:val="auto"/>
        </w:rPr>
        <w:t>SECURITIES AND EXCHANGE COMMISSION</w:t>
      </w:r>
    </w:p>
    <w:p>
      <w:pPr>
        <w:spacing w:after="0" w:line="13" w:lineRule="exact"/>
        <w:rPr>
          <w:sz w:val="24"/>
          <w:szCs w:val="24"/>
          <w:color w:val="auto"/>
        </w:rPr>
      </w:pPr>
    </w:p>
    <w:p>
      <w:pPr>
        <w:jc w:val="center"/>
        <w:ind w:right="-399"/>
        <w:spacing w:after="0"/>
        <w:rPr>
          <w:sz w:val="20"/>
          <w:szCs w:val="20"/>
          <w:color w:val="auto"/>
        </w:rPr>
      </w:pPr>
      <w:r>
        <w:rPr>
          <w:rFonts w:ascii="Arial" w:cs="Arial" w:eastAsia="Arial" w:hAnsi="Arial"/>
          <w:sz w:val="18"/>
          <w:szCs w:val="18"/>
          <w:color w:val="auto"/>
        </w:rPr>
        <w:t>WASHINGTON, D.C. 20549</w:t>
      </w:r>
    </w:p>
    <w:p>
      <w:pPr>
        <w:spacing w:after="0" w:line="188" w:lineRule="exact"/>
        <w:rPr>
          <w:sz w:val="24"/>
          <w:szCs w:val="24"/>
          <w:color w:val="auto"/>
        </w:rPr>
      </w:pPr>
    </w:p>
    <w:p>
      <w:pPr>
        <w:jc w:val="center"/>
        <w:ind w:right="-399"/>
        <w:spacing w:after="0"/>
        <w:rPr>
          <w:sz w:val="20"/>
          <w:szCs w:val="20"/>
          <w:color w:val="auto"/>
        </w:rPr>
      </w:pPr>
      <w:r>
        <w:rPr>
          <w:rFonts w:ascii="Arial" w:cs="Arial" w:eastAsia="Arial" w:hAnsi="Arial"/>
          <w:sz w:val="32"/>
          <w:szCs w:val="32"/>
          <w:color w:val="auto"/>
        </w:rPr>
        <w:t>FORM 8-K</w:t>
      </w:r>
    </w:p>
    <w:p>
      <w:pPr>
        <w:spacing w:after="0" w:line="224" w:lineRule="exact"/>
        <w:rPr>
          <w:sz w:val="24"/>
          <w:szCs w:val="24"/>
          <w:color w:val="auto"/>
        </w:rPr>
      </w:pPr>
    </w:p>
    <w:p>
      <w:pPr>
        <w:jc w:val="center"/>
        <w:ind w:right="-399"/>
        <w:spacing w:after="0"/>
        <w:rPr>
          <w:sz w:val="20"/>
          <w:szCs w:val="20"/>
          <w:color w:val="auto"/>
        </w:rPr>
      </w:pPr>
      <w:r>
        <w:rPr>
          <w:rFonts w:ascii="Arial" w:cs="Arial" w:eastAsia="Arial" w:hAnsi="Arial"/>
          <w:sz w:val="22"/>
          <w:szCs w:val="22"/>
          <w:color w:val="auto"/>
        </w:rPr>
        <w:t>CURRENT REPORT</w:t>
      </w:r>
    </w:p>
    <w:p>
      <w:pPr>
        <w:spacing w:after="0" w:line="219" w:lineRule="exact"/>
        <w:rPr>
          <w:sz w:val="24"/>
          <w:szCs w:val="24"/>
          <w:color w:val="auto"/>
        </w:rPr>
      </w:pPr>
    </w:p>
    <w:p>
      <w:pPr>
        <w:ind w:left="3220"/>
        <w:spacing w:after="0"/>
        <w:rPr>
          <w:sz w:val="20"/>
          <w:szCs w:val="20"/>
          <w:color w:val="auto"/>
        </w:rPr>
      </w:pPr>
      <w:r>
        <w:rPr>
          <w:rFonts w:ascii="Arial" w:cs="Arial" w:eastAsia="Arial" w:hAnsi="Arial"/>
          <w:sz w:val="18"/>
          <w:szCs w:val="18"/>
          <w:color w:val="auto"/>
        </w:rPr>
        <w:t>Pursuant to Section 13 or 15(d) of the Securities Exchange Act of 1934</w:t>
      </w:r>
    </w:p>
    <w:p>
      <w:pPr>
        <w:spacing w:after="0" w:line="200" w:lineRule="exact"/>
        <w:rPr>
          <w:sz w:val="24"/>
          <w:szCs w:val="24"/>
          <w:color w:val="auto"/>
        </w:rPr>
      </w:pPr>
    </w:p>
    <w:p>
      <w:pPr>
        <w:spacing w:after="0" w:line="268" w:lineRule="exact"/>
        <w:rPr>
          <w:sz w:val="24"/>
          <w:szCs w:val="24"/>
          <w:color w:val="auto"/>
        </w:rPr>
      </w:pPr>
    </w:p>
    <w:p>
      <w:pPr>
        <w:ind w:left="1180"/>
        <w:spacing w:after="0"/>
        <w:tabs>
          <w:tab w:leader="none" w:pos="8240" w:val="left"/>
        </w:tabs>
        <w:rPr>
          <w:sz w:val="20"/>
          <w:szCs w:val="20"/>
          <w:color w:val="auto"/>
        </w:rPr>
      </w:pPr>
      <w:r>
        <w:rPr>
          <w:rFonts w:ascii="Arial" w:cs="Arial" w:eastAsia="Arial" w:hAnsi="Arial"/>
          <w:sz w:val="18"/>
          <w:szCs w:val="18"/>
          <w:color w:val="auto"/>
        </w:rPr>
        <w:t>Date of Report (Date of Earliest Event Reported):</w:t>
      </w:r>
      <w:r>
        <w:rPr>
          <w:sz w:val="20"/>
          <w:szCs w:val="20"/>
          <w:color w:val="auto"/>
        </w:rPr>
        <w:tab/>
      </w:r>
      <w:r>
        <w:rPr>
          <w:rFonts w:ascii="Arial" w:cs="Arial" w:eastAsia="Arial" w:hAnsi="Arial"/>
          <w:sz w:val="15"/>
          <w:szCs w:val="15"/>
          <w:color w:val="auto"/>
        </w:rPr>
        <w:t>February 26, 2014</w:t>
      </w:r>
    </w:p>
    <w:p>
      <w:pPr>
        <w:spacing w:after="0" w:line="200" w:lineRule="exact"/>
        <w:rPr>
          <w:sz w:val="24"/>
          <w:szCs w:val="24"/>
          <w:color w:val="auto"/>
        </w:rPr>
      </w:pPr>
    </w:p>
    <w:p>
      <w:pPr>
        <w:spacing w:after="0" w:line="245" w:lineRule="exact"/>
        <w:rPr>
          <w:sz w:val="24"/>
          <w:szCs w:val="24"/>
          <w:color w:val="auto"/>
        </w:rPr>
      </w:pPr>
    </w:p>
    <w:p>
      <w:pPr>
        <w:jc w:val="center"/>
        <w:ind w:right="-299"/>
        <w:spacing w:after="0"/>
        <w:rPr>
          <w:sz w:val="20"/>
          <w:szCs w:val="20"/>
          <w:color w:val="auto"/>
        </w:rPr>
      </w:pPr>
      <w:r>
        <w:rPr>
          <w:rFonts w:ascii="Arial" w:cs="Arial" w:eastAsia="Arial" w:hAnsi="Arial"/>
          <w:sz w:val="43"/>
          <w:szCs w:val="43"/>
          <w:color w:val="auto"/>
        </w:rPr>
        <w:t>Viad Corp</w:t>
      </w:r>
    </w:p>
    <w:p>
      <w:pPr>
        <w:spacing w:after="0" w:line="42" w:lineRule="exact"/>
        <w:rPr>
          <w:sz w:val="24"/>
          <w:szCs w:val="24"/>
          <w:color w:val="auto"/>
        </w:rPr>
      </w:pPr>
    </w:p>
    <w:p>
      <w:pPr>
        <w:ind w:left="3880"/>
        <w:spacing w:after="0"/>
        <w:rPr>
          <w:sz w:val="20"/>
          <w:szCs w:val="20"/>
          <w:color w:val="auto"/>
        </w:rPr>
      </w:pPr>
      <w:r>
        <w:rPr>
          <w:rFonts w:ascii="Arial" w:cs="Arial" w:eastAsia="Arial" w:hAnsi="Arial"/>
          <w:sz w:val="18"/>
          <w:szCs w:val="18"/>
          <w:color w:val="auto"/>
        </w:rPr>
        <w:t>__________________________________________</w:t>
      </w:r>
    </w:p>
    <w:p>
      <w:pPr>
        <w:spacing w:after="0" w:line="1" w:lineRule="exact"/>
        <w:rPr>
          <w:sz w:val="24"/>
          <w:szCs w:val="24"/>
          <w:color w:val="auto"/>
        </w:rPr>
      </w:pPr>
    </w:p>
    <w:p>
      <w:pPr>
        <w:ind w:left="3900"/>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260" w:type="dxa"/>
        <w:tblCellMar>
          <w:top w:w="0" w:type="dxa"/>
          <w:left w:w="0" w:type="dxa"/>
          <w:bottom w:w="0" w:type="dxa"/>
          <w:right w:w="0" w:type="dxa"/>
        </w:tblCellMar>
      </w:tblPr>
      <w:tr>
        <w:trPr>
          <w:trHeight w:val="216"/>
        </w:trPr>
        <w:tc>
          <w:tcPr>
            <w:tcW w:w="3300" w:type="dxa"/>
            <w:vAlign w:val="bottom"/>
          </w:tcPr>
          <w:p>
            <w:pPr>
              <w:jc w:val="center"/>
              <w:spacing w:after="0"/>
              <w:rPr>
                <w:sz w:val="20"/>
                <w:szCs w:val="20"/>
                <w:color w:val="auto"/>
              </w:rPr>
            </w:pPr>
            <w:r>
              <w:rPr>
                <w:rFonts w:ascii="Arial" w:cs="Arial" w:eastAsia="Arial" w:hAnsi="Arial"/>
                <w:sz w:val="18"/>
                <w:szCs w:val="18"/>
                <w:color w:val="auto"/>
                <w:w w:val="86"/>
              </w:rPr>
              <w:t>Delaware</w:t>
            </w:r>
          </w:p>
        </w:tc>
        <w:tc>
          <w:tcPr>
            <w:tcW w:w="4540" w:type="dxa"/>
            <w:vAlign w:val="bottom"/>
          </w:tcPr>
          <w:p>
            <w:pPr>
              <w:jc w:val="right"/>
              <w:ind w:right="1912"/>
              <w:spacing w:after="0"/>
              <w:rPr>
                <w:sz w:val="20"/>
                <w:szCs w:val="20"/>
                <w:color w:val="auto"/>
              </w:rPr>
            </w:pPr>
            <w:r>
              <w:rPr>
                <w:rFonts w:ascii="Arial" w:cs="Arial" w:eastAsia="Arial" w:hAnsi="Arial"/>
                <w:sz w:val="18"/>
                <w:szCs w:val="18"/>
                <w:color w:val="auto"/>
              </w:rPr>
              <w:t>001-11015</w:t>
            </w: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87"/>
              </w:rPr>
              <w:t>36-1169950</w:t>
            </w:r>
          </w:p>
        </w:tc>
      </w:tr>
      <w:tr>
        <w:trPr>
          <w:trHeight w:val="216"/>
        </w:trPr>
        <w:tc>
          <w:tcPr>
            <w:tcW w:w="3300" w:type="dxa"/>
            <w:vAlign w:val="bottom"/>
          </w:tcPr>
          <w:p>
            <w:pPr>
              <w:jc w:val="right"/>
              <w:ind w:right="652"/>
              <w:spacing w:after="0"/>
              <w:rPr>
                <w:sz w:val="20"/>
                <w:szCs w:val="20"/>
                <w:color w:val="auto"/>
              </w:rPr>
            </w:pPr>
            <w:r>
              <w:rPr>
                <w:rFonts w:ascii="Arial" w:cs="Arial" w:eastAsia="Arial" w:hAnsi="Arial"/>
                <w:sz w:val="18"/>
                <w:szCs w:val="18"/>
                <w:color w:val="auto"/>
              </w:rPr>
              <w:t>_____________________</w:t>
            </w:r>
          </w:p>
        </w:tc>
        <w:tc>
          <w:tcPr>
            <w:tcW w:w="4540" w:type="dxa"/>
            <w:vAlign w:val="bottom"/>
          </w:tcPr>
          <w:p>
            <w:pPr>
              <w:jc w:val="right"/>
              <w:ind w:right="1712"/>
              <w:spacing w:after="0"/>
              <w:rPr>
                <w:sz w:val="20"/>
                <w:szCs w:val="20"/>
                <w:color w:val="auto"/>
              </w:rPr>
            </w:pPr>
            <w:r>
              <w:rPr>
                <w:rFonts w:ascii="Arial" w:cs="Arial" w:eastAsia="Arial" w:hAnsi="Arial"/>
                <w:sz w:val="18"/>
                <w:szCs w:val="18"/>
                <w:color w:val="auto"/>
              </w:rPr>
              <w:t>_____________</w:t>
            </w: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88"/>
              </w:rPr>
              <w:t>______________</w:t>
            </w:r>
          </w:p>
        </w:tc>
      </w:tr>
      <w:tr>
        <w:trPr>
          <w:trHeight w:val="216"/>
        </w:trPr>
        <w:tc>
          <w:tcPr>
            <w:tcW w:w="3300" w:type="dxa"/>
            <w:vAlign w:val="bottom"/>
          </w:tcPr>
          <w:p>
            <w:pPr>
              <w:jc w:val="center"/>
              <w:spacing w:after="0"/>
              <w:rPr>
                <w:sz w:val="20"/>
                <w:szCs w:val="20"/>
                <w:color w:val="auto"/>
              </w:rPr>
            </w:pPr>
            <w:r>
              <w:rPr>
                <w:rFonts w:ascii="Arial" w:cs="Arial" w:eastAsia="Arial" w:hAnsi="Arial"/>
                <w:sz w:val="18"/>
                <w:szCs w:val="18"/>
                <w:color w:val="auto"/>
                <w:w w:val="90"/>
              </w:rPr>
              <w:t>(State or other jurisdiction</w:t>
            </w:r>
          </w:p>
        </w:tc>
        <w:tc>
          <w:tcPr>
            <w:tcW w:w="4540" w:type="dxa"/>
            <w:vAlign w:val="bottom"/>
          </w:tcPr>
          <w:p>
            <w:pPr>
              <w:jc w:val="center"/>
              <w:ind w:right="132"/>
              <w:spacing w:after="0"/>
              <w:rPr>
                <w:sz w:val="20"/>
                <w:szCs w:val="20"/>
                <w:color w:val="auto"/>
              </w:rPr>
            </w:pPr>
            <w:r>
              <w:rPr>
                <w:rFonts w:ascii="Arial" w:cs="Arial" w:eastAsia="Arial" w:hAnsi="Arial"/>
                <w:sz w:val="18"/>
                <w:szCs w:val="18"/>
                <w:color w:val="auto"/>
                <w:w w:val="91"/>
              </w:rPr>
              <w:t>(Commission</w:t>
            </w: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90"/>
              </w:rPr>
              <w:t>(I.R.S. Employer</w:t>
            </w:r>
          </w:p>
        </w:tc>
      </w:tr>
      <w:tr>
        <w:trPr>
          <w:trHeight w:val="222"/>
        </w:trPr>
        <w:tc>
          <w:tcPr>
            <w:tcW w:w="3300" w:type="dxa"/>
            <w:vAlign w:val="bottom"/>
          </w:tcPr>
          <w:p>
            <w:pPr>
              <w:jc w:val="center"/>
              <w:spacing w:after="0"/>
              <w:rPr>
                <w:sz w:val="20"/>
                <w:szCs w:val="20"/>
                <w:color w:val="auto"/>
              </w:rPr>
            </w:pPr>
            <w:r>
              <w:rPr>
                <w:rFonts w:ascii="Arial" w:cs="Arial" w:eastAsia="Arial" w:hAnsi="Arial"/>
                <w:sz w:val="18"/>
                <w:szCs w:val="18"/>
                <w:color w:val="auto"/>
                <w:w w:val="90"/>
              </w:rPr>
              <w:t>of incorporation)</w:t>
            </w:r>
          </w:p>
        </w:tc>
        <w:tc>
          <w:tcPr>
            <w:tcW w:w="4540" w:type="dxa"/>
            <w:vAlign w:val="bottom"/>
          </w:tcPr>
          <w:p>
            <w:pPr>
              <w:jc w:val="center"/>
              <w:ind w:right="132"/>
              <w:spacing w:after="0"/>
              <w:rPr>
                <w:sz w:val="20"/>
                <w:szCs w:val="20"/>
                <w:color w:val="auto"/>
              </w:rPr>
            </w:pPr>
            <w:r>
              <w:rPr>
                <w:rFonts w:ascii="Arial" w:cs="Arial" w:eastAsia="Arial" w:hAnsi="Arial"/>
                <w:sz w:val="18"/>
                <w:szCs w:val="18"/>
                <w:color w:val="auto"/>
                <w:w w:val="92"/>
              </w:rPr>
              <w:t>File Number)</w:t>
            </w: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94"/>
              </w:rPr>
              <w:t>Identification No.)</w:t>
            </w:r>
          </w:p>
        </w:tc>
      </w:tr>
      <w:tr>
        <w:trPr>
          <w:trHeight w:val="426"/>
        </w:trPr>
        <w:tc>
          <w:tcPr>
            <w:tcW w:w="3300" w:type="dxa"/>
            <w:vAlign w:val="bottom"/>
          </w:tcPr>
          <w:p>
            <w:pPr>
              <w:jc w:val="center"/>
              <w:spacing w:after="0"/>
              <w:rPr>
                <w:sz w:val="20"/>
                <w:szCs w:val="20"/>
                <w:color w:val="auto"/>
              </w:rPr>
            </w:pPr>
            <w:r>
              <w:rPr>
                <w:rFonts w:ascii="Arial" w:cs="Arial" w:eastAsia="Arial" w:hAnsi="Arial"/>
                <w:sz w:val="18"/>
                <w:szCs w:val="18"/>
                <w:color w:val="auto"/>
                <w:w w:val="88"/>
              </w:rPr>
              <w:t>1850 N. Central Avenue, Suite 1900, Phoenix,</w:t>
            </w:r>
          </w:p>
        </w:tc>
        <w:tc>
          <w:tcPr>
            <w:tcW w:w="4540" w:type="dxa"/>
            <w:vAlign w:val="bottom"/>
          </w:tcPr>
          <w:p>
            <w:pPr>
              <w:spacing w:after="0"/>
              <w:rPr>
                <w:sz w:val="24"/>
                <w:szCs w:val="24"/>
                <w:color w:val="auto"/>
              </w:rPr>
            </w:pP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87"/>
              </w:rPr>
              <w:t>85004-4565</w:t>
            </w:r>
          </w:p>
        </w:tc>
      </w:tr>
      <w:tr>
        <w:trPr>
          <w:trHeight w:val="216"/>
        </w:trPr>
        <w:tc>
          <w:tcPr>
            <w:tcW w:w="3300" w:type="dxa"/>
            <w:vAlign w:val="bottom"/>
          </w:tcPr>
          <w:p>
            <w:pPr>
              <w:jc w:val="center"/>
              <w:spacing w:after="0"/>
              <w:rPr>
                <w:sz w:val="20"/>
                <w:szCs w:val="20"/>
                <w:color w:val="auto"/>
              </w:rPr>
            </w:pPr>
            <w:r>
              <w:rPr>
                <w:rFonts w:ascii="Arial" w:cs="Arial" w:eastAsia="Arial" w:hAnsi="Arial"/>
                <w:sz w:val="18"/>
                <w:szCs w:val="18"/>
                <w:color w:val="auto"/>
                <w:w w:val="94"/>
              </w:rPr>
              <w:t>Arizona</w:t>
            </w:r>
          </w:p>
        </w:tc>
        <w:tc>
          <w:tcPr>
            <w:tcW w:w="4540" w:type="dxa"/>
            <w:vAlign w:val="bottom"/>
          </w:tcPr>
          <w:p>
            <w:pPr>
              <w:spacing w:after="0"/>
              <w:rPr>
                <w:sz w:val="18"/>
                <w:szCs w:val="18"/>
                <w:color w:val="auto"/>
              </w:rPr>
            </w:pPr>
          </w:p>
        </w:tc>
        <w:tc>
          <w:tcPr>
            <w:tcW w:w="2100" w:type="dxa"/>
            <w:vAlign w:val="bottom"/>
          </w:tcPr>
          <w:p>
            <w:pPr>
              <w:spacing w:after="0"/>
              <w:rPr>
                <w:sz w:val="18"/>
                <w:szCs w:val="18"/>
                <w:color w:val="auto"/>
              </w:rPr>
            </w:pPr>
          </w:p>
        </w:tc>
      </w:tr>
      <w:tr>
        <w:trPr>
          <w:trHeight w:val="216"/>
        </w:trPr>
        <w:tc>
          <w:tcPr>
            <w:tcW w:w="3300" w:type="dxa"/>
            <w:vAlign w:val="bottom"/>
          </w:tcPr>
          <w:p>
            <w:pPr>
              <w:jc w:val="right"/>
              <w:ind w:right="132"/>
              <w:spacing w:after="0"/>
              <w:rPr>
                <w:sz w:val="20"/>
                <w:szCs w:val="20"/>
                <w:color w:val="auto"/>
              </w:rPr>
            </w:pPr>
            <w:r>
              <w:rPr>
                <w:rFonts w:ascii="Arial" w:cs="Arial" w:eastAsia="Arial" w:hAnsi="Arial"/>
                <w:sz w:val="18"/>
                <w:szCs w:val="18"/>
                <w:color w:val="auto"/>
                <w:w w:val="92"/>
              </w:rPr>
              <w:t>_________________________________</w:t>
            </w:r>
          </w:p>
        </w:tc>
        <w:tc>
          <w:tcPr>
            <w:tcW w:w="4540" w:type="dxa"/>
            <w:vAlign w:val="bottom"/>
          </w:tcPr>
          <w:p>
            <w:pPr>
              <w:spacing w:after="0"/>
              <w:rPr>
                <w:sz w:val="18"/>
                <w:szCs w:val="18"/>
                <w:color w:val="auto"/>
              </w:rPr>
            </w:pPr>
          </w:p>
        </w:tc>
        <w:tc>
          <w:tcPr>
            <w:tcW w:w="2100" w:type="dxa"/>
            <w:vAlign w:val="bottom"/>
          </w:tcPr>
          <w:p>
            <w:pPr>
              <w:jc w:val="center"/>
              <w:ind w:left="692"/>
              <w:spacing w:after="0"/>
              <w:rPr>
                <w:sz w:val="20"/>
                <w:szCs w:val="20"/>
                <w:color w:val="auto"/>
              </w:rPr>
            </w:pPr>
            <w:r>
              <w:rPr>
                <w:rFonts w:ascii="Arial" w:cs="Arial" w:eastAsia="Arial" w:hAnsi="Arial"/>
                <w:sz w:val="18"/>
                <w:szCs w:val="18"/>
                <w:color w:val="auto"/>
                <w:w w:val="87"/>
              </w:rPr>
              <w:t>___________</w:t>
            </w:r>
          </w:p>
        </w:tc>
      </w:tr>
      <w:tr>
        <w:trPr>
          <w:trHeight w:val="222"/>
        </w:trPr>
        <w:tc>
          <w:tcPr>
            <w:tcW w:w="3300" w:type="dxa"/>
            <w:vAlign w:val="bottom"/>
          </w:tcPr>
          <w:p>
            <w:pPr>
              <w:jc w:val="center"/>
              <w:spacing w:after="0"/>
              <w:rPr>
                <w:sz w:val="20"/>
                <w:szCs w:val="20"/>
                <w:color w:val="auto"/>
              </w:rPr>
            </w:pPr>
            <w:r>
              <w:rPr>
                <w:rFonts w:ascii="Arial" w:cs="Arial" w:eastAsia="Arial" w:hAnsi="Arial"/>
                <w:sz w:val="18"/>
                <w:szCs w:val="18"/>
                <w:color w:val="auto"/>
                <w:w w:val="90"/>
              </w:rPr>
              <w:t>(Address of principal executive offices)</w:t>
            </w:r>
          </w:p>
        </w:tc>
        <w:tc>
          <w:tcPr>
            <w:tcW w:w="4540" w:type="dxa"/>
            <w:vAlign w:val="bottom"/>
          </w:tcPr>
          <w:p>
            <w:pPr>
              <w:spacing w:after="0"/>
              <w:rPr>
                <w:sz w:val="19"/>
                <w:szCs w:val="19"/>
                <w:color w:val="auto"/>
              </w:rPr>
            </w:pPr>
          </w:p>
        </w:tc>
        <w:tc>
          <w:tcPr>
            <w:tcW w:w="2100" w:type="dxa"/>
            <w:vAlign w:val="bottom"/>
          </w:tcPr>
          <w:p>
            <w:pPr>
              <w:jc w:val="center"/>
              <w:ind w:left="712"/>
              <w:spacing w:after="0"/>
              <w:rPr>
                <w:sz w:val="20"/>
                <w:szCs w:val="20"/>
                <w:color w:val="auto"/>
              </w:rPr>
            </w:pPr>
            <w:r>
              <w:rPr>
                <w:rFonts w:ascii="Arial" w:cs="Arial" w:eastAsia="Arial" w:hAnsi="Arial"/>
                <w:sz w:val="18"/>
                <w:szCs w:val="18"/>
                <w:color w:val="auto"/>
                <w:w w:val="91"/>
              </w:rPr>
              <w:t>(Zip Code)</w:t>
            </w:r>
          </w:p>
        </w:tc>
      </w:tr>
      <w:tr>
        <w:trPr>
          <w:trHeight w:val="459"/>
        </w:trPr>
        <w:tc>
          <w:tcPr>
            <w:tcW w:w="7840" w:type="dxa"/>
            <w:vAlign w:val="bottom"/>
            <w:gridSpan w:val="2"/>
          </w:tcPr>
          <w:p>
            <w:pPr>
              <w:ind w:left="840"/>
              <w:spacing w:after="0"/>
              <w:rPr>
                <w:sz w:val="20"/>
                <w:szCs w:val="20"/>
                <w:color w:val="auto"/>
              </w:rPr>
            </w:pPr>
            <w:r>
              <w:rPr>
                <w:rFonts w:ascii="Arial" w:cs="Arial" w:eastAsia="Arial" w:hAnsi="Arial"/>
                <w:sz w:val="18"/>
                <w:szCs w:val="18"/>
                <w:color w:val="auto"/>
              </w:rPr>
              <w:t>Registrant’s telephone number, including area code:</w:t>
            </w:r>
          </w:p>
        </w:tc>
        <w:tc>
          <w:tcPr>
            <w:tcW w:w="2100" w:type="dxa"/>
            <w:vAlign w:val="bottom"/>
          </w:tcPr>
          <w:p>
            <w:pPr>
              <w:jc w:val="right"/>
              <w:ind w:right="652"/>
              <w:spacing w:after="0"/>
              <w:rPr>
                <w:sz w:val="20"/>
                <w:szCs w:val="20"/>
                <w:color w:val="auto"/>
              </w:rPr>
            </w:pPr>
            <w:r>
              <w:rPr>
                <w:rFonts w:ascii="Arial" w:cs="Arial" w:eastAsia="Arial" w:hAnsi="Arial"/>
                <w:sz w:val="18"/>
                <w:szCs w:val="18"/>
                <w:color w:val="auto"/>
              </w:rPr>
              <w:t>(602) 207-1000</w:t>
            </w:r>
          </w:p>
        </w:tc>
      </w:tr>
      <w:tr>
        <w:trPr>
          <w:trHeight w:val="426"/>
        </w:trPr>
        <w:tc>
          <w:tcPr>
            <w:tcW w:w="3300" w:type="dxa"/>
            <w:vAlign w:val="bottom"/>
          </w:tcPr>
          <w:p>
            <w:pPr>
              <w:spacing w:after="0"/>
              <w:rPr>
                <w:sz w:val="24"/>
                <w:szCs w:val="24"/>
                <w:color w:val="auto"/>
              </w:rPr>
            </w:pPr>
          </w:p>
        </w:tc>
        <w:tc>
          <w:tcPr>
            <w:tcW w:w="4540" w:type="dxa"/>
            <w:vAlign w:val="bottom"/>
          </w:tcPr>
          <w:p>
            <w:pPr>
              <w:ind w:left="1600"/>
              <w:spacing w:after="0"/>
              <w:rPr>
                <w:sz w:val="20"/>
                <w:szCs w:val="20"/>
                <w:color w:val="auto"/>
              </w:rPr>
            </w:pPr>
            <w:r>
              <w:rPr>
                <w:rFonts w:ascii="Arial" w:cs="Arial" w:eastAsia="Arial" w:hAnsi="Arial"/>
                <w:sz w:val="18"/>
                <w:szCs w:val="18"/>
                <w:color w:val="auto"/>
              </w:rPr>
              <w:t>Not Applicable</w:t>
            </w:r>
          </w:p>
        </w:tc>
        <w:tc>
          <w:tcPr>
            <w:tcW w:w="2100" w:type="dxa"/>
            <w:vAlign w:val="bottom"/>
          </w:tcPr>
          <w:p>
            <w:pPr>
              <w:spacing w:after="0"/>
              <w:rPr>
                <w:sz w:val="24"/>
                <w:szCs w:val="24"/>
                <w:color w:val="auto"/>
              </w:rPr>
            </w:pPr>
          </w:p>
        </w:tc>
      </w:tr>
      <w:tr>
        <w:trPr>
          <w:trHeight w:val="216"/>
        </w:trPr>
        <w:tc>
          <w:tcPr>
            <w:tcW w:w="3300" w:type="dxa"/>
            <w:vAlign w:val="bottom"/>
          </w:tcPr>
          <w:p>
            <w:pPr>
              <w:spacing w:after="0"/>
              <w:rPr>
                <w:sz w:val="18"/>
                <w:szCs w:val="18"/>
                <w:color w:val="auto"/>
              </w:rPr>
            </w:pPr>
          </w:p>
        </w:tc>
        <w:tc>
          <w:tcPr>
            <w:tcW w:w="4540" w:type="dxa"/>
            <w:vAlign w:val="bottom"/>
          </w:tcPr>
          <w:p>
            <w:pPr>
              <w:jc w:val="right"/>
              <w:ind w:right="272"/>
              <w:spacing w:after="0"/>
              <w:rPr>
                <w:sz w:val="20"/>
                <w:szCs w:val="20"/>
                <w:color w:val="auto"/>
              </w:rPr>
            </w:pPr>
            <w:r>
              <w:rPr>
                <w:rFonts w:ascii="Arial" w:cs="Arial" w:eastAsia="Arial" w:hAnsi="Arial"/>
                <w:sz w:val="18"/>
                <w:szCs w:val="18"/>
                <w:color w:val="auto"/>
                <w:w w:val="90"/>
              </w:rPr>
              <w:t>______________________________________________</w:t>
            </w:r>
          </w:p>
        </w:tc>
        <w:tc>
          <w:tcPr>
            <w:tcW w:w="2100" w:type="dxa"/>
            <w:vAlign w:val="bottom"/>
          </w:tcPr>
          <w:p>
            <w:pPr>
              <w:spacing w:after="0"/>
              <w:rPr>
                <w:sz w:val="18"/>
                <w:szCs w:val="18"/>
                <w:color w:val="auto"/>
              </w:rPr>
            </w:pPr>
          </w:p>
        </w:tc>
      </w:tr>
      <w:tr>
        <w:trPr>
          <w:trHeight w:val="222"/>
        </w:trPr>
        <w:tc>
          <w:tcPr>
            <w:tcW w:w="3300" w:type="dxa"/>
            <w:vAlign w:val="bottom"/>
          </w:tcPr>
          <w:p>
            <w:pPr>
              <w:spacing w:after="0"/>
              <w:rPr>
                <w:sz w:val="19"/>
                <w:szCs w:val="19"/>
                <w:color w:val="auto"/>
              </w:rPr>
            </w:pPr>
          </w:p>
        </w:tc>
        <w:tc>
          <w:tcPr>
            <w:tcW w:w="4540" w:type="dxa"/>
            <w:vAlign w:val="bottom"/>
          </w:tcPr>
          <w:p>
            <w:pPr>
              <w:jc w:val="center"/>
              <w:ind w:right="132"/>
              <w:spacing w:after="0"/>
              <w:rPr>
                <w:sz w:val="20"/>
                <w:szCs w:val="20"/>
                <w:color w:val="auto"/>
              </w:rPr>
            </w:pPr>
            <w:r>
              <w:rPr>
                <w:rFonts w:ascii="Arial" w:cs="Arial" w:eastAsia="Arial" w:hAnsi="Arial"/>
                <w:sz w:val="18"/>
                <w:szCs w:val="18"/>
                <w:color w:val="auto"/>
                <w:w w:val="87"/>
              </w:rPr>
              <w:t>Former name or former address, if changed since last report</w:t>
            </w:r>
          </w:p>
        </w:tc>
        <w:tc>
          <w:tcPr>
            <w:tcW w:w="2100" w:type="dxa"/>
            <w:vAlign w:val="bottom"/>
          </w:tcPr>
          <w:p>
            <w:pPr>
              <w:spacing w:after="0"/>
              <w:rPr>
                <w:sz w:val="19"/>
                <w:szCs w:val="19"/>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42"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86" w:lineRule="exact"/>
        <w:rPr>
          <w:sz w:val="24"/>
          <w:szCs w:val="24"/>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15"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9"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1388" w:right="63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1">
        <w:r>
          <w:rPr>
            <w:rFonts w:ascii="Arial" w:cs="Arial" w:eastAsia="Arial" w:hAnsi="Arial"/>
            <w:sz w:val="18"/>
            <w:szCs w:val="18"/>
            <w:b w:val="1"/>
            <w:bCs w:val="1"/>
            <w:u w:val="single" w:color="auto"/>
            <w:color w:val="0000EE"/>
          </w:rPr>
          <w:t>Top of the Form</w:t>
        </w:r>
      </w:hyperlink>
    </w:p>
    <w:p>
      <w:pPr>
        <w:spacing w:after="0" w:line="225" w:lineRule="exact"/>
        <w:rPr>
          <w:sz w:val="20"/>
          <w:szCs w:val="20"/>
          <w:color w:val="auto"/>
        </w:rPr>
      </w:pPr>
    </w:p>
    <w:p>
      <w:pPr>
        <w:ind w:right="140"/>
        <w:spacing w:after="0" w:line="275"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(e) Compensatory Arrangements</w:t>
      </w:r>
    </w:p>
    <w:p>
      <w:pPr>
        <w:spacing w:after="0" w:line="22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On February 26, 2014, the Board of Directors of Viad Corp (the "Company") adopted amendments (the "Amendments") to the Executive Severance Plan (Tier I) of the Company (the "Plan") that eliminate the Plan’s excise tax gross-up provision and the "modified single-trigger" provision, which gave executive officers of the Company the right to receive benefits if they voluntarily terminate employment during the 30-day period following the first anniversary of a change in control. The elimination of the excise tax gross-up provision and the modified single-trigger provision is effective as of the three-year sunset date of February 26, 2017. The Plan is a grandfathered plan applicable to executive officers of the Company hired before January 1, 2013. The Amendments make the grandfathered Plan consistent with the applicable provisions of the Executive Severance Plan (Tier I – 2013) of the Company, which does not contain the modified single-trigger or excise tax gross-up provisions and applies to executive officers hired on January 1, 2013 or thereafter.</w:t>
      </w:r>
    </w:p>
    <w:p>
      <w:pPr>
        <w:spacing w:after="0" w:line="172"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The above description of the Amendments is qualified in its entirety by reference to the text of the Amendments, a copy of which is attached hereto as Exhibit 10, and which is incorporated herein in its entirety by this reference.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10 – Copy of Amendment No. 1 to Viad Corp Executive Severance Plan (Tier I), effective as of February 26, 2014.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901065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1">
        <w:r>
          <w:rPr>
            <w:rFonts w:ascii="Arial" w:cs="Arial" w:eastAsia="Arial" w:hAnsi="Arial"/>
            <w:sz w:val="18"/>
            <w:szCs w:val="18"/>
            <w:b w:val="1"/>
            <w:bCs w:val="1"/>
            <w:u w:val="single" w:color="auto"/>
            <w:color w:val="0000EE"/>
          </w:rPr>
          <w:t>Top of the Form</w:t>
        </w:r>
      </w:hyperlink>
    </w:p>
    <w:p>
      <w:pPr>
        <w:spacing w:after="0" w:line="225"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29"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Viad Corp</w:t>
      </w:r>
    </w:p>
    <w:p>
      <w:pPr>
        <w:spacing w:after="0" w:line="225" w:lineRule="exact"/>
        <w:rPr>
          <w:sz w:val="20"/>
          <w:szCs w:val="20"/>
          <w:color w:val="auto"/>
        </w:rPr>
      </w:pPr>
    </w:p>
    <w:p>
      <w:pPr>
        <w:spacing w:after="0"/>
        <w:tabs>
          <w:tab w:leader="none" w:pos="6060" w:val="left"/>
          <w:tab w:leader="none" w:pos="6500" w:val="left"/>
        </w:tabs>
        <w:rPr>
          <w:sz w:val="20"/>
          <w:szCs w:val="20"/>
          <w:color w:val="auto"/>
        </w:rPr>
      </w:pPr>
      <w:r>
        <w:rPr>
          <w:rFonts w:ascii="Arial" w:cs="Arial" w:eastAsia="Arial" w:hAnsi="Arial"/>
          <w:sz w:val="18"/>
          <w:szCs w:val="18"/>
          <w:i w:val="1"/>
          <w:iCs w:val="1"/>
          <w:color w:val="auto"/>
        </w:rPr>
        <w:t>March 4, 2014</w:t>
      </w:r>
      <w:r>
        <w:rPr>
          <w:sz w:val="20"/>
          <w:szCs w:val="20"/>
          <w:color w:val="auto"/>
        </w:rPr>
        <w:tab/>
      </w:r>
      <w:r>
        <w:rPr>
          <w:rFonts w:ascii="Arial" w:cs="Arial" w:eastAsia="Arial" w:hAnsi="Arial"/>
          <w:sz w:val="18"/>
          <w:szCs w:val="18"/>
          <w:i w:val="1"/>
          <w:iCs w:val="1"/>
          <w:color w:val="auto"/>
        </w:rPr>
        <w:t>By:</w:t>
      </w:r>
      <w:r>
        <w:rPr>
          <w:sz w:val="20"/>
          <w:szCs w:val="20"/>
          <w:color w:val="auto"/>
        </w:rPr>
        <w:tab/>
      </w:r>
      <w:r>
        <w:rPr>
          <w:rFonts w:ascii="Arial" w:cs="Arial" w:eastAsia="Arial" w:hAnsi="Arial"/>
          <w:sz w:val="16"/>
          <w:szCs w:val="16"/>
          <w:i w:val="1"/>
          <w:iCs w:val="1"/>
          <w:color w:val="auto"/>
        </w:rPr>
        <w:t>/s/ G. Michael Latta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80010</wp:posOffset>
            </wp:positionV>
            <wp:extent cx="31127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19" w:lineRule="exact"/>
        <w:rPr>
          <w:sz w:val="20"/>
          <w:szCs w:val="20"/>
          <w:color w:val="auto"/>
        </w:rPr>
      </w:pPr>
    </w:p>
    <w:p>
      <w:pPr>
        <w:ind w:left="6520"/>
        <w:spacing w:after="0"/>
        <w:rPr>
          <w:sz w:val="20"/>
          <w:szCs w:val="20"/>
          <w:color w:val="auto"/>
        </w:rPr>
      </w:pPr>
      <w:r>
        <w:rPr>
          <w:rFonts w:ascii="Arial" w:cs="Arial" w:eastAsia="Arial" w:hAnsi="Arial"/>
          <w:sz w:val="18"/>
          <w:szCs w:val="18"/>
          <w:i w:val="1"/>
          <w:iCs w:val="1"/>
          <w:color w:val="auto"/>
        </w:rPr>
        <w:t>Name: G. Michael Latta</w:t>
      </w:r>
    </w:p>
    <w:p>
      <w:pPr>
        <w:spacing w:after="0" w:line="15" w:lineRule="exact"/>
        <w:rPr>
          <w:sz w:val="20"/>
          <w:szCs w:val="20"/>
          <w:color w:val="auto"/>
        </w:rPr>
      </w:pPr>
    </w:p>
    <w:p>
      <w:pPr>
        <w:ind w:left="6520"/>
        <w:spacing w:after="0"/>
        <w:rPr>
          <w:sz w:val="20"/>
          <w:szCs w:val="20"/>
          <w:color w:val="auto"/>
        </w:rPr>
      </w:pPr>
      <w:r>
        <w:rPr>
          <w:rFonts w:ascii="Arial" w:cs="Arial" w:eastAsia="Arial" w:hAnsi="Arial"/>
          <w:sz w:val="18"/>
          <w:szCs w:val="18"/>
          <w:i w:val="1"/>
          <w:iCs w:val="1"/>
          <w:color w:val="auto"/>
        </w:rPr>
        <w:t>Title: Chief Accounting Officer – Controller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40"/>
          </w:cols>
          <w:pgMar w:left="240" w:top="125" w:right="71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1">
        <w:r>
          <w:rPr>
            <w:rFonts w:ascii="Arial" w:cs="Arial" w:eastAsia="Arial" w:hAnsi="Arial"/>
            <w:sz w:val="18"/>
            <w:szCs w:val="18"/>
            <w:b w:val="1"/>
            <w:bCs w:val="1"/>
            <w:u w:val="single" w:color="auto"/>
            <w:color w:val="0000EE"/>
          </w:rPr>
          <w:t>Top of the Form</w:t>
        </w:r>
      </w:hyperlink>
    </w:p>
    <w:p>
      <w:pPr>
        <w:spacing w:after="0" w:line="231" w:lineRule="exact"/>
        <w:rPr>
          <w:sz w:val="20"/>
          <w:szCs w:val="20"/>
          <w:color w:val="auto"/>
        </w:rPr>
      </w:pPr>
    </w:p>
    <w:tbl>
      <w:tblPr>
        <w:tblLayout w:type="fixed"/>
        <w:tblInd w:w="2300" w:type="dxa"/>
        <w:tblCellMar>
          <w:top w:w="0" w:type="dxa"/>
          <w:left w:w="0" w:type="dxa"/>
          <w:bottom w:w="0" w:type="dxa"/>
          <w:right w:w="0" w:type="dxa"/>
        </w:tblCellMar>
      </w:tblPr>
      <w:tr>
        <w:trPr>
          <w:trHeight w:val="222"/>
        </w:trPr>
        <w:tc>
          <w:tcPr>
            <w:tcW w:w="6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120" w:type="dxa"/>
            <w:vAlign w:val="bottom"/>
            <w:gridSpan w:val="2"/>
          </w:tcPr>
          <w:p>
            <w:pPr>
              <w:ind w:left="1280"/>
              <w:spacing w:after="0"/>
              <w:rPr>
                <w:sz w:val="20"/>
                <w:szCs w:val="20"/>
                <w:color w:val="auto"/>
              </w:rPr>
            </w:pPr>
            <w:r>
              <w:rPr>
                <w:rFonts w:ascii="Arial" w:cs="Arial" w:eastAsia="Arial" w:hAnsi="Arial"/>
                <w:sz w:val="18"/>
                <w:szCs w:val="18"/>
                <w:color w:val="auto"/>
              </w:rPr>
              <w:t>Exhibit Index</w:t>
            </w:r>
          </w:p>
        </w:tc>
      </w:tr>
      <w:tr>
        <w:trPr>
          <w:trHeight w:val="866"/>
        </w:trPr>
        <w:tc>
          <w:tcPr>
            <w:tcW w:w="660" w:type="dxa"/>
            <w:vAlign w:val="bottom"/>
          </w:tcPr>
          <w:p>
            <w:pPr>
              <w:spacing w:after="0"/>
              <w:rPr>
                <w:sz w:val="20"/>
                <w:szCs w:val="20"/>
                <w:color w:val="auto"/>
              </w:rPr>
            </w:pPr>
            <w:r>
              <w:rPr>
                <w:rFonts w:ascii="Arial" w:cs="Arial" w:eastAsia="Arial" w:hAnsi="Arial"/>
                <w:sz w:val="14"/>
                <w:szCs w:val="14"/>
                <w:b w:val="1"/>
                <w:bCs w:val="1"/>
                <w:color w:val="auto"/>
                <w:w w:val="87"/>
              </w:rPr>
              <w:t>Exhibit No.</w:t>
            </w:r>
          </w:p>
        </w:tc>
        <w:tc>
          <w:tcPr>
            <w:tcW w:w="1000" w:type="dxa"/>
            <w:vAlign w:val="bottom"/>
          </w:tcPr>
          <w:p>
            <w:pPr>
              <w:spacing w:after="0"/>
              <w:rPr>
                <w:sz w:val="24"/>
                <w:szCs w:val="24"/>
                <w:color w:val="auto"/>
              </w:rPr>
            </w:pPr>
          </w:p>
        </w:tc>
        <w:tc>
          <w:tcPr>
            <w:tcW w:w="5120" w:type="dxa"/>
            <w:vAlign w:val="bottom"/>
            <w:gridSpan w:val="2"/>
          </w:tcPr>
          <w:p>
            <w:pPr>
              <w:spacing w:after="0"/>
              <w:rPr>
                <w:sz w:val="20"/>
                <w:szCs w:val="20"/>
                <w:color w:val="auto"/>
              </w:rPr>
            </w:pPr>
            <w:r>
              <w:rPr>
                <w:rFonts w:ascii="Arial" w:cs="Arial" w:eastAsia="Arial" w:hAnsi="Arial"/>
                <w:sz w:val="14"/>
                <w:szCs w:val="14"/>
                <w:b w:val="1"/>
                <w:bCs w:val="1"/>
                <w:color w:val="auto"/>
              </w:rPr>
              <w:t>Description</w:t>
            </w:r>
          </w:p>
        </w:tc>
      </w:tr>
      <w:tr>
        <w:trPr>
          <w:trHeight w:val="95"/>
        </w:trPr>
        <w:tc>
          <w:tcPr>
            <w:tcW w:w="660" w:type="dxa"/>
            <w:vAlign w:val="bottom"/>
            <w:tcBorders>
              <w:bottom w:val="single" w:sz="8" w:color="808080"/>
            </w:tcBorders>
          </w:tcPr>
          <w:p>
            <w:pPr>
              <w:spacing w:after="0"/>
              <w:rPr>
                <w:sz w:val="8"/>
                <w:szCs w:val="8"/>
                <w:color w:val="auto"/>
              </w:rPr>
            </w:pPr>
          </w:p>
        </w:tc>
        <w:tc>
          <w:tcPr>
            <w:tcW w:w="1000" w:type="dxa"/>
            <w:vAlign w:val="bottom"/>
          </w:tcPr>
          <w:p>
            <w:pPr>
              <w:spacing w:after="0"/>
              <w:rPr>
                <w:sz w:val="8"/>
                <w:szCs w:val="8"/>
                <w:color w:val="auto"/>
              </w:rPr>
            </w:pPr>
          </w:p>
        </w:tc>
        <w:tc>
          <w:tcPr>
            <w:tcW w:w="4580" w:type="dxa"/>
            <w:vAlign w:val="bottom"/>
            <w:tcBorders>
              <w:bottom w:val="single" w:sz="8" w:color="808080"/>
            </w:tcBorders>
          </w:tcPr>
          <w:p>
            <w:pPr>
              <w:spacing w:after="0"/>
              <w:rPr>
                <w:sz w:val="8"/>
                <w:szCs w:val="8"/>
                <w:color w:val="auto"/>
              </w:rPr>
            </w:pPr>
          </w:p>
        </w:tc>
        <w:tc>
          <w:tcPr>
            <w:tcW w:w="540" w:type="dxa"/>
            <w:vAlign w:val="bottom"/>
          </w:tcPr>
          <w:p>
            <w:pPr>
              <w:spacing w:after="0"/>
              <w:rPr>
                <w:sz w:val="8"/>
                <w:szCs w:val="8"/>
                <w:color w:val="auto"/>
              </w:rPr>
            </w:pPr>
          </w:p>
        </w:tc>
      </w:tr>
      <w:tr>
        <w:trPr>
          <w:trHeight w:val="309"/>
        </w:trPr>
        <w:tc>
          <w:tcPr>
            <w:tcW w:w="660" w:type="dxa"/>
            <w:vAlign w:val="bottom"/>
          </w:tcPr>
          <w:p>
            <w:pPr>
              <w:spacing w:after="0"/>
              <w:rPr>
                <w:sz w:val="20"/>
                <w:szCs w:val="20"/>
                <w:color w:val="auto"/>
              </w:rPr>
            </w:pPr>
            <w:r>
              <w:rPr>
                <w:rFonts w:ascii="Arial" w:cs="Arial" w:eastAsia="Arial" w:hAnsi="Arial"/>
                <w:sz w:val="18"/>
                <w:szCs w:val="18"/>
                <w:color w:val="auto"/>
              </w:rPr>
              <w:t>10</w:t>
            </w:r>
          </w:p>
        </w:tc>
        <w:tc>
          <w:tcPr>
            <w:tcW w:w="1000" w:type="dxa"/>
            <w:vAlign w:val="bottom"/>
          </w:tcPr>
          <w:p>
            <w:pPr>
              <w:spacing w:after="0"/>
              <w:rPr>
                <w:sz w:val="24"/>
                <w:szCs w:val="24"/>
                <w:color w:val="auto"/>
              </w:rPr>
            </w:pPr>
          </w:p>
        </w:tc>
        <w:tc>
          <w:tcPr>
            <w:tcW w:w="5120" w:type="dxa"/>
            <w:vAlign w:val="bottom"/>
            <w:gridSpan w:val="2"/>
          </w:tcPr>
          <w:p>
            <w:pPr>
              <w:spacing w:after="0"/>
              <w:rPr>
                <w:sz w:val="20"/>
                <w:szCs w:val="20"/>
                <w:color w:val="auto"/>
              </w:rPr>
            </w:pPr>
            <w:r>
              <w:rPr>
                <w:rFonts w:ascii="Arial" w:cs="Arial" w:eastAsia="Arial" w:hAnsi="Arial"/>
                <w:sz w:val="18"/>
                <w:szCs w:val="18"/>
                <w:color w:val="auto"/>
                <w:w w:val="88"/>
              </w:rPr>
              <w:t>Copy of Amendment No. 1 to Viad Corp Executive Severance Plan (Tier</w:t>
            </w:r>
          </w:p>
        </w:tc>
      </w:tr>
      <w:tr>
        <w:trPr>
          <w:trHeight w:val="222"/>
        </w:trPr>
        <w:tc>
          <w:tcPr>
            <w:tcW w:w="6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120" w:type="dxa"/>
            <w:vAlign w:val="bottom"/>
            <w:gridSpan w:val="2"/>
          </w:tcPr>
          <w:p>
            <w:pPr>
              <w:spacing w:after="0"/>
              <w:rPr>
                <w:sz w:val="20"/>
                <w:szCs w:val="20"/>
                <w:color w:val="auto"/>
              </w:rPr>
            </w:pPr>
            <w:r>
              <w:rPr>
                <w:rFonts w:ascii="Arial" w:cs="Arial" w:eastAsia="Arial" w:hAnsi="Arial"/>
                <w:sz w:val="18"/>
                <w:szCs w:val="18"/>
                <w:color w:val="auto"/>
              </w:rPr>
              <w:t>I), effective as of February 26, 2014.</w:t>
            </w:r>
          </w:p>
        </w:tc>
      </w:tr>
    </w:tbl>
    <w:p>
      <w:pPr>
        <w:sectPr>
          <w:pgSz w:w="11900" w:h="16838" w:orient="portrait"/>
          <w:cols w:equalWidth="0" w:num="1">
            <w:col w:w="10219"/>
          </w:cols>
          <w:pgMar w:left="240" w:top="125"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7"/>
          <w:szCs w:val="17"/>
          <w:b w:val="1"/>
          <w:bCs w:val="1"/>
          <w:color w:val="auto"/>
        </w:rPr>
        <w:t>EXHIBIT 10</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 xml:space="preserve">AMENDMENT NO. 1 TO VIAD CORP EXECUTIVE SEVERANCE PLAN (TIER </w:t>
      </w:r>
      <w:r>
        <w:rPr>
          <w:rFonts w:ascii="Arial" w:cs="Arial" w:eastAsia="Arial" w:hAnsi="Arial"/>
          <w:sz w:val="16"/>
          <w:szCs w:val="16"/>
          <w:b w:val="1"/>
          <w:bCs w:val="1"/>
          <w:color w:val="auto"/>
        </w:rPr>
        <w:t>I</w:t>
      </w:r>
      <w:r>
        <w:rPr>
          <w:rFonts w:ascii="Arial" w:cs="Arial" w:eastAsia="Arial" w:hAnsi="Arial"/>
          <w:sz w:val="17"/>
          <w:szCs w:val="17"/>
          <w:b w:val="1"/>
          <w:bCs w:val="1"/>
          <w:color w:val="auto"/>
        </w:rPr>
        <w: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OF FEBRUARY 26, 2014</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The Executive Severance Plan (Tier </w:t>
      </w:r>
      <w:r>
        <w:rPr>
          <w:rFonts w:ascii="Arial" w:cs="Arial" w:eastAsia="Arial" w:hAnsi="Arial"/>
          <w:sz w:val="16"/>
          <w:szCs w:val="16"/>
          <w:color w:val="auto"/>
        </w:rPr>
        <w:t>I</w:t>
      </w:r>
      <w:r>
        <w:rPr>
          <w:rFonts w:ascii="Arial" w:cs="Arial" w:eastAsia="Arial" w:hAnsi="Arial"/>
          <w:sz w:val="17"/>
          <w:szCs w:val="17"/>
          <w:color w:val="auto"/>
        </w:rPr>
        <w:t>) of the Corporation (the “Plan”) is hereby amended as follows:</w:t>
      </w:r>
    </w:p>
    <w:p>
      <w:pPr>
        <w:spacing w:after="0" w:line="223" w:lineRule="exact"/>
        <w:rPr>
          <w:sz w:val="20"/>
          <w:szCs w:val="20"/>
          <w:color w:val="auto"/>
        </w:rPr>
      </w:pPr>
    </w:p>
    <w:p>
      <w:pPr>
        <w:ind w:left="20"/>
        <w:spacing w:after="0"/>
        <w:rPr>
          <w:sz w:val="20"/>
          <w:szCs w:val="20"/>
          <w:color w:val="auto"/>
        </w:rPr>
      </w:pPr>
      <w:r>
        <w:rPr>
          <w:rFonts w:ascii="Arial" w:cs="Arial" w:eastAsia="Arial" w:hAnsi="Arial"/>
          <w:sz w:val="17"/>
          <w:szCs w:val="17"/>
          <w:color w:val="auto"/>
        </w:rPr>
        <w:t>1.  Delete Section 1 (Purpose) in its entirety and replace it with a new Section 1 as follows:</w:t>
      </w:r>
    </w:p>
    <w:p>
      <w:pPr>
        <w:spacing w:after="0" w:line="217" w:lineRule="exact"/>
        <w:rPr>
          <w:sz w:val="20"/>
          <w:szCs w:val="20"/>
          <w:color w:val="auto"/>
        </w:rPr>
      </w:pPr>
    </w:p>
    <w:p>
      <w:pPr>
        <w:ind w:left="460" w:right="20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Sunset Provisions</w:t>
      </w:r>
      <w:r>
        <w:rPr>
          <w:rFonts w:ascii="Arial" w:cs="Arial" w:eastAsia="Arial" w:hAnsi="Arial"/>
          <w:sz w:val="17"/>
          <w:szCs w:val="17"/>
          <w:color w:val="auto"/>
        </w:rPr>
        <w:t xml:space="preserve">: Effective February 26, 2017 (The “Effective Date”) any and all provisions in this amended and restated Executive Severance Plan Tier </w:t>
      </w:r>
      <w:r>
        <w:rPr>
          <w:rFonts w:ascii="Arial" w:cs="Arial" w:eastAsia="Arial" w:hAnsi="Arial"/>
          <w:sz w:val="16"/>
          <w:szCs w:val="16"/>
          <w:color w:val="auto"/>
        </w:rPr>
        <w:t>I</w:t>
      </w:r>
      <w:r>
        <w:rPr>
          <w:rFonts w:ascii="Arial" w:cs="Arial" w:eastAsia="Arial" w:hAnsi="Arial"/>
          <w:sz w:val="17"/>
          <w:szCs w:val="17"/>
          <w:color w:val="auto"/>
        </w:rPr>
        <w:t xml:space="preserve"> (the “Plan”) document providing for 1) a modified single trigger election (i.e. the right of an Executive to receive benefits if they voluntarily terminate employment during the 30-day period following the first anniversary of a Change of Control of Viad Corp (the “Corporation”), or 2) an excise tax gross-up benefit on severance payments in the event of a Change of Control, shall be null and void, and this Plan shall be amended on the Effective Date to implement such results as set forth on Schedule A of the Plan.”</w:t>
      </w:r>
    </w:p>
    <w:p>
      <w:pPr>
        <w:spacing w:after="0" w:line="192" w:lineRule="exact"/>
        <w:rPr>
          <w:sz w:val="20"/>
          <w:szCs w:val="20"/>
          <w:color w:val="auto"/>
        </w:rPr>
      </w:pPr>
    </w:p>
    <w:p>
      <w:pPr>
        <w:ind w:left="20"/>
        <w:spacing w:after="0"/>
        <w:rPr>
          <w:sz w:val="20"/>
          <w:szCs w:val="20"/>
          <w:color w:val="auto"/>
        </w:rPr>
      </w:pPr>
      <w:r>
        <w:rPr>
          <w:rFonts w:ascii="Arial" w:cs="Arial" w:eastAsia="Arial" w:hAnsi="Arial"/>
          <w:sz w:val="17"/>
          <w:szCs w:val="17"/>
          <w:color w:val="auto"/>
        </w:rPr>
        <w:t>2.  Delete Section 2 (Objectives) in its entirety and replace it with a new Section 2 as follows:</w:t>
      </w:r>
    </w:p>
    <w:p>
      <w:pPr>
        <w:spacing w:after="0" w:line="217" w:lineRule="exact"/>
        <w:rPr>
          <w:sz w:val="20"/>
          <w:szCs w:val="20"/>
          <w:color w:val="auto"/>
        </w:rPr>
      </w:pPr>
    </w:p>
    <w:p>
      <w:pPr>
        <w:ind w:left="460" w:right="20"/>
        <w:spacing w:after="0" w:line="25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Purpose and Objectives</w:t>
      </w:r>
      <w:r>
        <w:rPr>
          <w:rFonts w:ascii="Arial" w:cs="Arial" w:eastAsia="Arial" w:hAnsi="Arial"/>
          <w:sz w:val="17"/>
          <w:szCs w:val="17"/>
          <w:color w:val="auto"/>
        </w:rPr>
        <w:t>: To provide management continuity by inducing selected Executives to remain in the employ of the Corporation or one of its subsidiaries pending a possible Change of Control of the Corporation, and ensure in the event of a possible Change of Control of the Corporation, in addition to the Executive’s regular duties, that he or she may be available to be called upon to assist in the objective assessment of such situations, to advise management and the Board of Directors (the “Board”) of the Corporation as to whether such proposals would be in the best interests of the Corporation, its subsidiaries, and its shareholders and to take such other actions as management or the Board might determine reasonably appropriate and in the best interests of the Corporation and its shareholders. This Plan document is effective for plan years beginning on January 1, 2005 and thereafter, and is intended to meet the requirements of Section 409A of the Internal Revenue Code and the regulations and guidance promulgated thereto (“Section 409A”). No deferral elections are permitted or required under the Plan.”</w:t>
      </w:r>
    </w:p>
    <w:p>
      <w:pPr>
        <w:spacing w:after="0" w:line="194" w:lineRule="exact"/>
        <w:rPr>
          <w:sz w:val="20"/>
          <w:szCs w:val="20"/>
          <w:color w:val="auto"/>
        </w:rPr>
      </w:pPr>
    </w:p>
    <w:p>
      <w:pPr>
        <w:ind w:left="20"/>
        <w:spacing w:after="0"/>
        <w:rPr>
          <w:sz w:val="20"/>
          <w:szCs w:val="20"/>
          <w:color w:val="auto"/>
        </w:rPr>
      </w:pPr>
      <w:r>
        <w:rPr>
          <w:rFonts w:ascii="Arial" w:cs="Arial" w:eastAsia="Arial" w:hAnsi="Arial"/>
          <w:sz w:val="17"/>
          <w:szCs w:val="17"/>
          <w:color w:val="auto"/>
        </w:rPr>
        <w:t xml:space="preserve">3.  Add and attach to the Plan the form of Schedule A (Sunset Provisions to Executive Severance Plan Tier </w:t>
      </w:r>
      <w:r>
        <w:rPr>
          <w:rFonts w:ascii="Arial" w:cs="Arial" w:eastAsia="Arial" w:hAnsi="Arial"/>
          <w:sz w:val="16"/>
          <w:szCs w:val="16"/>
          <w:color w:val="auto"/>
        </w:rPr>
        <w:t>I</w:t>
      </w:r>
      <w:r>
        <w:rPr>
          <w:rFonts w:ascii="Arial" w:cs="Arial" w:eastAsia="Arial" w:hAnsi="Arial"/>
          <w:sz w:val="17"/>
          <w:szCs w:val="17"/>
          <w:color w:val="auto"/>
        </w:rPr>
        <w:t>)</w:t>
      </w:r>
    </w:p>
    <w:p>
      <w:pPr>
        <w:spacing w:after="0" w:line="223" w:lineRule="exact"/>
        <w:rPr>
          <w:sz w:val="20"/>
          <w:szCs w:val="20"/>
          <w:color w:val="auto"/>
        </w:rPr>
      </w:pPr>
    </w:p>
    <w:p>
      <w:pPr>
        <w:ind w:left="240"/>
        <w:spacing w:after="0"/>
        <w:rPr>
          <w:sz w:val="20"/>
          <w:szCs w:val="20"/>
          <w:color w:val="auto"/>
        </w:rPr>
      </w:pPr>
      <w:r>
        <w:rPr>
          <w:rFonts w:ascii="Arial" w:cs="Arial" w:eastAsia="Arial" w:hAnsi="Arial"/>
          <w:sz w:val="17"/>
          <w:szCs w:val="17"/>
          <w:color w:val="auto"/>
        </w:rPr>
        <w:t>attached to and made a part of this Amendment No. 1.</w:t>
      </w:r>
    </w:p>
    <w:p>
      <w:pPr>
        <w:spacing w:after="0" w:line="183" w:lineRule="exact"/>
        <w:rPr>
          <w:sz w:val="20"/>
          <w:szCs w:val="20"/>
          <w:color w:val="auto"/>
        </w:rPr>
      </w:pPr>
    </w:p>
    <w:p>
      <w:pPr>
        <w:ind w:right="80"/>
        <w:spacing w:after="0" w:line="274" w:lineRule="auto"/>
        <w:rPr>
          <w:sz w:val="20"/>
          <w:szCs w:val="20"/>
          <w:color w:val="auto"/>
        </w:rPr>
      </w:pPr>
      <w:r>
        <w:rPr>
          <w:rFonts w:ascii="Arial" w:cs="Arial" w:eastAsia="Arial" w:hAnsi="Arial"/>
          <w:sz w:val="17"/>
          <w:szCs w:val="17"/>
          <w:color w:val="auto"/>
        </w:rPr>
        <w:t>Except as amended hereby, the Plan and all terms and conditions therein, shall remain in full force and effect. This Amendment No. 1 is effective on the date set forth below:</w:t>
      </w:r>
    </w:p>
    <w:p>
      <w:pPr>
        <w:spacing w:after="0" w:line="175" w:lineRule="exact"/>
        <w:rPr>
          <w:sz w:val="20"/>
          <w:szCs w:val="20"/>
          <w:color w:val="auto"/>
        </w:rPr>
      </w:pPr>
    </w:p>
    <w:p>
      <w:pPr>
        <w:ind w:left="220"/>
        <w:spacing w:after="0"/>
        <w:rPr>
          <w:sz w:val="20"/>
          <w:szCs w:val="20"/>
          <w:color w:val="auto"/>
        </w:rPr>
      </w:pPr>
      <w:r>
        <w:rPr>
          <w:rFonts w:ascii="Arial" w:cs="Arial" w:eastAsia="Arial" w:hAnsi="Arial"/>
          <w:sz w:val="17"/>
          <w:szCs w:val="17"/>
          <w:color w:val="auto"/>
        </w:rPr>
        <w:t>February 26, 2014</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 xml:space="preserve">By: </w:t>
      </w:r>
      <w:r>
        <w:rPr>
          <w:rFonts w:ascii="Arial" w:cs="Arial" w:eastAsia="Arial" w:hAnsi="Arial"/>
          <w:sz w:val="17"/>
          <w:szCs w:val="17"/>
          <w:u w:val="single" w:color="auto"/>
          <w:color w:val="auto"/>
        </w:rPr>
        <w:t>/s/ Deborah J. DePaoli</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Deborah J. DePaoli</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Title: General Counsel and Secretary</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SCHEDULE 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 xml:space="preserve">SUNSET PROVISIONS TO EXECUTIVE SEVERANCE PLAN (TIER </w:t>
      </w:r>
      <w:r>
        <w:rPr>
          <w:rFonts w:ascii="Arial" w:cs="Arial" w:eastAsia="Arial" w:hAnsi="Arial"/>
          <w:sz w:val="16"/>
          <w:szCs w:val="16"/>
          <w:b w:val="1"/>
          <w:bCs w:val="1"/>
          <w:color w:val="auto"/>
        </w:rPr>
        <w:t>I</w:t>
      </w:r>
      <w:r>
        <w:rPr>
          <w:rFonts w:ascii="Arial" w:cs="Arial" w:eastAsia="Arial" w:hAnsi="Arial"/>
          <w:sz w:val="17"/>
          <w:szCs w:val="17"/>
          <w:b w:val="1"/>
          <w:bCs w:val="1"/>
          <w:color w:val="auto"/>
        </w:rPr>
        <w:t>) OF VIAD CORP</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Effective February 26, 2017, the Executive Severance Plan (Tier </w:t>
      </w:r>
      <w:r>
        <w:rPr>
          <w:rFonts w:ascii="Arial" w:cs="Arial" w:eastAsia="Arial" w:hAnsi="Arial"/>
          <w:sz w:val="16"/>
          <w:szCs w:val="16"/>
          <w:color w:val="auto"/>
        </w:rPr>
        <w:t>I</w:t>
      </w:r>
      <w:r>
        <w:rPr>
          <w:rFonts w:ascii="Arial" w:cs="Arial" w:eastAsia="Arial" w:hAnsi="Arial"/>
          <w:sz w:val="17"/>
          <w:szCs w:val="17"/>
          <w:color w:val="auto"/>
        </w:rPr>
        <w:t>) of Viad Corp shall be amended as follows:</w:t>
      </w:r>
    </w:p>
    <w:p>
      <w:pPr>
        <w:spacing w:after="0" w:line="223" w:lineRule="exact"/>
        <w:rPr>
          <w:sz w:val="20"/>
          <w:szCs w:val="20"/>
          <w:color w:val="auto"/>
        </w:rPr>
      </w:pPr>
    </w:p>
    <w:p>
      <w:pPr>
        <w:ind w:left="260" w:hanging="245"/>
        <w:spacing w:after="0"/>
        <w:tabs>
          <w:tab w:leader="none" w:pos="260" w:val="left"/>
        </w:tabs>
        <w:numPr>
          <w:ilvl w:val="0"/>
          <w:numId w:val="2"/>
        </w:numPr>
        <w:rPr>
          <w:rFonts w:ascii="Arial" w:cs="Arial" w:eastAsia="Arial" w:hAnsi="Arial"/>
          <w:sz w:val="17"/>
          <w:szCs w:val="17"/>
          <w:color w:val="auto"/>
        </w:rPr>
      </w:pPr>
      <w:r>
        <w:rPr>
          <w:rFonts w:ascii="Arial" w:cs="Arial" w:eastAsia="Arial" w:hAnsi="Arial"/>
          <w:sz w:val="17"/>
          <w:szCs w:val="17"/>
          <w:color w:val="auto"/>
        </w:rPr>
        <w:t>Amend Section 5 (Definitions) by deleting the definition of “Window Period”.</w:t>
      </w:r>
    </w:p>
    <w:p>
      <w:pPr>
        <w:spacing w:after="0" w:line="223" w:lineRule="exact"/>
        <w:rPr>
          <w:rFonts w:ascii="Arial" w:cs="Arial" w:eastAsia="Arial" w:hAnsi="Arial"/>
          <w:sz w:val="17"/>
          <w:szCs w:val="17"/>
          <w:color w:val="auto"/>
        </w:rPr>
      </w:pPr>
    </w:p>
    <w:p>
      <w:pPr>
        <w:ind w:left="260" w:hanging="245"/>
        <w:spacing w:after="0"/>
        <w:tabs>
          <w:tab w:leader="none" w:pos="260" w:val="left"/>
        </w:tabs>
        <w:numPr>
          <w:ilvl w:val="0"/>
          <w:numId w:val="2"/>
        </w:numPr>
        <w:rPr>
          <w:rFonts w:ascii="Arial" w:cs="Arial" w:eastAsia="Arial" w:hAnsi="Arial"/>
          <w:sz w:val="17"/>
          <w:szCs w:val="17"/>
          <w:color w:val="auto"/>
        </w:rPr>
      </w:pPr>
      <w:r>
        <w:rPr>
          <w:rFonts w:ascii="Arial" w:cs="Arial" w:eastAsia="Arial" w:hAnsi="Arial"/>
          <w:sz w:val="17"/>
          <w:szCs w:val="17"/>
          <w:color w:val="auto"/>
        </w:rPr>
        <w:t>Amend Section 6 (Eligibility for Benefits) by:</w:t>
      </w:r>
    </w:p>
    <w:p>
      <w:pPr>
        <w:spacing w:after="0" w:line="223" w:lineRule="exact"/>
        <w:rPr>
          <w:rFonts w:ascii="Arial" w:cs="Arial" w:eastAsia="Arial" w:hAnsi="Arial"/>
          <w:sz w:val="17"/>
          <w:szCs w:val="17"/>
          <w:color w:val="auto"/>
        </w:rPr>
      </w:pPr>
    </w:p>
    <w:p>
      <w:pPr>
        <w:ind w:left="700" w:hanging="244"/>
        <w:spacing w:after="0"/>
        <w:tabs>
          <w:tab w:leader="none" w:pos="70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Section 6 (c) concerning a Window Period Election by an Executive in its entirety; and</w:t>
      </w:r>
    </w:p>
    <w:p>
      <w:pPr>
        <w:spacing w:after="0" w:line="223" w:lineRule="exact"/>
        <w:rPr>
          <w:rFonts w:ascii="Arial" w:cs="Arial" w:eastAsia="Arial" w:hAnsi="Arial"/>
          <w:sz w:val="17"/>
          <w:szCs w:val="17"/>
          <w:color w:val="auto"/>
        </w:rPr>
      </w:pPr>
    </w:p>
    <w:p>
      <w:pPr>
        <w:ind w:left="720" w:right="200" w:hanging="260"/>
        <w:spacing w:after="0" w:line="274" w:lineRule="auto"/>
        <w:tabs>
          <w:tab w:leader="none" w:pos="720" w:val="left"/>
        </w:tabs>
        <w:numPr>
          <w:ilvl w:val="1"/>
          <w:numId w:val="2"/>
        </w:numPr>
        <w:rPr>
          <w:rFonts w:ascii="Arial" w:cs="Arial" w:eastAsia="Arial" w:hAnsi="Arial"/>
          <w:sz w:val="17"/>
          <w:szCs w:val="17"/>
          <w:color w:val="auto"/>
        </w:rPr>
      </w:pPr>
      <w:r>
        <w:rPr>
          <w:rFonts w:ascii="Arial" w:cs="Arial" w:eastAsia="Arial" w:hAnsi="Arial"/>
          <w:sz w:val="17"/>
          <w:szCs w:val="17"/>
          <w:color w:val="auto"/>
        </w:rPr>
        <w:t>adding the words “voluntary separation from service (other than for Good Reason)” to follow the words “Executives death or disability,” in the proviso to Section 6.</w:t>
      </w:r>
    </w:p>
    <w:p>
      <w:pPr>
        <w:spacing w:after="0" w:line="174" w:lineRule="exact"/>
        <w:rPr>
          <w:rFonts w:ascii="Arial" w:cs="Arial" w:eastAsia="Arial" w:hAnsi="Arial"/>
          <w:sz w:val="17"/>
          <w:szCs w:val="17"/>
          <w:color w:val="auto"/>
        </w:rPr>
      </w:pPr>
    </w:p>
    <w:p>
      <w:pPr>
        <w:ind w:left="260" w:hanging="245"/>
        <w:spacing w:after="0"/>
        <w:tabs>
          <w:tab w:leader="none" w:pos="260" w:val="left"/>
        </w:tabs>
        <w:numPr>
          <w:ilvl w:val="0"/>
          <w:numId w:val="2"/>
        </w:numPr>
        <w:rPr>
          <w:rFonts w:ascii="Arial" w:cs="Arial" w:eastAsia="Arial" w:hAnsi="Arial"/>
          <w:sz w:val="17"/>
          <w:szCs w:val="17"/>
          <w:color w:val="auto"/>
        </w:rPr>
      </w:pPr>
      <w:r>
        <w:rPr>
          <w:rFonts w:ascii="Arial" w:cs="Arial" w:eastAsia="Arial" w:hAnsi="Arial"/>
          <w:sz w:val="17"/>
          <w:szCs w:val="17"/>
          <w:color w:val="auto"/>
        </w:rPr>
        <w:t>Amend Section 7 (Benefits Entitlement) by:</w:t>
      </w:r>
    </w:p>
    <w:p>
      <w:pPr>
        <w:spacing w:after="0" w:line="223" w:lineRule="exact"/>
        <w:rPr>
          <w:rFonts w:ascii="Arial" w:cs="Arial" w:eastAsia="Arial" w:hAnsi="Arial"/>
          <w:sz w:val="17"/>
          <w:szCs w:val="17"/>
          <w:color w:val="auto"/>
        </w:rPr>
      </w:pPr>
    </w:p>
    <w:p>
      <w:pPr>
        <w:ind w:left="700" w:right="100" w:hanging="244"/>
        <w:spacing w:after="0" w:line="274" w:lineRule="auto"/>
        <w:tabs>
          <w:tab w:leader="none" w:pos="70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from Section (a) the words “in the case of a Without Cause Termination or a Good Reason Termination, or (ii) Two if the terminations is voluntary during the Window Period”; and</w:t>
      </w:r>
    </w:p>
    <w:p>
      <w:pPr>
        <w:spacing w:after="0" w:line="174" w:lineRule="exact"/>
        <w:rPr>
          <w:rFonts w:ascii="Arial" w:cs="Arial" w:eastAsia="Arial" w:hAnsi="Arial"/>
          <w:sz w:val="17"/>
          <w:szCs w:val="17"/>
          <w:color w:val="auto"/>
        </w:rPr>
      </w:pPr>
    </w:p>
    <w:p>
      <w:pPr>
        <w:ind w:left="720" w:hanging="260"/>
        <w:spacing w:after="0"/>
        <w:tabs>
          <w:tab w:leader="none" w:pos="72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from Section 7 (b) (ii) the first sentence in its entirety; and</w:t>
      </w:r>
    </w:p>
    <w:p>
      <w:pPr>
        <w:spacing w:after="0" w:line="223" w:lineRule="exact"/>
        <w:rPr>
          <w:rFonts w:ascii="Arial" w:cs="Arial" w:eastAsia="Arial" w:hAnsi="Arial"/>
          <w:sz w:val="17"/>
          <w:szCs w:val="17"/>
          <w:color w:val="auto"/>
        </w:rPr>
      </w:pPr>
    </w:p>
    <w:p>
      <w:pPr>
        <w:ind w:left="700" w:right="180" w:hanging="244"/>
        <w:spacing w:after="0" w:line="274" w:lineRule="auto"/>
        <w:tabs>
          <w:tab w:leader="none" w:pos="70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the following words from Section 7 (b) (ii): “(in the case of a Without Cause Termination or a Good Reason Termination) or two years of age and service credit (if the termination is voluntary during the Window Period) in each case”, and</w:t>
      </w:r>
    </w:p>
    <w:p>
      <w:pPr>
        <w:spacing w:after="0" w:line="174" w:lineRule="exact"/>
        <w:rPr>
          <w:rFonts w:ascii="Arial" w:cs="Arial" w:eastAsia="Arial" w:hAnsi="Arial"/>
          <w:sz w:val="17"/>
          <w:szCs w:val="17"/>
          <w:color w:val="auto"/>
        </w:rPr>
      </w:pPr>
    </w:p>
    <w:p>
      <w:pPr>
        <w:ind w:left="720" w:hanging="260"/>
        <w:spacing w:after="0"/>
        <w:tabs>
          <w:tab w:leader="none" w:pos="72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Section 7 (c) “or in the case of a voluntary termination, such termination occurs during the Window Period”; and</w:t>
      </w:r>
    </w:p>
    <w:p>
      <w:pPr>
        <w:spacing w:after="0" w:line="223" w:lineRule="exact"/>
        <w:rPr>
          <w:rFonts w:ascii="Arial" w:cs="Arial" w:eastAsia="Arial" w:hAnsi="Arial"/>
          <w:sz w:val="17"/>
          <w:szCs w:val="17"/>
          <w:color w:val="auto"/>
        </w:rPr>
      </w:pPr>
    </w:p>
    <w:p>
      <w:pPr>
        <w:ind w:left="700" w:hanging="244"/>
        <w:spacing w:after="0"/>
        <w:tabs>
          <w:tab w:leader="none" w:pos="700" w:val="left"/>
        </w:tabs>
        <w:numPr>
          <w:ilvl w:val="1"/>
          <w:numId w:val="2"/>
        </w:numPr>
        <w:rPr>
          <w:rFonts w:ascii="Arial" w:cs="Arial" w:eastAsia="Arial" w:hAnsi="Arial"/>
          <w:sz w:val="17"/>
          <w:szCs w:val="17"/>
          <w:color w:val="auto"/>
        </w:rPr>
      </w:pPr>
      <w:r>
        <w:rPr>
          <w:rFonts w:ascii="Arial" w:cs="Arial" w:eastAsia="Arial" w:hAnsi="Arial"/>
          <w:sz w:val="17"/>
          <w:szCs w:val="17"/>
          <w:color w:val="auto"/>
        </w:rPr>
        <w:t>deleting the following words from Section 7 (e): “and except as provided in Section 8 (a)”.</w:t>
      </w:r>
    </w:p>
    <w:p>
      <w:pPr>
        <w:spacing w:after="0" w:line="223" w:lineRule="exact"/>
        <w:rPr>
          <w:rFonts w:ascii="Arial" w:cs="Arial" w:eastAsia="Arial" w:hAnsi="Arial"/>
          <w:sz w:val="17"/>
          <w:szCs w:val="17"/>
          <w:color w:val="auto"/>
        </w:rPr>
      </w:pPr>
    </w:p>
    <w:p>
      <w:pPr>
        <w:ind w:left="260" w:hanging="245"/>
        <w:spacing w:after="0"/>
        <w:tabs>
          <w:tab w:leader="none" w:pos="260" w:val="left"/>
        </w:tabs>
        <w:numPr>
          <w:ilvl w:val="0"/>
          <w:numId w:val="2"/>
        </w:numPr>
        <w:rPr>
          <w:rFonts w:ascii="Arial" w:cs="Arial" w:eastAsia="Arial" w:hAnsi="Arial"/>
          <w:sz w:val="17"/>
          <w:szCs w:val="17"/>
          <w:color w:val="auto"/>
        </w:rPr>
      </w:pPr>
      <w:r>
        <w:rPr>
          <w:rFonts w:ascii="Arial" w:cs="Arial" w:eastAsia="Arial" w:hAnsi="Arial"/>
          <w:sz w:val="17"/>
          <w:szCs w:val="17"/>
          <w:color w:val="auto"/>
        </w:rPr>
        <w:t>Amend Section 8 (Taxes) by deleting Section 8 in its entirety and inserting the words “Intentionally Omitted”.</w:t>
      </w:r>
    </w:p>
    <w:p>
      <w:pPr>
        <w:spacing w:after="0" w:line="223" w:lineRule="exact"/>
        <w:rPr>
          <w:rFonts w:ascii="Arial" w:cs="Arial" w:eastAsia="Arial" w:hAnsi="Arial"/>
          <w:sz w:val="17"/>
          <w:szCs w:val="17"/>
          <w:color w:val="auto"/>
        </w:rPr>
      </w:pPr>
    </w:p>
    <w:p>
      <w:pPr>
        <w:ind w:left="260" w:hanging="245"/>
        <w:spacing w:after="0"/>
        <w:tabs>
          <w:tab w:leader="none" w:pos="260" w:val="left"/>
        </w:tabs>
        <w:numPr>
          <w:ilvl w:val="0"/>
          <w:numId w:val="2"/>
        </w:numPr>
        <w:rPr>
          <w:rFonts w:ascii="Arial" w:cs="Arial" w:eastAsia="Arial" w:hAnsi="Arial"/>
          <w:sz w:val="17"/>
          <w:szCs w:val="17"/>
          <w:color w:val="auto"/>
        </w:rPr>
      </w:pPr>
      <w:r>
        <w:rPr>
          <w:rFonts w:ascii="Arial" w:cs="Arial" w:eastAsia="Arial" w:hAnsi="Arial"/>
          <w:sz w:val="17"/>
          <w:szCs w:val="17"/>
          <w:color w:val="auto"/>
        </w:rPr>
        <w:t>Make appropriate administrative changes to the Plan necessitated by the foregoing amendments (e.g., revise clause and sub-clause numbering).</w:t>
      </w: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Notwithstanding anything to the contrary, it is intended that the amendments set forth on this Schedule A shall</w:t>
      </w:r>
    </w:p>
    <w:p>
      <w:pPr>
        <w:spacing w:after="0" w:line="27" w:lineRule="exact"/>
        <w:rPr>
          <w:sz w:val="20"/>
          <w:szCs w:val="20"/>
          <w:color w:val="auto"/>
        </w:rPr>
      </w:pPr>
    </w:p>
    <w:p>
      <w:pPr>
        <w:ind w:right="140"/>
        <w:spacing w:after="0" w:line="257" w:lineRule="auto"/>
        <w:rPr>
          <w:sz w:val="20"/>
          <w:szCs w:val="20"/>
          <w:color w:val="auto"/>
        </w:rPr>
      </w:pPr>
      <w:r>
        <w:rPr>
          <w:rFonts w:ascii="Arial" w:cs="Arial" w:eastAsia="Arial" w:hAnsi="Arial"/>
          <w:sz w:val="17"/>
          <w:szCs w:val="17"/>
          <w:b w:val="1"/>
          <w:bCs w:val="1"/>
          <w:color w:val="auto"/>
        </w:rPr>
        <w:t>cause any and all provisions in the Plan providing for a modified single trigger election, or providing for an excise tax gross up, to be null and void effective as of February 26, 2017.</w:t>
      </w:r>
    </w:p>
    <w:sectPr>
      <w:pgSz w:w="11900" w:h="16838" w:orient="portrait"/>
      <w:cols w:equalWidth="0" w:num="1">
        <w:col w:w="11420"/>
      </w:cols>
      <w:pgMar w:left="240" w:top="118" w:right="239" w:bottom="78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2020-01-26T07:52:21Z</dcterms:created>
  <dcterms:modified xsi:type="dcterms:W3CDTF">2020-01-26T07:52:21Z</dcterms:modified>
</cp:coreProperties>
</file>