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0" w:lineRule="exact"/>
        <w:rPr>
          <w:sz w:val="24"/>
          <w:szCs w:val="24"/>
          <w:color w:val="auto"/>
        </w:rPr>
      </w:pPr>
    </w:p>
    <w:p>
      <w:pPr>
        <w:spacing w:after="0" w:line="21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00" w:lineRule="exact"/>
        <w:rPr>
          <w:sz w:val="24"/>
          <w:szCs w:val="24"/>
          <w:color w:val="auto"/>
        </w:rPr>
      </w:pPr>
    </w:p>
    <w:p>
      <w:pPr>
        <w:spacing w:after="0" w:line="23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200" w:lineRule="exact"/>
        <w:rPr>
          <w:sz w:val="24"/>
          <w:szCs w:val="24"/>
          <w:color w:val="auto"/>
        </w:rPr>
      </w:pPr>
    </w:p>
    <w:p>
      <w:pPr>
        <w:spacing w:after="0" w:line="21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April 25, 2014</w:t>
      </w:r>
    </w:p>
    <w:p>
      <w:pPr>
        <w:spacing w:after="0" w:line="3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3065780</wp:posOffset>
            </wp:positionH>
            <wp:positionV relativeFrom="paragraph">
              <wp:posOffset>277495</wp:posOffset>
            </wp:positionV>
            <wp:extent cx="1134110" cy="588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34110" cy="5880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3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tbl>
      <w:tblPr>
        <w:tblLayout w:type="fixed"/>
        <w:tblInd w:w="1020" w:type="dxa"/>
        <w:tblCellMar>
          <w:top w:w="0" w:type="dxa"/>
          <w:left w:w="0" w:type="dxa"/>
          <w:bottom w:w="0" w:type="dxa"/>
          <w:right w:w="0" w:type="dxa"/>
        </w:tblCellMar>
      </w:tblPr>
      <w:tr>
        <w:trPr>
          <w:trHeight w:val="219"/>
        </w:trPr>
        <w:tc>
          <w:tcPr>
            <w:tcW w:w="4260" w:type="dxa"/>
            <w:vAlign w:val="bottom"/>
          </w:tcPr>
          <w:p>
            <w:pPr>
              <w:jc w:val="center"/>
              <w:ind w:right="2291"/>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300" w:type="dxa"/>
            <w:vAlign w:val="bottom"/>
          </w:tcPr>
          <w:p>
            <w:pPr>
              <w:jc w:val="center"/>
              <w:ind w:right="1211"/>
              <w:spacing w:after="0"/>
              <w:rPr>
                <w:sz w:val="20"/>
                <w:szCs w:val="20"/>
                <w:color w:val="auto"/>
              </w:rPr>
            </w:pPr>
            <w:r>
              <w:rPr>
                <w:rFonts w:ascii="Times New Roman" w:cs="Times New Roman" w:eastAsia="Times New Roman" w:hAnsi="Times New Roman"/>
                <w:sz w:val="18"/>
                <w:szCs w:val="18"/>
                <w:b w:val="1"/>
                <w:bCs w:val="1"/>
                <w:color w:val="auto"/>
                <w:w w:val="97"/>
              </w:rPr>
              <w:t>001-11015</w:t>
            </w:r>
          </w:p>
        </w:tc>
        <w:tc>
          <w:tcPr>
            <w:tcW w:w="2620" w:type="dxa"/>
            <w:vAlign w:val="bottom"/>
          </w:tcPr>
          <w:p>
            <w:pPr>
              <w:jc w:val="center"/>
              <w:ind w:left="1211"/>
              <w:spacing w:after="0"/>
              <w:rPr>
                <w:sz w:val="20"/>
                <w:szCs w:val="20"/>
                <w:color w:val="auto"/>
              </w:rPr>
            </w:pPr>
            <w:r>
              <w:rPr>
                <w:rFonts w:ascii="Times New Roman" w:cs="Times New Roman" w:eastAsia="Times New Roman" w:hAnsi="Times New Roman"/>
                <w:sz w:val="18"/>
                <w:szCs w:val="18"/>
                <w:b w:val="1"/>
                <w:bCs w:val="1"/>
                <w:color w:val="auto"/>
                <w:w w:val="96"/>
              </w:rPr>
              <w:t>36-1169950</w:t>
            </w:r>
          </w:p>
        </w:tc>
      </w:tr>
      <w:tr>
        <w:trPr>
          <w:trHeight w:val="233"/>
        </w:trPr>
        <w:tc>
          <w:tcPr>
            <w:tcW w:w="4260" w:type="dxa"/>
            <w:vAlign w:val="bottom"/>
          </w:tcPr>
          <w:p>
            <w:pPr>
              <w:jc w:val="center"/>
              <w:ind w:right="2291"/>
              <w:spacing w:after="0"/>
              <w:rPr>
                <w:sz w:val="20"/>
                <w:szCs w:val="20"/>
                <w:color w:val="auto"/>
              </w:rPr>
            </w:pPr>
            <w:r>
              <w:rPr>
                <w:rFonts w:ascii="Times New Roman" w:cs="Times New Roman" w:eastAsia="Times New Roman" w:hAnsi="Times New Roman"/>
                <w:sz w:val="18"/>
                <w:szCs w:val="18"/>
                <w:color w:val="auto"/>
                <w:w w:val="99"/>
              </w:rPr>
              <w:t>(State or other jurisdiction</w:t>
            </w:r>
          </w:p>
        </w:tc>
        <w:tc>
          <w:tcPr>
            <w:tcW w:w="2300" w:type="dxa"/>
            <w:vAlign w:val="bottom"/>
          </w:tcPr>
          <w:p>
            <w:pPr>
              <w:jc w:val="center"/>
              <w:ind w:right="1211"/>
              <w:spacing w:after="0"/>
              <w:rPr>
                <w:sz w:val="20"/>
                <w:szCs w:val="20"/>
                <w:color w:val="auto"/>
              </w:rPr>
            </w:pPr>
            <w:r>
              <w:rPr>
                <w:rFonts w:ascii="Times New Roman" w:cs="Times New Roman" w:eastAsia="Times New Roman" w:hAnsi="Times New Roman"/>
                <w:sz w:val="18"/>
                <w:szCs w:val="18"/>
                <w:color w:val="auto"/>
                <w:w w:val="98"/>
              </w:rPr>
              <w:t>(Commission</w:t>
            </w:r>
          </w:p>
        </w:tc>
        <w:tc>
          <w:tcPr>
            <w:tcW w:w="2620" w:type="dxa"/>
            <w:vAlign w:val="bottom"/>
          </w:tcPr>
          <w:p>
            <w:pPr>
              <w:jc w:val="center"/>
              <w:ind w:left="1211"/>
              <w:spacing w:after="0"/>
              <w:rPr>
                <w:sz w:val="20"/>
                <w:szCs w:val="20"/>
                <w:color w:val="auto"/>
              </w:rPr>
            </w:pPr>
            <w:r>
              <w:rPr>
                <w:rFonts w:ascii="Times New Roman" w:cs="Times New Roman" w:eastAsia="Times New Roman" w:hAnsi="Times New Roman"/>
                <w:sz w:val="18"/>
                <w:szCs w:val="18"/>
                <w:color w:val="auto"/>
                <w:w w:val="98"/>
              </w:rPr>
              <w:t>(IRS Employer</w:t>
            </w:r>
          </w:p>
        </w:tc>
      </w:tr>
      <w:tr>
        <w:trPr>
          <w:trHeight w:val="242"/>
        </w:trPr>
        <w:tc>
          <w:tcPr>
            <w:tcW w:w="4260" w:type="dxa"/>
            <w:vAlign w:val="bottom"/>
          </w:tcPr>
          <w:p>
            <w:pPr>
              <w:jc w:val="center"/>
              <w:ind w:right="2311"/>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2300" w:type="dxa"/>
            <w:vAlign w:val="bottom"/>
          </w:tcPr>
          <w:p>
            <w:pPr>
              <w:jc w:val="center"/>
              <w:ind w:right="1211"/>
              <w:spacing w:after="0"/>
              <w:rPr>
                <w:sz w:val="20"/>
                <w:szCs w:val="20"/>
                <w:color w:val="auto"/>
              </w:rPr>
            </w:pPr>
            <w:r>
              <w:rPr>
                <w:rFonts w:ascii="Times New Roman" w:cs="Times New Roman" w:eastAsia="Times New Roman" w:hAnsi="Times New Roman"/>
                <w:sz w:val="18"/>
                <w:szCs w:val="18"/>
                <w:color w:val="auto"/>
                <w:w w:val="98"/>
              </w:rPr>
              <w:t>File Number)</w:t>
            </w:r>
          </w:p>
        </w:tc>
        <w:tc>
          <w:tcPr>
            <w:tcW w:w="2620" w:type="dxa"/>
            <w:vAlign w:val="bottom"/>
          </w:tcPr>
          <w:p>
            <w:pPr>
              <w:jc w:val="center"/>
              <w:ind w:left="1211"/>
              <w:spacing w:after="0"/>
              <w:rPr>
                <w:sz w:val="20"/>
                <w:szCs w:val="20"/>
                <w:color w:val="auto"/>
              </w:rPr>
            </w:pPr>
            <w:r>
              <w:rPr>
                <w:rFonts w:ascii="Times New Roman" w:cs="Times New Roman" w:eastAsia="Times New Roman" w:hAnsi="Times New Roman"/>
                <w:sz w:val="18"/>
                <w:szCs w:val="18"/>
                <w:color w:val="auto"/>
                <w:w w:val="98"/>
              </w:rPr>
              <w:t>Identification No.)</w:t>
            </w:r>
          </w:p>
        </w:tc>
      </w:tr>
      <w:tr>
        <w:trPr>
          <w:trHeight w:val="868"/>
        </w:trPr>
        <w:tc>
          <w:tcPr>
            <w:tcW w:w="6560" w:type="dxa"/>
            <w:vAlign w:val="bottom"/>
            <w:gridSpan w:val="2"/>
          </w:tcPr>
          <w:p>
            <w:pPr>
              <w:jc w:val="center"/>
              <w:ind w:right="851"/>
              <w:spacing w:after="0"/>
              <w:rPr>
                <w:sz w:val="20"/>
                <w:szCs w:val="20"/>
                <w:color w:val="auto"/>
              </w:rPr>
            </w:pPr>
            <w:r>
              <w:rPr>
                <w:rFonts w:ascii="Times New Roman" w:cs="Times New Roman" w:eastAsia="Times New Roman" w:hAnsi="Times New Roman"/>
                <w:sz w:val="18"/>
                <w:szCs w:val="18"/>
                <w:b w:val="1"/>
                <w:bCs w:val="1"/>
                <w:color w:val="auto"/>
                <w:w w:val="98"/>
              </w:rPr>
              <w:t>1850 North Central Avenue, Suite 1900, Phoenix, Arizona</w:t>
            </w:r>
          </w:p>
        </w:tc>
        <w:tc>
          <w:tcPr>
            <w:tcW w:w="2620" w:type="dxa"/>
            <w:vAlign w:val="bottom"/>
          </w:tcPr>
          <w:p>
            <w:pPr>
              <w:jc w:val="center"/>
              <w:ind w:left="1211"/>
              <w:spacing w:after="0"/>
              <w:rPr>
                <w:sz w:val="20"/>
                <w:szCs w:val="20"/>
                <w:color w:val="auto"/>
              </w:rPr>
            </w:pPr>
            <w:r>
              <w:rPr>
                <w:rFonts w:ascii="Times New Roman" w:cs="Times New Roman" w:eastAsia="Times New Roman" w:hAnsi="Times New Roman"/>
                <w:sz w:val="18"/>
                <w:szCs w:val="18"/>
                <w:b w:val="1"/>
                <w:bCs w:val="1"/>
                <w:color w:val="auto"/>
              </w:rPr>
              <w:t>85004-4565</w:t>
            </w:r>
          </w:p>
        </w:tc>
      </w:tr>
      <w:tr>
        <w:trPr>
          <w:trHeight w:val="233"/>
        </w:trPr>
        <w:tc>
          <w:tcPr>
            <w:tcW w:w="4260" w:type="dxa"/>
            <w:vAlign w:val="bottom"/>
          </w:tcPr>
          <w:p>
            <w:pPr>
              <w:jc w:val="center"/>
              <w:ind w:left="1291"/>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2300" w:type="dxa"/>
            <w:vAlign w:val="bottom"/>
          </w:tcPr>
          <w:p>
            <w:pPr>
              <w:spacing w:after="0"/>
              <w:rPr>
                <w:sz w:val="20"/>
                <w:szCs w:val="20"/>
                <w:color w:val="auto"/>
              </w:rPr>
            </w:pPr>
          </w:p>
        </w:tc>
        <w:tc>
          <w:tcPr>
            <w:tcW w:w="2620" w:type="dxa"/>
            <w:vAlign w:val="bottom"/>
          </w:tcPr>
          <w:p>
            <w:pPr>
              <w:jc w:val="center"/>
              <w:ind w:left="1211"/>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Registrant’s telephone number, including area code: (602) 207-1000</w:t>
      </w:r>
    </w:p>
    <w:p>
      <w:pPr>
        <w:spacing w:after="0" w:line="223" w:lineRule="exact"/>
        <w:rPr>
          <w:sz w:val="24"/>
          <w:szCs w:val="24"/>
          <w:color w:val="auto"/>
        </w:rPr>
      </w:pPr>
    </w:p>
    <w:p>
      <w:pPr>
        <w:spacing w:after="0" w:line="279"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378" w:lineRule="exact"/>
        <w:rPr>
          <w:sz w:val="24"/>
          <w:szCs w:val="24"/>
          <w:color w:val="auto"/>
        </w:rPr>
      </w:pPr>
    </w:p>
    <w:p>
      <w:pPr>
        <w:ind w:left="520" w:hanging="459"/>
        <w:spacing w:after="0"/>
        <w:tabs>
          <w:tab w:leader="none" w:pos="5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49" w:lineRule="exact"/>
        <w:rPr>
          <w:rFonts w:ascii="MS PGothic" w:cs="MS PGothic" w:eastAsia="MS PGothic" w:hAnsi="MS PGothic"/>
          <w:sz w:val="18"/>
          <w:szCs w:val="18"/>
          <w:color w:val="auto"/>
        </w:rPr>
      </w:pPr>
    </w:p>
    <w:p>
      <w:pPr>
        <w:ind w:left="520" w:hanging="459"/>
        <w:spacing w:after="0"/>
        <w:tabs>
          <w:tab w:leader="none" w:pos="5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49" w:lineRule="exact"/>
        <w:rPr>
          <w:rFonts w:ascii="MS PGothic" w:cs="MS PGothic" w:eastAsia="MS PGothic" w:hAnsi="MS PGothic"/>
          <w:sz w:val="18"/>
          <w:szCs w:val="18"/>
          <w:color w:val="auto"/>
        </w:rPr>
      </w:pPr>
    </w:p>
    <w:p>
      <w:pPr>
        <w:ind w:left="520" w:hanging="459"/>
        <w:spacing w:after="0"/>
        <w:tabs>
          <w:tab w:leader="none" w:pos="5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49" w:lineRule="exact"/>
        <w:rPr>
          <w:rFonts w:ascii="MS PGothic" w:cs="MS PGothic" w:eastAsia="MS PGothic" w:hAnsi="MS PGothic"/>
          <w:sz w:val="18"/>
          <w:szCs w:val="18"/>
          <w:color w:val="auto"/>
        </w:rPr>
      </w:pPr>
    </w:p>
    <w:p>
      <w:pPr>
        <w:ind w:left="520" w:hanging="459"/>
        <w:spacing w:after="0"/>
        <w:tabs>
          <w:tab w:leader="none" w:pos="5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715645</wp:posOffset>
            </wp:positionV>
            <wp:extent cx="72472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7255" cy="8255"/>
                    </a:xfrm>
                    <a:prstGeom prst="rect">
                      <a:avLst/>
                    </a:prstGeom>
                    <a:noFill/>
                  </pic:spPr>
                </pic:pic>
              </a:graphicData>
            </a:graphic>
          </wp:anchor>
        </w:drawing>
      </w:r>
    </w:p>
    <w:p>
      <w:pPr>
        <w:sectPr>
          <w:pgSz w:w="11900" w:h="16838" w:orient="portrait"/>
          <w:cols w:equalWidth="0" w:num="1">
            <w:col w:w="11400"/>
          </w:cols>
          <w:pgMar w:left="240" w:top="466" w:right="25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2.02 RESULTS OF OPERATIONS AND FINANCIAL CONDITION</w:t>
      </w:r>
    </w:p>
    <w:p>
      <w:pPr>
        <w:spacing w:after="0" w:line="227" w:lineRule="exact"/>
        <w:rPr>
          <w:sz w:val="20"/>
          <w:szCs w:val="20"/>
          <w:color w:val="auto"/>
        </w:rPr>
      </w:pPr>
    </w:p>
    <w:p>
      <w:pPr>
        <w:ind w:right="120"/>
        <w:spacing w:after="0" w:line="279" w:lineRule="auto"/>
        <w:rPr>
          <w:sz w:val="20"/>
          <w:szCs w:val="20"/>
          <w:color w:val="auto"/>
        </w:rPr>
      </w:pPr>
      <w:r>
        <w:rPr>
          <w:rFonts w:ascii="Times New Roman" w:cs="Times New Roman" w:eastAsia="Times New Roman" w:hAnsi="Times New Roman"/>
          <w:sz w:val="18"/>
          <w:szCs w:val="18"/>
          <w:color w:val="auto"/>
        </w:rPr>
        <w:t>On April 25, 2014, Viad Corp (the “Company”) issued a press release announcing its unaudited financial results for the first quarter ended March 31, 2014. A copy of the Company’s press release is furnished herewith as Exhibit 99 and is incorporated by reference herein.</w:t>
      </w:r>
    </w:p>
    <w:p>
      <w:pPr>
        <w:spacing w:after="0" w:line="163" w:lineRule="exact"/>
        <w:rPr>
          <w:sz w:val="20"/>
          <w:szCs w:val="20"/>
          <w:color w:val="auto"/>
        </w:rPr>
      </w:pPr>
    </w:p>
    <w:p>
      <w:pPr>
        <w:jc w:val="both"/>
        <w:ind w:right="80"/>
        <w:spacing w:after="0" w:line="264" w:lineRule="auto"/>
        <w:rPr>
          <w:sz w:val="20"/>
          <w:szCs w:val="20"/>
          <w:color w:val="auto"/>
        </w:rPr>
      </w:pPr>
      <w:r>
        <w:rPr>
          <w:rFonts w:ascii="Times New Roman" w:cs="Times New Roman" w:eastAsia="Times New Roman" w:hAnsi="Times New Roman"/>
          <w:sz w:val="18"/>
          <w:szCs w:val="18"/>
          <w:color w:val="auto"/>
        </w:rPr>
        <w:t>The information in Item 2.02 of this current report on Form 8-K (this “Report”) is being furnished and shall not be deemed “filed” for the purposes of Section 18 of the Securities Exchange Act of 1934, as amended, or otherwise subject to the liabilities of that Section. The information in Item 2.02 of this Report shall not be incorporated by reference into any registration statement or other document pursuant to the Securities Act of 1933, as amended.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00" w:lineRule="exact"/>
        <w:rPr>
          <w:sz w:val="20"/>
          <w:szCs w:val="20"/>
          <w:color w:val="auto"/>
        </w:rPr>
      </w:pPr>
    </w:p>
    <w:p>
      <w:pPr>
        <w:spacing w:after="0" w:line="24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color w:val="auto"/>
        </w:rPr>
        <w:t>(d) Exhibits</w:t>
      </w:r>
    </w:p>
    <w:p>
      <w:pPr>
        <w:spacing w:after="0" w:line="250"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18"/>
          <w:szCs w:val="18"/>
          <w:color w:val="auto"/>
        </w:rPr>
        <w:t>99 - Press Release dated April 25, 2014.</w:t>
      </w:r>
    </w:p>
    <w:p>
      <w:pPr>
        <w:spacing w:after="0" w:line="24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7" w:lineRule="exact"/>
        <w:rPr>
          <w:sz w:val="20"/>
          <w:szCs w:val="20"/>
          <w:color w:val="auto"/>
        </w:rPr>
      </w:pPr>
    </w:p>
    <w:p>
      <w:pPr>
        <w:spacing w:after="0" w:line="279"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4"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39"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(Registrant)</w:t>
      </w:r>
    </w:p>
    <w:p>
      <w:pPr>
        <w:spacing w:after="0" w:line="200" w:lineRule="exact"/>
        <w:rPr>
          <w:sz w:val="20"/>
          <w:szCs w:val="20"/>
          <w:color w:val="auto"/>
        </w:rPr>
      </w:pPr>
    </w:p>
    <w:p>
      <w:pPr>
        <w:spacing w:after="0" w:line="264" w:lineRule="exact"/>
        <w:rPr>
          <w:sz w:val="20"/>
          <w:szCs w:val="20"/>
          <w:color w:val="auto"/>
        </w:rPr>
      </w:pPr>
    </w:p>
    <w:p>
      <w:pPr>
        <w:ind w:left="60"/>
        <w:spacing w:after="0"/>
        <w:tabs>
          <w:tab w:leader="none" w:pos="6140" w:val="left"/>
        </w:tabs>
        <w:rPr>
          <w:sz w:val="20"/>
          <w:szCs w:val="20"/>
          <w:color w:val="auto"/>
        </w:rPr>
      </w:pPr>
      <w:r>
        <w:rPr>
          <w:rFonts w:ascii="Times New Roman" w:cs="Times New Roman" w:eastAsia="Times New Roman" w:hAnsi="Times New Roman"/>
          <w:sz w:val="18"/>
          <w:szCs w:val="18"/>
          <w:color w:val="auto"/>
        </w:rPr>
        <w:t>April 25, 2014</w:t>
      </w:r>
      <w:r>
        <w:rPr>
          <w:sz w:val="20"/>
          <w:szCs w:val="20"/>
          <w:color w:val="auto"/>
        </w:rPr>
        <w:tab/>
      </w:r>
      <w:r>
        <w:rPr>
          <w:rFonts w:ascii="Times New Roman" w:cs="Times New Roman" w:eastAsia="Times New Roman" w:hAnsi="Times New Roman"/>
          <w:sz w:val="18"/>
          <w:szCs w:val="18"/>
          <w:color w:val="auto"/>
        </w:rPr>
        <w:t>By:  /s/ Leslie S. Striedel</w:t>
      </w:r>
    </w:p>
    <w:p>
      <w:pPr>
        <w:spacing w:after="0" w:line="4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Leslie S. Striedel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4114165</wp:posOffset>
            </wp:positionH>
            <wp:positionV relativeFrom="paragraph">
              <wp:posOffset>-127635</wp:posOffset>
            </wp:positionV>
            <wp:extent cx="30353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35300" cy="8255"/>
                    </a:xfrm>
                    <a:prstGeom prst="rect">
                      <a:avLst/>
                    </a:prstGeom>
                    <a:noFill/>
                  </pic:spPr>
                </pic:pic>
              </a:graphicData>
            </a:graphic>
          </wp:anchor>
        </w:drawing>
      </w:r>
    </w:p>
    <w:p>
      <w:pPr>
        <w:spacing w:after="0" w:line="1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Chief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443230</wp:posOffset>
            </wp:positionV>
            <wp:extent cx="72472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7255" cy="8255"/>
                    </a:xfrm>
                    <a:prstGeom prst="rect">
                      <a:avLst/>
                    </a:prstGeom>
                    <a:noFill/>
                  </pic:spPr>
                </pic:pic>
              </a:graphicData>
            </a:graphic>
          </wp:anchor>
        </w:drawing>
      </w:r>
    </w:p>
    <w:p>
      <w:pPr>
        <w:sectPr>
          <w:pgSz w:w="11900" w:h="16838" w:orient="portrait"/>
          <w:cols w:equalWidth="0" w:num="1">
            <w:col w:w="11420"/>
          </w:cols>
          <w:pgMar w:left="240" w:top="896" w:right="239" w:bottom="1440" w:gutter="0" w:footer="0" w:header="0"/>
        </w:sectPr>
      </w:pPr>
    </w:p>
    <w:bookmarkStart w:id="2" w:name="page3"/>
    <w:bookmarkEnd w:id="2"/>
    <w:p>
      <w:pPr>
        <w:jc w:val="center"/>
        <w:ind w:right="-79"/>
        <w:spacing w:after="0"/>
        <w:rPr>
          <w:sz w:val="20"/>
          <w:szCs w:val="20"/>
          <w:color w:val="auto"/>
        </w:rPr>
      </w:pPr>
      <w:r>
        <w:rPr>
          <w:rFonts w:ascii="Times New Roman" w:cs="Times New Roman" w:eastAsia="Times New Roman" w:hAnsi="Times New Roman"/>
          <w:sz w:val="21"/>
          <w:szCs w:val="21"/>
          <w:b w:val="1"/>
          <w:bCs w:val="1"/>
          <w:color w:val="auto"/>
        </w:rPr>
        <w:t>Viad Corp Announces First Quarter 2014 Financial Results</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Income from Continuing Operations per Share of $0.46</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Income Before Other Items per Share of $0.36</w:t>
      </w:r>
    </w:p>
    <w:p>
      <w:pPr>
        <w:spacing w:after="0" w:line="282" w:lineRule="exact"/>
        <w:rPr>
          <w:sz w:val="20"/>
          <w:szCs w:val="20"/>
          <w:color w:val="auto"/>
        </w:rPr>
      </w:pPr>
    </w:p>
    <w:p>
      <w:pPr>
        <w:ind w:right="20"/>
        <w:spacing w:after="0" w:line="249" w:lineRule="auto"/>
        <w:rPr>
          <w:sz w:val="20"/>
          <w:szCs w:val="20"/>
          <w:color w:val="auto"/>
        </w:rPr>
      </w:pPr>
      <w:r>
        <w:rPr>
          <w:rFonts w:ascii="Times New Roman" w:cs="Times New Roman" w:eastAsia="Times New Roman" w:hAnsi="Times New Roman"/>
          <w:sz w:val="21"/>
          <w:szCs w:val="21"/>
          <w:color w:val="auto"/>
        </w:rPr>
        <w:t>PHOENIX, April 25, 2014 /PRNewswire/ -- Viad Corp (NYSE:VVI) today announced first quarter 2014 income from continuing operations of $9.3 million, or $0.46 per diluted share. Viad's income before other items of $7.4 million, or $0.36 per diluted share, excludes $107,000 of restructuring charges, after taxes, and $2.0 million, or $0.10 per diluted share, related to favorable tax matters This compares to the Company's prior guidance of income before other items in the range of $0.28 to $0.38 per share and 2013 first quarter income before other items of $0.44 per share.</w:t>
      </w:r>
    </w:p>
    <w:p>
      <w:pPr>
        <w:spacing w:after="0" w:line="16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Revenue was $285.6 million </w:t>
      </w:r>
      <w:r>
        <w:rPr>
          <w:rFonts w:ascii="Times New Roman" w:cs="Times New Roman" w:eastAsia="Times New Roman" w:hAnsi="Times New Roman"/>
          <w:sz w:val="21"/>
          <w:szCs w:val="21"/>
          <w:color w:val="auto"/>
        </w:rPr>
        <w:t>as compared to $285.2 million in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-85725</wp:posOffset>
            </wp:positionV>
            <wp:extent cx="67945" cy="679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Segment operating income was $13.4 million </w:t>
      </w:r>
      <w:r>
        <w:rPr>
          <w:rFonts w:ascii="Times New Roman" w:cs="Times New Roman" w:eastAsia="Times New Roman" w:hAnsi="Times New Roman"/>
          <w:sz w:val="21"/>
          <w:szCs w:val="21"/>
          <w:color w:val="auto"/>
        </w:rPr>
        <w:t>as compared to $13.6 million in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-103505</wp:posOffset>
            </wp:positionV>
            <wp:extent cx="67945" cy="67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Free cash flow was $19.7 million </w:t>
      </w:r>
      <w:r>
        <w:rPr>
          <w:rFonts w:ascii="Times New Roman" w:cs="Times New Roman" w:eastAsia="Times New Roman" w:hAnsi="Times New Roman"/>
          <w:sz w:val="21"/>
          <w:szCs w:val="21"/>
          <w:color w:val="auto"/>
        </w:rPr>
        <w:t>as compared to an outflow of $13.9 million in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-103505</wp:posOffset>
            </wp:positionV>
            <wp:extent cx="67945" cy="679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Cash and cash equivalents were $47.3 million </w:t>
      </w:r>
      <w:r>
        <w:rPr>
          <w:rFonts w:ascii="Times New Roman" w:cs="Times New Roman" w:eastAsia="Times New Roman" w:hAnsi="Times New Roman"/>
          <w:sz w:val="21"/>
          <w:szCs w:val="21"/>
          <w:color w:val="auto"/>
        </w:rPr>
        <w:t>at March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-103505</wp:posOffset>
            </wp:positionV>
            <wp:extent cx="67945" cy="679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ind w:left="540"/>
        <w:spacing w:after="0"/>
        <w:rPr>
          <w:sz w:val="20"/>
          <w:szCs w:val="20"/>
          <w:color w:val="auto"/>
        </w:rPr>
      </w:pPr>
      <w:r>
        <w:rPr>
          <w:rFonts w:ascii="Times New Roman" w:cs="Times New Roman" w:eastAsia="Times New Roman" w:hAnsi="Times New Roman"/>
          <w:sz w:val="21"/>
          <w:szCs w:val="21"/>
          <w:b w:val="1"/>
          <w:bCs w:val="1"/>
          <w:color w:val="auto"/>
        </w:rPr>
        <w:t>Debt was $1.7 million</w:t>
      </w:r>
      <w:r>
        <w:rPr>
          <w:rFonts w:ascii="Times New Roman" w:cs="Times New Roman" w:eastAsia="Times New Roman" w:hAnsi="Times New Roman"/>
          <w:sz w:val="21"/>
          <w:szCs w:val="21"/>
          <w:color w:val="auto"/>
        </w:rPr>
        <w:t>, with a</w:t>
      </w:r>
      <w:r>
        <w:rPr>
          <w:rFonts w:ascii="Times New Roman" w:cs="Times New Roman" w:eastAsia="Times New Roman" w:hAnsi="Times New Roman"/>
          <w:sz w:val="21"/>
          <w:szCs w:val="21"/>
          <w:b w:val="1"/>
          <w:bCs w:val="1"/>
          <w:color w:val="auto"/>
        </w:rPr>
        <w:t xml:space="preserve"> debt-to-capital ratio of 0.5% </w:t>
      </w:r>
      <w:r>
        <w:rPr>
          <w:rFonts w:ascii="Times New Roman" w:cs="Times New Roman" w:eastAsia="Times New Roman" w:hAnsi="Times New Roman"/>
          <w:sz w:val="21"/>
          <w:szCs w:val="21"/>
          <w:color w:val="auto"/>
        </w:rPr>
        <w:t>at March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-103505</wp:posOffset>
            </wp:positionV>
            <wp:extent cx="67945" cy="679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71"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1"/>
          <w:szCs w:val="21"/>
          <w:color w:val="auto"/>
        </w:rPr>
        <w:t>Paul B. Dykstra, chairman, president and chief executive officer, said, "We are off to a very good start in 2014. Both of our business units performed well with results in-line with or better than the upper range of prior guidance. For the quarter, we delivered strong financial results that we believe will continue throughout 2014."</w:t>
      </w:r>
    </w:p>
    <w:p>
      <w:pPr>
        <w:spacing w:after="0" w:line="158" w:lineRule="exact"/>
        <w:rPr>
          <w:sz w:val="20"/>
          <w:szCs w:val="20"/>
          <w:color w:val="auto"/>
        </w:rPr>
      </w:pPr>
    </w:p>
    <w:p>
      <w:pPr>
        <w:ind w:right="260"/>
        <w:spacing w:after="0" w:line="252" w:lineRule="auto"/>
        <w:rPr>
          <w:sz w:val="20"/>
          <w:szCs w:val="20"/>
          <w:color w:val="auto"/>
        </w:rPr>
      </w:pPr>
      <w:r>
        <w:rPr>
          <w:rFonts w:ascii="Times New Roman" w:cs="Times New Roman" w:eastAsia="Times New Roman" w:hAnsi="Times New Roman"/>
          <w:sz w:val="21"/>
          <w:szCs w:val="21"/>
          <w:color w:val="auto"/>
        </w:rPr>
        <w:t>As previously announced, the Company's contract to provide concessions within Glacier National Park expired on December 31, 2013. As a result, the Company reclassified prior year operating results related to the contract as discontinued operations. Additionally, all 2014 income and expenses related to the contract, including the $25 million of possessory interest proceeds received in January (net of related taxes and non-controlling interest), were classified as income from discontinued operations.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Business Group Highlights</w:t>
      </w:r>
    </w:p>
    <w:p>
      <w:pPr>
        <w:spacing w:after="0" w:line="312" w:lineRule="exact"/>
        <w:rPr>
          <w:sz w:val="20"/>
          <w:szCs w:val="20"/>
          <w:color w:val="auto"/>
        </w:rPr>
      </w:pPr>
    </w:p>
    <w:tbl>
      <w:tblPr>
        <w:tblLayout w:type="fixed"/>
        <w:tblInd w:w="120" w:type="dxa"/>
        <w:tblCellMar>
          <w:top w:w="0" w:type="dxa"/>
          <w:left w:w="0" w:type="dxa"/>
          <w:bottom w:w="0" w:type="dxa"/>
          <w:right w:w="0" w:type="dxa"/>
        </w:tblCellMar>
      </w:tblPr>
      <w:tr>
        <w:trPr>
          <w:trHeight w:val="176"/>
        </w:trPr>
        <w:tc>
          <w:tcPr>
            <w:tcW w:w="2960" w:type="dxa"/>
            <w:vAlign w:val="bottom"/>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1460" w:type="dxa"/>
            <w:vAlign w:val="bottom"/>
            <w:tcBorders>
              <w:bottom w:val="single" w:sz="8" w:color="auto"/>
            </w:tcBorders>
            <w:gridSpan w:val="2"/>
          </w:tcPr>
          <w:p>
            <w:pPr>
              <w:ind w:left="480"/>
              <w:spacing w:after="0"/>
              <w:rPr>
                <w:sz w:val="20"/>
                <w:szCs w:val="20"/>
                <w:color w:val="auto"/>
              </w:rPr>
            </w:pPr>
            <w:r>
              <w:rPr>
                <w:rFonts w:ascii="Arial" w:cs="Arial" w:eastAsia="Arial" w:hAnsi="Arial"/>
                <w:sz w:val="14"/>
                <w:szCs w:val="14"/>
                <w:b w:val="1"/>
                <w:bCs w:val="1"/>
                <w:color w:val="auto"/>
              </w:rPr>
              <w:t>First Quarter</w:t>
            </w:r>
          </w:p>
        </w:tc>
        <w:tc>
          <w:tcPr>
            <w:tcW w:w="94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r>
      <w:tr>
        <w:trPr>
          <w:trHeight w:val="235"/>
        </w:trPr>
        <w:tc>
          <w:tcPr>
            <w:tcW w:w="2960" w:type="dxa"/>
            <w:vAlign w:val="bottom"/>
          </w:tcPr>
          <w:p>
            <w:pPr>
              <w:ind w:left="40"/>
              <w:spacing w:after="0"/>
              <w:rPr>
                <w:sz w:val="20"/>
                <w:szCs w:val="20"/>
                <w:color w:val="auto"/>
              </w:rPr>
            </w:pPr>
            <w:r>
              <w:rPr>
                <w:rFonts w:ascii="Arial" w:cs="Arial" w:eastAsia="Arial" w:hAnsi="Arial"/>
                <w:sz w:val="14"/>
                <w:szCs w:val="14"/>
                <w:i w:val="1"/>
                <w:iCs w:val="1"/>
                <w:color w:val="auto"/>
              </w:rPr>
              <w:t>($ in millions)</w:t>
            </w:r>
          </w:p>
        </w:tc>
        <w:tc>
          <w:tcPr>
            <w:tcW w:w="10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2014</w:t>
            </w:r>
          </w:p>
        </w:tc>
        <w:tc>
          <w:tcPr>
            <w:tcW w:w="420" w:type="dxa"/>
            <w:vAlign w:val="bottom"/>
          </w:tcPr>
          <w:p>
            <w:pPr>
              <w:spacing w:after="0"/>
              <w:rPr>
                <w:sz w:val="20"/>
                <w:szCs w:val="20"/>
                <w:color w:val="auto"/>
              </w:rPr>
            </w:pPr>
          </w:p>
        </w:tc>
        <w:tc>
          <w:tcPr>
            <w:tcW w:w="10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2013</w:t>
            </w:r>
          </w:p>
        </w:tc>
        <w:tc>
          <w:tcPr>
            <w:tcW w:w="420" w:type="dxa"/>
            <w:vAlign w:val="bottom"/>
          </w:tcPr>
          <w:p>
            <w:pPr>
              <w:spacing w:after="0"/>
              <w:rPr>
                <w:sz w:val="20"/>
                <w:szCs w:val="20"/>
                <w:color w:val="auto"/>
              </w:rPr>
            </w:pPr>
          </w:p>
        </w:tc>
        <w:tc>
          <w:tcPr>
            <w:tcW w:w="1220" w:type="dxa"/>
            <w:vAlign w:val="bottom"/>
            <w:tcBorders>
              <w:bottom w:val="single" w:sz="8" w:color="auto"/>
            </w:tcBorders>
            <w:gridSpan w:val="2"/>
          </w:tcPr>
          <w:p>
            <w:pPr>
              <w:ind w:left="660"/>
              <w:spacing w:after="0"/>
              <w:rPr>
                <w:sz w:val="20"/>
                <w:szCs w:val="20"/>
                <w:color w:val="auto"/>
              </w:rPr>
            </w:pPr>
            <w:r>
              <w:rPr>
                <w:rFonts w:ascii="Arial" w:cs="Arial" w:eastAsia="Arial" w:hAnsi="Arial"/>
                <w:sz w:val="14"/>
                <w:szCs w:val="14"/>
                <w:b w:val="1"/>
                <w:bCs w:val="1"/>
                <w:color w:val="auto"/>
              </w:rPr>
              <w:t>Change</w:t>
            </w:r>
          </w:p>
        </w:tc>
        <w:tc>
          <w:tcPr>
            <w:tcW w:w="620" w:type="dxa"/>
            <w:vAlign w:val="bottom"/>
            <w:tcBorders>
              <w:bottom w:val="single" w:sz="8" w:color="auto"/>
            </w:tcBorders>
          </w:tcPr>
          <w:p>
            <w:pPr>
              <w:spacing w:after="0"/>
              <w:rPr>
                <w:sz w:val="20"/>
                <w:szCs w:val="20"/>
                <w:color w:val="auto"/>
              </w:rPr>
            </w:pPr>
          </w:p>
        </w:tc>
      </w:tr>
      <w:tr>
        <w:trPr>
          <w:trHeight w:val="496"/>
        </w:trPr>
        <w:tc>
          <w:tcPr>
            <w:tcW w:w="2960" w:type="dxa"/>
            <w:vAlign w:val="bottom"/>
          </w:tcPr>
          <w:p>
            <w:pPr>
              <w:spacing w:after="0"/>
              <w:rPr>
                <w:sz w:val="20"/>
                <w:szCs w:val="20"/>
                <w:color w:val="auto"/>
              </w:rPr>
            </w:pPr>
            <w:r>
              <w:rPr>
                <w:rFonts w:ascii="Arial" w:cs="Arial" w:eastAsia="Arial" w:hAnsi="Arial"/>
                <w:sz w:val="14"/>
                <w:szCs w:val="14"/>
                <w:color w:val="auto"/>
              </w:rPr>
              <w:t>Revenue:</w:t>
            </w: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42"/>
        </w:trPr>
        <w:tc>
          <w:tcPr>
            <w:tcW w:w="2960" w:type="dxa"/>
            <w:vAlign w:val="bottom"/>
          </w:tcPr>
          <w:p>
            <w:pPr>
              <w:ind w:left="160"/>
              <w:spacing w:after="0"/>
              <w:rPr>
                <w:sz w:val="20"/>
                <w:szCs w:val="20"/>
                <w:color w:val="auto"/>
              </w:rPr>
            </w:pPr>
            <w:r>
              <w:rPr>
                <w:rFonts w:ascii="Arial" w:cs="Arial" w:eastAsia="Arial" w:hAnsi="Arial"/>
                <w:sz w:val="14"/>
                <w:szCs w:val="14"/>
                <w:color w:val="auto"/>
              </w:rPr>
              <w:t>Marketing &amp; Events Group:</w:t>
            </w:r>
          </w:p>
        </w:tc>
        <w:tc>
          <w:tcPr>
            <w:tcW w:w="1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20" w:type="dxa"/>
            <w:vAlign w:val="bottom"/>
          </w:tcPr>
          <w:p>
            <w:pPr>
              <w:spacing w:after="0"/>
              <w:rPr>
                <w:sz w:val="21"/>
                <w:szCs w:val="21"/>
                <w:color w:val="auto"/>
              </w:rPr>
            </w:pPr>
          </w:p>
        </w:tc>
      </w:tr>
      <w:tr>
        <w:trPr>
          <w:trHeight w:val="242"/>
        </w:trPr>
        <w:tc>
          <w:tcPr>
            <w:tcW w:w="2960" w:type="dxa"/>
            <w:vAlign w:val="bottom"/>
          </w:tcPr>
          <w:p>
            <w:pPr>
              <w:ind w:left="320"/>
              <w:spacing w:after="0"/>
              <w:rPr>
                <w:sz w:val="20"/>
                <w:szCs w:val="20"/>
                <w:color w:val="auto"/>
              </w:rPr>
            </w:pPr>
            <w:r>
              <w:rPr>
                <w:rFonts w:ascii="Arial" w:cs="Arial" w:eastAsia="Arial" w:hAnsi="Arial"/>
                <w:sz w:val="14"/>
                <w:szCs w:val="14"/>
                <w:color w:val="auto"/>
              </w:rPr>
              <w:t>U.S.</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$ 221.4</w:t>
            </w:r>
          </w:p>
        </w:tc>
        <w:tc>
          <w:tcPr>
            <w:tcW w:w="420" w:type="dxa"/>
            <w:vAlign w:val="bottom"/>
          </w:tcPr>
          <w:p>
            <w:pPr>
              <w:spacing w:after="0"/>
              <w:rPr>
                <w:sz w:val="21"/>
                <w:szCs w:val="21"/>
                <w:color w:val="auto"/>
              </w:rPr>
            </w:pP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$ 218.3</w:t>
            </w:r>
          </w:p>
        </w:tc>
        <w:tc>
          <w:tcPr>
            <w:tcW w:w="420" w:type="dxa"/>
            <w:vAlign w:val="bottom"/>
          </w:tcPr>
          <w:p>
            <w:pPr>
              <w:spacing w:after="0"/>
              <w:rPr>
                <w:sz w:val="21"/>
                <w:szCs w:val="21"/>
                <w:color w:val="auto"/>
              </w:rPr>
            </w:pP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$ 3.1</w:t>
            </w:r>
          </w:p>
        </w:tc>
        <w:tc>
          <w:tcPr>
            <w:tcW w:w="280" w:type="dxa"/>
            <w:vAlign w:val="bottom"/>
          </w:tcPr>
          <w:p>
            <w:pPr>
              <w:spacing w:after="0"/>
              <w:rPr>
                <w:sz w:val="21"/>
                <w:szCs w:val="21"/>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1.4%</w:t>
            </w:r>
          </w:p>
        </w:tc>
      </w:tr>
      <w:tr>
        <w:trPr>
          <w:trHeight w:val="242"/>
        </w:trPr>
        <w:tc>
          <w:tcPr>
            <w:tcW w:w="2960" w:type="dxa"/>
            <w:vAlign w:val="bottom"/>
          </w:tcPr>
          <w:p>
            <w:pPr>
              <w:ind w:left="320"/>
              <w:spacing w:after="0"/>
              <w:rPr>
                <w:sz w:val="20"/>
                <w:szCs w:val="20"/>
                <w:color w:val="auto"/>
              </w:rPr>
            </w:pPr>
            <w:r>
              <w:rPr>
                <w:rFonts w:ascii="Arial" w:cs="Arial" w:eastAsia="Arial" w:hAnsi="Arial"/>
                <w:sz w:val="14"/>
                <w:szCs w:val="14"/>
                <w:color w:val="auto"/>
              </w:rPr>
              <w:t>International</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58.7</w:t>
            </w:r>
          </w:p>
        </w:tc>
        <w:tc>
          <w:tcPr>
            <w:tcW w:w="420" w:type="dxa"/>
            <w:vAlign w:val="bottom"/>
          </w:tcPr>
          <w:p>
            <w:pPr>
              <w:spacing w:after="0"/>
              <w:rPr>
                <w:sz w:val="21"/>
                <w:szCs w:val="21"/>
                <w:color w:val="auto"/>
              </w:rPr>
            </w:pP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60.0</w:t>
            </w:r>
          </w:p>
        </w:tc>
        <w:tc>
          <w:tcPr>
            <w:tcW w:w="420" w:type="dxa"/>
            <w:vAlign w:val="bottom"/>
          </w:tcPr>
          <w:p>
            <w:pPr>
              <w:spacing w:after="0"/>
              <w:rPr>
                <w:sz w:val="21"/>
                <w:szCs w:val="21"/>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(1.3)</w:t>
            </w:r>
          </w:p>
        </w:tc>
        <w:tc>
          <w:tcPr>
            <w:tcW w:w="280" w:type="dxa"/>
            <w:vAlign w:val="bottom"/>
          </w:tcPr>
          <w:p>
            <w:pPr>
              <w:spacing w:after="0"/>
              <w:rPr>
                <w:sz w:val="21"/>
                <w:szCs w:val="21"/>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-2.2%</w:t>
            </w:r>
          </w:p>
        </w:tc>
      </w:tr>
      <w:tr>
        <w:trPr>
          <w:trHeight w:val="223"/>
        </w:trPr>
        <w:tc>
          <w:tcPr>
            <w:tcW w:w="2960" w:type="dxa"/>
            <w:vAlign w:val="bottom"/>
          </w:tcPr>
          <w:p>
            <w:pPr>
              <w:ind w:left="320"/>
              <w:spacing w:after="0"/>
              <w:rPr>
                <w:sz w:val="20"/>
                <w:szCs w:val="20"/>
                <w:color w:val="auto"/>
              </w:rPr>
            </w:pPr>
            <w:r>
              <w:rPr>
                <w:rFonts w:ascii="Arial" w:cs="Arial" w:eastAsia="Arial" w:hAnsi="Arial"/>
                <w:sz w:val="14"/>
                <w:szCs w:val="14"/>
                <w:color w:val="auto"/>
              </w:rPr>
              <w:t>Intersegment eliminations</w:t>
            </w:r>
          </w:p>
        </w:tc>
        <w:tc>
          <w:tcPr>
            <w:tcW w:w="10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(2.3)</w:t>
            </w:r>
          </w:p>
        </w:tc>
        <w:tc>
          <w:tcPr>
            <w:tcW w:w="420" w:type="dxa"/>
            <w:vAlign w:val="bottom"/>
          </w:tcPr>
          <w:p>
            <w:pPr>
              <w:spacing w:after="0"/>
              <w:rPr>
                <w:sz w:val="19"/>
                <w:szCs w:val="19"/>
                <w:color w:val="auto"/>
              </w:rPr>
            </w:pP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(1.6)</w:t>
            </w:r>
          </w:p>
        </w:tc>
        <w:tc>
          <w:tcPr>
            <w:tcW w:w="420" w:type="dxa"/>
            <w:vAlign w:val="bottom"/>
          </w:tcPr>
          <w:p>
            <w:pPr>
              <w:spacing w:after="0"/>
              <w:rPr>
                <w:sz w:val="19"/>
                <w:szCs w:val="19"/>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(0.7)</w:t>
            </w:r>
          </w:p>
        </w:tc>
        <w:tc>
          <w:tcPr>
            <w:tcW w:w="280" w:type="dxa"/>
            <w:vAlign w:val="bottom"/>
          </w:tcPr>
          <w:p>
            <w:pPr>
              <w:spacing w:after="0"/>
              <w:rPr>
                <w:sz w:val="19"/>
                <w:szCs w:val="19"/>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-40.7%</w:t>
            </w:r>
          </w:p>
        </w:tc>
      </w:tr>
      <w:tr>
        <w:trPr>
          <w:trHeight w:val="241"/>
        </w:trPr>
        <w:tc>
          <w:tcPr>
            <w:tcW w:w="2960" w:type="dxa"/>
            <w:vAlign w:val="bottom"/>
          </w:tcPr>
          <w:p>
            <w:pPr>
              <w:ind w:left="320"/>
              <w:spacing w:after="0"/>
              <w:rPr>
                <w:sz w:val="20"/>
                <w:szCs w:val="20"/>
                <w:color w:val="auto"/>
              </w:rPr>
            </w:pPr>
            <w:r>
              <w:rPr>
                <w:rFonts w:ascii="Arial" w:cs="Arial" w:eastAsia="Arial" w:hAnsi="Arial"/>
                <w:sz w:val="14"/>
                <w:szCs w:val="14"/>
                <w:color w:val="auto"/>
              </w:rPr>
              <w:t>Total</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277.8</w:t>
            </w:r>
          </w:p>
        </w:tc>
        <w:tc>
          <w:tcPr>
            <w:tcW w:w="420" w:type="dxa"/>
            <w:vAlign w:val="bottom"/>
          </w:tcPr>
          <w:p>
            <w:pPr>
              <w:spacing w:after="0"/>
              <w:rPr>
                <w:sz w:val="20"/>
                <w:szCs w:val="20"/>
                <w:color w:val="auto"/>
              </w:rPr>
            </w:pP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276.8</w:t>
            </w:r>
          </w:p>
        </w:tc>
        <w:tc>
          <w:tcPr>
            <w:tcW w:w="420" w:type="dxa"/>
            <w:vAlign w:val="bottom"/>
          </w:tcPr>
          <w:p>
            <w:pPr>
              <w:spacing w:after="0"/>
              <w:rPr>
                <w:sz w:val="20"/>
                <w:szCs w:val="20"/>
                <w:color w:val="auto"/>
              </w:rPr>
            </w:pP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1.1</w:t>
            </w:r>
          </w:p>
        </w:tc>
        <w:tc>
          <w:tcPr>
            <w:tcW w:w="280" w:type="dxa"/>
            <w:vAlign w:val="bottom"/>
          </w:tcPr>
          <w:p>
            <w:pPr>
              <w:spacing w:after="0"/>
              <w:rPr>
                <w:sz w:val="20"/>
                <w:szCs w:val="20"/>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0.4%</w:t>
            </w:r>
          </w:p>
        </w:tc>
      </w:tr>
      <w:tr>
        <w:trPr>
          <w:trHeight w:val="223"/>
        </w:trPr>
        <w:tc>
          <w:tcPr>
            <w:tcW w:w="2960" w:type="dxa"/>
            <w:vAlign w:val="bottom"/>
          </w:tcPr>
          <w:p>
            <w:pPr>
              <w:ind w:left="160"/>
              <w:spacing w:after="0"/>
              <w:rPr>
                <w:sz w:val="20"/>
                <w:szCs w:val="20"/>
                <w:color w:val="auto"/>
              </w:rPr>
            </w:pPr>
            <w:r>
              <w:rPr>
                <w:rFonts w:ascii="Arial" w:cs="Arial" w:eastAsia="Arial" w:hAnsi="Arial"/>
                <w:sz w:val="14"/>
                <w:szCs w:val="14"/>
                <w:color w:val="auto"/>
              </w:rPr>
              <w:t>Travel &amp; Recreation Group</w:t>
            </w: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7.8</w:t>
            </w:r>
          </w:p>
        </w:tc>
        <w:tc>
          <w:tcPr>
            <w:tcW w:w="420" w:type="dxa"/>
            <w:vAlign w:val="bottom"/>
          </w:tcPr>
          <w:p>
            <w:pPr>
              <w:spacing w:after="0"/>
              <w:rPr>
                <w:sz w:val="19"/>
                <w:szCs w:val="19"/>
                <w:color w:val="auto"/>
              </w:rPr>
            </w:pP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8.4</w:t>
            </w:r>
          </w:p>
        </w:tc>
        <w:tc>
          <w:tcPr>
            <w:tcW w:w="420" w:type="dxa"/>
            <w:vAlign w:val="bottom"/>
          </w:tcPr>
          <w:p>
            <w:pPr>
              <w:spacing w:after="0"/>
              <w:rPr>
                <w:sz w:val="19"/>
                <w:szCs w:val="19"/>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(0.6)</w:t>
            </w:r>
          </w:p>
        </w:tc>
        <w:tc>
          <w:tcPr>
            <w:tcW w:w="280" w:type="dxa"/>
            <w:vAlign w:val="bottom"/>
          </w:tcPr>
          <w:p>
            <w:pPr>
              <w:spacing w:after="0"/>
              <w:rPr>
                <w:sz w:val="19"/>
                <w:szCs w:val="19"/>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-6.9%</w:t>
            </w:r>
          </w:p>
        </w:tc>
      </w:tr>
      <w:tr>
        <w:trPr>
          <w:trHeight w:val="215"/>
        </w:trPr>
        <w:tc>
          <w:tcPr>
            <w:tcW w:w="2960" w:type="dxa"/>
            <w:vAlign w:val="bottom"/>
          </w:tcPr>
          <w:p>
            <w:pPr>
              <w:spacing w:after="0"/>
              <w:rPr>
                <w:sz w:val="20"/>
                <w:szCs w:val="20"/>
                <w:color w:val="auto"/>
              </w:rPr>
            </w:pPr>
            <w:r>
              <w:rPr>
                <w:rFonts w:ascii="Arial" w:cs="Arial" w:eastAsia="Arial" w:hAnsi="Arial"/>
                <w:sz w:val="14"/>
                <w:szCs w:val="14"/>
                <w:color w:val="auto"/>
              </w:rPr>
              <w:t>Total</w:t>
            </w: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$285.6</w:t>
            </w:r>
          </w:p>
        </w:tc>
        <w:tc>
          <w:tcPr>
            <w:tcW w:w="420" w:type="dxa"/>
            <w:vAlign w:val="bottom"/>
          </w:tcPr>
          <w:p>
            <w:pPr>
              <w:spacing w:after="0"/>
              <w:rPr>
                <w:sz w:val="18"/>
                <w:szCs w:val="18"/>
                <w:color w:val="auto"/>
              </w:rPr>
            </w:pP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$285.2</w:t>
            </w:r>
          </w:p>
        </w:tc>
        <w:tc>
          <w:tcPr>
            <w:tcW w:w="420" w:type="dxa"/>
            <w:vAlign w:val="bottom"/>
          </w:tcPr>
          <w:p>
            <w:pPr>
              <w:spacing w:after="0"/>
              <w:rPr>
                <w:sz w:val="18"/>
                <w:szCs w:val="18"/>
                <w:color w:val="auto"/>
              </w:rPr>
            </w:pPr>
          </w:p>
        </w:tc>
        <w:tc>
          <w:tcPr>
            <w:tcW w:w="9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$ 0.5</w:t>
            </w:r>
          </w:p>
        </w:tc>
        <w:tc>
          <w:tcPr>
            <w:tcW w:w="280" w:type="dxa"/>
            <w:vAlign w:val="bottom"/>
          </w:tcPr>
          <w:p>
            <w:pPr>
              <w:spacing w:after="0"/>
              <w:rPr>
                <w:sz w:val="18"/>
                <w:szCs w:val="18"/>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0.2%</w:t>
            </w:r>
          </w:p>
        </w:tc>
      </w:tr>
      <w:tr>
        <w:trPr>
          <w:trHeight w:val="503"/>
        </w:trPr>
        <w:tc>
          <w:tcPr>
            <w:tcW w:w="2960" w:type="dxa"/>
            <w:vAlign w:val="bottom"/>
          </w:tcPr>
          <w:p>
            <w:pPr>
              <w:spacing w:after="0"/>
              <w:rPr>
                <w:sz w:val="20"/>
                <w:szCs w:val="20"/>
                <w:color w:val="auto"/>
              </w:rPr>
            </w:pPr>
            <w:r>
              <w:rPr>
                <w:rFonts w:ascii="Arial" w:cs="Arial" w:eastAsia="Arial" w:hAnsi="Arial"/>
                <w:sz w:val="14"/>
                <w:szCs w:val="14"/>
                <w:color w:val="auto"/>
              </w:rPr>
              <w:t>Segment operating income (loss):</w:t>
            </w: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42"/>
        </w:trPr>
        <w:tc>
          <w:tcPr>
            <w:tcW w:w="2960" w:type="dxa"/>
            <w:vAlign w:val="bottom"/>
          </w:tcPr>
          <w:p>
            <w:pPr>
              <w:ind w:left="160"/>
              <w:spacing w:after="0"/>
              <w:rPr>
                <w:sz w:val="20"/>
                <w:szCs w:val="20"/>
                <w:color w:val="auto"/>
              </w:rPr>
            </w:pPr>
            <w:r>
              <w:rPr>
                <w:rFonts w:ascii="Arial" w:cs="Arial" w:eastAsia="Arial" w:hAnsi="Arial"/>
                <w:sz w:val="14"/>
                <w:szCs w:val="14"/>
                <w:color w:val="auto"/>
              </w:rPr>
              <w:t>Marketing &amp; Events Group:</w:t>
            </w:r>
          </w:p>
        </w:tc>
        <w:tc>
          <w:tcPr>
            <w:tcW w:w="1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20" w:type="dxa"/>
            <w:vAlign w:val="bottom"/>
          </w:tcPr>
          <w:p>
            <w:pPr>
              <w:spacing w:after="0"/>
              <w:rPr>
                <w:sz w:val="21"/>
                <w:szCs w:val="21"/>
                <w:color w:val="auto"/>
              </w:rPr>
            </w:pPr>
          </w:p>
        </w:tc>
      </w:tr>
      <w:tr>
        <w:trPr>
          <w:trHeight w:val="242"/>
        </w:trPr>
        <w:tc>
          <w:tcPr>
            <w:tcW w:w="2960" w:type="dxa"/>
            <w:vAlign w:val="bottom"/>
          </w:tcPr>
          <w:p>
            <w:pPr>
              <w:ind w:left="320"/>
              <w:spacing w:after="0"/>
              <w:rPr>
                <w:sz w:val="20"/>
                <w:szCs w:val="20"/>
                <w:color w:val="auto"/>
              </w:rPr>
            </w:pPr>
            <w:r>
              <w:rPr>
                <w:rFonts w:ascii="Arial" w:cs="Arial" w:eastAsia="Arial" w:hAnsi="Arial"/>
                <w:sz w:val="14"/>
                <w:szCs w:val="14"/>
                <w:color w:val="auto"/>
              </w:rPr>
              <w:t>U.S.</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$15.9</w:t>
            </w:r>
          </w:p>
        </w:tc>
        <w:tc>
          <w:tcPr>
            <w:tcW w:w="420" w:type="dxa"/>
            <w:vAlign w:val="bottom"/>
          </w:tcPr>
          <w:p>
            <w:pPr>
              <w:spacing w:after="0"/>
              <w:rPr>
                <w:sz w:val="21"/>
                <w:szCs w:val="21"/>
                <w:color w:val="auto"/>
              </w:rPr>
            </w:pP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$14.1</w:t>
            </w:r>
          </w:p>
        </w:tc>
        <w:tc>
          <w:tcPr>
            <w:tcW w:w="420" w:type="dxa"/>
            <w:vAlign w:val="bottom"/>
          </w:tcPr>
          <w:p>
            <w:pPr>
              <w:spacing w:after="0"/>
              <w:rPr>
                <w:sz w:val="21"/>
                <w:szCs w:val="21"/>
                <w:color w:val="auto"/>
              </w:rPr>
            </w:pPr>
          </w:p>
        </w:tc>
        <w:tc>
          <w:tcPr>
            <w:tcW w:w="940" w:type="dxa"/>
            <w:vAlign w:val="bottom"/>
          </w:tcPr>
          <w:p>
            <w:pPr>
              <w:jc w:val="right"/>
              <w:ind w:right="148"/>
              <w:spacing w:after="0"/>
              <w:rPr>
                <w:sz w:val="20"/>
                <w:szCs w:val="20"/>
                <w:color w:val="auto"/>
              </w:rPr>
            </w:pPr>
            <w:r>
              <w:rPr>
                <w:rFonts w:ascii="Arial" w:cs="Arial" w:eastAsia="Arial" w:hAnsi="Arial"/>
                <w:sz w:val="14"/>
                <w:szCs w:val="14"/>
                <w:color w:val="auto"/>
              </w:rPr>
              <w:t>$ 1.7</w:t>
            </w:r>
          </w:p>
        </w:tc>
        <w:tc>
          <w:tcPr>
            <w:tcW w:w="280" w:type="dxa"/>
            <w:vAlign w:val="bottom"/>
          </w:tcPr>
          <w:p>
            <w:pPr>
              <w:spacing w:after="0"/>
              <w:rPr>
                <w:sz w:val="21"/>
                <w:szCs w:val="21"/>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12.3%</w:t>
            </w:r>
          </w:p>
        </w:tc>
      </w:tr>
      <w:tr>
        <w:trPr>
          <w:trHeight w:val="223"/>
        </w:trPr>
        <w:tc>
          <w:tcPr>
            <w:tcW w:w="2960" w:type="dxa"/>
            <w:vAlign w:val="bottom"/>
          </w:tcPr>
          <w:p>
            <w:pPr>
              <w:ind w:left="320"/>
              <w:spacing w:after="0"/>
              <w:rPr>
                <w:sz w:val="20"/>
                <w:szCs w:val="20"/>
                <w:color w:val="auto"/>
              </w:rPr>
            </w:pPr>
            <w:r>
              <w:rPr>
                <w:rFonts w:ascii="Arial" w:cs="Arial" w:eastAsia="Arial" w:hAnsi="Arial"/>
                <w:sz w:val="14"/>
                <w:szCs w:val="14"/>
                <w:color w:val="auto"/>
              </w:rPr>
              <w:t>International</w:t>
            </w: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2.3</w:t>
            </w:r>
          </w:p>
        </w:tc>
        <w:tc>
          <w:tcPr>
            <w:tcW w:w="420" w:type="dxa"/>
            <w:vAlign w:val="bottom"/>
          </w:tcPr>
          <w:p>
            <w:pPr>
              <w:spacing w:after="0"/>
              <w:rPr>
                <w:sz w:val="19"/>
                <w:szCs w:val="19"/>
                <w:color w:val="auto"/>
              </w:rPr>
            </w:pP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4.4</w:t>
            </w:r>
          </w:p>
        </w:tc>
        <w:tc>
          <w:tcPr>
            <w:tcW w:w="420" w:type="dxa"/>
            <w:vAlign w:val="bottom"/>
          </w:tcPr>
          <w:p>
            <w:pPr>
              <w:spacing w:after="0"/>
              <w:rPr>
                <w:sz w:val="19"/>
                <w:szCs w:val="19"/>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(2.1)</w:t>
            </w:r>
          </w:p>
        </w:tc>
        <w:tc>
          <w:tcPr>
            <w:tcW w:w="280" w:type="dxa"/>
            <w:vAlign w:val="bottom"/>
          </w:tcPr>
          <w:p>
            <w:pPr>
              <w:spacing w:after="0"/>
              <w:rPr>
                <w:sz w:val="19"/>
                <w:szCs w:val="19"/>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-47.2%</w:t>
            </w:r>
          </w:p>
        </w:tc>
      </w:tr>
      <w:tr>
        <w:trPr>
          <w:trHeight w:val="241"/>
        </w:trPr>
        <w:tc>
          <w:tcPr>
            <w:tcW w:w="2960" w:type="dxa"/>
            <w:vAlign w:val="bottom"/>
          </w:tcPr>
          <w:p>
            <w:pPr>
              <w:ind w:left="320"/>
              <w:spacing w:after="0"/>
              <w:rPr>
                <w:sz w:val="20"/>
                <w:szCs w:val="20"/>
                <w:color w:val="auto"/>
              </w:rPr>
            </w:pPr>
            <w:r>
              <w:rPr>
                <w:rFonts w:ascii="Arial" w:cs="Arial" w:eastAsia="Arial" w:hAnsi="Arial"/>
                <w:sz w:val="14"/>
                <w:szCs w:val="14"/>
                <w:color w:val="auto"/>
              </w:rPr>
              <w:t>Total</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18.2</w:t>
            </w:r>
          </w:p>
        </w:tc>
        <w:tc>
          <w:tcPr>
            <w:tcW w:w="420" w:type="dxa"/>
            <w:vAlign w:val="bottom"/>
          </w:tcPr>
          <w:p>
            <w:pPr>
              <w:spacing w:after="0"/>
              <w:rPr>
                <w:sz w:val="20"/>
                <w:szCs w:val="20"/>
                <w:color w:val="auto"/>
              </w:rPr>
            </w:pP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18.5</w:t>
            </w:r>
          </w:p>
        </w:tc>
        <w:tc>
          <w:tcPr>
            <w:tcW w:w="420" w:type="dxa"/>
            <w:vAlign w:val="bottom"/>
          </w:tcPr>
          <w:p>
            <w:pPr>
              <w:spacing w:after="0"/>
              <w:rPr>
                <w:sz w:val="20"/>
                <w:szCs w:val="20"/>
                <w:color w:val="auto"/>
              </w:rPr>
            </w:pPr>
          </w:p>
        </w:tc>
        <w:tc>
          <w:tcPr>
            <w:tcW w:w="940" w:type="dxa"/>
            <w:vAlign w:val="bottom"/>
          </w:tcPr>
          <w:p>
            <w:pPr>
              <w:jc w:val="right"/>
              <w:ind w:right="108"/>
              <w:spacing w:after="0"/>
              <w:rPr>
                <w:sz w:val="20"/>
                <w:szCs w:val="20"/>
                <w:color w:val="auto"/>
              </w:rPr>
            </w:pPr>
            <w:r>
              <w:rPr>
                <w:rFonts w:ascii="Arial" w:cs="Arial" w:eastAsia="Arial" w:hAnsi="Arial"/>
                <w:sz w:val="14"/>
                <w:szCs w:val="14"/>
                <w:color w:val="auto"/>
              </w:rPr>
              <w:t>(0.3)</w:t>
            </w:r>
          </w:p>
        </w:tc>
        <w:tc>
          <w:tcPr>
            <w:tcW w:w="280" w:type="dxa"/>
            <w:vAlign w:val="bottom"/>
          </w:tcPr>
          <w:p>
            <w:pPr>
              <w:spacing w:after="0"/>
              <w:rPr>
                <w:sz w:val="20"/>
                <w:szCs w:val="20"/>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-1.8%</w:t>
            </w:r>
          </w:p>
        </w:tc>
      </w:tr>
      <w:tr>
        <w:trPr>
          <w:trHeight w:val="223"/>
        </w:trPr>
        <w:tc>
          <w:tcPr>
            <w:tcW w:w="2960" w:type="dxa"/>
            <w:vAlign w:val="bottom"/>
          </w:tcPr>
          <w:p>
            <w:pPr>
              <w:ind w:left="160"/>
              <w:spacing w:after="0"/>
              <w:rPr>
                <w:sz w:val="20"/>
                <w:szCs w:val="20"/>
                <w:color w:val="auto"/>
              </w:rPr>
            </w:pPr>
            <w:r>
              <w:rPr>
                <w:rFonts w:ascii="Arial" w:cs="Arial" w:eastAsia="Arial" w:hAnsi="Arial"/>
                <w:sz w:val="14"/>
                <w:szCs w:val="14"/>
                <w:color w:val="auto"/>
              </w:rPr>
              <w:t>Travel &amp; Recreation Group</w:t>
            </w:r>
          </w:p>
        </w:tc>
        <w:tc>
          <w:tcPr>
            <w:tcW w:w="10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(4.8)</w:t>
            </w:r>
          </w:p>
        </w:tc>
        <w:tc>
          <w:tcPr>
            <w:tcW w:w="420" w:type="dxa"/>
            <w:vAlign w:val="bottom"/>
          </w:tcPr>
          <w:p>
            <w:pPr>
              <w:spacing w:after="0"/>
              <w:rPr>
                <w:sz w:val="19"/>
                <w:szCs w:val="19"/>
                <w:color w:val="auto"/>
              </w:rPr>
            </w:pP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(4.9)</w:t>
            </w:r>
          </w:p>
        </w:tc>
        <w:tc>
          <w:tcPr>
            <w:tcW w:w="420" w:type="dxa"/>
            <w:vAlign w:val="bottom"/>
          </w:tcPr>
          <w:p>
            <w:pPr>
              <w:spacing w:after="0"/>
              <w:rPr>
                <w:sz w:val="19"/>
                <w:szCs w:val="19"/>
                <w:color w:val="auto"/>
              </w:rPr>
            </w:pPr>
          </w:p>
        </w:tc>
        <w:tc>
          <w:tcPr>
            <w:tcW w:w="9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0.1</w:t>
            </w:r>
          </w:p>
        </w:tc>
        <w:tc>
          <w:tcPr>
            <w:tcW w:w="280" w:type="dxa"/>
            <w:vAlign w:val="bottom"/>
          </w:tcPr>
          <w:p>
            <w:pPr>
              <w:spacing w:after="0"/>
              <w:rPr>
                <w:sz w:val="19"/>
                <w:szCs w:val="19"/>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2.1%</w:t>
            </w:r>
          </w:p>
        </w:tc>
      </w:tr>
      <w:tr>
        <w:trPr>
          <w:trHeight w:val="215"/>
        </w:trPr>
        <w:tc>
          <w:tcPr>
            <w:tcW w:w="2960" w:type="dxa"/>
            <w:vAlign w:val="bottom"/>
          </w:tcPr>
          <w:p>
            <w:pPr>
              <w:ind w:left="40"/>
              <w:spacing w:after="0"/>
              <w:rPr>
                <w:sz w:val="20"/>
                <w:szCs w:val="20"/>
                <w:color w:val="auto"/>
              </w:rPr>
            </w:pPr>
            <w:r>
              <w:rPr>
                <w:rFonts w:ascii="Arial" w:cs="Arial" w:eastAsia="Arial" w:hAnsi="Arial"/>
                <w:sz w:val="14"/>
                <w:szCs w:val="14"/>
                <w:color w:val="auto"/>
              </w:rPr>
              <w:t>Total</w:t>
            </w: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$13.4</w:t>
            </w:r>
          </w:p>
        </w:tc>
        <w:tc>
          <w:tcPr>
            <w:tcW w:w="420" w:type="dxa"/>
            <w:vAlign w:val="bottom"/>
          </w:tcPr>
          <w:p>
            <w:pPr>
              <w:spacing w:after="0"/>
              <w:rPr>
                <w:sz w:val="18"/>
                <w:szCs w:val="18"/>
                <w:color w:val="auto"/>
              </w:rPr>
            </w:pP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$ 13.6</w:t>
            </w:r>
          </w:p>
        </w:tc>
        <w:tc>
          <w:tcPr>
            <w:tcW w:w="420" w:type="dxa"/>
            <w:vAlign w:val="bottom"/>
          </w:tcPr>
          <w:p>
            <w:pPr>
              <w:spacing w:after="0"/>
              <w:rPr>
                <w:sz w:val="18"/>
                <w:szCs w:val="18"/>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 (0.2)</w:t>
            </w:r>
          </w:p>
        </w:tc>
        <w:tc>
          <w:tcPr>
            <w:tcW w:w="280" w:type="dxa"/>
            <w:vAlign w:val="bottom"/>
          </w:tcPr>
          <w:p>
            <w:pPr>
              <w:spacing w:after="0"/>
              <w:rPr>
                <w:sz w:val="18"/>
                <w:szCs w:val="18"/>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-1.7%</w:t>
            </w:r>
          </w:p>
        </w:tc>
      </w:tr>
    </w:tbl>
    <w:p>
      <w:pPr>
        <w:spacing w:after="0" w:line="309" w:lineRule="exact"/>
        <w:rPr>
          <w:sz w:val="20"/>
          <w:szCs w:val="20"/>
          <w:color w:val="auto"/>
        </w:rPr>
      </w:pPr>
    </w:p>
    <w:tbl>
      <w:tblPr>
        <w:tblLayout w:type="fixed"/>
        <w:tblInd w:w="120" w:type="dxa"/>
        <w:tblCellMar>
          <w:top w:w="0" w:type="dxa"/>
          <w:left w:w="0" w:type="dxa"/>
          <w:bottom w:w="0" w:type="dxa"/>
          <w:right w:w="0" w:type="dxa"/>
        </w:tblCellMar>
      </w:tblPr>
      <w:tr>
        <w:trPr>
          <w:trHeight w:val="194"/>
        </w:trPr>
        <w:tc>
          <w:tcPr>
            <w:tcW w:w="2640" w:type="dxa"/>
            <w:vAlign w:val="bottom"/>
          </w:tcPr>
          <w:p>
            <w:pPr>
              <w:spacing w:after="0"/>
              <w:rPr>
                <w:sz w:val="20"/>
                <w:szCs w:val="20"/>
                <w:color w:val="auto"/>
              </w:rPr>
            </w:pPr>
            <w:r>
              <w:rPr>
                <w:rFonts w:ascii="Arial" w:cs="Arial" w:eastAsia="Arial" w:hAnsi="Arial"/>
                <w:sz w:val="14"/>
                <w:szCs w:val="14"/>
                <w:color w:val="auto"/>
              </w:rPr>
              <w:t>Operating margins:</w:t>
            </w:r>
          </w:p>
        </w:tc>
        <w:tc>
          <w:tcPr>
            <w:tcW w:w="176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00" w:type="dxa"/>
            <w:vAlign w:val="bottom"/>
          </w:tcPr>
          <w:p>
            <w:pPr>
              <w:spacing w:after="0"/>
              <w:rPr>
                <w:sz w:val="16"/>
                <w:szCs w:val="16"/>
                <w:color w:val="auto"/>
              </w:rPr>
            </w:pPr>
          </w:p>
        </w:tc>
      </w:tr>
      <w:tr>
        <w:trPr>
          <w:trHeight w:val="242"/>
        </w:trPr>
        <w:tc>
          <w:tcPr>
            <w:tcW w:w="2640" w:type="dxa"/>
            <w:vAlign w:val="bottom"/>
          </w:tcPr>
          <w:p>
            <w:pPr>
              <w:ind w:left="160"/>
              <w:spacing w:after="0"/>
              <w:rPr>
                <w:sz w:val="20"/>
                <w:szCs w:val="20"/>
                <w:color w:val="auto"/>
              </w:rPr>
            </w:pPr>
            <w:r>
              <w:rPr>
                <w:rFonts w:ascii="Arial" w:cs="Arial" w:eastAsia="Arial" w:hAnsi="Arial"/>
                <w:sz w:val="14"/>
                <w:szCs w:val="14"/>
                <w:color w:val="auto"/>
              </w:rPr>
              <w:t>Marketing &amp; Events Group</w:t>
            </w:r>
          </w:p>
        </w:tc>
        <w:tc>
          <w:tcPr>
            <w:tcW w:w="1760" w:type="dxa"/>
            <w:vAlign w:val="bottom"/>
          </w:tcPr>
          <w:p>
            <w:pPr>
              <w:jc w:val="right"/>
              <w:ind w:right="428"/>
              <w:spacing w:after="0"/>
              <w:rPr>
                <w:sz w:val="20"/>
                <w:szCs w:val="20"/>
                <w:color w:val="auto"/>
              </w:rPr>
            </w:pPr>
            <w:r>
              <w:rPr>
                <w:rFonts w:ascii="Arial" w:cs="Arial" w:eastAsia="Arial" w:hAnsi="Arial"/>
                <w:sz w:val="14"/>
                <w:szCs w:val="14"/>
                <w:color w:val="auto"/>
              </w:rPr>
              <w:t>6.5%</w:t>
            </w:r>
          </w:p>
        </w:tc>
        <w:tc>
          <w:tcPr>
            <w:tcW w:w="1440" w:type="dxa"/>
            <w:vAlign w:val="bottom"/>
          </w:tcPr>
          <w:p>
            <w:pPr>
              <w:jc w:val="right"/>
              <w:ind w:right="408"/>
              <w:spacing w:after="0"/>
              <w:rPr>
                <w:sz w:val="20"/>
                <w:szCs w:val="20"/>
                <w:color w:val="auto"/>
              </w:rPr>
            </w:pPr>
            <w:r>
              <w:rPr>
                <w:rFonts w:ascii="Arial" w:cs="Arial" w:eastAsia="Arial" w:hAnsi="Arial"/>
                <w:sz w:val="14"/>
                <w:szCs w:val="14"/>
                <w:color w:val="auto"/>
              </w:rPr>
              <w:t>6.7%</w:t>
            </w:r>
          </w:p>
        </w:tc>
        <w:tc>
          <w:tcPr>
            <w:tcW w:w="960" w:type="dxa"/>
            <w:vAlign w:val="bottom"/>
          </w:tcPr>
          <w:p>
            <w:pPr>
              <w:jc w:val="right"/>
              <w:ind w:right="88"/>
              <w:spacing w:after="0"/>
              <w:rPr>
                <w:sz w:val="20"/>
                <w:szCs w:val="20"/>
                <w:color w:val="auto"/>
              </w:rPr>
            </w:pPr>
            <w:r>
              <w:rPr>
                <w:rFonts w:ascii="Arial" w:cs="Arial" w:eastAsia="Arial" w:hAnsi="Arial"/>
                <w:sz w:val="14"/>
                <w:szCs w:val="14"/>
                <w:color w:val="auto"/>
              </w:rPr>
              <w:t>(20)</w:t>
            </w:r>
          </w:p>
        </w:tc>
        <w:tc>
          <w:tcPr>
            <w:tcW w:w="400" w:type="dxa"/>
            <w:vAlign w:val="bottom"/>
          </w:tcPr>
          <w:p>
            <w:pPr>
              <w:ind w:left="160"/>
              <w:spacing w:after="0"/>
              <w:rPr>
                <w:sz w:val="20"/>
                <w:szCs w:val="20"/>
                <w:color w:val="auto"/>
              </w:rPr>
            </w:pPr>
            <w:r>
              <w:rPr>
                <w:rFonts w:ascii="Arial" w:cs="Arial" w:eastAsia="Arial" w:hAnsi="Arial"/>
                <w:sz w:val="14"/>
                <w:szCs w:val="14"/>
                <w:color w:val="auto"/>
                <w:w w:val="97"/>
              </w:rPr>
              <w:t>bps</w:t>
            </w:r>
          </w:p>
        </w:tc>
      </w:tr>
      <w:tr>
        <w:trPr>
          <w:trHeight w:val="242"/>
        </w:trPr>
        <w:tc>
          <w:tcPr>
            <w:tcW w:w="2640" w:type="dxa"/>
            <w:vAlign w:val="bottom"/>
          </w:tcPr>
          <w:p>
            <w:pPr>
              <w:ind w:left="160"/>
              <w:spacing w:after="0"/>
              <w:rPr>
                <w:sz w:val="20"/>
                <w:szCs w:val="20"/>
                <w:color w:val="auto"/>
              </w:rPr>
            </w:pPr>
            <w:r>
              <w:rPr>
                <w:rFonts w:ascii="Arial" w:cs="Arial" w:eastAsia="Arial" w:hAnsi="Arial"/>
                <w:sz w:val="14"/>
                <w:szCs w:val="14"/>
                <w:color w:val="auto"/>
              </w:rPr>
              <w:t>Travel &amp; Recreation Group</w:t>
            </w:r>
          </w:p>
        </w:tc>
        <w:tc>
          <w:tcPr>
            <w:tcW w:w="1760" w:type="dxa"/>
            <w:vAlign w:val="bottom"/>
          </w:tcPr>
          <w:p>
            <w:pPr>
              <w:jc w:val="right"/>
              <w:ind w:right="428"/>
              <w:spacing w:after="0"/>
              <w:rPr>
                <w:sz w:val="20"/>
                <w:szCs w:val="20"/>
                <w:color w:val="auto"/>
              </w:rPr>
            </w:pPr>
            <w:r>
              <w:rPr>
                <w:rFonts w:ascii="Arial" w:cs="Arial" w:eastAsia="Arial" w:hAnsi="Arial"/>
                <w:sz w:val="14"/>
                <w:szCs w:val="14"/>
                <w:color w:val="auto"/>
              </w:rPr>
              <w:t>-61.5%</w:t>
            </w:r>
          </w:p>
        </w:tc>
        <w:tc>
          <w:tcPr>
            <w:tcW w:w="1440" w:type="dxa"/>
            <w:vAlign w:val="bottom"/>
          </w:tcPr>
          <w:p>
            <w:pPr>
              <w:jc w:val="right"/>
              <w:ind w:right="408"/>
              <w:spacing w:after="0"/>
              <w:rPr>
                <w:sz w:val="20"/>
                <w:szCs w:val="20"/>
                <w:color w:val="auto"/>
              </w:rPr>
            </w:pPr>
            <w:r>
              <w:rPr>
                <w:rFonts w:ascii="Arial" w:cs="Arial" w:eastAsia="Arial" w:hAnsi="Arial"/>
                <w:sz w:val="14"/>
                <w:szCs w:val="14"/>
                <w:color w:val="auto"/>
              </w:rPr>
              <w:t>-58.5%</w:t>
            </w:r>
          </w:p>
        </w:tc>
        <w:tc>
          <w:tcPr>
            <w:tcW w:w="960" w:type="dxa"/>
            <w:vAlign w:val="bottom"/>
          </w:tcPr>
          <w:p>
            <w:pPr>
              <w:jc w:val="right"/>
              <w:ind w:right="88"/>
              <w:spacing w:after="0"/>
              <w:rPr>
                <w:sz w:val="20"/>
                <w:szCs w:val="20"/>
                <w:color w:val="auto"/>
              </w:rPr>
            </w:pPr>
            <w:r>
              <w:rPr>
                <w:rFonts w:ascii="Arial" w:cs="Arial" w:eastAsia="Arial" w:hAnsi="Arial"/>
                <w:sz w:val="14"/>
                <w:szCs w:val="14"/>
                <w:color w:val="auto"/>
              </w:rPr>
              <w:t>(300)</w:t>
            </w:r>
          </w:p>
        </w:tc>
        <w:tc>
          <w:tcPr>
            <w:tcW w:w="400" w:type="dxa"/>
            <w:vAlign w:val="bottom"/>
          </w:tcPr>
          <w:p>
            <w:pPr>
              <w:ind w:left="160"/>
              <w:spacing w:after="0"/>
              <w:rPr>
                <w:sz w:val="20"/>
                <w:szCs w:val="20"/>
                <w:color w:val="auto"/>
              </w:rPr>
            </w:pPr>
            <w:r>
              <w:rPr>
                <w:rFonts w:ascii="Arial" w:cs="Arial" w:eastAsia="Arial" w:hAnsi="Arial"/>
                <w:sz w:val="14"/>
                <w:szCs w:val="14"/>
                <w:color w:val="auto"/>
                <w:w w:val="97"/>
              </w:rPr>
              <w:t>bps</w:t>
            </w:r>
          </w:p>
        </w:tc>
      </w:tr>
      <w:tr>
        <w:trPr>
          <w:trHeight w:val="242"/>
        </w:trPr>
        <w:tc>
          <w:tcPr>
            <w:tcW w:w="2640" w:type="dxa"/>
            <w:vAlign w:val="bottom"/>
          </w:tcPr>
          <w:p>
            <w:pPr>
              <w:ind w:left="40"/>
              <w:spacing w:after="0"/>
              <w:rPr>
                <w:sz w:val="20"/>
                <w:szCs w:val="20"/>
                <w:color w:val="auto"/>
              </w:rPr>
            </w:pPr>
            <w:r>
              <w:rPr>
                <w:rFonts w:ascii="Arial" w:cs="Arial" w:eastAsia="Arial" w:hAnsi="Arial"/>
                <w:sz w:val="14"/>
                <w:szCs w:val="14"/>
                <w:color w:val="auto"/>
              </w:rPr>
              <w:t>Total</w:t>
            </w:r>
          </w:p>
        </w:tc>
        <w:tc>
          <w:tcPr>
            <w:tcW w:w="1760" w:type="dxa"/>
            <w:vAlign w:val="bottom"/>
          </w:tcPr>
          <w:p>
            <w:pPr>
              <w:jc w:val="right"/>
              <w:ind w:right="428"/>
              <w:spacing w:after="0"/>
              <w:rPr>
                <w:sz w:val="20"/>
                <w:szCs w:val="20"/>
                <w:color w:val="auto"/>
              </w:rPr>
            </w:pPr>
            <w:r>
              <w:rPr>
                <w:rFonts w:ascii="Arial" w:cs="Arial" w:eastAsia="Arial" w:hAnsi="Arial"/>
                <w:sz w:val="14"/>
                <w:szCs w:val="14"/>
                <w:color w:val="auto"/>
              </w:rPr>
              <w:t>4.7%</w:t>
            </w:r>
          </w:p>
        </w:tc>
        <w:tc>
          <w:tcPr>
            <w:tcW w:w="1440" w:type="dxa"/>
            <w:vAlign w:val="bottom"/>
          </w:tcPr>
          <w:p>
            <w:pPr>
              <w:jc w:val="right"/>
              <w:ind w:right="408"/>
              <w:spacing w:after="0"/>
              <w:rPr>
                <w:sz w:val="20"/>
                <w:szCs w:val="20"/>
                <w:color w:val="auto"/>
              </w:rPr>
            </w:pPr>
            <w:r>
              <w:rPr>
                <w:rFonts w:ascii="Arial" w:cs="Arial" w:eastAsia="Arial" w:hAnsi="Arial"/>
                <w:sz w:val="14"/>
                <w:szCs w:val="14"/>
                <w:color w:val="auto"/>
              </w:rPr>
              <w:t>4.8%</w:t>
            </w:r>
          </w:p>
        </w:tc>
        <w:tc>
          <w:tcPr>
            <w:tcW w:w="960" w:type="dxa"/>
            <w:vAlign w:val="bottom"/>
          </w:tcPr>
          <w:p>
            <w:pPr>
              <w:jc w:val="right"/>
              <w:ind w:right="88"/>
              <w:spacing w:after="0"/>
              <w:rPr>
                <w:sz w:val="20"/>
                <w:szCs w:val="20"/>
                <w:color w:val="auto"/>
              </w:rPr>
            </w:pPr>
            <w:r>
              <w:rPr>
                <w:rFonts w:ascii="Arial" w:cs="Arial" w:eastAsia="Arial" w:hAnsi="Arial"/>
                <w:sz w:val="14"/>
                <w:szCs w:val="14"/>
                <w:color w:val="auto"/>
              </w:rPr>
              <w:t>(10)</w:t>
            </w:r>
          </w:p>
        </w:tc>
        <w:tc>
          <w:tcPr>
            <w:tcW w:w="400" w:type="dxa"/>
            <w:vAlign w:val="bottom"/>
          </w:tcPr>
          <w:p>
            <w:pPr>
              <w:ind w:left="160"/>
              <w:spacing w:after="0"/>
              <w:rPr>
                <w:sz w:val="20"/>
                <w:szCs w:val="20"/>
                <w:color w:val="auto"/>
              </w:rPr>
            </w:pPr>
            <w:r>
              <w:rPr>
                <w:rFonts w:ascii="Arial" w:cs="Arial" w:eastAsia="Arial" w:hAnsi="Arial"/>
                <w:sz w:val="14"/>
                <w:szCs w:val="14"/>
                <w:color w:val="auto"/>
                <w:w w:val="97"/>
              </w:rPr>
              <w:t>bps</w:t>
            </w:r>
          </w:p>
        </w:tc>
      </w:tr>
    </w:tbl>
    <w:p>
      <w:pPr>
        <w:spacing w:after="0" w:line="211" w:lineRule="exact"/>
        <w:rPr>
          <w:sz w:val="20"/>
          <w:szCs w:val="20"/>
          <w:color w:val="auto"/>
        </w:rPr>
      </w:pPr>
    </w:p>
    <w:p>
      <w:pPr>
        <w:ind w:left="120"/>
        <w:spacing w:after="0"/>
        <w:rPr>
          <w:sz w:val="20"/>
          <w:szCs w:val="20"/>
          <w:color w:val="auto"/>
        </w:rPr>
      </w:pPr>
      <w:r>
        <w:rPr>
          <w:rFonts w:ascii="Arial" w:cs="Arial" w:eastAsia="Arial" w:hAnsi="Arial"/>
          <w:sz w:val="14"/>
          <w:szCs w:val="14"/>
          <w:i w:val="1"/>
          <w:iCs w:val="1"/>
          <w:color w:val="auto"/>
        </w:rPr>
        <w:t>Note: Calculated amounts presented above (including totals and percentages) are calculated using dollars in thousands.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i w:val="1"/>
          <w:iCs w:val="1"/>
          <w:color w:val="auto"/>
        </w:rPr>
        <w:t>Marketing &amp; Events Group</w:t>
      </w:r>
    </w:p>
    <w:p>
      <w:pPr>
        <w:spacing w:after="0" w:line="221" w:lineRule="exact"/>
        <w:rPr>
          <w:sz w:val="20"/>
          <w:szCs w:val="20"/>
          <w:color w:val="auto"/>
        </w:rPr>
      </w:pPr>
    </w:p>
    <w:p>
      <w:pPr>
        <w:jc w:val="both"/>
        <w:ind w:right="500"/>
        <w:spacing w:after="0" w:line="277" w:lineRule="auto"/>
        <w:rPr>
          <w:sz w:val="20"/>
          <w:szCs w:val="20"/>
          <w:color w:val="auto"/>
        </w:rPr>
      </w:pPr>
      <w:r>
        <w:rPr>
          <w:rFonts w:ascii="Times New Roman" w:cs="Times New Roman" w:eastAsia="Times New Roman" w:hAnsi="Times New Roman"/>
          <w:sz w:val="21"/>
          <w:szCs w:val="21"/>
          <w:color w:val="auto"/>
        </w:rPr>
        <w:t>For the first quarter of 2014, the Marketing &amp; Events Group posted revenues of $277.8 million and operating income of $18.2 million. These results were closely in line with 2013 first quarter results and at the high end of the Company's prior guidance.</w:t>
      </w:r>
    </w:p>
    <w:p>
      <w:pPr>
        <w:spacing w:after="0" w:line="141" w:lineRule="exact"/>
        <w:rPr>
          <w:sz w:val="20"/>
          <w:szCs w:val="20"/>
          <w:color w:val="auto"/>
        </w:rPr>
      </w:pPr>
    </w:p>
    <w:p>
      <w:pPr>
        <w:ind w:right="20"/>
        <w:spacing w:after="0" w:line="247" w:lineRule="auto"/>
        <w:rPr>
          <w:sz w:val="20"/>
          <w:szCs w:val="20"/>
          <w:color w:val="auto"/>
        </w:rPr>
      </w:pPr>
      <w:r>
        <w:rPr>
          <w:rFonts w:ascii="Times New Roman" w:cs="Times New Roman" w:eastAsia="Times New Roman" w:hAnsi="Times New Roman"/>
          <w:sz w:val="21"/>
          <w:szCs w:val="21"/>
          <w:color w:val="auto"/>
        </w:rPr>
        <w:t>U.S. segment revenue was $221.4 million as compared to 2013 revenue of $218.3 million. Segment operating income increased 12.3 percent to $15.9 million versus the first quarter of 2013. Results for the quarter were impacted by positive show rotation of approximately $38 million and base same-show revenue growth of 3.9 percent, which more than offset the loss of The International Consumer Electronics Show. Base same-show revenue is defined as revenue from shows that take place in the same city during the same quarter each year. The improvement in operating results on relatively flat revenue was primarily driven by our continued cost structure improvements and higher accruals for performance-based incentives during the 2013 first quarter.</w:t>
      </w:r>
    </w:p>
    <w:p>
      <w:pPr>
        <w:sectPr>
          <w:pgSz w:w="11900" w:h="16838" w:orient="portrait"/>
          <w:cols w:equalWidth="0" w:num="1">
            <w:col w:w="11340"/>
          </w:cols>
          <w:pgMar w:left="420" w:top="108" w:right="139" w:bottom="0" w:gutter="0" w:footer="0" w:header="0"/>
        </w:sectPr>
      </w:pPr>
    </w:p>
    <w:bookmarkStart w:id="3" w:name="page4"/>
    <w:bookmarkEnd w:id="3"/>
    <w:p>
      <w:pPr>
        <w:spacing w:after="0" w:line="249" w:lineRule="auto"/>
        <w:rPr>
          <w:sz w:val="20"/>
          <w:szCs w:val="20"/>
          <w:color w:val="auto"/>
        </w:rPr>
      </w:pPr>
      <w:r>
        <w:rPr>
          <w:rFonts w:ascii="Times New Roman" w:cs="Times New Roman" w:eastAsia="Times New Roman" w:hAnsi="Times New Roman"/>
          <w:sz w:val="21"/>
          <w:szCs w:val="21"/>
          <w:color w:val="auto"/>
        </w:rPr>
        <w:t>International segment revenue was $58.7 million compared to $60.0 million in the first quarter of 2013. Operating income was $2.3 million as compared to $4.4 million during the 2013 quarter. Foreign exchange rate variances had a favorable impact on revenue an operating income of approximately $1.1 million and $48,000, respectively, as compared to the 2013 first quarter. Excluding foreign exchange rate variances, revenue decreased by approximately $2.4 million, primarily driven by negative show rotation revenue of approximately $3 million. The decrease in operating income reflected lower revenue as well as changes in the mix of business.</w:t>
      </w:r>
    </w:p>
    <w:p>
      <w:pPr>
        <w:spacing w:after="0" w:line="171" w:lineRule="exact"/>
        <w:rPr>
          <w:sz w:val="20"/>
          <w:szCs w:val="20"/>
          <w:color w:val="auto"/>
        </w:rPr>
      </w:pPr>
    </w:p>
    <w:p>
      <w:pPr>
        <w:spacing w:after="0" w:line="249" w:lineRule="auto"/>
        <w:rPr>
          <w:sz w:val="20"/>
          <w:szCs w:val="20"/>
          <w:color w:val="auto"/>
        </w:rPr>
      </w:pPr>
      <w:r>
        <w:rPr>
          <w:rFonts w:ascii="Times New Roman" w:cs="Times New Roman" w:eastAsia="Times New Roman" w:hAnsi="Times New Roman"/>
          <w:sz w:val="21"/>
          <w:szCs w:val="21"/>
          <w:color w:val="auto"/>
        </w:rPr>
        <w:t>Dykstra said, "This was a strong quarter for the Marketing &amp; Events Group. Our U.S. segment continued to drive margin improvement, posting a 70 basis point increase in U.S. segment operating margin as compared to the 2013 first quarter and driving 12 percent increase in U.S. segment operating income. During the quarter, we produced the largest tradeshow in North America, CONEXPO/CON-AGG and IFPE, which set new records for both exhibit space and number of exhibitors. We also continue to mak solid progress on the business development front, with some key wins and renewals during the quarter."</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i w:val="1"/>
          <w:iCs w:val="1"/>
          <w:color w:val="auto"/>
        </w:rPr>
        <w:t>Travel &amp; Recreation Group</w:t>
      </w:r>
    </w:p>
    <w:p>
      <w:pPr>
        <w:spacing w:after="0" w:line="221" w:lineRule="exact"/>
        <w:rPr>
          <w:sz w:val="20"/>
          <w:szCs w:val="20"/>
          <w:color w:val="auto"/>
        </w:rPr>
      </w:pPr>
    </w:p>
    <w:p>
      <w:pPr>
        <w:ind w:right="60"/>
        <w:spacing w:after="0" w:line="259" w:lineRule="auto"/>
        <w:rPr>
          <w:sz w:val="20"/>
          <w:szCs w:val="20"/>
          <w:color w:val="auto"/>
        </w:rPr>
      </w:pPr>
      <w:r>
        <w:rPr>
          <w:rFonts w:ascii="Times New Roman" w:cs="Times New Roman" w:eastAsia="Times New Roman" w:hAnsi="Times New Roman"/>
          <w:sz w:val="21"/>
          <w:szCs w:val="21"/>
          <w:color w:val="auto"/>
        </w:rPr>
        <w:t>Travel &amp; Recreation Group revenue for the seasonally slow first quarter was $7.8 million with an operating loss of $4.8 million, as compared to 2013 first quarter revenue of $8.4 million and operating loss of $4.9 million. Foreign exchange rate variances versus 2013 had an unfavorable impact on revenue of $614,000 and a favorable impact on operating income of $243,000.</w:t>
      </w:r>
    </w:p>
    <w:p>
      <w:pPr>
        <w:spacing w:after="0" w:line="158"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1"/>
          <w:szCs w:val="21"/>
          <w:color w:val="auto"/>
        </w:rPr>
        <w:t>Dykstra said, "Operating results for the Travel &amp; Recreation Group during the seasonally slow first quarter were slightly better than our prior guidance, with stronger occupancy at Grouse Mountain Lodge. We look forward to the segment's substantial profit contributions during the summer tourism season."</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2014 Outlook</w:t>
      </w:r>
    </w:p>
    <w:p>
      <w:pPr>
        <w:spacing w:after="0" w:line="219"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21"/>
          <w:szCs w:val="21"/>
          <w:color w:val="auto"/>
        </w:rPr>
        <w:t>Guidance provided by Viad is subject to change as a variety of factors can affect actual results. Those factors are identified in the safe harbor language at the end of this press release.</w:t>
      </w:r>
    </w:p>
    <w:p>
      <w:pPr>
        <w:spacing w:after="0" w:line="141" w:lineRule="exact"/>
        <w:rPr>
          <w:sz w:val="20"/>
          <w:szCs w:val="20"/>
          <w:color w:val="auto"/>
        </w:rPr>
      </w:pPr>
    </w:p>
    <w:p>
      <w:pPr>
        <w:ind w:right="60"/>
        <w:spacing w:after="0" w:line="247" w:lineRule="auto"/>
        <w:rPr>
          <w:sz w:val="20"/>
          <w:szCs w:val="20"/>
          <w:color w:val="auto"/>
        </w:rPr>
      </w:pPr>
      <w:r>
        <w:rPr>
          <w:rFonts w:ascii="Times New Roman" w:cs="Times New Roman" w:eastAsia="Times New Roman" w:hAnsi="Times New Roman"/>
          <w:sz w:val="21"/>
          <w:szCs w:val="21"/>
          <w:color w:val="auto"/>
        </w:rPr>
        <w:t>Dykstra said, "We delivered strong first quarter results and expect significant growth for the full year. We expect the Marketing &amp; Events Group to benefit from continued industry growth, positive show rotation and our relentless focus on driving efficiencies to improve operating margins. In our Travel &amp; Recreation Group, we are excited to open the Glacier Skywalk attraction this May and are focused on driving operating efficiencies within the business. Overall, we expect another year of improved margins from both business units and we are keenly focused on business development opportunities to drive profitable top line growth and enhanced shareholder value."</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2014 Full Year Guidance</w:t>
      </w:r>
    </w:p>
    <w:p>
      <w:pPr>
        <w:spacing w:after="0" w:line="21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i w:val="1"/>
          <w:iCs w:val="1"/>
          <w:color w:val="auto"/>
        </w:rPr>
        <w:t>Marketing &amp; Events Group</w:t>
      </w: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Revenue </w:t>
      </w:r>
      <w:r>
        <w:rPr>
          <w:rFonts w:ascii="Times New Roman" w:cs="Times New Roman" w:eastAsia="Times New Roman" w:hAnsi="Times New Roman"/>
          <w:sz w:val="21"/>
          <w:szCs w:val="21"/>
          <w:color w:val="auto"/>
        </w:rPr>
        <w:t>is expected to increase at a high single to low double-digit rate from $844.9 million in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-85725</wp:posOffset>
            </wp:positionV>
            <wp:extent cx="67945" cy="679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8" w:lineRule="exact"/>
        <w:rPr>
          <w:sz w:val="20"/>
          <w:szCs w:val="20"/>
          <w:color w:val="auto"/>
        </w:rPr>
      </w:pPr>
    </w:p>
    <w:p>
      <w:pPr>
        <w:ind w:left="1080" w:right="380"/>
        <w:spacing w:after="0"/>
        <w:rPr>
          <w:sz w:val="20"/>
          <w:szCs w:val="20"/>
          <w:color w:val="auto"/>
        </w:rPr>
      </w:pPr>
      <w:r>
        <w:rPr>
          <w:rFonts w:ascii="Times New Roman" w:cs="Times New Roman" w:eastAsia="Times New Roman" w:hAnsi="Times New Roman"/>
          <w:sz w:val="21"/>
          <w:szCs w:val="21"/>
          <w:b w:val="1"/>
          <w:bCs w:val="1"/>
          <w:color w:val="auto"/>
        </w:rPr>
        <w:t xml:space="preserve">Base same-show revenue </w:t>
      </w:r>
      <w:r>
        <w:rPr>
          <w:rFonts w:ascii="Times New Roman" w:cs="Times New Roman" w:eastAsia="Times New Roman" w:hAnsi="Times New Roman"/>
          <w:sz w:val="21"/>
          <w:szCs w:val="21"/>
          <w:color w:val="auto"/>
        </w:rPr>
        <w:t>is expected to increase at a low to mid single-digit rate in the U.S. Base same shows are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defined as shows that take place in the same city during the same quarter each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534035</wp:posOffset>
            </wp:positionH>
            <wp:positionV relativeFrom="paragraph">
              <wp:posOffset>-257175</wp:posOffset>
            </wp:positionV>
            <wp:extent cx="67945" cy="679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ind w:left="1080" w:right="240"/>
        <w:spacing w:after="0" w:line="247" w:lineRule="auto"/>
        <w:rPr>
          <w:sz w:val="20"/>
          <w:szCs w:val="20"/>
          <w:color w:val="auto"/>
        </w:rPr>
      </w:pPr>
      <w:r>
        <w:rPr>
          <w:rFonts w:ascii="Times New Roman" w:cs="Times New Roman" w:eastAsia="Times New Roman" w:hAnsi="Times New Roman"/>
          <w:sz w:val="21"/>
          <w:szCs w:val="21"/>
          <w:b w:val="1"/>
          <w:bCs w:val="1"/>
          <w:color w:val="auto"/>
        </w:rPr>
        <w:t xml:space="preserve">Show rotation </w:t>
      </w:r>
      <w:r>
        <w:rPr>
          <w:rFonts w:ascii="Times New Roman" w:cs="Times New Roman" w:eastAsia="Times New Roman" w:hAnsi="Times New Roman"/>
          <w:sz w:val="21"/>
          <w:szCs w:val="21"/>
          <w:color w:val="auto"/>
        </w:rPr>
        <w:t>is expected to have a net positive impact on full year revenue of approximately $60 million. Show</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rotation refers to shows that occur less frequently than annually, as well as annual shows that shift quarters from one year to the next.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534035</wp:posOffset>
            </wp:positionH>
            <wp:positionV relativeFrom="paragraph">
              <wp:posOffset>-423545</wp:posOffset>
            </wp:positionV>
            <wp:extent cx="67945" cy="679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46"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1"/>
          <w:szCs w:val="21"/>
          <w:i w:val="1"/>
          <w:iCs w:val="1"/>
          <w:color w:val="auto"/>
        </w:rPr>
        <w:t xml:space="preserve">First quarter </w:t>
      </w:r>
      <w:r>
        <w:rPr>
          <w:rFonts w:ascii="Times New Roman" w:cs="Times New Roman" w:eastAsia="Times New Roman" w:hAnsi="Times New Roman"/>
          <w:sz w:val="21"/>
          <w:szCs w:val="21"/>
          <w:color w:val="auto"/>
        </w:rPr>
        <w:t>show rotation had a positive impact on revenue of approximately $35 million.</w:t>
      </w:r>
    </w:p>
    <w:p>
      <w:pPr>
        <w:spacing w:after="0" w:line="215"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1"/>
          <w:szCs w:val="21"/>
          <w:i w:val="1"/>
          <w:iCs w:val="1"/>
          <w:color w:val="auto"/>
        </w:rPr>
        <w:t xml:space="preserve">Second quarter </w:t>
      </w:r>
      <w:r>
        <w:rPr>
          <w:rFonts w:ascii="Times New Roman" w:cs="Times New Roman" w:eastAsia="Times New Roman" w:hAnsi="Times New Roman"/>
          <w:sz w:val="21"/>
          <w:szCs w:val="21"/>
          <w:color w:val="auto"/>
        </w:rPr>
        <w:t>show rotation is expected to negatively impact revenue by approximately $10 million.</w:t>
      </w:r>
    </w:p>
    <w:p>
      <w:pPr>
        <w:spacing w:after="0" w:line="215"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1"/>
          <w:szCs w:val="21"/>
          <w:i w:val="1"/>
          <w:iCs w:val="1"/>
          <w:color w:val="auto"/>
        </w:rPr>
        <w:t xml:space="preserve">Third quarter </w:t>
      </w:r>
      <w:r>
        <w:rPr>
          <w:rFonts w:ascii="Times New Roman" w:cs="Times New Roman" w:eastAsia="Times New Roman" w:hAnsi="Times New Roman"/>
          <w:sz w:val="21"/>
          <w:szCs w:val="21"/>
          <w:color w:val="auto"/>
        </w:rPr>
        <w:t>show rotation is expected to positively impact revenue by approximately $45 million.</w:t>
      </w:r>
    </w:p>
    <w:p>
      <w:pPr>
        <w:spacing w:after="0" w:line="215"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1"/>
          <w:szCs w:val="21"/>
          <w:i w:val="1"/>
          <w:iCs w:val="1"/>
          <w:color w:val="auto"/>
        </w:rPr>
        <w:t xml:space="preserve">Fourth quarter </w:t>
      </w:r>
      <w:r>
        <w:rPr>
          <w:rFonts w:ascii="Times New Roman" w:cs="Times New Roman" w:eastAsia="Times New Roman" w:hAnsi="Times New Roman"/>
          <w:sz w:val="21"/>
          <w:szCs w:val="21"/>
          <w:color w:val="auto"/>
        </w:rPr>
        <w:t>show rotation is expected to negatively impact revenue by approximately $10 million.</w:t>
      </w:r>
    </w:p>
    <w:p>
      <w:pPr>
        <w:spacing w:after="0" w:line="215"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1"/>
          <w:szCs w:val="21"/>
          <w:b w:val="1"/>
          <w:bCs w:val="1"/>
          <w:color w:val="auto"/>
        </w:rPr>
        <w:t xml:space="preserve">Exchange rate variances </w:t>
      </w:r>
      <w:r>
        <w:rPr>
          <w:rFonts w:ascii="Times New Roman" w:cs="Times New Roman" w:eastAsia="Times New Roman" w:hAnsi="Times New Roman"/>
          <w:sz w:val="21"/>
          <w:szCs w:val="21"/>
          <w:color w:val="auto"/>
        </w:rPr>
        <w:t>are not expected to have a meaningful impact on results versus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534035</wp:posOffset>
            </wp:positionH>
            <wp:positionV relativeFrom="paragraph">
              <wp:posOffset>-85725</wp:posOffset>
            </wp:positionV>
            <wp:extent cx="67945" cy="679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8" w:lineRule="exact"/>
        <w:rPr>
          <w:sz w:val="20"/>
          <w:szCs w:val="20"/>
          <w:color w:val="auto"/>
        </w:rPr>
      </w:pPr>
    </w:p>
    <w:p>
      <w:pPr>
        <w:ind w:left="540" w:right="340"/>
        <w:spacing w:after="0" w:line="254" w:lineRule="auto"/>
        <w:rPr>
          <w:sz w:val="20"/>
          <w:szCs w:val="20"/>
          <w:color w:val="auto"/>
        </w:rPr>
      </w:pPr>
      <w:r>
        <w:rPr>
          <w:rFonts w:ascii="Times New Roman" w:cs="Times New Roman" w:eastAsia="Times New Roman" w:hAnsi="Times New Roman"/>
          <w:sz w:val="21"/>
          <w:szCs w:val="21"/>
          <w:b w:val="1"/>
          <w:bCs w:val="1"/>
          <w:color w:val="auto"/>
        </w:rPr>
        <w:t xml:space="preserve">Operating margins </w:t>
      </w:r>
      <w:r>
        <w:rPr>
          <w:rFonts w:ascii="Times New Roman" w:cs="Times New Roman" w:eastAsia="Times New Roman" w:hAnsi="Times New Roman"/>
          <w:sz w:val="21"/>
          <w:szCs w:val="21"/>
          <w:color w:val="auto"/>
        </w:rPr>
        <w:t>are expected to reach approximately 4 percent, compared to 2.4 percent in 2013, driven primarily by</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continued improvements in U.S. segment profitability.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-274955</wp:posOffset>
            </wp:positionV>
            <wp:extent cx="67945" cy="679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i w:val="1"/>
          <w:iCs w:val="1"/>
          <w:color w:val="auto"/>
        </w:rPr>
        <w:t>Travel &amp; Recreation Group</w:t>
      </w:r>
    </w:p>
    <w:p>
      <w:pPr>
        <w:spacing w:after="0" w:line="217" w:lineRule="exact"/>
        <w:rPr>
          <w:sz w:val="20"/>
          <w:szCs w:val="20"/>
          <w:color w:val="auto"/>
        </w:rPr>
      </w:pPr>
    </w:p>
    <w:p>
      <w:pPr>
        <w:ind w:left="540" w:right="240"/>
        <w:spacing w:after="0" w:line="254" w:lineRule="auto"/>
        <w:rPr>
          <w:sz w:val="20"/>
          <w:szCs w:val="20"/>
          <w:color w:val="auto"/>
        </w:rPr>
      </w:pPr>
      <w:r>
        <w:rPr>
          <w:rFonts w:ascii="Times New Roman" w:cs="Times New Roman" w:eastAsia="Times New Roman" w:hAnsi="Times New Roman"/>
          <w:sz w:val="21"/>
          <w:szCs w:val="21"/>
          <w:b w:val="1"/>
          <w:bCs w:val="1"/>
          <w:color w:val="auto"/>
        </w:rPr>
        <w:t xml:space="preserve">Revenue </w:t>
      </w:r>
      <w:r>
        <w:rPr>
          <w:rFonts w:ascii="Times New Roman" w:cs="Times New Roman" w:eastAsia="Times New Roman" w:hAnsi="Times New Roman"/>
          <w:sz w:val="21"/>
          <w:szCs w:val="21"/>
          <w:color w:val="auto"/>
        </w:rPr>
        <w:t>is expected to increase at a low to mid single-digit rate from $108.4 million in 2013. Exchange rate variances are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expected to negatively impact revenue by approximately $6 million versus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-257175</wp:posOffset>
            </wp:positionV>
            <wp:extent cx="67945" cy="679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Operating margins </w:t>
      </w:r>
      <w:r>
        <w:rPr>
          <w:rFonts w:ascii="Times New Roman" w:cs="Times New Roman" w:eastAsia="Times New Roman" w:hAnsi="Times New Roman"/>
          <w:sz w:val="21"/>
          <w:szCs w:val="21"/>
          <w:color w:val="auto"/>
        </w:rPr>
        <w:t>are expected to approximate 21 percent to 22 percent, up from 20.1 percent in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-103505</wp:posOffset>
            </wp:positionV>
            <wp:extent cx="67945" cy="679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i w:val="1"/>
          <w:iCs w:val="1"/>
          <w:color w:val="auto"/>
        </w:rPr>
        <w:t>Corporate &amp; Other</w:t>
      </w: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b w:val="1"/>
          <w:bCs w:val="1"/>
          <w:color w:val="auto"/>
        </w:rPr>
        <w:t xml:space="preserve">Corporate activities </w:t>
      </w:r>
      <w:r>
        <w:rPr>
          <w:rFonts w:ascii="Times New Roman" w:cs="Times New Roman" w:eastAsia="Times New Roman" w:hAnsi="Times New Roman"/>
          <w:sz w:val="21"/>
          <w:szCs w:val="21"/>
          <w:color w:val="auto"/>
        </w:rPr>
        <w:t>expense is expected to approximate $9.0 million to $9.5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-85725</wp:posOffset>
            </wp:positionV>
            <wp:extent cx="67945" cy="679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8" w:lineRule="exact"/>
        <w:rPr>
          <w:sz w:val="20"/>
          <w:szCs w:val="20"/>
          <w:color w:val="auto"/>
        </w:rPr>
      </w:pPr>
    </w:p>
    <w:p>
      <w:pPr>
        <w:ind w:left="540" w:right="220"/>
        <w:spacing w:after="0" w:line="247" w:lineRule="auto"/>
        <w:rPr>
          <w:sz w:val="20"/>
          <w:szCs w:val="20"/>
          <w:color w:val="auto"/>
        </w:rPr>
      </w:pPr>
      <w:r>
        <w:rPr>
          <w:rFonts w:ascii="Times New Roman" w:cs="Times New Roman" w:eastAsia="Times New Roman" w:hAnsi="Times New Roman"/>
          <w:sz w:val="21"/>
          <w:szCs w:val="21"/>
          <w:b w:val="1"/>
          <w:bCs w:val="1"/>
          <w:color w:val="auto"/>
        </w:rPr>
        <w:t xml:space="preserve">Exchange rates </w:t>
      </w:r>
      <w:r>
        <w:rPr>
          <w:rFonts w:ascii="Times New Roman" w:cs="Times New Roman" w:eastAsia="Times New Roman" w:hAnsi="Times New Roman"/>
          <w:sz w:val="21"/>
          <w:szCs w:val="21"/>
          <w:color w:val="auto"/>
        </w:rPr>
        <w:t>are assumed to approximate $0.90 U.S. Dollars per Canadian Dollar and $1.64 U.S. Dollars per British</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Pound (on a weighted-average basis). Exchange rate variances are expected to negatively impact income by approximately $0.04 per share versus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-423545</wp:posOffset>
            </wp:positionV>
            <wp:extent cx="67945" cy="679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ectPr>
          <w:pgSz w:w="11900" w:h="16838" w:orient="portrait"/>
          <w:cols w:equalWidth="0" w:num="1">
            <w:col w:w="11320"/>
          </w:cols>
          <w:pgMar w:left="420" w:top="112" w:right="159" w:bottom="0" w:gutter="0" w:footer="0" w:header="0"/>
        </w:sectPr>
      </w:pPr>
    </w:p>
    <w:bookmarkStart w:id="4" w:name="page5"/>
    <w:bookmarkEnd w:id="4"/>
    <w:p>
      <w:pPr>
        <w:ind w:left="540" w:right="140"/>
        <w:spacing w:after="0" w:line="282" w:lineRule="auto"/>
        <w:rPr>
          <w:sz w:val="20"/>
          <w:szCs w:val="20"/>
          <w:color w:val="auto"/>
        </w:rPr>
      </w:pPr>
      <w:r>
        <w:rPr>
          <w:rFonts w:ascii="Times New Roman" w:cs="Times New Roman" w:eastAsia="Times New Roman" w:hAnsi="Times New Roman"/>
          <w:sz w:val="21"/>
          <w:szCs w:val="21"/>
          <w:b w:val="1"/>
          <w:bCs w:val="1"/>
          <w:color w:val="auto"/>
        </w:rPr>
        <w:t xml:space="preserve">The effective tax rate </w:t>
      </w:r>
      <w:r>
        <w:rPr>
          <w:rFonts w:ascii="Times New Roman" w:cs="Times New Roman" w:eastAsia="Times New Roman" w:hAnsi="Times New Roman"/>
          <w:sz w:val="21"/>
          <w:szCs w:val="21"/>
          <w:color w:val="auto"/>
        </w:rPr>
        <w:t>on income before other items is assumed to approximate 28 percent to 30 percent, as compared to 32</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percent in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-292100</wp:posOffset>
            </wp:positionV>
            <wp:extent cx="67945" cy="679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1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2014 Second Quarter Guidance</w:t>
      </w:r>
    </w:p>
    <w:p>
      <w:pPr>
        <w:spacing w:after="0" w:line="219"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21"/>
          <w:szCs w:val="21"/>
          <w:color w:val="auto"/>
        </w:rPr>
        <w:t>For the second quarter, Viad's income per share is expected to be in the range of $0.34 to $0.44. This compares to second quarter 2013 income before other items of $0.35 per share. Revenue is expected to be in the range of $237 million to $251 million as compared to $246.2 million in the 2013 second quarter. Segment operating income is expected to be in the range of $11.5 million to $15.0 million as compared to $11.5 million in 2013.</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Implicit within this guidance, are the following group revenue and operating income expectations:</w:t>
      </w:r>
    </w:p>
    <w:p>
      <w:pPr>
        <w:spacing w:after="0" w:line="308" w:lineRule="exact"/>
        <w:rPr>
          <w:sz w:val="20"/>
          <w:szCs w:val="20"/>
          <w:color w:val="auto"/>
        </w:rPr>
      </w:pPr>
    </w:p>
    <w:tbl>
      <w:tblPr>
        <w:tblLayout w:type="fixed"/>
        <w:tblInd w:w="100" w:type="dxa"/>
        <w:tblCellMar>
          <w:top w:w="0" w:type="dxa"/>
          <w:left w:w="0" w:type="dxa"/>
          <w:bottom w:w="0" w:type="dxa"/>
          <w:right w:w="0" w:type="dxa"/>
        </w:tblCellMar>
      </w:tblPr>
      <w:tr>
        <w:trPr>
          <w:trHeight w:val="176"/>
        </w:trPr>
        <w:tc>
          <w:tcPr>
            <w:tcW w:w="1800" w:type="dxa"/>
            <w:vAlign w:val="bottom"/>
          </w:tcPr>
          <w:p>
            <w:pPr>
              <w:spacing w:after="0"/>
              <w:rPr>
                <w:sz w:val="20"/>
                <w:szCs w:val="20"/>
                <w:color w:val="auto"/>
              </w:rPr>
            </w:pPr>
            <w:r>
              <w:rPr>
                <w:rFonts w:ascii="Arial" w:cs="Arial" w:eastAsia="Arial" w:hAnsi="Arial"/>
                <w:sz w:val="14"/>
                <w:szCs w:val="14"/>
                <w:i w:val="1"/>
                <w:iCs w:val="1"/>
                <w:color w:val="auto"/>
              </w:rPr>
              <w:t>($ in millions)</w:t>
            </w:r>
          </w:p>
        </w:tc>
        <w:tc>
          <w:tcPr>
            <w:tcW w:w="2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Group Revenue</w:t>
            </w:r>
          </w:p>
        </w:tc>
        <w:tc>
          <w:tcPr>
            <w:tcW w:w="52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2220" w:type="dxa"/>
            <w:vAlign w:val="bottom"/>
            <w:tcBorders>
              <w:bottom w:val="single" w:sz="8" w:color="auto"/>
            </w:tcBorders>
            <w:gridSpan w:val="4"/>
          </w:tcPr>
          <w:p>
            <w:pPr>
              <w:jc w:val="right"/>
              <w:ind w:right="368"/>
              <w:spacing w:after="0"/>
              <w:rPr>
                <w:sz w:val="20"/>
                <w:szCs w:val="20"/>
                <w:color w:val="auto"/>
              </w:rPr>
            </w:pPr>
            <w:r>
              <w:rPr>
                <w:rFonts w:ascii="Arial" w:cs="Arial" w:eastAsia="Arial" w:hAnsi="Arial"/>
                <w:sz w:val="14"/>
                <w:szCs w:val="14"/>
                <w:b w:val="1"/>
                <w:bCs w:val="1"/>
                <w:color w:val="auto"/>
              </w:rPr>
              <w:t>Group Operating Income</w:t>
            </w:r>
          </w:p>
        </w:tc>
      </w:tr>
      <w:tr>
        <w:trPr>
          <w:trHeight w:val="260"/>
        </w:trPr>
        <w:tc>
          <w:tcPr>
            <w:tcW w:w="18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940" w:type="dxa"/>
            <w:vAlign w:val="bottom"/>
            <w:gridSpan w:val="4"/>
          </w:tcPr>
          <w:p>
            <w:pPr>
              <w:ind w:left="380"/>
              <w:spacing w:after="0"/>
              <w:rPr>
                <w:sz w:val="20"/>
                <w:szCs w:val="20"/>
                <w:color w:val="auto"/>
              </w:rPr>
            </w:pPr>
            <w:r>
              <w:rPr>
                <w:rFonts w:ascii="Arial" w:cs="Arial" w:eastAsia="Arial" w:hAnsi="Arial"/>
                <w:sz w:val="14"/>
                <w:szCs w:val="14"/>
                <w:b w:val="1"/>
                <w:bCs w:val="1"/>
                <w:color w:val="auto"/>
              </w:rPr>
              <w:t>2014 Guidance</w:t>
            </w:r>
          </w:p>
        </w:tc>
        <w:tc>
          <w:tcPr>
            <w:tcW w:w="520" w:type="dxa"/>
            <w:vAlign w:val="bottom"/>
          </w:tcPr>
          <w:p>
            <w:pPr>
              <w:spacing w:after="0"/>
              <w:rPr>
                <w:sz w:val="22"/>
                <w:szCs w:val="22"/>
                <w:color w:val="auto"/>
              </w:rPr>
            </w:pPr>
          </w:p>
        </w:tc>
        <w:tc>
          <w:tcPr>
            <w:tcW w:w="1180" w:type="dxa"/>
            <w:vAlign w:val="bottom"/>
            <w:gridSpan w:val="2"/>
          </w:tcPr>
          <w:p>
            <w:pPr>
              <w:ind w:left="100"/>
              <w:spacing w:after="0"/>
              <w:rPr>
                <w:sz w:val="20"/>
                <w:szCs w:val="20"/>
                <w:color w:val="auto"/>
              </w:rPr>
            </w:pPr>
            <w:r>
              <w:rPr>
                <w:rFonts w:ascii="Arial" w:cs="Arial" w:eastAsia="Arial" w:hAnsi="Arial"/>
                <w:sz w:val="14"/>
                <w:szCs w:val="14"/>
                <w:b w:val="1"/>
                <w:bCs w:val="1"/>
                <w:color w:val="auto"/>
              </w:rPr>
              <w:t>2014 Guidance</w:t>
            </w:r>
          </w:p>
        </w:tc>
        <w:tc>
          <w:tcPr>
            <w:tcW w:w="520" w:type="dxa"/>
            <w:vAlign w:val="bottom"/>
          </w:tcPr>
          <w:p>
            <w:pPr>
              <w:spacing w:after="0"/>
              <w:rPr>
                <w:sz w:val="22"/>
                <w:szCs w:val="22"/>
                <w:color w:val="auto"/>
              </w:rPr>
            </w:pPr>
          </w:p>
        </w:tc>
      </w:tr>
      <w:tr>
        <w:trPr>
          <w:trHeight w:val="242"/>
        </w:trPr>
        <w:tc>
          <w:tcPr>
            <w:tcW w:w="18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Arial" w:cs="Arial" w:eastAsia="Arial" w:hAnsi="Arial"/>
                <w:sz w:val="14"/>
                <w:szCs w:val="14"/>
                <w:b w:val="1"/>
                <w:bCs w:val="1"/>
                <w:color w:val="auto"/>
              </w:rPr>
              <w:t>2013</w:t>
            </w:r>
          </w:p>
        </w:tc>
        <w:tc>
          <w:tcPr>
            <w:tcW w:w="860" w:type="dxa"/>
            <w:vAlign w:val="bottom"/>
          </w:tcPr>
          <w:p>
            <w:pPr>
              <w:jc w:val="right"/>
              <w:ind w:right="28"/>
              <w:spacing w:after="0"/>
              <w:rPr>
                <w:sz w:val="20"/>
                <w:szCs w:val="20"/>
                <w:color w:val="auto"/>
              </w:rPr>
            </w:pPr>
            <w:r>
              <w:rPr>
                <w:rFonts w:ascii="Arial" w:cs="Arial" w:eastAsia="Arial" w:hAnsi="Arial"/>
                <w:sz w:val="14"/>
                <w:szCs w:val="14"/>
                <w:b w:val="1"/>
                <w:bCs w:val="1"/>
                <w:color w:val="auto"/>
              </w:rPr>
              <w:t>Low End</w:t>
            </w:r>
          </w:p>
        </w:tc>
        <w:tc>
          <w:tcPr>
            <w:tcW w:w="1080" w:type="dxa"/>
            <w:vAlign w:val="bottom"/>
            <w:gridSpan w:val="3"/>
          </w:tcPr>
          <w:p>
            <w:pPr>
              <w:ind w:left="100"/>
              <w:spacing w:after="0"/>
              <w:rPr>
                <w:sz w:val="20"/>
                <w:szCs w:val="20"/>
                <w:color w:val="auto"/>
              </w:rPr>
            </w:pPr>
            <w:r>
              <w:rPr>
                <w:rFonts w:ascii="Arial" w:cs="Arial" w:eastAsia="Arial" w:hAnsi="Arial"/>
                <w:sz w:val="14"/>
                <w:szCs w:val="14"/>
                <w:b w:val="1"/>
                <w:bCs w:val="1"/>
                <w:color w:val="auto"/>
              </w:rPr>
              <w:t>High End</w:t>
            </w:r>
          </w:p>
        </w:tc>
        <w:tc>
          <w:tcPr>
            <w:tcW w:w="520" w:type="dxa"/>
            <w:vAlign w:val="bottom"/>
          </w:tcPr>
          <w:p>
            <w:pPr>
              <w:jc w:val="right"/>
              <w:ind w:right="28"/>
              <w:spacing w:after="0"/>
              <w:rPr>
                <w:sz w:val="20"/>
                <w:szCs w:val="20"/>
                <w:color w:val="auto"/>
              </w:rPr>
            </w:pPr>
            <w:r>
              <w:rPr>
                <w:rFonts w:ascii="Arial" w:cs="Arial" w:eastAsia="Arial" w:hAnsi="Arial"/>
                <w:sz w:val="14"/>
                <w:szCs w:val="14"/>
                <w:b w:val="1"/>
                <w:bCs w:val="1"/>
                <w:color w:val="auto"/>
              </w:rPr>
              <w:t>2013</w:t>
            </w:r>
          </w:p>
        </w:tc>
        <w:tc>
          <w:tcPr>
            <w:tcW w:w="800" w:type="dxa"/>
            <w:vAlign w:val="bottom"/>
          </w:tcPr>
          <w:p>
            <w:pPr>
              <w:jc w:val="right"/>
              <w:ind w:right="28"/>
              <w:spacing w:after="0"/>
              <w:rPr>
                <w:sz w:val="20"/>
                <w:szCs w:val="20"/>
                <w:color w:val="auto"/>
              </w:rPr>
            </w:pPr>
            <w:r>
              <w:rPr>
                <w:rFonts w:ascii="Arial" w:cs="Arial" w:eastAsia="Arial" w:hAnsi="Arial"/>
                <w:sz w:val="14"/>
                <w:szCs w:val="14"/>
                <w:b w:val="1"/>
                <w:bCs w:val="1"/>
                <w:color w:val="auto"/>
              </w:rPr>
              <w:t>Low End</w:t>
            </w:r>
          </w:p>
        </w:tc>
        <w:tc>
          <w:tcPr>
            <w:tcW w:w="900" w:type="dxa"/>
            <w:vAlign w:val="bottom"/>
            <w:gridSpan w:val="2"/>
          </w:tcPr>
          <w:p>
            <w:pPr>
              <w:ind w:left="100"/>
              <w:spacing w:after="0"/>
              <w:rPr>
                <w:sz w:val="20"/>
                <w:szCs w:val="20"/>
                <w:color w:val="auto"/>
              </w:rPr>
            </w:pPr>
            <w:r>
              <w:rPr>
                <w:rFonts w:ascii="Arial" w:cs="Arial" w:eastAsia="Arial" w:hAnsi="Arial"/>
                <w:sz w:val="14"/>
                <w:szCs w:val="14"/>
                <w:b w:val="1"/>
                <w:bCs w:val="1"/>
                <w:color w:val="auto"/>
              </w:rPr>
              <w:t>High End</w:t>
            </w:r>
          </w:p>
        </w:tc>
      </w:tr>
      <w:tr>
        <w:trPr>
          <w:trHeight w:val="477"/>
        </w:trPr>
        <w:tc>
          <w:tcPr>
            <w:tcW w:w="1800" w:type="dxa"/>
            <w:vAlign w:val="bottom"/>
          </w:tcPr>
          <w:p>
            <w:pPr>
              <w:spacing w:after="0"/>
              <w:rPr>
                <w:sz w:val="20"/>
                <w:szCs w:val="20"/>
                <w:color w:val="auto"/>
              </w:rPr>
            </w:pPr>
            <w:r>
              <w:rPr>
                <w:rFonts w:ascii="Arial" w:cs="Arial" w:eastAsia="Arial" w:hAnsi="Arial"/>
                <w:sz w:val="14"/>
                <w:szCs w:val="14"/>
                <w:color w:val="auto"/>
              </w:rPr>
              <w:t>Marketing &amp; Events Group</w:t>
            </w:r>
          </w:p>
        </w:tc>
        <w:tc>
          <w:tcPr>
            <w:tcW w:w="600" w:type="dxa"/>
            <w:vAlign w:val="bottom"/>
            <w:gridSpan w:val="2"/>
          </w:tcPr>
          <w:p>
            <w:pPr>
              <w:jc w:val="right"/>
              <w:spacing w:after="0"/>
              <w:rPr>
                <w:sz w:val="20"/>
                <w:szCs w:val="20"/>
                <w:color w:val="auto"/>
              </w:rPr>
            </w:pPr>
            <w:r>
              <w:rPr>
                <w:rFonts w:ascii="Arial" w:cs="Arial" w:eastAsia="Arial" w:hAnsi="Arial"/>
                <w:sz w:val="14"/>
                <w:szCs w:val="14"/>
                <w:color w:val="auto"/>
              </w:rPr>
              <w:t>$219.8</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$211</w:t>
            </w:r>
          </w:p>
        </w:tc>
        <w:tc>
          <w:tcPr>
            <w:tcW w:w="340" w:type="dxa"/>
            <w:vAlign w:val="bottom"/>
          </w:tcPr>
          <w:p>
            <w:pPr>
              <w:ind w:left="100"/>
              <w:spacing w:after="0"/>
              <w:rPr>
                <w:sz w:val="20"/>
                <w:szCs w:val="20"/>
                <w:color w:val="auto"/>
              </w:rPr>
            </w:pPr>
            <w:r>
              <w:rPr>
                <w:rFonts w:ascii="Arial" w:cs="Arial" w:eastAsia="Arial" w:hAnsi="Arial"/>
                <w:sz w:val="14"/>
                <w:szCs w:val="14"/>
                <w:color w:val="auto"/>
              </w:rPr>
              <w:t>to</w:t>
            </w:r>
          </w:p>
        </w:tc>
        <w:tc>
          <w:tcPr>
            <w:tcW w:w="520" w:type="dxa"/>
            <w:vAlign w:val="bottom"/>
          </w:tcPr>
          <w:p>
            <w:pPr>
              <w:jc w:val="right"/>
              <w:ind w:right="28"/>
              <w:spacing w:after="0"/>
              <w:rPr>
                <w:sz w:val="20"/>
                <w:szCs w:val="20"/>
                <w:color w:val="auto"/>
              </w:rPr>
            </w:pPr>
            <w:r>
              <w:rPr>
                <w:rFonts w:ascii="Arial" w:cs="Arial" w:eastAsia="Arial" w:hAnsi="Arial"/>
                <w:sz w:val="14"/>
                <w:szCs w:val="14"/>
                <w:color w:val="auto"/>
              </w:rPr>
              <w:t>$221</w:t>
            </w:r>
          </w:p>
        </w:tc>
        <w:tc>
          <w:tcPr>
            <w:tcW w:w="220" w:type="dxa"/>
            <w:vAlign w:val="bottom"/>
          </w:tcPr>
          <w:p>
            <w:pPr>
              <w:spacing w:after="0"/>
              <w:rPr>
                <w:sz w:val="24"/>
                <w:szCs w:val="24"/>
                <w:color w:val="auto"/>
              </w:rPr>
            </w:pPr>
          </w:p>
        </w:tc>
        <w:tc>
          <w:tcPr>
            <w:tcW w:w="520" w:type="dxa"/>
            <w:vAlign w:val="bottom"/>
          </w:tcPr>
          <w:p>
            <w:pPr>
              <w:jc w:val="right"/>
              <w:ind w:right="28"/>
              <w:spacing w:after="0"/>
              <w:rPr>
                <w:sz w:val="20"/>
                <w:szCs w:val="20"/>
                <w:color w:val="auto"/>
              </w:rPr>
            </w:pPr>
            <w:r>
              <w:rPr>
                <w:rFonts w:ascii="Arial" w:cs="Arial" w:eastAsia="Arial" w:hAnsi="Arial"/>
                <w:sz w:val="14"/>
                <w:szCs w:val="14"/>
                <w:color w:val="auto"/>
              </w:rPr>
              <w:t>$8.2</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$8.0</w:t>
            </w:r>
          </w:p>
        </w:tc>
        <w:tc>
          <w:tcPr>
            <w:tcW w:w="380" w:type="dxa"/>
            <w:vAlign w:val="bottom"/>
          </w:tcPr>
          <w:p>
            <w:pPr>
              <w:ind w:left="100"/>
              <w:spacing w:after="0"/>
              <w:rPr>
                <w:sz w:val="20"/>
                <w:szCs w:val="20"/>
                <w:color w:val="auto"/>
              </w:rPr>
            </w:pPr>
            <w:r>
              <w:rPr>
                <w:rFonts w:ascii="Arial" w:cs="Arial" w:eastAsia="Arial" w:hAnsi="Arial"/>
                <w:sz w:val="14"/>
                <w:szCs w:val="14"/>
                <w:color w:val="auto"/>
              </w:rPr>
              <w:t>to</w:t>
            </w:r>
          </w:p>
        </w:tc>
        <w:tc>
          <w:tcPr>
            <w:tcW w:w="520" w:type="dxa"/>
            <w:vAlign w:val="bottom"/>
          </w:tcPr>
          <w:p>
            <w:pPr>
              <w:jc w:val="right"/>
              <w:ind w:right="28"/>
              <w:spacing w:after="0"/>
              <w:rPr>
                <w:sz w:val="20"/>
                <w:szCs w:val="20"/>
                <w:color w:val="auto"/>
              </w:rPr>
            </w:pPr>
            <w:r>
              <w:rPr>
                <w:rFonts w:ascii="Arial" w:cs="Arial" w:eastAsia="Arial" w:hAnsi="Arial"/>
                <w:sz w:val="14"/>
                <w:szCs w:val="14"/>
                <w:color w:val="auto"/>
              </w:rPr>
              <w:t>$11.0</w:t>
            </w:r>
          </w:p>
        </w:tc>
      </w:tr>
      <w:tr>
        <w:trPr>
          <w:trHeight w:val="242"/>
        </w:trPr>
        <w:tc>
          <w:tcPr>
            <w:tcW w:w="1800" w:type="dxa"/>
            <w:vAlign w:val="bottom"/>
          </w:tcPr>
          <w:p>
            <w:pPr>
              <w:spacing w:after="0"/>
              <w:rPr>
                <w:sz w:val="20"/>
                <w:szCs w:val="20"/>
                <w:color w:val="auto"/>
              </w:rPr>
            </w:pPr>
            <w:r>
              <w:rPr>
                <w:rFonts w:ascii="Arial" w:cs="Arial" w:eastAsia="Arial" w:hAnsi="Arial"/>
                <w:sz w:val="14"/>
                <w:szCs w:val="14"/>
                <w:color w:val="auto"/>
              </w:rPr>
              <w:t>Travel &amp; Recreation Group</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380" w:type="dxa"/>
            <w:vAlign w:val="bottom"/>
          </w:tcPr>
          <w:p>
            <w:pPr>
              <w:jc w:val="right"/>
              <w:spacing w:after="0"/>
              <w:rPr>
                <w:sz w:val="20"/>
                <w:szCs w:val="20"/>
                <w:color w:val="auto"/>
              </w:rPr>
            </w:pPr>
            <w:r>
              <w:rPr>
                <w:rFonts w:ascii="Arial" w:cs="Arial" w:eastAsia="Arial" w:hAnsi="Arial"/>
                <w:sz w:val="14"/>
                <w:szCs w:val="14"/>
                <w:color w:val="auto"/>
              </w:rPr>
              <w:t>26.4</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$26</w:t>
            </w:r>
          </w:p>
        </w:tc>
        <w:tc>
          <w:tcPr>
            <w:tcW w:w="340" w:type="dxa"/>
            <w:vAlign w:val="bottom"/>
          </w:tcPr>
          <w:p>
            <w:pPr>
              <w:ind w:left="100"/>
              <w:spacing w:after="0"/>
              <w:rPr>
                <w:sz w:val="20"/>
                <w:szCs w:val="20"/>
                <w:color w:val="auto"/>
              </w:rPr>
            </w:pPr>
            <w:r>
              <w:rPr>
                <w:rFonts w:ascii="Arial" w:cs="Arial" w:eastAsia="Arial" w:hAnsi="Arial"/>
                <w:sz w:val="14"/>
                <w:szCs w:val="14"/>
                <w:color w:val="auto"/>
              </w:rPr>
              <w:t>to</w:t>
            </w:r>
          </w:p>
        </w:tc>
        <w:tc>
          <w:tcPr>
            <w:tcW w:w="520" w:type="dxa"/>
            <w:vAlign w:val="bottom"/>
          </w:tcPr>
          <w:p>
            <w:pPr>
              <w:jc w:val="right"/>
              <w:ind w:right="28"/>
              <w:spacing w:after="0"/>
              <w:rPr>
                <w:sz w:val="20"/>
                <w:szCs w:val="20"/>
                <w:color w:val="auto"/>
              </w:rPr>
            </w:pPr>
            <w:r>
              <w:rPr>
                <w:rFonts w:ascii="Arial" w:cs="Arial" w:eastAsia="Arial" w:hAnsi="Arial"/>
                <w:sz w:val="14"/>
                <w:szCs w:val="14"/>
                <w:color w:val="auto"/>
              </w:rPr>
              <w:t>$30</w:t>
            </w:r>
          </w:p>
        </w:tc>
        <w:tc>
          <w:tcPr>
            <w:tcW w:w="220" w:type="dxa"/>
            <w:vAlign w:val="bottom"/>
          </w:tcPr>
          <w:p>
            <w:pPr>
              <w:spacing w:after="0"/>
              <w:rPr>
                <w:sz w:val="21"/>
                <w:szCs w:val="21"/>
                <w:color w:val="auto"/>
              </w:rPr>
            </w:pPr>
          </w:p>
        </w:tc>
        <w:tc>
          <w:tcPr>
            <w:tcW w:w="520" w:type="dxa"/>
            <w:vAlign w:val="bottom"/>
          </w:tcPr>
          <w:p>
            <w:pPr>
              <w:jc w:val="right"/>
              <w:ind w:right="28"/>
              <w:spacing w:after="0"/>
              <w:rPr>
                <w:sz w:val="20"/>
                <w:szCs w:val="20"/>
                <w:color w:val="auto"/>
              </w:rPr>
            </w:pPr>
            <w:r>
              <w:rPr>
                <w:rFonts w:ascii="Arial" w:cs="Arial" w:eastAsia="Arial" w:hAnsi="Arial"/>
                <w:sz w:val="14"/>
                <w:szCs w:val="14"/>
                <w:color w:val="auto"/>
              </w:rPr>
              <w:t>$3.3</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$3.0</w:t>
            </w:r>
          </w:p>
        </w:tc>
        <w:tc>
          <w:tcPr>
            <w:tcW w:w="380" w:type="dxa"/>
            <w:vAlign w:val="bottom"/>
          </w:tcPr>
          <w:p>
            <w:pPr>
              <w:ind w:left="100"/>
              <w:spacing w:after="0"/>
              <w:rPr>
                <w:sz w:val="20"/>
                <w:szCs w:val="20"/>
                <w:color w:val="auto"/>
              </w:rPr>
            </w:pPr>
            <w:r>
              <w:rPr>
                <w:rFonts w:ascii="Arial" w:cs="Arial" w:eastAsia="Arial" w:hAnsi="Arial"/>
                <w:sz w:val="14"/>
                <w:szCs w:val="14"/>
                <w:color w:val="auto"/>
              </w:rPr>
              <w:t>to</w:t>
            </w:r>
          </w:p>
        </w:tc>
        <w:tc>
          <w:tcPr>
            <w:tcW w:w="520" w:type="dxa"/>
            <w:vAlign w:val="bottom"/>
          </w:tcPr>
          <w:p>
            <w:pPr>
              <w:jc w:val="right"/>
              <w:ind w:right="28"/>
              <w:spacing w:after="0"/>
              <w:rPr>
                <w:sz w:val="20"/>
                <w:szCs w:val="20"/>
                <w:color w:val="auto"/>
              </w:rPr>
            </w:pPr>
            <w:r>
              <w:rPr>
                <w:rFonts w:ascii="Arial" w:cs="Arial" w:eastAsia="Arial" w:hAnsi="Arial"/>
                <w:sz w:val="14"/>
                <w:szCs w:val="14"/>
                <w:color w:val="auto"/>
              </w:rPr>
              <w:t>$4.5</w:t>
            </w:r>
          </w:p>
        </w:tc>
      </w:tr>
    </w:tbl>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Conference Call and Web Cast</w:t>
      </w:r>
    </w:p>
    <w:p>
      <w:pPr>
        <w:spacing w:after="0" w:line="219" w:lineRule="exact"/>
        <w:rPr>
          <w:sz w:val="20"/>
          <w:szCs w:val="20"/>
          <w:color w:val="auto"/>
        </w:rPr>
      </w:pPr>
    </w:p>
    <w:p>
      <w:pPr>
        <w:ind w:right="160"/>
        <w:spacing w:after="0" w:line="249" w:lineRule="auto"/>
        <w:rPr>
          <w:sz w:val="20"/>
          <w:szCs w:val="20"/>
          <w:color w:val="auto"/>
        </w:rPr>
      </w:pPr>
      <w:r>
        <w:rPr>
          <w:rFonts w:ascii="Times New Roman" w:cs="Times New Roman" w:eastAsia="Times New Roman" w:hAnsi="Times New Roman"/>
          <w:sz w:val="21"/>
          <w:szCs w:val="21"/>
          <w:color w:val="auto"/>
        </w:rPr>
        <w:t>Viad Corp will hold a conference call with investors and analysts for a review of first quarter 2014 results on Friday, April 25 at 9 a.m. (ET). During this call, Paul B. Dykstra, chairman, president and chief executive officer of Viad Corp, will discuss the conclusion of the Company's review of strategic options to enhance shareholder value. To join the live conference, call (800) 857-4380, passcode "Viad," or access the webcast through Viad's Web site at www.viad.com. A replay will be available for a limited time at (866) 463-2174 (no passcode required) or visit the Viad Web site and link to a replay of the webcast.</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About Viad</w:t>
      </w:r>
    </w:p>
    <w:p>
      <w:pPr>
        <w:spacing w:after="0" w:line="219" w:lineRule="exact"/>
        <w:rPr>
          <w:sz w:val="20"/>
          <w:szCs w:val="20"/>
          <w:color w:val="auto"/>
        </w:rPr>
      </w:pPr>
    </w:p>
    <w:p>
      <w:pPr>
        <w:ind w:right="180"/>
        <w:spacing w:after="0" w:line="259" w:lineRule="auto"/>
        <w:rPr>
          <w:sz w:val="20"/>
          <w:szCs w:val="20"/>
          <w:color w:val="auto"/>
        </w:rPr>
      </w:pPr>
      <w:r>
        <w:rPr>
          <w:rFonts w:ascii="Times New Roman" w:cs="Times New Roman" w:eastAsia="Times New Roman" w:hAnsi="Times New Roman"/>
          <w:sz w:val="21"/>
          <w:szCs w:val="21"/>
          <w:color w:val="auto"/>
        </w:rPr>
        <w:t>Viad is an S&amp;P SmallCap 600 company. Viad operates through its Marketing &amp; Events Group, composed of Global Experience Specialists and affiliates, and its Travel &amp; Recreation Group, composed of Brewster Travel Canada, Glacier Park, Inc. and Alaska Denali Travel. For more information, visit the company's Web site at www.viad.com.</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Forward-Looking Statements</w:t>
      </w:r>
    </w:p>
    <w:p>
      <w:pPr>
        <w:spacing w:after="0" w:line="215" w:lineRule="exact"/>
        <w:rPr>
          <w:sz w:val="20"/>
          <w:szCs w:val="20"/>
          <w:color w:val="auto"/>
        </w:rPr>
      </w:pPr>
    </w:p>
    <w:p>
      <w:pPr>
        <w:spacing w:after="0" w:line="242" w:lineRule="auto"/>
        <w:rPr>
          <w:sz w:val="20"/>
          <w:szCs w:val="20"/>
          <w:color w:val="auto"/>
        </w:rPr>
      </w:pPr>
      <w:r>
        <w:rPr>
          <w:rFonts w:ascii="Times New Roman" w:cs="Times New Roman" w:eastAsia="Times New Roman" w:hAnsi="Times New Roman"/>
          <w:sz w:val="21"/>
          <w:szCs w:val="21"/>
          <w:i w:val="1"/>
          <w:iCs w:val="1"/>
          <w:color w:val="auto"/>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or renewal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capital allocations,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 reports filed with the Securities and Exchange Commission.</w:t>
      </w:r>
    </w:p>
    <w:p>
      <w:pPr>
        <w:spacing w:after="0" w:line="186"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21"/>
          <w:szCs w:val="21"/>
          <w:i w:val="1"/>
          <w:iCs w:val="1"/>
          <w:color w:val="auto"/>
        </w:rPr>
        <w:t>Information about Viad Corp obtained from sources other than the 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63"/>
        </w:trPr>
        <w:tc>
          <w:tcPr>
            <w:tcW w:w="1880" w:type="dxa"/>
            <w:vAlign w:val="bottom"/>
          </w:tcPr>
          <w:p>
            <w:pPr>
              <w:ind w:left="100"/>
              <w:spacing w:after="0"/>
              <w:rPr>
                <w:sz w:val="20"/>
                <w:szCs w:val="20"/>
                <w:color w:val="auto"/>
              </w:rPr>
            </w:pPr>
            <w:r>
              <w:rPr>
                <w:rFonts w:ascii="Arial" w:cs="Arial" w:eastAsia="Arial" w:hAnsi="Arial"/>
                <w:sz w:val="14"/>
                <w:szCs w:val="14"/>
                <w:b w:val="1"/>
                <w:bCs w:val="1"/>
                <w:color w:val="auto"/>
              </w:rPr>
              <w:t>Contacts:</w:t>
            </w:r>
          </w:p>
        </w:tc>
        <w:tc>
          <w:tcPr>
            <w:tcW w:w="1200" w:type="dxa"/>
            <w:vAlign w:val="bottom"/>
          </w:tcPr>
          <w:p>
            <w:pPr>
              <w:spacing w:after="0"/>
              <w:rPr>
                <w:sz w:val="14"/>
                <w:szCs w:val="14"/>
                <w:color w:val="auto"/>
              </w:rPr>
            </w:pPr>
          </w:p>
        </w:tc>
      </w:tr>
      <w:tr>
        <w:trPr>
          <w:trHeight w:val="163"/>
        </w:trPr>
        <w:tc>
          <w:tcPr>
            <w:tcW w:w="1880" w:type="dxa"/>
            <w:vAlign w:val="bottom"/>
          </w:tcPr>
          <w:p>
            <w:pPr>
              <w:ind w:left="100"/>
              <w:spacing w:after="0"/>
              <w:rPr>
                <w:sz w:val="20"/>
                <w:szCs w:val="20"/>
                <w:color w:val="auto"/>
              </w:rPr>
            </w:pPr>
            <w:r>
              <w:rPr>
                <w:rFonts w:ascii="Arial" w:cs="Arial" w:eastAsia="Arial" w:hAnsi="Arial"/>
                <w:sz w:val="14"/>
                <w:szCs w:val="14"/>
                <w:color w:val="auto"/>
              </w:rPr>
              <w:t>Joe Diaz</w:t>
            </w:r>
          </w:p>
        </w:tc>
        <w:tc>
          <w:tcPr>
            <w:tcW w:w="1200" w:type="dxa"/>
            <w:vAlign w:val="bottom"/>
          </w:tcPr>
          <w:p>
            <w:pPr>
              <w:ind w:left="100"/>
              <w:spacing w:after="0"/>
              <w:rPr>
                <w:sz w:val="20"/>
                <w:szCs w:val="20"/>
                <w:color w:val="auto"/>
              </w:rPr>
            </w:pPr>
            <w:r>
              <w:rPr>
                <w:rFonts w:ascii="Arial" w:cs="Arial" w:eastAsia="Arial" w:hAnsi="Arial"/>
                <w:sz w:val="14"/>
                <w:szCs w:val="14"/>
                <w:color w:val="auto"/>
              </w:rPr>
              <w:t>Carrie Long</w:t>
            </w:r>
          </w:p>
        </w:tc>
      </w:tr>
      <w:tr>
        <w:trPr>
          <w:trHeight w:val="159"/>
        </w:trPr>
        <w:tc>
          <w:tcPr>
            <w:tcW w:w="1880" w:type="dxa"/>
            <w:vAlign w:val="bottom"/>
          </w:tcPr>
          <w:p>
            <w:pPr>
              <w:ind w:left="100"/>
              <w:spacing w:after="0" w:line="159" w:lineRule="exact"/>
              <w:rPr>
                <w:sz w:val="20"/>
                <w:szCs w:val="20"/>
                <w:color w:val="auto"/>
              </w:rPr>
            </w:pPr>
            <w:r>
              <w:rPr>
                <w:rFonts w:ascii="Arial" w:cs="Arial" w:eastAsia="Arial" w:hAnsi="Arial"/>
                <w:sz w:val="14"/>
                <w:szCs w:val="14"/>
                <w:i w:val="1"/>
                <w:iCs w:val="1"/>
                <w:color w:val="auto"/>
              </w:rPr>
              <w:t>Lytham Partners</w:t>
            </w:r>
          </w:p>
        </w:tc>
        <w:tc>
          <w:tcPr>
            <w:tcW w:w="1200" w:type="dxa"/>
            <w:vAlign w:val="bottom"/>
          </w:tcPr>
          <w:p>
            <w:pPr>
              <w:ind w:left="100"/>
              <w:spacing w:after="0" w:line="159" w:lineRule="exact"/>
              <w:rPr>
                <w:sz w:val="20"/>
                <w:szCs w:val="20"/>
                <w:color w:val="auto"/>
              </w:rPr>
            </w:pPr>
            <w:r>
              <w:rPr>
                <w:rFonts w:ascii="Arial" w:cs="Arial" w:eastAsia="Arial" w:hAnsi="Arial"/>
                <w:sz w:val="14"/>
                <w:szCs w:val="14"/>
                <w:i w:val="1"/>
                <w:iCs w:val="1"/>
                <w:color w:val="auto"/>
              </w:rPr>
              <w:t>Viad Corp</w:t>
            </w:r>
          </w:p>
        </w:tc>
      </w:tr>
      <w:tr>
        <w:trPr>
          <w:trHeight w:val="161"/>
        </w:trPr>
        <w:tc>
          <w:tcPr>
            <w:tcW w:w="1880" w:type="dxa"/>
            <w:vAlign w:val="bottom"/>
          </w:tcPr>
          <w:p>
            <w:pPr>
              <w:ind w:left="100"/>
              <w:spacing w:after="0"/>
              <w:rPr>
                <w:sz w:val="20"/>
                <w:szCs w:val="20"/>
                <w:color w:val="auto"/>
              </w:rPr>
            </w:pPr>
            <w:r>
              <w:rPr>
                <w:rFonts w:ascii="Arial" w:cs="Arial" w:eastAsia="Arial" w:hAnsi="Arial"/>
                <w:sz w:val="14"/>
                <w:szCs w:val="14"/>
                <w:color w:val="auto"/>
              </w:rPr>
              <w:t>(602) 889-9660</w:t>
            </w:r>
          </w:p>
        </w:tc>
        <w:tc>
          <w:tcPr>
            <w:tcW w:w="1200" w:type="dxa"/>
            <w:vAlign w:val="bottom"/>
          </w:tcPr>
          <w:p>
            <w:pPr>
              <w:ind w:left="100"/>
              <w:spacing w:after="0"/>
              <w:rPr>
                <w:sz w:val="20"/>
                <w:szCs w:val="20"/>
                <w:color w:val="auto"/>
              </w:rPr>
            </w:pPr>
            <w:r>
              <w:rPr>
                <w:rFonts w:ascii="Arial" w:cs="Arial" w:eastAsia="Arial" w:hAnsi="Arial"/>
                <w:sz w:val="14"/>
                <w:szCs w:val="14"/>
                <w:color w:val="auto"/>
              </w:rPr>
              <w:t>(602) 207-2681</w:t>
            </w:r>
          </w:p>
        </w:tc>
      </w:tr>
      <w:tr>
        <w:trPr>
          <w:trHeight w:val="174"/>
        </w:trPr>
        <w:tc>
          <w:tcPr>
            <w:tcW w:w="1880" w:type="dxa"/>
            <w:vAlign w:val="bottom"/>
            <w:tcBorders>
              <w:bottom w:val="single" w:sz="8" w:color="auto"/>
            </w:tcBorders>
          </w:tcPr>
          <w:p>
            <w:pPr>
              <w:ind w:left="100"/>
              <w:spacing w:after="0"/>
              <w:rPr>
                <w:sz w:val="20"/>
                <w:szCs w:val="20"/>
                <w:color w:val="auto"/>
              </w:rPr>
            </w:pPr>
            <w:r>
              <w:rPr>
                <w:rFonts w:ascii="Arial" w:cs="Arial" w:eastAsia="Arial" w:hAnsi="Arial"/>
                <w:sz w:val="14"/>
                <w:szCs w:val="14"/>
                <w:color w:val="auto"/>
              </w:rPr>
              <w:t>diaz@lythampartners.com</w:t>
            </w:r>
          </w:p>
        </w:tc>
        <w:tc>
          <w:tcPr>
            <w:tcW w:w="1200" w:type="dxa"/>
            <w:vAlign w:val="bottom"/>
            <w:tcBorders>
              <w:bottom w:val="single" w:sz="8" w:color="auto"/>
            </w:tcBorders>
          </w:tcPr>
          <w:p>
            <w:pPr>
              <w:ind w:left="100"/>
              <w:spacing w:after="0"/>
              <w:rPr>
                <w:sz w:val="20"/>
                <w:szCs w:val="20"/>
                <w:color w:val="auto"/>
              </w:rPr>
            </w:pPr>
            <w:r>
              <w:rPr>
                <w:rFonts w:ascii="Arial" w:cs="Arial" w:eastAsia="Arial" w:hAnsi="Arial"/>
                <w:sz w:val="14"/>
                <w:szCs w:val="14"/>
                <w:color w:val="auto"/>
              </w:rPr>
              <w:t>IR@viad.com</w:t>
            </w:r>
          </w:p>
        </w:tc>
      </w:tr>
    </w:tbl>
    <w:p>
      <w:pPr>
        <w:spacing w:after="0" w:line="200" w:lineRule="exact"/>
        <w:rPr>
          <w:sz w:val="20"/>
          <w:szCs w:val="20"/>
          <w:color w:val="auto"/>
        </w:rPr>
      </w:pPr>
    </w:p>
    <w:p>
      <w:pPr>
        <w:jc w:val="center"/>
        <w:ind w:right="80"/>
        <w:spacing w:after="0"/>
        <w:rPr>
          <w:sz w:val="20"/>
          <w:szCs w:val="20"/>
          <w:color w:val="auto"/>
        </w:rPr>
      </w:pPr>
      <w:r>
        <w:rPr>
          <w:rFonts w:ascii="Arial" w:cs="Arial" w:eastAsia="Arial" w:hAnsi="Arial"/>
          <w:sz w:val="14"/>
          <w:szCs w:val="14"/>
          <w:b w:val="1"/>
          <w:bCs w:val="1"/>
          <w:color w:val="auto"/>
        </w:rPr>
        <w:t>VIAD CORP AND SUBSIDIARIES</w:t>
      </w:r>
    </w:p>
    <w:p>
      <w:pPr>
        <w:spacing w:after="0" w:line="20" w:lineRule="exact"/>
        <w:rPr>
          <w:sz w:val="20"/>
          <w:szCs w:val="20"/>
          <w:color w:val="auto"/>
        </w:rPr>
      </w:pPr>
    </w:p>
    <w:p>
      <w:pPr>
        <w:jc w:val="center"/>
        <w:ind w:right="100"/>
        <w:spacing w:after="0"/>
        <w:rPr>
          <w:sz w:val="20"/>
          <w:szCs w:val="20"/>
          <w:color w:val="auto"/>
        </w:rPr>
      </w:pPr>
      <w:r>
        <w:rPr>
          <w:rFonts w:ascii="Arial" w:cs="Arial" w:eastAsia="Arial" w:hAnsi="Arial"/>
          <w:sz w:val="14"/>
          <w:szCs w:val="14"/>
          <w:b w:val="1"/>
          <w:bCs w:val="1"/>
          <w:color w:val="auto"/>
        </w:rPr>
        <w:t>TABLE ONE - QUARTERLY RESULTS</w:t>
      </w:r>
    </w:p>
    <w:p>
      <w:pPr>
        <w:jc w:val="center"/>
        <w:ind w:right="80"/>
        <w:spacing w:after="0"/>
        <w:rPr>
          <w:sz w:val="20"/>
          <w:szCs w:val="20"/>
          <w:color w:val="auto"/>
        </w:rPr>
      </w:pPr>
      <w:r>
        <w:rPr>
          <w:rFonts w:ascii="Arial" w:cs="Arial" w:eastAsia="Arial" w:hAnsi="Arial"/>
          <w:sz w:val="14"/>
          <w:szCs w:val="14"/>
          <w:b w:val="1"/>
          <w:bCs w:val="1"/>
          <w:color w:val="auto"/>
        </w:rPr>
        <w:t>(UNAUDITED)</w:t>
      </w:r>
    </w:p>
    <w:p>
      <w:pPr>
        <w:spacing w:after="0" w:line="200" w:lineRule="exact"/>
        <w:rPr>
          <w:sz w:val="20"/>
          <w:szCs w:val="20"/>
          <w:color w:val="auto"/>
        </w:rPr>
      </w:pPr>
    </w:p>
    <w:p>
      <w:pPr>
        <w:spacing w:after="0" w:line="346" w:lineRule="exact"/>
        <w:rPr>
          <w:sz w:val="20"/>
          <w:szCs w:val="20"/>
          <w:color w:val="auto"/>
        </w:rPr>
      </w:pPr>
    </w:p>
    <w:p>
      <w:pPr>
        <w:ind w:left="7760"/>
        <w:spacing w:after="0"/>
        <w:rPr>
          <w:sz w:val="20"/>
          <w:szCs w:val="20"/>
          <w:color w:val="auto"/>
        </w:rPr>
      </w:pPr>
      <w:r>
        <w:rPr>
          <w:rFonts w:ascii="Arial" w:cs="Arial" w:eastAsia="Arial" w:hAnsi="Arial"/>
          <w:sz w:val="14"/>
          <w:szCs w:val="14"/>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3991610</wp:posOffset>
            </wp:positionH>
            <wp:positionV relativeFrom="paragraph">
              <wp:posOffset>8255</wp:posOffset>
            </wp:positionV>
            <wp:extent cx="314642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146425" cy="8255"/>
                    </a:xfrm>
                    <a:prstGeom prst="rect">
                      <a:avLst/>
                    </a:prstGeom>
                    <a:noFill/>
                  </pic:spPr>
                </pic:pic>
              </a:graphicData>
            </a:graphic>
          </wp:anchor>
        </w:drawing>
      </w:r>
    </w:p>
    <w:p>
      <w:pPr>
        <w:spacing w:after="0" w:line="74" w:lineRule="exact"/>
        <w:rPr>
          <w:sz w:val="20"/>
          <w:szCs w:val="20"/>
          <w:color w:val="auto"/>
        </w:rPr>
      </w:pPr>
    </w:p>
    <w:p>
      <w:pPr>
        <w:ind w:left="120"/>
        <w:spacing w:after="0"/>
        <w:tabs>
          <w:tab w:leader="none" w:pos="6580" w:val="left"/>
          <w:tab w:leader="none" w:pos="7960" w:val="left"/>
          <w:tab w:leader="none" w:pos="9200" w:val="left"/>
          <w:tab w:leader="none" w:pos="10440" w:val="left"/>
        </w:tabs>
        <w:rPr>
          <w:sz w:val="20"/>
          <w:szCs w:val="20"/>
          <w:color w:val="auto"/>
        </w:rPr>
      </w:pPr>
      <w:r>
        <w:rPr>
          <w:rFonts w:ascii="Arial" w:cs="Arial" w:eastAsia="Arial" w:hAnsi="Arial"/>
          <w:sz w:val="14"/>
          <w:szCs w:val="14"/>
          <w:color w:val="auto"/>
        </w:rPr>
        <w:t>(000 omitted, except per share data)</w:t>
      </w:r>
      <w:r>
        <w:rPr>
          <w:sz w:val="20"/>
          <w:szCs w:val="20"/>
          <w:color w:val="auto"/>
        </w:rPr>
        <w:tab/>
      </w:r>
      <w:r>
        <w:rPr>
          <w:rFonts w:ascii="Arial" w:cs="Arial" w:eastAsia="Arial" w:hAnsi="Arial"/>
          <w:sz w:val="14"/>
          <w:szCs w:val="14"/>
          <w:color w:val="auto"/>
        </w:rPr>
        <w:t>2014</w:t>
      </w:r>
      <w:r>
        <w:rPr>
          <w:sz w:val="20"/>
          <w:szCs w:val="20"/>
          <w:color w:val="auto"/>
        </w:rPr>
        <w:tab/>
      </w:r>
      <w:r>
        <w:rPr>
          <w:rFonts w:ascii="Arial" w:cs="Arial" w:eastAsia="Arial" w:hAnsi="Arial"/>
          <w:sz w:val="14"/>
          <w:szCs w:val="14"/>
          <w:color w:val="auto"/>
        </w:rPr>
        <w:t>2013</w:t>
      </w:r>
      <w:r>
        <w:rPr>
          <w:sz w:val="20"/>
          <w:szCs w:val="20"/>
          <w:color w:val="auto"/>
        </w:rPr>
        <w:tab/>
      </w:r>
      <w:r>
        <w:rPr>
          <w:rFonts w:ascii="Arial" w:cs="Arial" w:eastAsia="Arial" w:hAnsi="Arial"/>
          <w:sz w:val="14"/>
          <w:szCs w:val="14"/>
          <w:color w:val="auto"/>
        </w:rPr>
        <w:t>$ Change</w:t>
      </w:r>
      <w:r>
        <w:rPr>
          <w:sz w:val="20"/>
          <w:szCs w:val="20"/>
          <w:color w:val="auto"/>
        </w:rPr>
        <w:tab/>
      </w:r>
      <w:r>
        <w:rPr>
          <w:rFonts w:ascii="Arial" w:cs="Arial" w:eastAsia="Arial" w:hAnsi="Arial"/>
          <w:sz w:val="14"/>
          <w:szCs w:val="14"/>
          <w:color w:val="auto"/>
        </w:rPr>
        <w:t>%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3991610</wp:posOffset>
            </wp:positionH>
            <wp:positionV relativeFrom="paragraph">
              <wp:posOffset>8255</wp:posOffset>
            </wp:positionV>
            <wp:extent cx="314642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146425" cy="8255"/>
                    </a:xfrm>
                    <a:prstGeom prst="rect">
                      <a:avLst/>
                    </a:prstGeom>
                    <a:noFill/>
                  </pic:spPr>
                </pic:pic>
              </a:graphicData>
            </a:graphic>
          </wp:anchor>
        </w:drawing>
      </w:r>
    </w:p>
    <w:p>
      <w:pPr>
        <w:sectPr>
          <w:pgSz w:w="11900" w:h="16838" w:orient="portrait"/>
          <w:cols w:equalWidth="0" w:num="1">
            <w:col w:w="11340"/>
          </w:cols>
          <w:pgMar w:left="420" w:top="108" w:right="139" w:bottom="0" w:gutter="0" w:footer="0" w:header="0"/>
        </w:sectPr>
      </w:pPr>
    </w:p>
    <w:bookmarkStart w:id="5" w:name="page6"/>
    <w:bookmarkEnd w:id="5"/>
    <w:tbl>
      <w:tblPr>
        <w:tblLayout w:type="fixed"/>
        <w:tblInd w:w="6" w:type="dxa"/>
        <w:tblCellMar>
          <w:top w:w="0" w:type="dxa"/>
          <w:left w:w="0" w:type="dxa"/>
          <w:bottom w:w="0" w:type="dxa"/>
          <w:right w:w="0" w:type="dxa"/>
        </w:tblCellMar>
      </w:tblPr>
      <w:tr>
        <w:trPr>
          <w:trHeight w:val="183"/>
        </w:trPr>
        <w:tc>
          <w:tcPr>
            <w:tcW w:w="6160" w:type="dxa"/>
            <w:vAlign w:val="bottom"/>
          </w:tcPr>
          <w:p>
            <w:pPr>
              <w:spacing w:after="0"/>
              <w:rPr>
                <w:sz w:val="20"/>
                <w:szCs w:val="20"/>
                <w:color w:val="auto"/>
              </w:rPr>
            </w:pPr>
            <w:r>
              <w:rPr>
                <w:rFonts w:ascii="Arial" w:cs="Arial" w:eastAsia="Arial" w:hAnsi="Arial"/>
                <w:sz w:val="14"/>
                <w:szCs w:val="14"/>
                <w:b w:val="1"/>
                <w:bCs w:val="1"/>
                <w:color w:val="auto"/>
              </w:rPr>
              <w:t>Revenues</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285,641</w:t>
            </w:r>
          </w:p>
        </w:tc>
        <w:tc>
          <w:tcPr>
            <w:tcW w:w="320" w:type="dxa"/>
            <w:vAlign w:val="bottom"/>
          </w:tcPr>
          <w:p>
            <w:pPr>
              <w:spacing w:after="0"/>
              <w:rPr>
                <w:sz w:val="15"/>
                <w:szCs w:val="15"/>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285,159</w:t>
            </w:r>
          </w:p>
        </w:tc>
        <w:tc>
          <w:tcPr>
            <w:tcW w:w="320" w:type="dxa"/>
            <w:vAlign w:val="bottom"/>
          </w:tcPr>
          <w:p>
            <w:pPr>
              <w:spacing w:after="0"/>
              <w:rPr>
                <w:sz w:val="15"/>
                <w:szCs w:val="15"/>
                <w:color w:val="auto"/>
              </w:rPr>
            </w:pP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482</w:t>
            </w:r>
          </w:p>
        </w:tc>
        <w:tc>
          <w:tcPr>
            <w:tcW w:w="320" w:type="dxa"/>
            <w:vAlign w:val="bottom"/>
          </w:tcPr>
          <w:p>
            <w:pPr>
              <w:spacing w:after="0"/>
              <w:rPr>
                <w:sz w:val="15"/>
                <w:szCs w:val="15"/>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0.2%</w:t>
            </w:r>
          </w:p>
        </w:tc>
      </w:tr>
      <w:tr>
        <w:trPr>
          <w:trHeight w:val="509"/>
        </w:trPr>
        <w:tc>
          <w:tcPr>
            <w:tcW w:w="6160" w:type="dxa"/>
            <w:vAlign w:val="bottom"/>
          </w:tcPr>
          <w:p>
            <w:pPr>
              <w:spacing w:after="0"/>
              <w:rPr>
                <w:sz w:val="20"/>
                <w:szCs w:val="20"/>
                <w:color w:val="auto"/>
              </w:rPr>
            </w:pPr>
            <w:r>
              <w:rPr>
                <w:rFonts w:ascii="Arial" w:cs="Arial" w:eastAsia="Arial" w:hAnsi="Arial"/>
                <w:sz w:val="14"/>
                <w:szCs w:val="14"/>
                <w:b w:val="1"/>
                <w:bCs w:val="1"/>
                <w:color w:val="auto"/>
              </w:rPr>
              <w:t>Segment operating income</w:t>
            </w:r>
          </w:p>
        </w:tc>
        <w:tc>
          <w:tcPr>
            <w:tcW w:w="2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Pr>
          <w:p>
            <w:pPr>
              <w:jc w:val="right"/>
              <w:ind w:right="148"/>
              <w:spacing w:after="0"/>
              <w:rPr>
                <w:sz w:val="20"/>
                <w:szCs w:val="20"/>
                <w:color w:val="auto"/>
              </w:rPr>
            </w:pPr>
            <w:r>
              <w:rPr>
                <w:rFonts w:ascii="Arial" w:cs="Arial" w:eastAsia="Arial" w:hAnsi="Arial"/>
                <w:sz w:val="14"/>
                <w:szCs w:val="14"/>
                <w:b w:val="1"/>
                <w:bCs w:val="1"/>
                <w:color w:val="auto"/>
              </w:rPr>
              <w:t>13,361</w:t>
            </w:r>
          </w:p>
        </w:tc>
        <w:tc>
          <w:tcPr>
            <w:tcW w:w="320" w:type="dxa"/>
            <w:vAlign w:val="bottom"/>
          </w:tcPr>
          <w:p>
            <w:pPr>
              <w:spacing w:after="0"/>
              <w:rPr>
                <w:sz w:val="24"/>
                <w:szCs w:val="24"/>
                <w:color w:val="auto"/>
              </w:rPr>
            </w:pPr>
          </w:p>
        </w:tc>
        <w:tc>
          <w:tcPr>
            <w:tcW w:w="2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b w:val="1"/>
                <w:bCs w:val="1"/>
                <w:color w:val="auto"/>
              </w:rPr>
              <w:t>13,595</w:t>
            </w:r>
          </w:p>
        </w:tc>
        <w:tc>
          <w:tcPr>
            <w:tcW w:w="320" w:type="dxa"/>
            <w:vAlign w:val="bottom"/>
          </w:tcPr>
          <w:p>
            <w:pPr>
              <w:spacing w:after="0"/>
              <w:rPr>
                <w:sz w:val="24"/>
                <w:szCs w:val="24"/>
                <w:color w:val="auto"/>
              </w:rPr>
            </w:pPr>
          </w:p>
        </w:tc>
        <w:tc>
          <w:tcPr>
            <w:tcW w:w="32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700" w:type="dxa"/>
            <w:vAlign w:val="bottom"/>
          </w:tcPr>
          <w:p>
            <w:pPr>
              <w:jc w:val="right"/>
              <w:ind w:right="108"/>
              <w:spacing w:after="0"/>
              <w:rPr>
                <w:sz w:val="20"/>
                <w:szCs w:val="20"/>
                <w:color w:val="auto"/>
              </w:rPr>
            </w:pPr>
            <w:r>
              <w:rPr>
                <w:rFonts w:ascii="Arial" w:cs="Arial" w:eastAsia="Arial" w:hAnsi="Arial"/>
                <w:sz w:val="14"/>
                <w:szCs w:val="14"/>
                <w:b w:val="1"/>
                <w:bCs w:val="1"/>
                <w:color w:val="auto"/>
              </w:rPr>
              <w:t>(234)</w:t>
            </w:r>
          </w:p>
        </w:tc>
        <w:tc>
          <w:tcPr>
            <w:tcW w:w="320" w:type="dxa"/>
            <w:vAlign w:val="bottom"/>
          </w:tcPr>
          <w:p>
            <w:pPr>
              <w:spacing w:after="0"/>
              <w:rPr>
                <w:sz w:val="24"/>
                <w:szCs w:val="24"/>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b w:val="1"/>
                <w:bCs w:val="1"/>
                <w:color w:val="auto"/>
              </w:rPr>
              <w:t>-1.7%</w:t>
            </w:r>
          </w:p>
        </w:tc>
      </w:tr>
      <w:tr>
        <w:trPr>
          <w:trHeight w:val="236"/>
        </w:trPr>
        <w:tc>
          <w:tcPr>
            <w:tcW w:w="6160" w:type="dxa"/>
            <w:vAlign w:val="bottom"/>
          </w:tcPr>
          <w:p>
            <w:pPr>
              <w:spacing w:after="0"/>
              <w:rPr>
                <w:sz w:val="20"/>
                <w:szCs w:val="20"/>
                <w:color w:val="auto"/>
              </w:rPr>
            </w:pPr>
            <w:r>
              <w:rPr>
                <w:rFonts w:ascii="Arial" w:cs="Arial" w:eastAsia="Arial" w:hAnsi="Arial"/>
                <w:sz w:val="14"/>
                <w:szCs w:val="14"/>
                <w:color w:val="auto"/>
              </w:rPr>
              <w:t>Corporate activities (Note A)</w:t>
            </w:r>
          </w:p>
        </w:tc>
        <w:tc>
          <w:tcPr>
            <w:tcW w:w="280" w:type="dxa"/>
            <w:vAlign w:val="bottom"/>
          </w:tcPr>
          <w:p>
            <w:pPr>
              <w:spacing w:after="0"/>
              <w:rPr>
                <w:sz w:val="20"/>
                <w:szCs w:val="20"/>
                <w:color w:val="auto"/>
              </w:rPr>
            </w:pPr>
          </w:p>
        </w:tc>
        <w:tc>
          <w:tcPr>
            <w:tcW w:w="780" w:type="dxa"/>
            <w:vAlign w:val="bottom"/>
          </w:tcPr>
          <w:p>
            <w:pPr>
              <w:jc w:val="right"/>
              <w:ind w:right="108"/>
              <w:spacing w:after="0"/>
              <w:rPr>
                <w:sz w:val="20"/>
                <w:szCs w:val="20"/>
                <w:color w:val="auto"/>
              </w:rPr>
            </w:pPr>
            <w:r>
              <w:rPr>
                <w:rFonts w:ascii="Arial" w:cs="Arial" w:eastAsia="Arial" w:hAnsi="Arial"/>
                <w:sz w:val="14"/>
                <w:szCs w:val="14"/>
                <w:color w:val="auto"/>
              </w:rPr>
              <w:t>(2,039)</w:t>
            </w: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(806)</w:t>
            </w: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(1,233)</w:t>
            </w:r>
          </w:p>
        </w:tc>
        <w:tc>
          <w:tcPr>
            <w:tcW w:w="320" w:type="dxa"/>
            <w:vAlign w:val="bottom"/>
          </w:tcPr>
          <w:p>
            <w:pPr>
              <w:spacing w:after="0"/>
              <w:rPr>
                <w:sz w:val="20"/>
                <w:szCs w:val="20"/>
                <w:color w:val="auto"/>
              </w:rPr>
            </w:pPr>
          </w:p>
        </w:tc>
        <w:tc>
          <w:tcPr>
            <w:tcW w:w="880" w:type="dxa"/>
            <w:vAlign w:val="bottom"/>
          </w:tcPr>
          <w:p>
            <w:pPr>
              <w:jc w:val="right"/>
              <w:ind w:right="308"/>
              <w:spacing w:after="0"/>
              <w:rPr>
                <w:sz w:val="20"/>
                <w:szCs w:val="20"/>
                <w:color w:val="auto"/>
              </w:rPr>
            </w:pPr>
            <w:r>
              <w:rPr>
                <w:rFonts w:ascii="Arial" w:cs="Arial" w:eastAsia="Arial" w:hAnsi="Arial"/>
                <w:sz w:val="14"/>
                <w:szCs w:val="14"/>
                <w:color w:val="auto"/>
              </w:rPr>
              <w:t>**</w:t>
            </w:r>
          </w:p>
        </w:tc>
      </w:tr>
      <w:tr>
        <w:trPr>
          <w:trHeight w:val="242"/>
        </w:trPr>
        <w:tc>
          <w:tcPr>
            <w:tcW w:w="6160" w:type="dxa"/>
            <w:vAlign w:val="bottom"/>
          </w:tcPr>
          <w:p>
            <w:pPr>
              <w:spacing w:after="0"/>
              <w:rPr>
                <w:sz w:val="20"/>
                <w:szCs w:val="20"/>
                <w:color w:val="auto"/>
              </w:rPr>
            </w:pPr>
            <w:r>
              <w:rPr>
                <w:rFonts w:ascii="Arial" w:cs="Arial" w:eastAsia="Arial" w:hAnsi="Arial"/>
                <w:sz w:val="14"/>
                <w:szCs w:val="14"/>
                <w:color w:val="auto"/>
              </w:rPr>
              <w:t>Restructuring charges (Note B)</w:t>
            </w:r>
          </w:p>
        </w:tc>
        <w:tc>
          <w:tcPr>
            <w:tcW w:w="280" w:type="dxa"/>
            <w:vAlign w:val="bottom"/>
          </w:tcPr>
          <w:p>
            <w:pPr>
              <w:spacing w:after="0"/>
              <w:rPr>
                <w:sz w:val="21"/>
                <w:szCs w:val="21"/>
                <w:color w:val="auto"/>
              </w:rPr>
            </w:pPr>
          </w:p>
        </w:tc>
        <w:tc>
          <w:tcPr>
            <w:tcW w:w="780" w:type="dxa"/>
            <w:vAlign w:val="bottom"/>
          </w:tcPr>
          <w:p>
            <w:pPr>
              <w:jc w:val="right"/>
              <w:ind w:right="108"/>
              <w:spacing w:after="0"/>
              <w:rPr>
                <w:sz w:val="20"/>
                <w:szCs w:val="20"/>
                <w:color w:val="auto"/>
              </w:rPr>
            </w:pPr>
            <w:r>
              <w:rPr>
                <w:rFonts w:ascii="Arial" w:cs="Arial" w:eastAsia="Arial" w:hAnsi="Arial"/>
                <w:sz w:val="14"/>
                <w:szCs w:val="14"/>
                <w:color w:val="auto"/>
              </w:rPr>
              <w:t>(211)</w:t>
            </w:r>
          </w:p>
        </w:tc>
        <w:tc>
          <w:tcPr>
            <w:tcW w:w="3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(720)</w:t>
            </w:r>
          </w:p>
        </w:tc>
        <w:tc>
          <w:tcPr>
            <w:tcW w:w="3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jc w:val="right"/>
              <w:ind w:right="148"/>
              <w:spacing w:after="0"/>
              <w:rPr>
                <w:sz w:val="20"/>
                <w:szCs w:val="20"/>
                <w:color w:val="auto"/>
              </w:rPr>
            </w:pPr>
            <w:r>
              <w:rPr>
                <w:rFonts w:ascii="Arial" w:cs="Arial" w:eastAsia="Arial" w:hAnsi="Arial"/>
                <w:sz w:val="14"/>
                <w:szCs w:val="14"/>
                <w:color w:val="auto"/>
              </w:rPr>
              <w:t>509</w:t>
            </w:r>
          </w:p>
        </w:tc>
        <w:tc>
          <w:tcPr>
            <w:tcW w:w="32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70.7%</w:t>
            </w:r>
          </w:p>
        </w:tc>
      </w:tr>
      <w:tr>
        <w:trPr>
          <w:trHeight w:val="223"/>
        </w:trPr>
        <w:tc>
          <w:tcPr>
            <w:tcW w:w="6160" w:type="dxa"/>
            <w:vAlign w:val="bottom"/>
          </w:tcPr>
          <w:p>
            <w:pPr>
              <w:spacing w:after="0"/>
              <w:rPr>
                <w:sz w:val="20"/>
                <w:szCs w:val="20"/>
                <w:color w:val="auto"/>
              </w:rPr>
            </w:pPr>
            <w:r>
              <w:rPr>
                <w:rFonts w:ascii="Arial" w:cs="Arial" w:eastAsia="Arial" w:hAnsi="Arial"/>
                <w:sz w:val="14"/>
                <w:szCs w:val="14"/>
                <w:color w:val="auto"/>
              </w:rPr>
              <w:t>Net interest expense</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(233)</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(158)</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(75)</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-47.5%</w:t>
            </w:r>
          </w:p>
        </w:tc>
      </w:tr>
      <w:tr>
        <w:trPr>
          <w:trHeight w:val="241"/>
        </w:trPr>
        <w:tc>
          <w:tcPr>
            <w:tcW w:w="6160" w:type="dxa"/>
            <w:vAlign w:val="bottom"/>
          </w:tcPr>
          <w:p>
            <w:pPr>
              <w:spacing w:after="0"/>
              <w:rPr>
                <w:sz w:val="20"/>
                <w:szCs w:val="20"/>
                <w:color w:val="auto"/>
              </w:rPr>
            </w:pPr>
            <w:r>
              <w:rPr>
                <w:rFonts w:ascii="Arial" w:cs="Arial" w:eastAsia="Arial" w:hAnsi="Arial"/>
                <w:sz w:val="14"/>
                <w:szCs w:val="14"/>
                <w:color w:val="auto"/>
              </w:rPr>
              <w:t>Income from continuing operations before Income taxes</w:t>
            </w:r>
          </w:p>
        </w:tc>
        <w:tc>
          <w:tcPr>
            <w:tcW w:w="280" w:type="dxa"/>
            <w:vAlign w:val="bottom"/>
          </w:tcPr>
          <w:p>
            <w:pPr>
              <w:spacing w:after="0"/>
              <w:rPr>
                <w:sz w:val="20"/>
                <w:szCs w:val="20"/>
                <w:color w:val="auto"/>
              </w:rPr>
            </w:pP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10,878</w:t>
            </w: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11,911</w:t>
            </w: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(1,033)</w:t>
            </w:r>
          </w:p>
        </w:tc>
        <w:tc>
          <w:tcPr>
            <w:tcW w:w="320" w:type="dxa"/>
            <w:vAlign w:val="bottom"/>
          </w:tcPr>
          <w:p>
            <w:pPr>
              <w:spacing w:after="0"/>
              <w:rPr>
                <w:sz w:val="20"/>
                <w:szCs w:val="20"/>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-8.7%</w:t>
            </w:r>
          </w:p>
        </w:tc>
      </w:tr>
      <w:tr>
        <w:trPr>
          <w:trHeight w:val="223"/>
        </w:trPr>
        <w:tc>
          <w:tcPr>
            <w:tcW w:w="6160" w:type="dxa"/>
            <w:vAlign w:val="bottom"/>
          </w:tcPr>
          <w:p>
            <w:pPr>
              <w:spacing w:after="0"/>
              <w:rPr>
                <w:sz w:val="20"/>
                <w:szCs w:val="20"/>
                <w:color w:val="auto"/>
              </w:rPr>
            </w:pPr>
            <w:r>
              <w:rPr>
                <w:rFonts w:ascii="Arial" w:cs="Arial" w:eastAsia="Arial" w:hAnsi="Arial"/>
                <w:sz w:val="14"/>
                <w:szCs w:val="14"/>
                <w:color w:val="auto"/>
              </w:rPr>
              <w:t>Income taxes (Note C)</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(1,697)</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(3,636)</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1,939</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53.3%</w:t>
            </w:r>
          </w:p>
        </w:tc>
      </w:tr>
      <w:tr>
        <w:trPr>
          <w:trHeight w:val="241"/>
        </w:trPr>
        <w:tc>
          <w:tcPr>
            <w:tcW w:w="6160" w:type="dxa"/>
            <w:vAlign w:val="bottom"/>
          </w:tcPr>
          <w:p>
            <w:pPr>
              <w:spacing w:after="0"/>
              <w:rPr>
                <w:sz w:val="20"/>
                <w:szCs w:val="20"/>
                <w:color w:val="auto"/>
              </w:rPr>
            </w:pPr>
            <w:r>
              <w:rPr>
                <w:rFonts w:ascii="Arial" w:cs="Arial" w:eastAsia="Arial" w:hAnsi="Arial"/>
                <w:sz w:val="14"/>
                <w:szCs w:val="14"/>
                <w:color w:val="auto"/>
              </w:rPr>
              <w:t>Income from continuing operations</w:t>
            </w:r>
          </w:p>
        </w:tc>
        <w:tc>
          <w:tcPr>
            <w:tcW w:w="280" w:type="dxa"/>
            <w:vAlign w:val="bottom"/>
          </w:tcPr>
          <w:p>
            <w:pPr>
              <w:spacing w:after="0"/>
              <w:rPr>
                <w:sz w:val="20"/>
                <w:szCs w:val="20"/>
                <w:color w:val="auto"/>
              </w:rPr>
            </w:pP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9,181</w:t>
            </w: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8,275</w:t>
            </w: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148"/>
              <w:spacing w:after="0"/>
              <w:rPr>
                <w:sz w:val="20"/>
                <w:szCs w:val="20"/>
                <w:color w:val="auto"/>
              </w:rPr>
            </w:pPr>
            <w:r>
              <w:rPr>
                <w:rFonts w:ascii="Arial" w:cs="Arial" w:eastAsia="Arial" w:hAnsi="Arial"/>
                <w:sz w:val="14"/>
                <w:szCs w:val="14"/>
                <w:color w:val="auto"/>
              </w:rPr>
              <w:t>906</w:t>
            </w:r>
          </w:p>
        </w:tc>
        <w:tc>
          <w:tcPr>
            <w:tcW w:w="320" w:type="dxa"/>
            <w:vAlign w:val="bottom"/>
          </w:tcPr>
          <w:p>
            <w:pPr>
              <w:spacing w:after="0"/>
              <w:rPr>
                <w:sz w:val="20"/>
                <w:szCs w:val="20"/>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10.9%</w:t>
            </w:r>
          </w:p>
        </w:tc>
      </w:tr>
      <w:tr>
        <w:trPr>
          <w:trHeight w:val="223"/>
        </w:trPr>
        <w:tc>
          <w:tcPr>
            <w:tcW w:w="6160" w:type="dxa"/>
            <w:vAlign w:val="bottom"/>
          </w:tcPr>
          <w:p>
            <w:pPr>
              <w:spacing w:after="0"/>
              <w:rPr>
                <w:sz w:val="20"/>
                <w:szCs w:val="20"/>
                <w:color w:val="auto"/>
              </w:rPr>
            </w:pPr>
            <w:r>
              <w:rPr>
                <w:rFonts w:ascii="Arial" w:cs="Arial" w:eastAsia="Arial" w:hAnsi="Arial"/>
                <w:sz w:val="14"/>
                <w:szCs w:val="14"/>
                <w:color w:val="auto"/>
              </w:rPr>
              <w:t>Income (loss) from discontinued operations (Note D)</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15,238</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(485)</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15,723</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r>
      <w:tr>
        <w:trPr>
          <w:trHeight w:val="241"/>
        </w:trPr>
        <w:tc>
          <w:tcPr>
            <w:tcW w:w="6160" w:type="dxa"/>
            <w:vAlign w:val="bottom"/>
          </w:tcPr>
          <w:p>
            <w:pPr>
              <w:spacing w:after="0"/>
              <w:rPr>
                <w:sz w:val="20"/>
                <w:szCs w:val="20"/>
                <w:color w:val="auto"/>
              </w:rPr>
            </w:pPr>
            <w:r>
              <w:rPr>
                <w:rFonts w:ascii="Arial" w:cs="Arial" w:eastAsia="Arial" w:hAnsi="Arial"/>
                <w:sz w:val="14"/>
                <w:szCs w:val="14"/>
                <w:color w:val="auto"/>
              </w:rPr>
              <w:t>Net income</w:t>
            </w:r>
          </w:p>
        </w:tc>
        <w:tc>
          <w:tcPr>
            <w:tcW w:w="280" w:type="dxa"/>
            <w:vAlign w:val="bottom"/>
          </w:tcPr>
          <w:p>
            <w:pPr>
              <w:spacing w:after="0"/>
              <w:rPr>
                <w:sz w:val="20"/>
                <w:szCs w:val="20"/>
                <w:color w:val="auto"/>
              </w:rPr>
            </w:pP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24,419</w:t>
            </w: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7,790</w:t>
            </w: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148"/>
              <w:spacing w:after="0"/>
              <w:rPr>
                <w:sz w:val="20"/>
                <w:szCs w:val="20"/>
                <w:color w:val="auto"/>
              </w:rPr>
            </w:pPr>
            <w:r>
              <w:rPr>
                <w:rFonts w:ascii="Arial" w:cs="Arial" w:eastAsia="Arial" w:hAnsi="Arial"/>
                <w:sz w:val="14"/>
                <w:szCs w:val="14"/>
                <w:color w:val="auto"/>
              </w:rPr>
              <w:t>16,629</w:t>
            </w:r>
          </w:p>
        </w:tc>
        <w:tc>
          <w:tcPr>
            <w:tcW w:w="320" w:type="dxa"/>
            <w:vAlign w:val="bottom"/>
          </w:tcPr>
          <w:p>
            <w:pPr>
              <w:spacing w:after="0"/>
              <w:rPr>
                <w:sz w:val="20"/>
                <w:szCs w:val="20"/>
                <w:color w:val="auto"/>
              </w:rPr>
            </w:pPr>
          </w:p>
        </w:tc>
        <w:tc>
          <w:tcPr>
            <w:tcW w:w="880" w:type="dxa"/>
            <w:vAlign w:val="bottom"/>
          </w:tcPr>
          <w:p>
            <w:pPr>
              <w:jc w:val="right"/>
              <w:ind w:right="308"/>
              <w:spacing w:after="0"/>
              <w:rPr>
                <w:sz w:val="20"/>
                <w:szCs w:val="20"/>
                <w:color w:val="auto"/>
              </w:rPr>
            </w:pPr>
            <w:r>
              <w:rPr>
                <w:rFonts w:ascii="Arial" w:cs="Arial" w:eastAsia="Arial" w:hAnsi="Arial"/>
                <w:sz w:val="14"/>
                <w:szCs w:val="14"/>
                <w:color w:val="auto"/>
              </w:rPr>
              <w:t>**</w:t>
            </w:r>
          </w:p>
        </w:tc>
      </w:tr>
      <w:tr>
        <w:trPr>
          <w:trHeight w:val="223"/>
        </w:trPr>
        <w:tc>
          <w:tcPr>
            <w:tcW w:w="6160" w:type="dxa"/>
            <w:vAlign w:val="bottom"/>
          </w:tcPr>
          <w:p>
            <w:pPr>
              <w:spacing w:after="0"/>
              <w:rPr>
                <w:sz w:val="20"/>
                <w:szCs w:val="20"/>
                <w:color w:val="auto"/>
              </w:rPr>
            </w:pPr>
            <w:r>
              <w:rPr>
                <w:rFonts w:ascii="Arial" w:cs="Arial" w:eastAsia="Arial" w:hAnsi="Arial"/>
                <w:sz w:val="14"/>
                <w:szCs w:val="14"/>
                <w:color w:val="auto"/>
              </w:rPr>
              <w:t>Net (income) loss attributable to noncontrolling interest</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(2,537)</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275</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(2,812)</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r>
      <w:tr>
        <w:trPr>
          <w:trHeight w:val="215"/>
        </w:trPr>
        <w:tc>
          <w:tcPr>
            <w:tcW w:w="6160" w:type="dxa"/>
            <w:vAlign w:val="bottom"/>
          </w:tcPr>
          <w:p>
            <w:pPr>
              <w:spacing w:after="0"/>
              <w:rPr>
                <w:sz w:val="20"/>
                <w:szCs w:val="20"/>
                <w:color w:val="auto"/>
              </w:rPr>
            </w:pPr>
            <w:r>
              <w:rPr>
                <w:rFonts w:ascii="Arial" w:cs="Arial" w:eastAsia="Arial" w:hAnsi="Arial"/>
                <w:sz w:val="14"/>
                <w:szCs w:val="14"/>
                <w:b w:val="1"/>
                <w:bCs w:val="1"/>
                <w:color w:val="auto"/>
              </w:rPr>
              <w:t>Net income attributable to Viad</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21,882</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8,065</w:t>
            </w:r>
          </w:p>
        </w:tc>
        <w:tc>
          <w:tcPr>
            <w:tcW w:w="320" w:type="dxa"/>
            <w:vAlign w:val="bottom"/>
          </w:tcPr>
          <w:p>
            <w:pPr>
              <w:spacing w:after="0"/>
              <w:rPr>
                <w:sz w:val="18"/>
                <w:szCs w:val="18"/>
                <w:color w:val="auto"/>
              </w:rPr>
            </w:pPr>
          </w:p>
        </w:tc>
        <w:tc>
          <w:tcPr>
            <w:tcW w:w="3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13,817</w:t>
            </w:r>
          </w:p>
        </w:tc>
        <w:tc>
          <w:tcPr>
            <w:tcW w:w="320" w:type="dxa"/>
            <w:vAlign w:val="bottom"/>
          </w:tcPr>
          <w:p>
            <w:pPr>
              <w:spacing w:after="0"/>
              <w:rPr>
                <w:sz w:val="18"/>
                <w:szCs w:val="18"/>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w:t>
            </w:r>
          </w:p>
        </w:tc>
      </w:tr>
      <w:tr>
        <w:trPr>
          <w:trHeight w:val="503"/>
        </w:trPr>
        <w:tc>
          <w:tcPr>
            <w:tcW w:w="6160" w:type="dxa"/>
            <w:vAlign w:val="bottom"/>
          </w:tcPr>
          <w:p>
            <w:pPr>
              <w:spacing w:after="0"/>
              <w:rPr>
                <w:sz w:val="20"/>
                <w:szCs w:val="20"/>
                <w:color w:val="auto"/>
              </w:rPr>
            </w:pPr>
            <w:r>
              <w:rPr>
                <w:rFonts w:ascii="Arial" w:cs="Arial" w:eastAsia="Arial" w:hAnsi="Arial"/>
                <w:sz w:val="14"/>
                <w:szCs w:val="14"/>
                <w:color w:val="auto"/>
              </w:rPr>
              <w:t>Amounts Attributable to Viad Common Stockholders:</w:t>
            </w: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42"/>
        </w:trPr>
        <w:tc>
          <w:tcPr>
            <w:tcW w:w="6160" w:type="dxa"/>
            <w:vAlign w:val="bottom"/>
          </w:tcPr>
          <w:p>
            <w:pPr>
              <w:spacing w:after="0"/>
              <w:rPr>
                <w:sz w:val="20"/>
                <w:szCs w:val="20"/>
                <w:color w:val="auto"/>
              </w:rPr>
            </w:pPr>
            <w:r>
              <w:rPr>
                <w:rFonts w:ascii="Arial" w:cs="Arial" w:eastAsia="Arial" w:hAnsi="Arial"/>
                <w:sz w:val="14"/>
                <w:szCs w:val="14"/>
                <w:color w:val="auto"/>
              </w:rPr>
              <w:t>Income from continuing operations</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9,312</w:t>
            </w:r>
          </w:p>
        </w:tc>
        <w:tc>
          <w:tcPr>
            <w:tcW w:w="320" w:type="dxa"/>
            <w:vAlign w:val="bottom"/>
          </w:tcPr>
          <w:p>
            <w:pPr>
              <w:spacing w:after="0"/>
              <w:rPr>
                <w:sz w:val="21"/>
                <w:szCs w:val="21"/>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8,453</w:t>
            </w:r>
          </w:p>
        </w:tc>
        <w:tc>
          <w:tcPr>
            <w:tcW w:w="320" w:type="dxa"/>
            <w:vAlign w:val="bottom"/>
          </w:tcPr>
          <w:p>
            <w:pPr>
              <w:spacing w:after="0"/>
              <w:rPr>
                <w:sz w:val="21"/>
                <w:szCs w:val="21"/>
                <w:color w:val="auto"/>
              </w:rPr>
            </w:pP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148"/>
              <w:spacing w:after="0"/>
              <w:rPr>
                <w:sz w:val="20"/>
                <w:szCs w:val="20"/>
                <w:color w:val="auto"/>
              </w:rPr>
            </w:pPr>
            <w:r>
              <w:rPr>
                <w:rFonts w:ascii="Arial" w:cs="Arial" w:eastAsia="Arial" w:hAnsi="Arial"/>
                <w:sz w:val="14"/>
                <w:szCs w:val="14"/>
                <w:color w:val="auto"/>
              </w:rPr>
              <w:t>859</w:t>
            </w:r>
          </w:p>
        </w:tc>
        <w:tc>
          <w:tcPr>
            <w:tcW w:w="32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10.2%</w:t>
            </w:r>
          </w:p>
        </w:tc>
      </w:tr>
      <w:tr>
        <w:trPr>
          <w:trHeight w:val="223"/>
        </w:trPr>
        <w:tc>
          <w:tcPr>
            <w:tcW w:w="6160" w:type="dxa"/>
            <w:vAlign w:val="bottom"/>
          </w:tcPr>
          <w:p>
            <w:pPr>
              <w:spacing w:after="0"/>
              <w:rPr>
                <w:sz w:val="20"/>
                <w:szCs w:val="20"/>
                <w:color w:val="auto"/>
              </w:rPr>
            </w:pPr>
            <w:r>
              <w:rPr>
                <w:rFonts w:ascii="Arial" w:cs="Arial" w:eastAsia="Arial" w:hAnsi="Arial"/>
                <w:sz w:val="14"/>
                <w:szCs w:val="14"/>
                <w:color w:val="auto"/>
              </w:rPr>
              <w:t>Income (loss) from discontinued operations</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12,570</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(388)</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12,958</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r>
      <w:tr>
        <w:trPr>
          <w:trHeight w:val="215"/>
        </w:trPr>
        <w:tc>
          <w:tcPr>
            <w:tcW w:w="6160" w:type="dxa"/>
            <w:vAlign w:val="bottom"/>
          </w:tcPr>
          <w:p>
            <w:pPr>
              <w:spacing w:after="0"/>
              <w:rPr>
                <w:sz w:val="20"/>
                <w:szCs w:val="20"/>
                <w:color w:val="auto"/>
              </w:rPr>
            </w:pPr>
            <w:r>
              <w:rPr>
                <w:rFonts w:ascii="Arial" w:cs="Arial" w:eastAsia="Arial" w:hAnsi="Arial"/>
                <w:sz w:val="14"/>
                <w:szCs w:val="14"/>
                <w:b w:val="1"/>
                <w:bCs w:val="1"/>
                <w:color w:val="auto"/>
              </w:rPr>
              <w:t>Net income</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21,882</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8,065</w:t>
            </w:r>
          </w:p>
        </w:tc>
        <w:tc>
          <w:tcPr>
            <w:tcW w:w="320" w:type="dxa"/>
            <w:vAlign w:val="bottom"/>
          </w:tcPr>
          <w:p>
            <w:pPr>
              <w:spacing w:after="0"/>
              <w:rPr>
                <w:sz w:val="18"/>
                <w:szCs w:val="18"/>
                <w:color w:val="auto"/>
              </w:rPr>
            </w:pPr>
          </w:p>
        </w:tc>
        <w:tc>
          <w:tcPr>
            <w:tcW w:w="3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13,817</w:t>
            </w:r>
          </w:p>
        </w:tc>
        <w:tc>
          <w:tcPr>
            <w:tcW w:w="320" w:type="dxa"/>
            <w:vAlign w:val="bottom"/>
          </w:tcPr>
          <w:p>
            <w:pPr>
              <w:spacing w:after="0"/>
              <w:rPr>
                <w:sz w:val="18"/>
                <w:szCs w:val="18"/>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w:t>
            </w:r>
          </w:p>
        </w:tc>
      </w:tr>
      <w:tr>
        <w:trPr>
          <w:trHeight w:val="503"/>
        </w:trPr>
        <w:tc>
          <w:tcPr>
            <w:tcW w:w="6160" w:type="dxa"/>
            <w:vAlign w:val="bottom"/>
          </w:tcPr>
          <w:p>
            <w:pPr>
              <w:spacing w:after="0"/>
              <w:rPr>
                <w:sz w:val="20"/>
                <w:szCs w:val="20"/>
                <w:color w:val="auto"/>
              </w:rPr>
            </w:pPr>
            <w:r>
              <w:rPr>
                <w:rFonts w:ascii="Arial" w:cs="Arial" w:eastAsia="Arial" w:hAnsi="Arial"/>
                <w:sz w:val="14"/>
                <w:szCs w:val="14"/>
                <w:color w:val="auto"/>
              </w:rPr>
              <w:t>Diluted income per common share (Note E):</w:t>
            </w: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42"/>
        </w:trPr>
        <w:tc>
          <w:tcPr>
            <w:tcW w:w="6160" w:type="dxa"/>
            <w:vAlign w:val="bottom"/>
          </w:tcPr>
          <w:p>
            <w:pPr>
              <w:ind w:left="640"/>
              <w:spacing w:after="0"/>
              <w:rPr>
                <w:sz w:val="20"/>
                <w:szCs w:val="20"/>
                <w:color w:val="auto"/>
              </w:rPr>
            </w:pPr>
            <w:r>
              <w:rPr>
                <w:rFonts w:ascii="Arial" w:cs="Arial" w:eastAsia="Arial" w:hAnsi="Arial"/>
                <w:sz w:val="14"/>
                <w:szCs w:val="14"/>
                <w:color w:val="auto"/>
              </w:rPr>
              <w:t>Income from continuing operations attributable to Viad common shareholders</w:t>
            </w: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0.46</w:t>
            </w:r>
          </w:p>
        </w:tc>
        <w:tc>
          <w:tcPr>
            <w:tcW w:w="32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0.42</w:t>
            </w:r>
          </w:p>
        </w:tc>
        <w:tc>
          <w:tcPr>
            <w:tcW w:w="320" w:type="dxa"/>
            <w:vAlign w:val="bottom"/>
          </w:tcPr>
          <w:p>
            <w:pPr>
              <w:spacing w:after="0"/>
              <w:rPr>
                <w:sz w:val="21"/>
                <w:szCs w:val="21"/>
                <w:color w:val="auto"/>
              </w:rPr>
            </w:pPr>
          </w:p>
        </w:tc>
        <w:tc>
          <w:tcPr>
            <w:tcW w:w="3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148"/>
              <w:spacing w:after="0"/>
              <w:rPr>
                <w:sz w:val="20"/>
                <w:szCs w:val="20"/>
                <w:color w:val="auto"/>
              </w:rPr>
            </w:pPr>
            <w:r>
              <w:rPr>
                <w:rFonts w:ascii="Arial" w:cs="Arial" w:eastAsia="Arial" w:hAnsi="Arial"/>
                <w:sz w:val="14"/>
                <w:szCs w:val="14"/>
                <w:color w:val="auto"/>
              </w:rPr>
              <w:t>0.04</w:t>
            </w:r>
          </w:p>
        </w:tc>
        <w:tc>
          <w:tcPr>
            <w:tcW w:w="32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9.5%</w:t>
            </w:r>
          </w:p>
        </w:tc>
      </w:tr>
      <w:tr>
        <w:trPr>
          <w:trHeight w:val="223"/>
        </w:trPr>
        <w:tc>
          <w:tcPr>
            <w:tcW w:w="6160" w:type="dxa"/>
            <w:vAlign w:val="bottom"/>
          </w:tcPr>
          <w:p>
            <w:pPr>
              <w:ind w:left="640"/>
              <w:spacing w:after="0"/>
              <w:rPr>
                <w:sz w:val="20"/>
                <w:szCs w:val="20"/>
                <w:color w:val="auto"/>
              </w:rPr>
            </w:pPr>
            <w:r>
              <w:rPr>
                <w:rFonts w:ascii="Arial" w:cs="Arial" w:eastAsia="Arial" w:hAnsi="Arial"/>
                <w:sz w:val="14"/>
                <w:szCs w:val="14"/>
                <w:color w:val="auto"/>
              </w:rPr>
              <w:t>Income (loss) from discontinued operations attributable to Viad common shareholders</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0.62</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(0.02)</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0.64</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r>
      <w:tr>
        <w:trPr>
          <w:trHeight w:val="215"/>
        </w:trPr>
        <w:tc>
          <w:tcPr>
            <w:tcW w:w="6160" w:type="dxa"/>
            <w:vAlign w:val="bottom"/>
          </w:tcPr>
          <w:p>
            <w:pPr>
              <w:ind w:left="640"/>
              <w:spacing w:after="0"/>
              <w:rPr>
                <w:sz w:val="20"/>
                <w:szCs w:val="20"/>
                <w:color w:val="auto"/>
              </w:rPr>
            </w:pPr>
            <w:r>
              <w:rPr>
                <w:rFonts w:ascii="Arial" w:cs="Arial" w:eastAsia="Arial" w:hAnsi="Arial"/>
                <w:sz w:val="14"/>
                <w:szCs w:val="14"/>
                <w:b w:val="1"/>
                <w:bCs w:val="1"/>
                <w:color w:val="auto"/>
              </w:rPr>
              <w:t>Net income attributable to Viad common shareholders</w:t>
            </w: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1.08</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0.40</w:t>
            </w:r>
          </w:p>
        </w:tc>
        <w:tc>
          <w:tcPr>
            <w:tcW w:w="320" w:type="dxa"/>
            <w:vAlign w:val="bottom"/>
          </w:tcPr>
          <w:p>
            <w:pPr>
              <w:spacing w:after="0"/>
              <w:rPr>
                <w:sz w:val="18"/>
                <w:szCs w:val="18"/>
                <w:color w:val="auto"/>
              </w:rPr>
            </w:pPr>
          </w:p>
        </w:tc>
        <w:tc>
          <w:tcPr>
            <w:tcW w:w="3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0.68</w:t>
            </w:r>
          </w:p>
        </w:tc>
        <w:tc>
          <w:tcPr>
            <w:tcW w:w="320" w:type="dxa"/>
            <w:vAlign w:val="bottom"/>
          </w:tcPr>
          <w:p>
            <w:pPr>
              <w:spacing w:after="0"/>
              <w:rPr>
                <w:sz w:val="18"/>
                <w:szCs w:val="18"/>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w:t>
            </w:r>
          </w:p>
        </w:tc>
      </w:tr>
      <w:tr>
        <w:trPr>
          <w:trHeight w:val="503"/>
        </w:trPr>
        <w:tc>
          <w:tcPr>
            <w:tcW w:w="6160" w:type="dxa"/>
            <w:vAlign w:val="bottom"/>
          </w:tcPr>
          <w:p>
            <w:pPr>
              <w:spacing w:after="0"/>
              <w:rPr>
                <w:sz w:val="20"/>
                <w:szCs w:val="20"/>
                <w:color w:val="auto"/>
              </w:rPr>
            </w:pPr>
            <w:r>
              <w:rPr>
                <w:rFonts w:ascii="Arial" w:cs="Arial" w:eastAsia="Arial" w:hAnsi="Arial"/>
                <w:sz w:val="14"/>
                <w:szCs w:val="14"/>
                <w:color w:val="auto"/>
              </w:rPr>
              <w:t>Basic income per common share (Note E):</w:t>
            </w: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42"/>
        </w:trPr>
        <w:tc>
          <w:tcPr>
            <w:tcW w:w="6160" w:type="dxa"/>
            <w:vAlign w:val="bottom"/>
          </w:tcPr>
          <w:p>
            <w:pPr>
              <w:ind w:left="640"/>
              <w:spacing w:after="0"/>
              <w:rPr>
                <w:sz w:val="20"/>
                <w:szCs w:val="20"/>
                <w:color w:val="auto"/>
              </w:rPr>
            </w:pPr>
            <w:r>
              <w:rPr>
                <w:rFonts w:ascii="Arial" w:cs="Arial" w:eastAsia="Arial" w:hAnsi="Arial"/>
                <w:sz w:val="14"/>
                <w:szCs w:val="14"/>
                <w:color w:val="auto"/>
              </w:rPr>
              <w:t>Income from continuing operations attributable to Viad common shareholders</w:t>
            </w: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0.46</w:t>
            </w:r>
          </w:p>
        </w:tc>
        <w:tc>
          <w:tcPr>
            <w:tcW w:w="32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0.42</w:t>
            </w:r>
          </w:p>
        </w:tc>
        <w:tc>
          <w:tcPr>
            <w:tcW w:w="320" w:type="dxa"/>
            <w:vAlign w:val="bottom"/>
          </w:tcPr>
          <w:p>
            <w:pPr>
              <w:spacing w:after="0"/>
              <w:rPr>
                <w:sz w:val="21"/>
                <w:szCs w:val="21"/>
                <w:color w:val="auto"/>
              </w:rPr>
            </w:pPr>
          </w:p>
        </w:tc>
        <w:tc>
          <w:tcPr>
            <w:tcW w:w="3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148"/>
              <w:spacing w:after="0"/>
              <w:rPr>
                <w:sz w:val="20"/>
                <w:szCs w:val="20"/>
                <w:color w:val="auto"/>
              </w:rPr>
            </w:pPr>
            <w:r>
              <w:rPr>
                <w:rFonts w:ascii="Arial" w:cs="Arial" w:eastAsia="Arial" w:hAnsi="Arial"/>
                <w:sz w:val="14"/>
                <w:szCs w:val="14"/>
                <w:color w:val="auto"/>
              </w:rPr>
              <w:t>0.04</w:t>
            </w:r>
          </w:p>
        </w:tc>
        <w:tc>
          <w:tcPr>
            <w:tcW w:w="32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9.5%</w:t>
            </w:r>
          </w:p>
        </w:tc>
      </w:tr>
      <w:tr>
        <w:trPr>
          <w:trHeight w:val="223"/>
        </w:trPr>
        <w:tc>
          <w:tcPr>
            <w:tcW w:w="6160" w:type="dxa"/>
            <w:vAlign w:val="bottom"/>
          </w:tcPr>
          <w:p>
            <w:pPr>
              <w:ind w:left="640"/>
              <w:spacing w:after="0"/>
              <w:rPr>
                <w:sz w:val="20"/>
                <w:szCs w:val="20"/>
                <w:color w:val="auto"/>
              </w:rPr>
            </w:pPr>
            <w:r>
              <w:rPr>
                <w:rFonts w:ascii="Arial" w:cs="Arial" w:eastAsia="Arial" w:hAnsi="Arial"/>
                <w:sz w:val="14"/>
                <w:szCs w:val="14"/>
                <w:color w:val="auto"/>
              </w:rPr>
              <w:t>Income (loss) from discontinued operations attributable to Viad common shareholders</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0.62</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(0.02)</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0.64</w:t>
            </w:r>
          </w:p>
        </w:tc>
        <w:tc>
          <w:tcPr>
            <w:tcW w:w="320" w:type="dxa"/>
            <w:vAlign w:val="bottom"/>
          </w:tcPr>
          <w:p>
            <w:pPr>
              <w:spacing w:after="0"/>
              <w:rPr>
                <w:sz w:val="19"/>
                <w:szCs w:val="19"/>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r>
      <w:tr>
        <w:trPr>
          <w:trHeight w:val="215"/>
        </w:trPr>
        <w:tc>
          <w:tcPr>
            <w:tcW w:w="6160" w:type="dxa"/>
            <w:vAlign w:val="bottom"/>
          </w:tcPr>
          <w:p>
            <w:pPr>
              <w:ind w:left="640"/>
              <w:spacing w:after="0"/>
              <w:rPr>
                <w:sz w:val="20"/>
                <w:szCs w:val="20"/>
                <w:color w:val="auto"/>
              </w:rPr>
            </w:pPr>
            <w:r>
              <w:rPr>
                <w:rFonts w:ascii="Arial" w:cs="Arial" w:eastAsia="Arial" w:hAnsi="Arial"/>
                <w:sz w:val="14"/>
                <w:szCs w:val="14"/>
                <w:b w:val="1"/>
                <w:bCs w:val="1"/>
                <w:color w:val="auto"/>
              </w:rPr>
              <w:t>Net income attributable to Viad common shareholders</w:t>
            </w: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1.08</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0.40</w:t>
            </w:r>
          </w:p>
        </w:tc>
        <w:tc>
          <w:tcPr>
            <w:tcW w:w="320" w:type="dxa"/>
            <w:vAlign w:val="bottom"/>
          </w:tcPr>
          <w:p>
            <w:pPr>
              <w:spacing w:after="0"/>
              <w:rPr>
                <w:sz w:val="18"/>
                <w:szCs w:val="18"/>
                <w:color w:val="auto"/>
              </w:rPr>
            </w:pPr>
          </w:p>
        </w:tc>
        <w:tc>
          <w:tcPr>
            <w:tcW w:w="3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0.68</w:t>
            </w:r>
          </w:p>
        </w:tc>
        <w:tc>
          <w:tcPr>
            <w:tcW w:w="320" w:type="dxa"/>
            <w:vAlign w:val="bottom"/>
          </w:tcPr>
          <w:p>
            <w:pPr>
              <w:spacing w:after="0"/>
              <w:rPr>
                <w:sz w:val="18"/>
                <w:szCs w:val="18"/>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w:t>
            </w:r>
          </w:p>
        </w:tc>
      </w:tr>
    </w:tbl>
    <w:p>
      <w:pPr>
        <w:spacing w:after="0" w:line="200" w:lineRule="exact"/>
        <w:rPr>
          <w:sz w:val="20"/>
          <w:szCs w:val="20"/>
          <w:color w:val="auto"/>
        </w:rPr>
      </w:pPr>
    </w:p>
    <w:p>
      <w:pPr>
        <w:sectPr>
          <w:pgSz w:w="11900" w:h="16838" w:orient="portrait"/>
          <w:cols w:equalWidth="0" w:num="1">
            <w:col w:w="11126"/>
          </w:cols>
          <w:pgMar w:left="534" w:top="433" w:right="239" w:bottom="437" w:gutter="0" w:footer="0" w:header="0"/>
        </w:sectPr>
      </w:pPr>
    </w:p>
    <w:p>
      <w:pPr>
        <w:spacing w:after="0" w:line="109" w:lineRule="exact"/>
        <w:rPr>
          <w:sz w:val="20"/>
          <w:szCs w:val="20"/>
          <w:color w:val="auto"/>
        </w:rPr>
      </w:pPr>
    </w:p>
    <w:p>
      <w:pPr>
        <w:ind w:left="46"/>
        <w:spacing w:after="0"/>
        <w:rPr>
          <w:sz w:val="20"/>
          <w:szCs w:val="20"/>
          <w:color w:val="auto"/>
        </w:rPr>
      </w:pPr>
      <w:r>
        <w:rPr>
          <w:rFonts w:ascii="Arial" w:cs="Arial" w:eastAsia="Arial" w:hAnsi="Arial"/>
          <w:sz w:val="14"/>
          <w:szCs w:val="14"/>
          <w:color w:val="auto"/>
        </w:rPr>
        <w:t>Common shares treated as outstanding for income per share calculations:</w:t>
      </w:r>
    </w:p>
    <w:p>
      <w:pPr>
        <w:spacing w:after="0" w:line="81" w:lineRule="exact"/>
        <w:rPr>
          <w:sz w:val="20"/>
          <w:szCs w:val="20"/>
          <w:color w:val="auto"/>
        </w:rPr>
      </w:pPr>
    </w:p>
    <w:p>
      <w:pPr>
        <w:ind w:left="646"/>
        <w:spacing w:after="0"/>
        <w:rPr>
          <w:sz w:val="20"/>
          <w:szCs w:val="20"/>
          <w:color w:val="auto"/>
        </w:rPr>
      </w:pPr>
      <w:r>
        <w:rPr>
          <w:rFonts w:ascii="Arial" w:cs="Arial" w:eastAsia="Arial" w:hAnsi="Arial"/>
          <w:sz w:val="14"/>
          <w:szCs w:val="14"/>
          <w:color w:val="auto"/>
        </w:rPr>
        <w:t>Weighted-average outstanding common shares</w:t>
      </w:r>
    </w:p>
    <w:p>
      <w:pPr>
        <w:spacing w:after="0" w:line="336" w:lineRule="exact"/>
        <w:rPr>
          <w:sz w:val="20"/>
          <w:szCs w:val="20"/>
          <w:color w:val="auto"/>
        </w:rPr>
      </w:pPr>
    </w:p>
    <w:p>
      <w:pPr>
        <w:jc w:val="right"/>
        <w:ind w:right="360"/>
        <w:spacing w:after="0"/>
        <w:rPr>
          <w:sz w:val="20"/>
          <w:szCs w:val="20"/>
          <w:color w:val="auto"/>
        </w:rPr>
      </w:pPr>
      <w:r>
        <w:rPr>
          <w:rFonts w:ascii="Arial" w:cs="Arial" w:eastAsia="Arial" w:hAnsi="Arial"/>
          <w:sz w:val="14"/>
          <w:szCs w:val="14"/>
          <w:color w:val="auto"/>
        </w:rPr>
        <w:t>Weighted-average outstanding and potentially dilutive common shares</w:t>
      </w:r>
    </w:p>
    <w:p>
      <w:pPr>
        <w:spacing w:after="0" w:line="336" w:lineRule="exact"/>
        <w:rPr>
          <w:sz w:val="20"/>
          <w:szCs w:val="20"/>
          <w:color w:val="auto"/>
        </w:rPr>
      </w:pPr>
    </w:p>
    <w:p>
      <w:pPr>
        <w:ind w:left="146" w:hanging="146"/>
        <w:spacing w:after="0"/>
        <w:tabs>
          <w:tab w:leader="none" w:pos="146" w:val="left"/>
        </w:tabs>
        <w:numPr>
          <w:ilvl w:val="0"/>
          <w:numId w:val="2"/>
        </w:numPr>
        <w:rPr>
          <w:rFonts w:ascii="Arial" w:cs="Arial" w:eastAsia="Arial" w:hAnsi="Arial"/>
          <w:sz w:val="14"/>
          <w:szCs w:val="14"/>
          <w:color w:val="auto"/>
        </w:rPr>
      </w:pPr>
      <w:r>
        <w:rPr>
          <w:rFonts w:ascii="Arial" w:cs="Arial" w:eastAsia="Arial" w:hAnsi="Arial"/>
          <w:sz w:val="14"/>
          <w:szCs w:val="14"/>
          <w:color w:val="auto"/>
        </w:rPr>
        <w:t>Change is greater than +/- 100 percent</w:t>
      </w:r>
    </w:p>
    <w:p>
      <w:pPr>
        <w:spacing w:after="0" w:line="18" w:lineRule="exact"/>
        <w:rPr>
          <w:rFonts w:ascii="Arial" w:cs="Arial" w:eastAsia="Arial" w:hAnsi="Arial"/>
          <w:sz w:val="14"/>
          <w:szCs w:val="14"/>
          <w:color w:val="auto"/>
        </w:rPr>
      </w:pPr>
    </w:p>
    <w:p>
      <w:pPr>
        <w:ind w:left="226"/>
        <w:spacing w:after="0"/>
        <w:rPr>
          <w:rFonts w:ascii="Arial" w:cs="Arial" w:eastAsia="Arial" w:hAnsi="Arial"/>
          <w:sz w:val="14"/>
          <w:szCs w:val="14"/>
          <w:color w:val="auto"/>
        </w:rPr>
      </w:pPr>
      <w:r>
        <w:rPr>
          <w:rFonts w:ascii="Arial" w:cs="Arial" w:eastAsia="Arial" w:hAnsi="Arial"/>
          <w:sz w:val="14"/>
          <w:szCs w:val="14"/>
          <w:b w:val="1"/>
          <w:bCs w:val="1"/>
          <w:color w:val="auto"/>
        </w:rPr>
        <w:t>VIAD CORP AND</w:t>
      </w:r>
    </w:p>
    <w:p>
      <w:pPr>
        <w:jc w:val="center"/>
        <w:ind w:right="3834"/>
        <w:spacing w:after="0"/>
        <w:rPr>
          <w:sz w:val="20"/>
          <w:szCs w:val="20"/>
          <w:color w:val="auto"/>
        </w:rPr>
      </w:pPr>
      <w:r>
        <w:rPr>
          <w:rFonts w:ascii="Arial" w:cs="Arial" w:eastAsia="Arial" w:hAnsi="Arial"/>
          <w:sz w:val="14"/>
          <w:szCs w:val="14"/>
          <w:b w:val="1"/>
          <w:bCs w:val="1"/>
          <w:color w:val="auto"/>
        </w:rPr>
        <w:t>SUBSIDIARIES</w:t>
      </w:r>
    </w:p>
    <w:p>
      <w:pPr>
        <w:jc w:val="center"/>
        <w:ind w:right="3834"/>
        <w:spacing w:after="0"/>
        <w:rPr>
          <w:sz w:val="20"/>
          <w:szCs w:val="20"/>
          <w:color w:val="auto"/>
        </w:rPr>
      </w:pPr>
      <w:r>
        <w:rPr>
          <w:rFonts w:ascii="Arial" w:cs="Arial" w:eastAsia="Arial" w:hAnsi="Arial"/>
          <w:sz w:val="14"/>
          <w:szCs w:val="14"/>
          <w:b w:val="1"/>
          <w:bCs w:val="1"/>
          <w:color w:val="auto"/>
        </w:rPr>
        <w:t>TABLE ONE - NOTES</w:t>
      </w:r>
    </w:p>
    <w:p>
      <w:pPr>
        <w:jc w:val="center"/>
        <w:ind w:right="3834"/>
        <w:spacing w:after="0"/>
        <w:rPr>
          <w:sz w:val="20"/>
          <w:szCs w:val="20"/>
          <w:color w:val="auto"/>
        </w:rPr>
      </w:pPr>
      <w:r>
        <w:rPr>
          <w:rFonts w:ascii="Arial" w:cs="Arial" w:eastAsia="Arial" w:hAnsi="Arial"/>
          <w:sz w:val="14"/>
          <w:szCs w:val="14"/>
          <w:b w:val="1"/>
          <w:bCs w:val="1"/>
          <w:color w:val="auto"/>
        </w:rPr>
        <w:t>TO QUARTERLY</w:t>
      </w:r>
    </w:p>
    <w:p>
      <w:pPr>
        <w:jc w:val="center"/>
        <w:ind w:right="3834"/>
        <w:spacing w:after="0"/>
        <w:rPr>
          <w:sz w:val="20"/>
          <w:szCs w:val="20"/>
          <w:color w:val="auto"/>
        </w:rPr>
      </w:pPr>
      <w:r>
        <w:rPr>
          <w:rFonts w:ascii="Arial" w:cs="Arial" w:eastAsia="Arial" w:hAnsi="Arial"/>
          <w:sz w:val="14"/>
          <w:szCs w:val="14"/>
          <w:b w:val="1"/>
          <w:bCs w:val="1"/>
          <w:color w:val="auto"/>
        </w:rPr>
        <w:t>RESULTS</w:t>
      </w:r>
    </w:p>
    <w:p>
      <w:pPr>
        <w:spacing w:after="0" w:line="61" w:lineRule="exact"/>
        <w:rPr>
          <w:sz w:val="20"/>
          <w:szCs w:val="20"/>
          <w:color w:val="auto"/>
        </w:rPr>
      </w:pPr>
    </w:p>
    <w:p>
      <w:pPr>
        <w:ind w:left="346"/>
        <w:spacing w:after="0"/>
        <w:rPr>
          <w:sz w:val="20"/>
          <w:szCs w:val="20"/>
          <w:color w:val="auto"/>
        </w:rPr>
      </w:pPr>
      <w:r>
        <w:rPr>
          <w:rFonts w:ascii="Arial" w:cs="Arial" w:eastAsia="Arial" w:hAnsi="Arial"/>
          <w:sz w:val="14"/>
          <w:szCs w:val="14"/>
          <w:b w:val="1"/>
          <w:bCs w:val="1"/>
          <w:color w:val="auto"/>
        </w:rPr>
        <w:t>(UNAUDITED)</w:t>
      </w:r>
    </w:p>
    <w:p>
      <w:pPr>
        <w:spacing w:after="0" w:line="20" w:lineRule="exact"/>
        <w:rPr>
          <w:sz w:val="20"/>
          <w:szCs w:val="20"/>
          <w:color w:val="auto"/>
        </w:rPr>
      </w:pPr>
      <w:r>
        <w:rPr>
          <w:sz w:val="20"/>
          <w:szCs w:val="20"/>
          <w:color w:val="auto"/>
        </w:rPr>
        <w:br w:type="column"/>
      </w:r>
    </w:p>
    <w:p>
      <w:pPr>
        <w:spacing w:after="0" w:line="3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1"/>
        </w:trPr>
        <w:tc>
          <w:tcPr>
            <w:tcW w:w="10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19,949</w:t>
            </w:r>
          </w:p>
        </w:tc>
        <w:tc>
          <w:tcPr>
            <w:tcW w:w="320" w:type="dxa"/>
            <w:vAlign w:val="bottom"/>
          </w:tcPr>
          <w:p>
            <w:pPr>
              <w:spacing w:after="0"/>
              <w:rPr>
                <w:sz w:val="15"/>
                <w:szCs w:val="15"/>
                <w:color w:val="auto"/>
              </w:rPr>
            </w:pP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19,790</w:t>
            </w:r>
          </w:p>
        </w:tc>
        <w:tc>
          <w:tcPr>
            <w:tcW w:w="320" w:type="dxa"/>
            <w:vAlign w:val="bottom"/>
          </w:tcPr>
          <w:p>
            <w:pPr>
              <w:spacing w:after="0"/>
              <w:rPr>
                <w:sz w:val="15"/>
                <w:szCs w:val="15"/>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159</w:t>
            </w:r>
          </w:p>
        </w:tc>
        <w:tc>
          <w:tcPr>
            <w:tcW w:w="320" w:type="dxa"/>
            <w:vAlign w:val="bottom"/>
          </w:tcPr>
          <w:p>
            <w:pPr>
              <w:spacing w:after="0"/>
              <w:rPr>
                <w:sz w:val="15"/>
                <w:szCs w:val="15"/>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0.8%</w:t>
            </w:r>
          </w:p>
        </w:tc>
      </w:tr>
      <w:tr>
        <w:trPr>
          <w:trHeight w:val="477"/>
        </w:trPr>
        <w:tc>
          <w:tcPr>
            <w:tcW w:w="10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20,330</w:t>
            </w:r>
          </w:p>
        </w:tc>
        <w:tc>
          <w:tcPr>
            <w:tcW w:w="320" w:type="dxa"/>
            <w:vAlign w:val="bottom"/>
          </w:tcPr>
          <w:p>
            <w:pPr>
              <w:spacing w:after="0"/>
              <w:rPr>
                <w:sz w:val="24"/>
                <w:szCs w:val="24"/>
                <w:color w:val="auto"/>
              </w:rPr>
            </w:pP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20,193</w:t>
            </w:r>
          </w:p>
        </w:tc>
        <w:tc>
          <w:tcPr>
            <w:tcW w:w="320" w:type="dxa"/>
            <w:vAlign w:val="bottom"/>
          </w:tcPr>
          <w:p>
            <w:pPr>
              <w:spacing w:after="0"/>
              <w:rPr>
                <w:sz w:val="24"/>
                <w:szCs w:val="24"/>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137</w:t>
            </w:r>
          </w:p>
        </w:tc>
        <w:tc>
          <w:tcPr>
            <w:tcW w:w="320" w:type="dxa"/>
            <w:vAlign w:val="bottom"/>
          </w:tcPr>
          <w:p>
            <w:pPr>
              <w:spacing w:after="0"/>
              <w:rPr>
                <w:sz w:val="24"/>
                <w:szCs w:val="24"/>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0.7%</w:t>
            </w:r>
          </w:p>
        </w:tc>
      </w:tr>
    </w:tbl>
    <w:p>
      <w:pPr>
        <w:spacing w:after="0" w:line="1715" w:lineRule="exact"/>
        <w:rPr>
          <w:sz w:val="20"/>
          <w:szCs w:val="20"/>
          <w:color w:val="auto"/>
        </w:rPr>
      </w:pPr>
    </w:p>
    <w:p>
      <w:pPr>
        <w:sectPr>
          <w:pgSz w:w="11900" w:h="16838" w:orient="portrait"/>
          <w:cols w:equalWidth="0" w:num="2">
            <w:col w:w="5446" w:space="720"/>
            <w:col w:w="4960"/>
          </w:cols>
          <w:pgMar w:left="534" w:top="433" w:right="239" w:bottom="437" w:gutter="0" w:footer="0" w:header="0"/>
          <w:type w:val="continuous"/>
        </w:sectPr>
      </w:pPr>
    </w:p>
    <w:p>
      <w:pPr>
        <w:spacing w:after="0" w:line="44" w:lineRule="exact"/>
        <w:rPr>
          <w:sz w:val="20"/>
          <w:szCs w:val="20"/>
          <w:color w:val="auto"/>
        </w:rPr>
      </w:pPr>
    </w:p>
    <w:p>
      <w:pPr>
        <w:ind w:left="586" w:right="500" w:hanging="586"/>
        <w:spacing w:after="0" w:line="288" w:lineRule="auto"/>
        <w:tabs>
          <w:tab w:leader="none" w:pos="586" w:val="left"/>
        </w:tabs>
        <w:numPr>
          <w:ilvl w:val="0"/>
          <w:numId w:val="3"/>
        </w:numPr>
        <w:rPr>
          <w:rFonts w:ascii="Arial" w:cs="Arial" w:eastAsia="Arial" w:hAnsi="Arial"/>
          <w:sz w:val="14"/>
          <w:szCs w:val="14"/>
          <w:color w:val="auto"/>
        </w:rPr>
      </w:pPr>
      <w:r>
        <w:rPr>
          <w:rFonts w:ascii="Arial" w:cs="Arial" w:eastAsia="Arial" w:hAnsi="Arial"/>
          <w:sz w:val="14"/>
          <w:szCs w:val="14"/>
          <w:color w:val="auto"/>
        </w:rPr>
        <w:t>Corporate Activities — The increase in corporate activities expense for the three months ended March 31, 2014 was primarily due to the timing of certain legal, consulting and other expenses.</w:t>
      </w:r>
    </w:p>
    <w:p>
      <w:pPr>
        <w:spacing w:after="0" w:line="177" w:lineRule="exact"/>
        <w:rPr>
          <w:rFonts w:ascii="Arial" w:cs="Arial" w:eastAsia="Arial" w:hAnsi="Arial"/>
          <w:sz w:val="14"/>
          <w:szCs w:val="14"/>
          <w:color w:val="auto"/>
        </w:rPr>
      </w:pPr>
    </w:p>
    <w:p>
      <w:pPr>
        <w:ind w:left="586" w:right="280" w:hanging="586"/>
        <w:spacing w:after="0" w:line="288" w:lineRule="auto"/>
        <w:tabs>
          <w:tab w:leader="none" w:pos="586" w:val="left"/>
        </w:tabs>
        <w:numPr>
          <w:ilvl w:val="0"/>
          <w:numId w:val="3"/>
        </w:numPr>
        <w:rPr>
          <w:rFonts w:ascii="Arial" w:cs="Arial" w:eastAsia="Arial" w:hAnsi="Arial"/>
          <w:sz w:val="14"/>
          <w:szCs w:val="14"/>
          <w:color w:val="auto"/>
        </w:rPr>
      </w:pPr>
      <w:r>
        <w:rPr>
          <w:rFonts w:ascii="Arial" w:cs="Arial" w:eastAsia="Arial" w:hAnsi="Arial"/>
          <w:sz w:val="14"/>
          <w:szCs w:val="14"/>
          <w:color w:val="auto"/>
        </w:rPr>
        <w:t>Restructuring Charges — During the three months ended March 31, 2014 and 2013, Viad recorded net restructuring charges of $211,000 ($107,000 after-tax) and $720,000 ($539,000 after-tax), respectively. The charges primarily related to the elimination of certain positions in the Marketing &amp; Events Group.</w:t>
      </w:r>
    </w:p>
    <w:p>
      <w:pPr>
        <w:spacing w:after="0" w:line="177" w:lineRule="exact"/>
        <w:rPr>
          <w:rFonts w:ascii="Arial" w:cs="Arial" w:eastAsia="Arial" w:hAnsi="Arial"/>
          <w:sz w:val="14"/>
          <w:szCs w:val="14"/>
          <w:color w:val="auto"/>
        </w:rPr>
      </w:pPr>
    </w:p>
    <w:p>
      <w:pPr>
        <w:ind w:left="586" w:right="320" w:hanging="586"/>
        <w:spacing w:after="0" w:line="288" w:lineRule="auto"/>
        <w:tabs>
          <w:tab w:leader="none" w:pos="586"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Income Taxes — During the three months ended March 31, 2014, Viad reversed a portion of its valuation allowance related to foreign tax credit carryforwards and recorded certain other adjustments related to deferred taxes.</w:t>
      </w:r>
    </w:p>
    <w:p>
      <w:pPr>
        <w:spacing w:after="0" w:line="177" w:lineRule="exact"/>
        <w:rPr>
          <w:rFonts w:ascii="Arial" w:cs="Arial" w:eastAsia="Arial" w:hAnsi="Arial"/>
          <w:sz w:val="14"/>
          <w:szCs w:val="14"/>
          <w:color w:val="auto"/>
        </w:rPr>
      </w:pPr>
    </w:p>
    <w:p>
      <w:pPr>
        <w:ind w:left="586" w:right="20" w:hanging="586"/>
        <w:spacing w:after="0" w:line="252" w:lineRule="auto"/>
        <w:tabs>
          <w:tab w:leader="none" w:pos="586"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Income from Discontinued Operations — On December 31, 2013, Glacier Park's concession contract with the Park Service to operate lodging, tour and transportation and other hospitality services for Glacier National Park expired. Upon completion of the contract term, Viad received cash payments in January 2014 totaling $25.0 million for the Company's possessory interest. This resulted in a pre-tax gain of $21.5 million and an after-tax gain of $15.2 million which was recorded as income from discontinued operations. In addition, 2013 results related to the operations of Glacier Park's concession contract business have been reclassified as discontinued operations. Table Three presents the 'As Previously Reported' and an 'As Revised' format of operations of the Company.</w:t>
      </w:r>
    </w:p>
    <w:p>
      <w:pPr>
        <w:spacing w:after="0" w:line="202" w:lineRule="exact"/>
        <w:rPr>
          <w:rFonts w:ascii="Arial" w:cs="Arial" w:eastAsia="Arial" w:hAnsi="Arial"/>
          <w:sz w:val="14"/>
          <w:szCs w:val="14"/>
          <w:color w:val="auto"/>
        </w:rPr>
      </w:pPr>
    </w:p>
    <w:p>
      <w:pPr>
        <w:ind w:left="586" w:hanging="586"/>
        <w:spacing w:after="0"/>
        <w:tabs>
          <w:tab w:leader="none" w:pos="586"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Income per Common Share — Following is a reconciliation of net income attributable to Viad to net income allocated to Viad common shareholders:</w:t>
      </w:r>
    </w:p>
    <w:p>
      <w:pPr>
        <w:spacing w:after="0" w:line="322" w:lineRule="exact"/>
        <w:rPr>
          <w:sz w:val="20"/>
          <w:szCs w:val="20"/>
          <w:color w:val="auto"/>
        </w:rPr>
      </w:pPr>
    </w:p>
    <w:tbl>
      <w:tblPr>
        <w:tblLayout w:type="fixed"/>
        <w:tblInd w:w="326" w:type="dxa"/>
        <w:tblCellMar>
          <w:top w:w="0" w:type="dxa"/>
          <w:left w:w="0" w:type="dxa"/>
          <w:bottom w:w="0" w:type="dxa"/>
          <w:right w:w="0" w:type="dxa"/>
        </w:tblCellMar>
      </w:tblPr>
      <w:tr>
        <w:trPr>
          <w:trHeight w:val="174"/>
        </w:trPr>
        <w:tc>
          <w:tcPr>
            <w:tcW w:w="526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gridSpan w:val="6"/>
          </w:tcPr>
          <w:p>
            <w:pPr>
              <w:ind w:left="100"/>
              <w:spacing w:after="0"/>
              <w:rPr>
                <w:sz w:val="20"/>
                <w:szCs w:val="20"/>
                <w:color w:val="auto"/>
              </w:rPr>
            </w:pPr>
            <w:r>
              <w:rPr>
                <w:rFonts w:ascii="Arial" w:cs="Arial" w:eastAsia="Arial" w:hAnsi="Arial"/>
                <w:sz w:val="14"/>
                <w:szCs w:val="14"/>
                <w:color w:val="auto"/>
              </w:rPr>
              <w:t>Three months ended March 31,</w:t>
            </w:r>
          </w:p>
        </w:tc>
        <w:tc>
          <w:tcPr>
            <w:tcW w:w="880" w:type="dxa"/>
            <w:vAlign w:val="bottom"/>
            <w:tcBorders>
              <w:bottom w:val="single" w:sz="8" w:color="auto"/>
            </w:tcBorders>
          </w:tcPr>
          <w:p>
            <w:pPr>
              <w:spacing w:after="0"/>
              <w:rPr>
                <w:sz w:val="15"/>
                <w:szCs w:val="15"/>
                <w:color w:val="auto"/>
              </w:rPr>
            </w:pPr>
          </w:p>
        </w:tc>
      </w:tr>
      <w:tr>
        <w:trPr>
          <w:trHeight w:val="235"/>
        </w:trPr>
        <w:tc>
          <w:tcPr>
            <w:tcW w:w="5260" w:type="dxa"/>
            <w:vAlign w:val="bottom"/>
          </w:tcPr>
          <w:p>
            <w:pPr>
              <w:spacing w:after="0"/>
              <w:rPr>
                <w:sz w:val="20"/>
                <w:szCs w:val="20"/>
                <w:color w:val="auto"/>
              </w:rPr>
            </w:pPr>
            <w:r>
              <w:rPr>
                <w:rFonts w:ascii="Arial" w:cs="Arial" w:eastAsia="Arial" w:hAnsi="Arial"/>
                <w:sz w:val="14"/>
                <w:szCs w:val="14"/>
                <w:color w:val="auto"/>
              </w:rPr>
              <w:t>(000 omitted, except per share data)</w:t>
            </w:r>
          </w:p>
        </w:tc>
        <w:tc>
          <w:tcPr>
            <w:tcW w:w="280" w:type="dxa"/>
            <w:vAlign w:val="bottom"/>
          </w:tcPr>
          <w:p>
            <w:pPr>
              <w:spacing w:after="0"/>
              <w:rPr>
                <w:sz w:val="20"/>
                <w:szCs w:val="20"/>
                <w:color w:val="auto"/>
              </w:rPr>
            </w:pPr>
          </w:p>
        </w:tc>
        <w:tc>
          <w:tcPr>
            <w:tcW w:w="760" w:type="dxa"/>
            <w:vAlign w:val="bottom"/>
          </w:tcPr>
          <w:p>
            <w:pPr>
              <w:jc w:val="right"/>
              <w:ind w:right="348"/>
              <w:spacing w:after="0"/>
              <w:rPr>
                <w:sz w:val="20"/>
                <w:szCs w:val="20"/>
                <w:color w:val="auto"/>
              </w:rPr>
            </w:pPr>
            <w:r>
              <w:rPr>
                <w:rFonts w:ascii="Arial" w:cs="Arial" w:eastAsia="Arial" w:hAnsi="Arial"/>
                <w:sz w:val="14"/>
                <w:szCs w:val="14"/>
                <w:color w:val="auto"/>
              </w:rPr>
              <w:t>2014</w:t>
            </w: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tcPr>
          <w:p>
            <w:pPr>
              <w:jc w:val="right"/>
              <w:ind w:right="348"/>
              <w:spacing w:after="0"/>
              <w:rPr>
                <w:sz w:val="20"/>
                <w:szCs w:val="20"/>
                <w:color w:val="auto"/>
              </w:rPr>
            </w:pPr>
            <w:r>
              <w:rPr>
                <w:rFonts w:ascii="Arial" w:cs="Arial" w:eastAsia="Arial" w:hAnsi="Arial"/>
                <w:sz w:val="14"/>
                <w:szCs w:val="14"/>
                <w:color w:val="auto"/>
              </w:rPr>
              <w:t>2013</w:t>
            </w:r>
          </w:p>
        </w:tc>
        <w:tc>
          <w:tcPr>
            <w:tcW w:w="3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480"/>
              <w:spacing w:after="0"/>
              <w:rPr>
                <w:sz w:val="20"/>
                <w:szCs w:val="20"/>
                <w:color w:val="auto"/>
              </w:rPr>
            </w:pPr>
            <w:r>
              <w:rPr>
                <w:rFonts w:ascii="Arial" w:cs="Arial" w:eastAsia="Arial" w:hAnsi="Arial"/>
                <w:sz w:val="14"/>
                <w:szCs w:val="14"/>
                <w:color w:val="auto"/>
              </w:rPr>
              <w:t>Change</w:t>
            </w:r>
          </w:p>
        </w:tc>
        <w:tc>
          <w:tcPr>
            <w:tcW w:w="880" w:type="dxa"/>
            <w:vAlign w:val="bottom"/>
          </w:tcPr>
          <w:p>
            <w:pPr>
              <w:jc w:val="center"/>
              <w:spacing w:after="0"/>
              <w:rPr>
                <w:sz w:val="20"/>
                <w:szCs w:val="20"/>
                <w:color w:val="auto"/>
              </w:rPr>
            </w:pPr>
            <w:r>
              <w:rPr>
                <w:rFonts w:ascii="Arial" w:cs="Arial" w:eastAsia="Arial" w:hAnsi="Arial"/>
                <w:sz w:val="14"/>
                <w:szCs w:val="14"/>
                <w:color w:val="auto"/>
              </w:rPr>
              <w:t>% Change</w:t>
            </w:r>
          </w:p>
        </w:tc>
      </w:tr>
      <w:tr>
        <w:trPr>
          <w:trHeight w:val="502"/>
        </w:trPr>
        <w:tc>
          <w:tcPr>
            <w:tcW w:w="5260" w:type="dxa"/>
            <w:vAlign w:val="bottom"/>
          </w:tcPr>
          <w:p>
            <w:pPr>
              <w:spacing w:after="0"/>
              <w:rPr>
                <w:sz w:val="20"/>
                <w:szCs w:val="20"/>
                <w:color w:val="auto"/>
              </w:rPr>
            </w:pPr>
            <w:r>
              <w:rPr>
                <w:rFonts w:ascii="Arial" w:cs="Arial" w:eastAsia="Arial" w:hAnsi="Arial"/>
                <w:sz w:val="14"/>
                <w:szCs w:val="14"/>
                <w:b w:val="1"/>
                <w:bCs w:val="1"/>
                <w:color w:val="auto"/>
              </w:rPr>
              <w:t>Net income attributable to Viad</w:t>
            </w: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60" w:type="dxa"/>
            <w:vAlign w:val="bottom"/>
            <w:tcBorders>
              <w:top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21,882</w:t>
            </w:r>
          </w:p>
        </w:tc>
        <w:tc>
          <w:tcPr>
            <w:tcW w:w="320" w:type="dxa"/>
            <w:vAlign w:val="bottom"/>
          </w:tcPr>
          <w:p>
            <w:pPr>
              <w:spacing w:after="0"/>
              <w:rPr>
                <w:sz w:val="24"/>
                <w:szCs w:val="24"/>
                <w:color w:val="auto"/>
              </w:rPr>
            </w:pP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80" w:type="dxa"/>
            <w:vAlign w:val="bottom"/>
            <w:tcBorders>
              <w:top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8,065</w:t>
            </w:r>
          </w:p>
        </w:tc>
        <w:tc>
          <w:tcPr>
            <w:tcW w:w="320" w:type="dxa"/>
            <w:vAlign w:val="bottom"/>
          </w:tcPr>
          <w:p>
            <w:pPr>
              <w:spacing w:after="0"/>
              <w:rPr>
                <w:sz w:val="24"/>
                <w:szCs w:val="24"/>
                <w:color w:val="auto"/>
              </w:rPr>
            </w:pPr>
          </w:p>
        </w:tc>
        <w:tc>
          <w:tcPr>
            <w:tcW w:w="28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top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13,817</w:t>
            </w:r>
          </w:p>
        </w:tc>
        <w:tc>
          <w:tcPr>
            <w:tcW w:w="320" w:type="dxa"/>
            <w:vAlign w:val="bottom"/>
          </w:tcPr>
          <w:p>
            <w:pPr>
              <w:spacing w:after="0"/>
              <w:rPr>
                <w:sz w:val="24"/>
                <w:szCs w:val="24"/>
                <w:color w:val="auto"/>
              </w:rPr>
            </w:pPr>
          </w:p>
        </w:tc>
        <w:tc>
          <w:tcPr>
            <w:tcW w:w="88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w:t>
            </w:r>
          </w:p>
        </w:tc>
      </w:tr>
      <w:tr>
        <w:trPr>
          <w:trHeight w:val="217"/>
        </w:trPr>
        <w:tc>
          <w:tcPr>
            <w:tcW w:w="5260" w:type="dxa"/>
            <w:vAlign w:val="bottom"/>
          </w:tcPr>
          <w:p>
            <w:pPr>
              <w:spacing w:after="0"/>
              <w:rPr>
                <w:sz w:val="20"/>
                <w:szCs w:val="20"/>
                <w:color w:val="auto"/>
              </w:rPr>
            </w:pPr>
            <w:r>
              <w:rPr>
                <w:rFonts w:ascii="Arial" w:cs="Arial" w:eastAsia="Arial" w:hAnsi="Arial"/>
                <w:sz w:val="14"/>
                <w:szCs w:val="14"/>
                <w:color w:val="auto"/>
              </w:rPr>
              <w:t>Less: Allocation to nonvested shares</w:t>
            </w:r>
          </w:p>
        </w:tc>
        <w:tc>
          <w:tcPr>
            <w:tcW w:w="2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(424)</w:t>
            </w:r>
          </w:p>
        </w:tc>
        <w:tc>
          <w:tcPr>
            <w:tcW w:w="3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(198)</w:t>
            </w:r>
          </w:p>
        </w:tc>
        <w:tc>
          <w:tcPr>
            <w:tcW w:w="3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(226)</w:t>
            </w:r>
          </w:p>
        </w:tc>
        <w:tc>
          <w:tcPr>
            <w:tcW w:w="320" w:type="dxa"/>
            <w:vAlign w:val="bottom"/>
          </w:tcPr>
          <w:p>
            <w:pPr>
              <w:spacing w:after="0"/>
              <w:rPr>
                <w:sz w:val="18"/>
                <w:szCs w:val="18"/>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w:t>
            </w:r>
          </w:p>
        </w:tc>
      </w:tr>
      <w:tr>
        <w:trPr>
          <w:trHeight w:val="215"/>
        </w:trPr>
        <w:tc>
          <w:tcPr>
            <w:tcW w:w="5260" w:type="dxa"/>
            <w:vAlign w:val="bottom"/>
          </w:tcPr>
          <w:p>
            <w:pPr>
              <w:spacing w:after="0"/>
              <w:rPr>
                <w:sz w:val="20"/>
                <w:szCs w:val="20"/>
                <w:color w:val="auto"/>
              </w:rPr>
            </w:pPr>
            <w:r>
              <w:rPr>
                <w:rFonts w:ascii="Arial" w:cs="Arial" w:eastAsia="Arial" w:hAnsi="Arial"/>
                <w:sz w:val="14"/>
                <w:szCs w:val="14"/>
                <w:color w:val="auto"/>
              </w:rPr>
              <w:t>Net income allocated to Viad common shareholders</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21,458</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7,867</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13,591</w:t>
            </w:r>
          </w:p>
        </w:tc>
        <w:tc>
          <w:tcPr>
            <w:tcW w:w="320" w:type="dxa"/>
            <w:vAlign w:val="bottom"/>
          </w:tcPr>
          <w:p>
            <w:pPr>
              <w:spacing w:after="0"/>
              <w:rPr>
                <w:sz w:val="18"/>
                <w:szCs w:val="18"/>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w:t>
            </w:r>
          </w:p>
        </w:tc>
      </w:tr>
      <w:tr>
        <w:trPr>
          <w:trHeight w:val="503"/>
        </w:trPr>
        <w:tc>
          <w:tcPr>
            <w:tcW w:w="5260" w:type="dxa"/>
            <w:vAlign w:val="bottom"/>
          </w:tcPr>
          <w:p>
            <w:pPr>
              <w:spacing w:after="0"/>
              <w:rPr>
                <w:sz w:val="20"/>
                <w:szCs w:val="20"/>
                <w:color w:val="auto"/>
              </w:rPr>
            </w:pPr>
            <w:r>
              <w:rPr>
                <w:rFonts w:ascii="Arial" w:cs="Arial" w:eastAsia="Arial" w:hAnsi="Arial"/>
                <w:sz w:val="14"/>
                <w:szCs w:val="14"/>
                <w:color w:val="auto"/>
              </w:rPr>
              <w:t>Weighted-average outstanding common shares</w:t>
            </w:r>
          </w:p>
        </w:tc>
        <w:tc>
          <w:tcPr>
            <w:tcW w:w="280" w:type="dxa"/>
            <w:vAlign w:val="bottom"/>
          </w:tcPr>
          <w:p>
            <w:pPr>
              <w:spacing w:after="0"/>
              <w:rPr>
                <w:sz w:val="24"/>
                <w:szCs w:val="24"/>
                <w:color w:val="auto"/>
              </w:rPr>
            </w:pPr>
          </w:p>
        </w:tc>
        <w:tc>
          <w:tcPr>
            <w:tcW w:w="760" w:type="dxa"/>
            <w:vAlign w:val="bottom"/>
          </w:tcPr>
          <w:p>
            <w:pPr>
              <w:jc w:val="right"/>
              <w:ind w:right="128"/>
              <w:spacing w:after="0"/>
              <w:rPr>
                <w:sz w:val="20"/>
                <w:szCs w:val="20"/>
                <w:color w:val="auto"/>
              </w:rPr>
            </w:pPr>
            <w:r>
              <w:rPr>
                <w:rFonts w:ascii="Arial" w:cs="Arial" w:eastAsia="Arial" w:hAnsi="Arial"/>
                <w:sz w:val="14"/>
                <w:szCs w:val="14"/>
                <w:color w:val="auto"/>
              </w:rPr>
              <w:t>19,949</w:t>
            </w: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jc w:val="right"/>
              <w:ind w:right="148"/>
              <w:spacing w:after="0"/>
              <w:rPr>
                <w:sz w:val="20"/>
                <w:szCs w:val="20"/>
                <w:color w:val="auto"/>
              </w:rPr>
            </w:pPr>
            <w:r>
              <w:rPr>
                <w:rFonts w:ascii="Arial" w:cs="Arial" w:eastAsia="Arial" w:hAnsi="Arial"/>
                <w:sz w:val="14"/>
                <w:szCs w:val="14"/>
                <w:color w:val="auto"/>
              </w:rPr>
              <w:t>19,790</w:t>
            </w: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jc w:val="right"/>
              <w:ind w:right="128"/>
              <w:spacing w:after="0"/>
              <w:rPr>
                <w:sz w:val="20"/>
                <w:szCs w:val="20"/>
                <w:color w:val="auto"/>
              </w:rPr>
            </w:pPr>
            <w:r>
              <w:rPr>
                <w:rFonts w:ascii="Arial" w:cs="Arial" w:eastAsia="Arial" w:hAnsi="Arial"/>
                <w:sz w:val="14"/>
                <w:szCs w:val="14"/>
                <w:color w:val="auto"/>
              </w:rPr>
              <w:t>159</w:t>
            </w:r>
          </w:p>
        </w:tc>
        <w:tc>
          <w:tcPr>
            <w:tcW w:w="320" w:type="dxa"/>
            <w:vAlign w:val="bottom"/>
          </w:tcPr>
          <w:p>
            <w:pPr>
              <w:spacing w:after="0"/>
              <w:rPr>
                <w:sz w:val="24"/>
                <w:szCs w:val="24"/>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0.8%</w:t>
            </w:r>
          </w:p>
        </w:tc>
      </w:tr>
      <w:tr>
        <w:trPr>
          <w:trHeight w:val="458"/>
        </w:trPr>
        <w:tc>
          <w:tcPr>
            <w:tcW w:w="5260" w:type="dxa"/>
            <w:vAlign w:val="bottom"/>
          </w:tcPr>
          <w:p>
            <w:pPr>
              <w:spacing w:after="0"/>
              <w:rPr>
                <w:sz w:val="20"/>
                <w:szCs w:val="20"/>
                <w:color w:val="auto"/>
              </w:rPr>
            </w:pPr>
            <w:r>
              <w:rPr>
                <w:rFonts w:ascii="Arial" w:cs="Arial" w:eastAsia="Arial" w:hAnsi="Arial"/>
                <w:sz w:val="14"/>
                <w:szCs w:val="14"/>
                <w:b w:val="1"/>
                <w:bCs w:val="1"/>
                <w:color w:val="auto"/>
              </w:rPr>
              <w:t>Basic income per common share attributable to Viad common shareholders</w:t>
            </w: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1.08</w:t>
            </w:r>
          </w:p>
        </w:tc>
        <w:tc>
          <w:tcPr>
            <w:tcW w:w="320" w:type="dxa"/>
            <w:vAlign w:val="bottom"/>
          </w:tcPr>
          <w:p>
            <w:pPr>
              <w:spacing w:after="0"/>
              <w:rPr>
                <w:sz w:val="24"/>
                <w:szCs w:val="24"/>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7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0.40</w:t>
            </w:r>
          </w:p>
        </w:tc>
        <w:tc>
          <w:tcPr>
            <w:tcW w:w="320" w:type="dxa"/>
            <w:vAlign w:val="bottom"/>
          </w:tcPr>
          <w:p>
            <w:pPr>
              <w:spacing w:after="0"/>
              <w:rPr>
                <w:sz w:val="24"/>
                <w:szCs w:val="24"/>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0.68</w:t>
            </w:r>
          </w:p>
        </w:tc>
        <w:tc>
          <w:tcPr>
            <w:tcW w:w="320" w:type="dxa"/>
            <w:vAlign w:val="bottom"/>
          </w:tcPr>
          <w:p>
            <w:pPr>
              <w:spacing w:after="0"/>
              <w:rPr>
                <w:sz w:val="24"/>
                <w:szCs w:val="2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w:t>
            </w:r>
          </w:p>
        </w:tc>
      </w:tr>
    </w:tbl>
    <w:p>
      <w:pPr>
        <w:sectPr>
          <w:pgSz w:w="11900" w:h="16838" w:orient="portrait"/>
          <w:cols w:equalWidth="0" w:num="1">
            <w:col w:w="11126"/>
          </w:cols>
          <w:pgMar w:left="534" w:top="433" w:right="239" w:bottom="437" w:gutter="0" w:footer="0" w:header="0"/>
          <w:type w:val="continuous"/>
        </w:sectPr>
      </w:pPr>
    </w:p>
    <w:bookmarkStart w:id="6" w:name="page7"/>
    <w:bookmarkEnd w:id="6"/>
    <w:p>
      <w:pPr>
        <w:spacing w:after="0" w:line="36" w:lineRule="exact"/>
        <w:rPr>
          <w:sz w:val="20"/>
          <w:szCs w:val="20"/>
          <w:color w:val="auto"/>
        </w:rPr>
      </w:pPr>
    </w:p>
    <w:p>
      <w:pPr>
        <w:jc w:val="center"/>
        <w:ind w:right="2414"/>
        <w:spacing w:after="0"/>
        <w:rPr>
          <w:sz w:val="20"/>
          <w:szCs w:val="20"/>
          <w:color w:val="auto"/>
        </w:rPr>
      </w:pPr>
      <w:r>
        <w:rPr>
          <w:rFonts w:ascii="Arial" w:cs="Arial" w:eastAsia="Arial" w:hAnsi="Arial"/>
          <w:sz w:val="14"/>
          <w:szCs w:val="14"/>
          <w:b w:val="1"/>
          <w:bCs w:val="1"/>
          <w:color w:val="auto"/>
        </w:rPr>
        <w:t>VIAD CORP AND SUBSIDIARIES</w:t>
      </w:r>
    </w:p>
    <w:p>
      <w:pPr>
        <w:spacing w:after="0" w:line="20" w:lineRule="exact"/>
        <w:rPr>
          <w:sz w:val="20"/>
          <w:szCs w:val="20"/>
          <w:color w:val="auto"/>
        </w:rPr>
      </w:pPr>
    </w:p>
    <w:p>
      <w:pPr>
        <w:jc w:val="center"/>
        <w:ind w:right="2414"/>
        <w:spacing w:after="0"/>
        <w:rPr>
          <w:sz w:val="20"/>
          <w:szCs w:val="20"/>
          <w:color w:val="auto"/>
        </w:rPr>
      </w:pPr>
      <w:r>
        <w:rPr>
          <w:rFonts w:ascii="Arial" w:cs="Arial" w:eastAsia="Arial" w:hAnsi="Arial"/>
          <w:sz w:val="14"/>
          <w:szCs w:val="14"/>
          <w:b w:val="1"/>
          <w:bCs w:val="1"/>
          <w:color w:val="auto"/>
        </w:rPr>
        <w:t>TABLE TWO - INCOME BEFORE OTHER ITEMS,</w:t>
      </w:r>
    </w:p>
    <w:p>
      <w:pPr>
        <w:jc w:val="center"/>
        <w:ind w:right="2414"/>
        <w:spacing w:after="0"/>
        <w:rPr>
          <w:sz w:val="20"/>
          <w:szCs w:val="20"/>
          <w:color w:val="auto"/>
        </w:rPr>
      </w:pPr>
      <w:r>
        <w:rPr>
          <w:rFonts w:ascii="Arial" w:cs="Arial" w:eastAsia="Arial" w:hAnsi="Arial"/>
          <w:sz w:val="14"/>
          <w:szCs w:val="14"/>
          <w:b w:val="1"/>
          <w:bCs w:val="1"/>
          <w:color w:val="auto"/>
        </w:rPr>
        <w:t>ADJUSTED EBITDA AND FREE CASH FLOW</w:t>
      </w:r>
    </w:p>
    <w:p>
      <w:pPr>
        <w:jc w:val="center"/>
        <w:ind w:right="2414"/>
        <w:spacing w:after="0"/>
        <w:rPr>
          <w:sz w:val="20"/>
          <w:szCs w:val="20"/>
          <w:color w:val="auto"/>
        </w:rPr>
      </w:pPr>
      <w:r>
        <w:rPr>
          <w:rFonts w:ascii="Arial" w:cs="Arial" w:eastAsia="Arial" w:hAnsi="Arial"/>
          <w:sz w:val="14"/>
          <w:szCs w:val="14"/>
          <w:b w:val="1"/>
          <w:bCs w:val="1"/>
          <w:color w:val="auto"/>
        </w:rPr>
        <w:t>(UNAUDITED)</w:t>
      </w:r>
    </w:p>
    <w:p>
      <w:pPr>
        <w:spacing w:after="0" w:line="200" w:lineRule="exact"/>
        <w:rPr>
          <w:sz w:val="20"/>
          <w:szCs w:val="20"/>
          <w:color w:val="auto"/>
        </w:rPr>
      </w:pPr>
    </w:p>
    <w:p>
      <w:pPr>
        <w:spacing w:after="0" w:line="346" w:lineRule="exact"/>
        <w:rPr>
          <w:sz w:val="20"/>
          <w:szCs w:val="20"/>
          <w:color w:val="auto"/>
        </w:rPr>
      </w:pPr>
    </w:p>
    <w:tbl>
      <w:tblPr>
        <w:tblLayout w:type="fixed"/>
        <w:tblInd w:w="6" w:type="dxa"/>
        <w:tblCellMar>
          <w:top w:w="0" w:type="dxa"/>
          <w:left w:w="0" w:type="dxa"/>
          <w:bottom w:w="0" w:type="dxa"/>
          <w:right w:w="0" w:type="dxa"/>
        </w:tblCellMar>
      </w:tblPr>
      <w:tr>
        <w:trPr>
          <w:trHeight w:val="174"/>
        </w:trPr>
        <w:tc>
          <w:tcPr>
            <w:tcW w:w="386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700" w:type="dxa"/>
            <w:vAlign w:val="bottom"/>
            <w:tcBorders>
              <w:bottom w:val="single" w:sz="8" w:color="auto"/>
            </w:tcBorders>
            <w:gridSpan w:val="6"/>
          </w:tcPr>
          <w:p>
            <w:pPr>
              <w:ind w:left="140"/>
              <w:spacing w:after="0"/>
              <w:rPr>
                <w:sz w:val="20"/>
                <w:szCs w:val="20"/>
                <w:color w:val="auto"/>
              </w:rPr>
            </w:pPr>
            <w:r>
              <w:rPr>
                <w:rFonts w:ascii="Arial" w:cs="Arial" w:eastAsia="Arial" w:hAnsi="Arial"/>
                <w:sz w:val="14"/>
                <w:szCs w:val="14"/>
                <w:color w:val="auto"/>
              </w:rPr>
              <w:t>Three months ended March 31,</w:t>
            </w:r>
          </w:p>
        </w:tc>
        <w:tc>
          <w:tcPr>
            <w:tcW w:w="900" w:type="dxa"/>
            <w:vAlign w:val="bottom"/>
            <w:tcBorders>
              <w:bottom w:val="single" w:sz="8" w:color="auto"/>
            </w:tcBorders>
          </w:tcPr>
          <w:p>
            <w:pPr>
              <w:spacing w:after="0"/>
              <w:rPr>
                <w:sz w:val="15"/>
                <w:szCs w:val="15"/>
                <w:color w:val="auto"/>
              </w:rPr>
            </w:pPr>
          </w:p>
        </w:tc>
      </w:tr>
      <w:tr>
        <w:trPr>
          <w:trHeight w:val="235"/>
        </w:trPr>
        <w:tc>
          <w:tcPr>
            <w:tcW w:w="3860" w:type="dxa"/>
            <w:vAlign w:val="bottom"/>
          </w:tcPr>
          <w:p>
            <w:pPr>
              <w:spacing w:after="0"/>
              <w:rPr>
                <w:sz w:val="20"/>
                <w:szCs w:val="20"/>
                <w:color w:val="auto"/>
              </w:rPr>
            </w:pPr>
            <w:r>
              <w:rPr>
                <w:rFonts w:ascii="Arial" w:cs="Arial" w:eastAsia="Arial" w:hAnsi="Arial"/>
                <w:sz w:val="14"/>
                <w:szCs w:val="14"/>
                <w:color w:val="auto"/>
              </w:rPr>
              <w:t>(000 omitted)</w:t>
            </w:r>
          </w:p>
        </w:tc>
        <w:tc>
          <w:tcPr>
            <w:tcW w:w="260" w:type="dxa"/>
            <w:vAlign w:val="bottom"/>
          </w:tcPr>
          <w:p>
            <w:pPr>
              <w:spacing w:after="0"/>
              <w:rPr>
                <w:sz w:val="20"/>
                <w:szCs w:val="20"/>
                <w:color w:val="auto"/>
              </w:rPr>
            </w:pPr>
          </w:p>
        </w:tc>
        <w:tc>
          <w:tcPr>
            <w:tcW w:w="740" w:type="dxa"/>
            <w:vAlign w:val="bottom"/>
          </w:tcPr>
          <w:p>
            <w:pPr>
              <w:jc w:val="right"/>
              <w:ind w:right="328"/>
              <w:spacing w:after="0"/>
              <w:rPr>
                <w:sz w:val="20"/>
                <w:szCs w:val="20"/>
                <w:color w:val="auto"/>
              </w:rPr>
            </w:pPr>
            <w:r>
              <w:rPr>
                <w:rFonts w:ascii="Arial" w:cs="Arial" w:eastAsia="Arial" w:hAnsi="Arial"/>
                <w:sz w:val="14"/>
                <w:szCs w:val="14"/>
                <w:color w:val="auto"/>
              </w:rPr>
              <w:t>2014</w:t>
            </w:r>
          </w:p>
        </w:tc>
        <w:tc>
          <w:tcPr>
            <w:tcW w:w="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60" w:type="dxa"/>
            <w:vAlign w:val="bottom"/>
          </w:tcPr>
          <w:p>
            <w:pPr>
              <w:jc w:val="right"/>
              <w:ind w:right="348"/>
              <w:spacing w:after="0"/>
              <w:rPr>
                <w:sz w:val="20"/>
                <w:szCs w:val="20"/>
                <w:color w:val="auto"/>
              </w:rPr>
            </w:pPr>
            <w:r>
              <w:rPr>
                <w:rFonts w:ascii="Arial" w:cs="Arial" w:eastAsia="Arial" w:hAnsi="Arial"/>
                <w:sz w:val="14"/>
                <w:szCs w:val="14"/>
                <w:color w:val="auto"/>
              </w:rPr>
              <w:t>2013</w:t>
            </w:r>
          </w:p>
        </w:tc>
        <w:tc>
          <w:tcPr>
            <w:tcW w:w="3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40"/>
              <w:spacing w:after="0"/>
              <w:rPr>
                <w:sz w:val="20"/>
                <w:szCs w:val="20"/>
                <w:color w:val="auto"/>
              </w:rPr>
            </w:pPr>
            <w:r>
              <w:rPr>
                <w:rFonts w:ascii="Arial" w:cs="Arial" w:eastAsia="Arial" w:hAnsi="Arial"/>
                <w:sz w:val="14"/>
                <w:szCs w:val="14"/>
                <w:color w:val="auto"/>
              </w:rPr>
              <w:t>Change</w:t>
            </w:r>
          </w:p>
        </w:tc>
        <w:tc>
          <w:tcPr>
            <w:tcW w:w="900" w:type="dxa"/>
            <w:vAlign w:val="bottom"/>
          </w:tcPr>
          <w:p>
            <w:pPr>
              <w:jc w:val="center"/>
              <w:spacing w:after="0"/>
              <w:rPr>
                <w:sz w:val="20"/>
                <w:szCs w:val="20"/>
                <w:color w:val="auto"/>
              </w:rPr>
            </w:pPr>
            <w:r>
              <w:rPr>
                <w:rFonts w:ascii="Arial" w:cs="Arial" w:eastAsia="Arial" w:hAnsi="Arial"/>
                <w:sz w:val="14"/>
                <w:szCs w:val="14"/>
                <w:color w:val="auto"/>
              </w:rPr>
              <w:t>% Change</w:t>
            </w:r>
          </w:p>
        </w:tc>
      </w:tr>
      <w:tr>
        <w:trPr>
          <w:trHeight w:val="496"/>
        </w:trPr>
        <w:tc>
          <w:tcPr>
            <w:tcW w:w="3860" w:type="dxa"/>
            <w:vAlign w:val="bottom"/>
          </w:tcPr>
          <w:p>
            <w:pPr>
              <w:spacing w:after="0"/>
              <w:rPr>
                <w:sz w:val="20"/>
                <w:szCs w:val="20"/>
                <w:color w:val="auto"/>
              </w:rPr>
            </w:pPr>
            <w:r>
              <w:rPr>
                <w:rFonts w:ascii="Arial" w:cs="Arial" w:eastAsia="Arial" w:hAnsi="Arial"/>
                <w:sz w:val="14"/>
                <w:szCs w:val="14"/>
                <w:color w:val="auto"/>
              </w:rPr>
              <w:t>Income before other items (Note A):</w:t>
            </w:r>
          </w:p>
        </w:tc>
        <w:tc>
          <w:tcPr>
            <w:tcW w:w="26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Income from continuing operations attributable to Viad</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9,312</w:t>
            </w:r>
          </w:p>
        </w:tc>
        <w:tc>
          <w:tcPr>
            <w:tcW w:w="320" w:type="dxa"/>
            <w:vAlign w:val="bottom"/>
          </w:tcPr>
          <w:p>
            <w:pPr>
              <w:spacing w:after="0"/>
              <w:rPr>
                <w:sz w:val="21"/>
                <w:szCs w:val="21"/>
                <w:color w:val="auto"/>
              </w:rPr>
            </w:pPr>
          </w:p>
        </w:tc>
        <w:tc>
          <w:tcPr>
            <w:tcW w:w="300" w:type="dxa"/>
            <w:vAlign w:val="bottom"/>
          </w:tcPr>
          <w:p>
            <w:pPr>
              <w:ind w:left="1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8,453</w:t>
            </w:r>
          </w:p>
        </w:tc>
        <w:tc>
          <w:tcPr>
            <w:tcW w:w="32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28"/>
              <w:spacing w:after="0"/>
              <w:rPr>
                <w:sz w:val="20"/>
                <w:szCs w:val="20"/>
                <w:color w:val="auto"/>
              </w:rPr>
            </w:pPr>
            <w:r>
              <w:rPr>
                <w:rFonts w:ascii="Arial" w:cs="Arial" w:eastAsia="Arial" w:hAnsi="Arial"/>
                <w:sz w:val="14"/>
                <w:szCs w:val="14"/>
                <w:color w:val="auto"/>
              </w:rPr>
              <w:t>859</w:t>
            </w:r>
          </w:p>
        </w:tc>
        <w:tc>
          <w:tcPr>
            <w:tcW w:w="32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10.2%</w:t>
            </w: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Restructuring charges, net of tax</w:t>
            </w:r>
          </w:p>
        </w:tc>
        <w:tc>
          <w:tcPr>
            <w:tcW w:w="260" w:type="dxa"/>
            <w:vAlign w:val="bottom"/>
          </w:tcPr>
          <w:p>
            <w:pPr>
              <w:spacing w:after="0"/>
              <w:rPr>
                <w:sz w:val="21"/>
                <w:szCs w:val="21"/>
                <w:color w:val="auto"/>
              </w:rPr>
            </w:pP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107</w:t>
            </w:r>
          </w:p>
        </w:tc>
        <w:tc>
          <w:tcPr>
            <w:tcW w:w="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539</w:t>
            </w:r>
          </w:p>
        </w:tc>
        <w:tc>
          <w:tcPr>
            <w:tcW w:w="3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20" w:type="dxa"/>
            <w:vAlign w:val="bottom"/>
          </w:tcPr>
          <w:p>
            <w:pPr>
              <w:jc w:val="right"/>
              <w:ind w:right="108"/>
              <w:spacing w:after="0"/>
              <w:rPr>
                <w:sz w:val="20"/>
                <w:szCs w:val="20"/>
                <w:color w:val="auto"/>
              </w:rPr>
            </w:pPr>
            <w:r>
              <w:rPr>
                <w:rFonts w:ascii="Arial" w:cs="Arial" w:eastAsia="Arial" w:hAnsi="Arial"/>
                <w:sz w:val="14"/>
                <w:szCs w:val="14"/>
                <w:color w:val="auto"/>
              </w:rPr>
              <w:t>(432)</w:t>
            </w:r>
          </w:p>
        </w:tc>
        <w:tc>
          <w:tcPr>
            <w:tcW w:w="32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80.1%</w:t>
            </w:r>
          </w:p>
        </w:tc>
      </w:tr>
      <w:tr>
        <w:trPr>
          <w:trHeight w:val="223"/>
        </w:trPr>
        <w:tc>
          <w:tcPr>
            <w:tcW w:w="3860" w:type="dxa"/>
            <w:vAlign w:val="bottom"/>
          </w:tcPr>
          <w:p>
            <w:pPr>
              <w:ind w:left="320"/>
              <w:spacing w:after="0"/>
              <w:rPr>
                <w:sz w:val="20"/>
                <w:szCs w:val="20"/>
                <w:color w:val="auto"/>
              </w:rPr>
            </w:pPr>
            <w:r>
              <w:rPr>
                <w:rFonts w:ascii="Arial" w:cs="Arial" w:eastAsia="Arial" w:hAnsi="Arial"/>
                <w:sz w:val="14"/>
                <w:szCs w:val="14"/>
                <w:color w:val="auto"/>
              </w:rPr>
              <w:t>Favorable tax matters</w:t>
            </w:r>
          </w:p>
        </w:tc>
        <w:tc>
          <w:tcPr>
            <w:tcW w:w="2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(2,034)</w:t>
            </w:r>
          </w:p>
        </w:tc>
        <w:tc>
          <w:tcPr>
            <w:tcW w:w="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(2,034)</w:t>
            </w:r>
          </w:p>
        </w:tc>
        <w:tc>
          <w:tcPr>
            <w:tcW w:w="320" w:type="dxa"/>
            <w:vAlign w:val="bottom"/>
          </w:tcPr>
          <w:p>
            <w:pPr>
              <w:spacing w:after="0"/>
              <w:rPr>
                <w:sz w:val="19"/>
                <w:szCs w:val="19"/>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w:t>
            </w:r>
          </w:p>
        </w:tc>
      </w:tr>
      <w:tr>
        <w:trPr>
          <w:trHeight w:val="215"/>
        </w:trPr>
        <w:tc>
          <w:tcPr>
            <w:tcW w:w="3860" w:type="dxa"/>
            <w:vAlign w:val="bottom"/>
          </w:tcPr>
          <w:p>
            <w:pPr>
              <w:ind w:left="320"/>
              <w:spacing w:after="0"/>
              <w:rPr>
                <w:sz w:val="20"/>
                <w:szCs w:val="20"/>
                <w:color w:val="auto"/>
              </w:rPr>
            </w:pPr>
            <w:r>
              <w:rPr>
                <w:rFonts w:ascii="Arial" w:cs="Arial" w:eastAsia="Arial" w:hAnsi="Arial"/>
                <w:sz w:val="14"/>
                <w:szCs w:val="14"/>
                <w:b w:val="1"/>
                <w:bCs w:val="1"/>
                <w:color w:val="auto"/>
              </w:rPr>
              <w:t>Income before other items</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7,385</w:t>
            </w:r>
          </w:p>
        </w:tc>
        <w:tc>
          <w:tcPr>
            <w:tcW w:w="320" w:type="dxa"/>
            <w:vAlign w:val="bottom"/>
          </w:tcPr>
          <w:p>
            <w:pPr>
              <w:spacing w:after="0"/>
              <w:rPr>
                <w:sz w:val="18"/>
                <w:szCs w:val="18"/>
                <w:color w:val="auto"/>
              </w:rPr>
            </w:pPr>
          </w:p>
        </w:tc>
        <w:tc>
          <w:tcPr>
            <w:tcW w:w="30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8,992</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(1,607)</w:t>
            </w:r>
          </w:p>
        </w:tc>
        <w:tc>
          <w:tcPr>
            <w:tcW w:w="320" w:type="dxa"/>
            <w:vAlign w:val="bottom"/>
          </w:tcPr>
          <w:p>
            <w:pPr>
              <w:spacing w:after="0"/>
              <w:rPr>
                <w:sz w:val="18"/>
                <w:szCs w:val="18"/>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-17.9%</w:t>
            </w:r>
          </w:p>
        </w:tc>
      </w:tr>
      <w:tr>
        <w:trPr>
          <w:trHeight w:val="503"/>
        </w:trPr>
        <w:tc>
          <w:tcPr>
            <w:tcW w:w="3860" w:type="dxa"/>
            <w:vAlign w:val="bottom"/>
          </w:tcPr>
          <w:p>
            <w:pPr>
              <w:spacing w:after="0"/>
              <w:rPr>
                <w:sz w:val="20"/>
                <w:szCs w:val="20"/>
                <w:color w:val="auto"/>
              </w:rPr>
            </w:pPr>
            <w:r>
              <w:rPr>
                <w:rFonts w:ascii="Arial" w:cs="Arial" w:eastAsia="Arial" w:hAnsi="Arial"/>
                <w:sz w:val="14"/>
                <w:szCs w:val="14"/>
                <w:color w:val="auto"/>
              </w:rPr>
              <w:t>(per diluted share)</w:t>
            </w: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483"/>
        </w:trPr>
        <w:tc>
          <w:tcPr>
            <w:tcW w:w="3860" w:type="dxa"/>
            <w:vAlign w:val="bottom"/>
          </w:tcPr>
          <w:p>
            <w:pPr>
              <w:spacing w:after="0"/>
              <w:rPr>
                <w:sz w:val="20"/>
                <w:szCs w:val="20"/>
                <w:color w:val="auto"/>
              </w:rPr>
            </w:pPr>
            <w:r>
              <w:rPr>
                <w:rFonts w:ascii="Arial" w:cs="Arial" w:eastAsia="Arial" w:hAnsi="Arial"/>
                <w:sz w:val="14"/>
                <w:szCs w:val="14"/>
                <w:color w:val="auto"/>
              </w:rPr>
              <w:t>Income before other items:</w:t>
            </w: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Income from continuing operations attributable to Viad</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0.46</w:t>
            </w:r>
          </w:p>
        </w:tc>
        <w:tc>
          <w:tcPr>
            <w:tcW w:w="320" w:type="dxa"/>
            <w:vAlign w:val="bottom"/>
          </w:tcPr>
          <w:p>
            <w:pPr>
              <w:spacing w:after="0"/>
              <w:rPr>
                <w:sz w:val="21"/>
                <w:szCs w:val="21"/>
                <w:color w:val="auto"/>
              </w:rPr>
            </w:pPr>
          </w:p>
        </w:tc>
        <w:tc>
          <w:tcPr>
            <w:tcW w:w="300" w:type="dxa"/>
            <w:vAlign w:val="bottom"/>
          </w:tcPr>
          <w:p>
            <w:pPr>
              <w:ind w:left="1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0.42</w:t>
            </w:r>
          </w:p>
        </w:tc>
        <w:tc>
          <w:tcPr>
            <w:tcW w:w="32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28"/>
              <w:spacing w:after="0"/>
              <w:rPr>
                <w:sz w:val="20"/>
                <w:szCs w:val="20"/>
                <w:color w:val="auto"/>
              </w:rPr>
            </w:pPr>
            <w:r>
              <w:rPr>
                <w:rFonts w:ascii="Arial" w:cs="Arial" w:eastAsia="Arial" w:hAnsi="Arial"/>
                <w:sz w:val="14"/>
                <w:szCs w:val="14"/>
                <w:color w:val="auto"/>
              </w:rPr>
              <w:t>0.04</w:t>
            </w:r>
          </w:p>
        </w:tc>
        <w:tc>
          <w:tcPr>
            <w:tcW w:w="32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9.5%</w:t>
            </w: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Restructuring charges, net of tax</w:t>
            </w:r>
          </w:p>
        </w:tc>
        <w:tc>
          <w:tcPr>
            <w:tcW w:w="260" w:type="dxa"/>
            <w:vAlign w:val="bottom"/>
          </w:tcPr>
          <w:p>
            <w:pPr>
              <w:spacing w:after="0"/>
              <w:rPr>
                <w:sz w:val="21"/>
                <w:szCs w:val="21"/>
                <w:color w:val="auto"/>
              </w:rPr>
            </w:pP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0.02</w:t>
            </w:r>
          </w:p>
        </w:tc>
        <w:tc>
          <w:tcPr>
            <w:tcW w:w="3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20" w:type="dxa"/>
            <w:vAlign w:val="bottom"/>
          </w:tcPr>
          <w:p>
            <w:pPr>
              <w:jc w:val="right"/>
              <w:ind w:right="108"/>
              <w:spacing w:after="0"/>
              <w:rPr>
                <w:sz w:val="20"/>
                <w:szCs w:val="20"/>
                <w:color w:val="auto"/>
              </w:rPr>
            </w:pPr>
            <w:r>
              <w:rPr>
                <w:rFonts w:ascii="Arial" w:cs="Arial" w:eastAsia="Arial" w:hAnsi="Arial"/>
                <w:sz w:val="14"/>
                <w:szCs w:val="14"/>
                <w:color w:val="auto"/>
              </w:rPr>
              <w:t>(0.02)</w:t>
            </w:r>
          </w:p>
        </w:tc>
        <w:tc>
          <w:tcPr>
            <w:tcW w:w="3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1"/>
              </w:rPr>
              <w:t>**</w:t>
            </w:r>
          </w:p>
        </w:tc>
      </w:tr>
      <w:tr>
        <w:trPr>
          <w:trHeight w:val="223"/>
        </w:trPr>
        <w:tc>
          <w:tcPr>
            <w:tcW w:w="3860" w:type="dxa"/>
            <w:vAlign w:val="bottom"/>
          </w:tcPr>
          <w:p>
            <w:pPr>
              <w:ind w:left="320"/>
              <w:spacing w:after="0"/>
              <w:rPr>
                <w:sz w:val="20"/>
                <w:szCs w:val="20"/>
                <w:color w:val="auto"/>
              </w:rPr>
            </w:pPr>
            <w:r>
              <w:rPr>
                <w:rFonts w:ascii="Arial" w:cs="Arial" w:eastAsia="Arial" w:hAnsi="Arial"/>
                <w:sz w:val="14"/>
                <w:szCs w:val="14"/>
                <w:color w:val="auto"/>
              </w:rPr>
              <w:t>Favorable tax matters</w:t>
            </w:r>
          </w:p>
        </w:tc>
        <w:tc>
          <w:tcPr>
            <w:tcW w:w="2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(0.10)</w:t>
            </w:r>
          </w:p>
        </w:tc>
        <w:tc>
          <w:tcPr>
            <w:tcW w:w="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(0.10)</w:t>
            </w:r>
          </w:p>
        </w:tc>
        <w:tc>
          <w:tcPr>
            <w:tcW w:w="320" w:type="dxa"/>
            <w:vAlign w:val="bottom"/>
          </w:tcPr>
          <w:p>
            <w:pPr>
              <w:spacing w:after="0"/>
              <w:rPr>
                <w:sz w:val="19"/>
                <w:szCs w:val="19"/>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w:t>
            </w:r>
          </w:p>
        </w:tc>
      </w:tr>
      <w:tr>
        <w:trPr>
          <w:trHeight w:val="215"/>
        </w:trPr>
        <w:tc>
          <w:tcPr>
            <w:tcW w:w="3860" w:type="dxa"/>
            <w:vAlign w:val="bottom"/>
          </w:tcPr>
          <w:p>
            <w:pPr>
              <w:ind w:left="320"/>
              <w:spacing w:after="0"/>
              <w:rPr>
                <w:sz w:val="20"/>
                <w:szCs w:val="20"/>
                <w:color w:val="auto"/>
              </w:rPr>
            </w:pPr>
            <w:r>
              <w:rPr>
                <w:rFonts w:ascii="Arial" w:cs="Arial" w:eastAsia="Arial" w:hAnsi="Arial"/>
                <w:sz w:val="14"/>
                <w:szCs w:val="14"/>
                <w:b w:val="1"/>
                <w:bCs w:val="1"/>
                <w:color w:val="auto"/>
              </w:rPr>
              <w:t>Income before other items</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0.36</w:t>
            </w:r>
          </w:p>
        </w:tc>
        <w:tc>
          <w:tcPr>
            <w:tcW w:w="320" w:type="dxa"/>
            <w:vAlign w:val="bottom"/>
          </w:tcPr>
          <w:p>
            <w:pPr>
              <w:spacing w:after="0"/>
              <w:rPr>
                <w:sz w:val="18"/>
                <w:szCs w:val="18"/>
                <w:color w:val="auto"/>
              </w:rPr>
            </w:pPr>
          </w:p>
        </w:tc>
        <w:tc>
          <w:tcPr>
            <w:tcW w:w="30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0.44</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(0.08)</w:t>
            </w:r>
          </w:p>
        </w:tc>
        <w:tc>
          <w:tcPr>
            <w:tcW w:w="320" w:type="dxa"/>
            <w:vAlign w:val="bottom"/>
          </w:tcPr>
          <w:p>
            <w:pPr>
              <w:spacing w:after="0"/>
              <w:rPr>
                <w:sz w:val="18"/>
                <w:szCs w:val="18"/>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-18.2%</w:t>
            </w:r>
          </w:p>
        </w:tc>
      </w:tr>
      <w:tr>
        <w:trPr>
          <w:trHeight w:val="483"/>
        </w:trPr>
        <w:tc>
          <w:tcPr>
            <w:tcW w:w="38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6"/>
          </w:tcPr>
          <w:p>
            <w:pPr>
              <w:ind w:left="140"/>
              <w:spacing w:after="0"/>
              <w:rPr>
                <w:sz w:val="20"/>
                <w:szCs w:val="20"/>
                <w:color w:val="auto"/>
              </w:rPr>
            </w:pPr>
            <w:r>
              <w:rPr>
                <w:rFonts w:ascii="Arial" w:cs="Arial" w:eastAsia="Arial" w:hAnsi="Arial"/>
                <w:sz w:val="14"/>
                <w:szCs w:val="14"/>
                <w:color w:val="auto"/>
              </w:rPr>
              <w:t>Three months ended March 31,</w:t>
            </w:r>
          </w:p>
        </w:tc>
        <w:tc>
          <w:tcPr>
            <w:tcW w:w="900" w:type="dxa"/>
            <w:vAlign w:val="bottom"/>
            <w:tcBorders>
              <w:bottom w:val="single" w:sz="8" w:color="auto"/>
            </w:tcBorders>
          </w:tcPr>
          <w:p>
            <w:pPr>
              <w:spacing w:after="0"/>
              <w:rPr>
                <w:sz w:val="24"/>
                <w:szCs w:val="24"/>
                <w:color w:val="auto"/>
              </w:rPr>
            </w:pPr>
          </w:p>
        </w:tc>
      </w:tr>
      <w:tr>
        <w:trPr>
          <w:trHeight w:val="235"/>
        </w:trPr>
        <w:tc>
          <w:tcPr>
            <w:tcW w:w="3860" w:type="dxa"/>
            <w:vAlign w:val="bottom"/>
          </w:tcPr>
          <w:p>
            <w:pPr>
              <w:spacing w:after="0"/>
              <w:rPr>
                <w:sz w:val="20"/>
                <w:szCs w:val="20"/>
                <w:color w:val="auto"/>
              </w:rPr>
            </w:pPr>
            <w:r>
              <w:rPr>
                <w:rFonts w:ascii="Arial" w:cs="Arial" w:eastAsia="Arial" w:hAnsi="Arial"/>
                <w:sz w:val="14"/>
                <w:szCs w:val="14"/>
                <w:color w:val="auto"/>
              </w:rPr>
              <w:t>(000 omitted)</w:t>
            </w:r>
          </w:p>
        </w:tc>
        <w:tc>
          <w:tcPr>
            <w:tcW w:w="260" w:type="dxa"/>
            <w:vAlign w:val="bottom"/>
          </w:tcPr>
          <w:p>
            <w:pPr>
              <w:spacing w:after="0"/>
              <w:rPr>
                <w:sz w:val="20"/>
                <w:szCs w:val="20"/>
                <w:color w:val="auto"/>
              </w:rPr>
            </w:pPr>
          </w:p>
        </w:tc>
        <w:tc>
          <w:tcPr>
            <w:tcW w:w="740" w:type="dxa"/>
            <w:vAlign w:val="bottom"/>
          </w:tcPr>
          <w:p>
            <w:pPr>
              <w:jc w:val="right"/>
              <w:ind w:right="328"/>
              <w:spacing w:after="0"/>
              <w:rPr>
                <w:sz w:val="20"/>
                <w:szCs w:val="20"/>
                <w:color w:val="auto"/>
              </w:rPr>
            </w:pPr>
            <w:r>
              <w:rPr>
                <w:rFonts w:ascii="Arial" w:cs="Arial" w:eastAsia="Arial" w:hAnsi="Arial"/>
                <w:sz w:val="14"/>
                <w:szCs w:val="14"/>
                <w:color w:val="auto"/>
              </w:rPr>
              <w:t>2014</w:t>
            </w:r>
          </w:p>
        </w:tc>
        <w:tc>
          <w:tcPr>
            <w:tcW w:w="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60" w:type="dxa"/>
            <w:vAlign w:val="bottom"/>
          </w:tcPr>
          <w:p>
            <w:pPr>
              <w:jc w:val="right"/>
              <w:ind w:right="348"/>
              <w:spacing w:after="0"/>
              <w:rPr>
                <w:sz w:val="20"/>
                <w:szCs w:val="20"/>
                <w:color w:val="auto"/>
              </w:rPr>
            </w:pPr>
            <w:r>
              <w:rPr>
                <w:rFonts w:ascii="Arial" w:cs="Arial" w:eastAsia="Arial" w:hAnsi="Arial"/>
                <w:sz w:val="14"/>
                <w:szCs w:val="14"/>
                <w:color w:val="auto"/>
              </w:rPr>
              <w:t>2013</w:t>
            </w:r>
          </w:p>
        </w:tc>
        <w:tc>
          <w:tcPr>
            <w:tcW w:w="3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40"/>
              <w:spacing w:after="0"/>
              <w:rPr>
                <w:sz w:val="20"/>
                <w:szCs w:val="20"/>
                <w:color w:val="auto"/>
              </w:rPr>
            </w:pPr>
            <w:r>
              <w:rPr>
                <w:rFonts w:ascii="Arial" w:cs="Arial" w:eastAsia="Arial" w:hAnsi="Arial"/>
                <w:sz w:val="14"/>
                <w:szCs w:val="14"/>
                <w:color w:val="auto"/>
              </w:rPr>
              <w:t>Change</w:t>
            </w:r>
          </w:p>
        </w:tc>
        <w:tc>
          <w:tcPr>
            <w:tcW w:w="900" w:type="dxa"/>
            <w:vAlign w:val="bottom"/>
          </w:tcPr>
          <w:p>
            <w:pPr>
              <w:jc w:val="center"/>
              <w:spacing w:after="0"/>
              <w:rPr>
                <w:sz w:val="20"/>
                <w:szCs w:val="20"/>
                <w:color w:val="auto"/>
              </w:rPr>
            </w:pPr>
            <w:r>
              <w:rPr>
                <w:rFonts w:ascii="Arial" w:cs="Arial" w:eastAsia="Arial" w:hAnsi="Arial"/>
                <w:sz w:val="14"/>
                <w:szCs w:val="14"/>
                <w:color w:val="auto"/>
              </w:rPr>
              <w:t>% Change</w:t>
            </w:r>
          </w:p>
        </w:tc>
      </w:tr>
      <w:tr>
        <w:trPr>
          <w:trHeight w:val="496"/>
        </w:trPr>
        <w:tc>
          <w:tcPr>
            <w:tcW w:w="3860" w:type="dxa"/>
            <w:vAlign w:val="bottom"/>
          </w:tcPr>
          <w:p>
            <w:pPr>
              <w:spacing w:after="0"/>
              <w:rPr>
                <w:sz w:val="20"/>
                <w:szCs w:val="20"/>
                <w:color w:val="auto"/>
              </w:rPr>
            </w:pPr>
            <w:r>
              <w:rPr>
                <w:rFonts w:ascii="Arial" w:cs="Arial" w:eastAsia="Arial" w:hAnsi="Arial"/>
                <w:sz w:val="14"/>
                <w:szCs w:val="14"/>
                <w:color w:val="auto"/>
              </w:rPr>
              <w:t>Adjusted EBITDA (Note A):</w:t>
            </w:r>
          </w:p>
        </w:tc>
        <w:tc>
          <w:tcPr>
            <w:tcW w:w="26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Net income attributable to Viad</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21,882</w:t>
            </w:r>
          </w:p>
        </w:tc>
        <w:tc>
          <w:tcPr>
            <w:tcW w:w="320" w:type="dxa"/>
            <w:vAlign w:val="bottom"/>
          </w:tcPr>
          <w:p>
            <w:pPr>
              <w:spacing w:after="0"/>
              <w:rPr>
                <w:sz w:val="21"/>
                <w:szCs w:val="21"/>
                <w:color w:val="auto"/>
              </w:rPr>
            </w:pPr>
          </w:p>
        </w:tc>
        <w:tc>
          <w:tcPr>
            <w:tcW w:w="300" w:type="dxa"/>
            <w:vAlign w:val="bottom"/>
          </w:tcPr>
          <w:p>
            <w:pPr>
              <w:ind w:left="1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8,065</w:t>
            </w:r>
          </w:p>
        </w:tc>
        <w:tc>
          <w:tcPr>
            <w:tcW w:w="320" w:type="dxa"/>
            <w:vAlign w:val="bottom"/>
          </w:tcPr>
          <w:p>
            <w:pPr>
              <w:spacing w:after="0"/>
              <w:rPr>
                <w:sz w:val="21"/>
                <w:szCs w:val="21"/>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28"/>
              <w:spacing w:after="0"/>
              <w:rPr>
                <w:sz w:val="20"/>
                <w:szCs w:val="20"/>
                <w:color w:val="auto"/>
              </w:rPr>
            </w:pPr>
            <w:r>
              <w:rPr>
                <w:rFonts w:ascii="Arial" w:cs="Arial" w:eastAsia="Arial" w:hAnsi="Arial"/>
                <w:sz w:val="14"/>
                <w:szCs w:val="14"/>
                <w:color w:val="auto"/>
              </w:rPr>
              <w:t>13,817</w:t>
            </w:r>
          </w:p>
        </w:tc>
        <w:tc>
          <w:tcPr>
            <w:tcW w:w="3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1"/>
              </w:rPr>
              <w:t>**</w:t>
            </w: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(Income) loss from discontinued operations</w:t>
            </w:r>
          </w:p>
        </w:tc>
        <w:tc>
          <w:tcPr>
            <w:tcW w:w="260" w:type="dxa"/>
            <w:vAlign w:val="bottom"/>
          </w:tcPr>
          <w:p>
            <w:pPr>
              <w:spacing w:after="0"/>
              <w:rPr>
                <w:sz w:val="21"/>
                <w:szCs w:val="21"/>
                <w:color w:val="auto"/>
              </w:rPr>
            </w:pPr>
          </w:p>
        </w:tc>
        <w:tc>
          <w:tcPr>
            <w:tcW w:w="740" w:type="dxa"/>
            <w:vAlign w:val="bottom"/>
          </w:tcPr>
          <w:p>
            <w:pPr>
              <w:jc w:val="right"/>
              <w:ind w:right="108"/>
              <w:spacing w:after="0"/>
              <w:rPr>
                <w:sz w:val="20"/>
                <w:szCs w:val="20"/>
                <w:color w:val="auto"/>
              </w:rPr>
            </w:pPr>
            <w:r>
              <w:rPr>
                <w:rFonts w:ascii="Arial" w:cs="Arial" w:eastAsia="Arial" w:hAnsi="Arial"/>
                <w:sz w:val="14"/>
                <w:szCs w:val="14"/>
                <w:color w:val="auto"/>
              </w:rPr>
              <w:t>(12,570)</w:t>
            </w:r>
          </w:p>
        </w:tc>
        <w:tc>
          <w:tcPr>
            <w:tcW w:w="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388</w:t>
            </w:r>
          </w:p>
        </w:tc>
        <w:tc>
          <w:tcPr>
            <w:tcW w:w="3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20" w:type="dxa"/>
            <w:vAlign w:val="bottom"/>
          </w:tcPr>
          <w:p>
            <w:pPr>
              <w:jc w:val="right"/>
              <w:ind w:right="108"/>
              <w:spacing w:after="0"/>
              <w:rPr>
                <w:sz w:val="20"/>
                <w:szCs w:val="20"/>
                <w:color w:val="auto"/>
              </w:rPr>
            </w:pPr>
            <w:r>
              <w:rPr>
                <w:rFonts w:ascii="Arial" w:cs="Arial" w:eastAsia="Arial" w:hAnsi="Arial"/>
                <w:sz w:val="14"/>
                <w:szCs w:val="14"/>
                <w:color w:val="auto"/>
                <w:w w:val="99"/>
              </w:rPr>
              <w:t>(12,958)</w:t>
            </w:r>
          </w:p>
        </w:tc>
        <w:tc>
          <w:tcPr>
            <w:tcW w:w="3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1"/>
              </w:rPr>
              <w:t>**</w:t>
            </w: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Interest expense</w:t>
            </w:r>
          </w:p>
        </w:tc>
        <w:tc>
          <w:tcPr>
            <w:tcW w:w="260" w:type="dxa"/>
            <w:vAlign w:val="bottom"/>
          </w:tcPr>
          <w:p>
            <w:pPr>
              <w:spacing w:after="0"/>
              <w:rPr>
                <w:sz w:val="21"/>
                <w:szCs w:val="21"/>
                <w:color w:val="auto"/>
              </w:rPr>
            </w:pP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331</w:t>
            </w:r>
          </w:p>
        </w:tc>
        <w:tc>
          <w:tcPr>
            <w:tcW w:w="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300</w:t>
            </w:r>
          </w:p>
        </w:tc>
        <w:tc>
          <w:tcPr>
            <w:tcW w:w="3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20" w:type="dxa"/>
            <w:vAlign w:val="bottom"/>
          </w:tcPr>
          <w:p>
            <w:pPr>
              <w:jc w:val="right"/>
              <w:ind w:right="128"/>
              <w:spacing w:after="0"/>
              <w:rPr>
                <w:sz w:val="20"/>
                <w:szCs w:val="20"/>
                <w:color w:val="auto"/>
              </w:rPr>
            </w:pPr>
            <w:r>
              <w:rPr>
                <w:rFonts w:ascii="Arial" w:cs="Arial" w:eastAsia="Arial" w:hAnsi="Arial"/>
                <w:sz w:val="14"/>
                <w:szCs w:val="14"/>
                <w:color w:val="auto"/>
              </w:rPr>
              <w:t>31</w:t>
            </w:r>
          </w:p>
        </w:tc>
        <w:tc>
          <w:tcPr>
            <w:tcW w:w="32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-10.3%</w:t>
            </w: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Income taxes</w:t>
            </w:r>
          </w:p>
        </w:tc>
        <w:tc>
          <w:tcPr>
            <w:tcW w:w="260" w:type="dxa"/>
            <w:vAlign w:val="bottom"/>
          </w:tcPr>
          <w:p>
            <w:pPr>
              <w:spacing w:after="0"/>
              <w:rPr>
                <w:sz w:val="21"/>
                <w:szCs w:val="21"/>
                <w:color w:val="auto"/>
              </w:rPr>
            </w:pP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1,781</w:t>
            </w:r>
          </w:p>
        </w:tc>
        <w:tc>
          <w:tcPr>
            <w:tcW w:w="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jc w:val="right"/>
              <w:ind w:right="148"/>
              <w:spacing w:after="0"/>
              <w:rPr>
                <w:sz w:val="20"/>
                <w:szCs w:val="20"/>
                <w:color w:val="auto"/>
              </w:rPr>
            </w:pPr>
            <w:r>
              <w:rPr>
                <w:rFonts w:ascii="Arial" w:cs="Arial" w:eastAsia="Arial" w:hAnsi="Arial"/>
                <w:sz w:val="14"/>
                <w:szCs w:val="14"/>
                <w:color w:val="auto"/>
              </w:rPr>
              <w:t>3,695</w:t>
            </w:r>
          </w:p>
        </w:tc>
        <w:tc>
          <w:tcPr>
            <w:tcW w:w="3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20" w:type="dxa"/>
            <w:vAlign w:val="bottom"/>
          </w:tcPr>
          <w:p>
            <w:pPr>
              <w:jc w:val="right"/>
              <w:ind w:right="108"/>
              <w:spacing w:after="0"/>
              <w:rPr>
                <w:sz w:val="20"/>
                <w:szCs w:val="20"/>
                <w:color w:val="auto"/>
              </w:rPr>
            </w:pPr>
            <w:r>
              <w:rPr>
                <w:rFonts w:ascii="Arial" w:cs="Arial" w:eastAsia="Arial" w:hAnsi="Arial"/>
                <w:sz w:val="14"/>
                <w:szCs w:val="14"/>
                <w:color w:val="auto"/>
              </w:rPr>
              <w:t>(1,914)</w:t>
            </w:r>
          </w:p>
        </w:tc>
        <w:tc>
          <w:tcPr>
            <w:tcW w:w="32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51.8%</w:t>
            </w:r>
          </w:p>
        </w:tc>
      </w:tr>
      <w:tr>
        <w:trPr>
          <w:trHeight w:val="223"/>
        </w:trPr>
        <w:tc>
          <w:tcPr>
            <w:tcW w:w="3860" w:type="dxa"/>
            <w:vAlign w:val="bottom"/>
          </w:tcPr>
          <w:p>
            <w:pPr>
              <w:ind w:left="320"/>
              <w:spacing w:after="0"/>
              <w:rPr>
                <w:sz w:val="20"/>
                <w:szCs w:val="20"/>
                <w:color w:val="auto"/>
              </w:rPr>
            </w:pPr>
            <w:r>
              <w:rPr>
                <w:rFonts w:ascii="Arial" w:cs="Arial" w:eastAsia="Arial" w:hAnsi="Arial"/>
                <w:sz w:val="14"/>
                <w:szCs w:val="14"/>
                <w:color w:val="auto"/>
              </w:rPr>
              <w:t>Depreciation and amortization</w:t>
            </w:r>
          </w:p>
        </w:tc>
        <w:tc>
          <w:tcPr>
            <w:tcW w:w="2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6,726</w:t>
            </w:r>
          </w:p>
        </w:tc>
        <w:tc>
          <w:tcPr>
            <w:tcW w:w="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6,778</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(52)</w:t>
            </w:r>
          </w:p>
        </w:tc>
        <w:tc>
          <w:tcPr>
            <w:tcW w:w="320" w:type="dxa"/>
            <w:vAlign w:val="bottom"/>
          </w:tcPr>
          <w:p>
            <w:pPr>
              <w:spacing w:after="0"/>
              <w:rPr>
                <w:sz w:val="19"/>
                <w:szCs w:val="19"/>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0.8%</w:t>
            </w:r>
          </w:p>
        </w:tc>
      </w:tr>
      <w:tr>
        <w:trPr>
          <w:trHeight w:val="215"/>
        </w:trPr>
        <w:tc>
          <w:tcPr>
            <w:tcW w:w="3860" w:type="dxa"/>
            <w:vAlign w:val="bottom"/>
          </w:tcPr>
          <w:p>
            <w:pPr>
              <w:ind w:left="320"/>
              <w:spacing w:after="0"/>
              <w:rPr>
                <w:sz w:val="20"/>
                <w:szCs w:val="20"/>
                <w:color w:val="auto"/>
              </w:rPr>
            </w:pPr>
            <w:r>
              <w:rPr>
                <w:rFonts w:ascii="Arial" w:cs="Arial" w:eastAsia="Arial" w:hAnsi="Arial"/>
                <w:sz w:val="14"/>
                <w:szCs w:val="14"/>
                <w:b w:val="1"/>
                <w:bCs w:val="1"/>
                <w:color w:val="auto"/>
              </w:rPr>
              <w:t>Adjusted EBITDA</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18,150</w:t>
            </w:r>
          </w:p>
        </w:tc>
        <w:tc>
          <w:tcPr>
            <w:tcW w:w="320" w:type="dxa"/>
            <w:vAlign w:val="bottom"/>
          </w:tcPr>
          <w:p>
            <w:pPr>
              <w:spacing w:after="0"/>
              <w:rPr>
                <w:sz w:val="18"/>
                <w:szCs w:val="18"/>
                <w:color w:val="auto"/>
              </w:rPr>
            </w:pPr>
          </w:p>
        </w:tc>
        <w:tc>
          <w:tcPr>
            <w:tcW w:w="30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19,226</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(1,076)</w:t>
            </w:r>
          </w:p>
        </w:tc>
        <w:tc>
          <w:tcPr>
            <w:tcW w:w="320" w:type="dxa"/>
            <w:vAlign w:val="bottom"/>
          </w:tcPr>
          <w:p>
            <w:pPr>
              <w:spacing w:after="0"/>
              <w:rPr>
                <w:sz w:val="18"/>
                <w:szCs w:val="18"/>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-5.6%</w:t>
            </w:r>
          </w:p>
        </w:tc>
      </w:tr>
      <w:tr>
        <w:trPr>
          <w:trHeight w:val="483"/>
        </w:trPr>
        <w:tc>
          <w:tcPr>
            <w:tcW w:w="38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6"/>
          </w:tcPr>
          <w:p>
            <w:pPr>
              <w:ind w:left="140"/>
              <w:spacing w:after="0"/>
              <w:rPr>
                <w:sz w:val="20"/>
                <w:szCs w:val="20"/>
                <w:color w:val="auto"/>
              </w:rPr>
            </w:pPr>
            <w:r>
              <w:rPr>
                <w:rFonts w:ascii="Arial" w:cs="Arial" w:eastAsia="Arial" w:hAnsi="Arial"/>
                <w:sz w:val="14"/>
                <w:szCs w:val="14"/>
                <w:color w:val="auto"/>
              </w:rPr>
              <w:t>Three months ended March 31,</w:t>
            </w:r>
          </w:p>
        </w:tc>
        <w:tc>
          <w:tcPr>
            <w:tcW w:w="900" w:type="dxa"/>
            <w:vAlign w:val="bottom"/>
            <w:tcBorders>
              <w:bottom w:val="single" w:sz="8" w:color="auto"/>
            </w:tcBorders>
          </w:tcPr>
          <w:p>
            <w:pPr>
              <w:spacing w:after="0"/>
              <w:rPr>
                <w:sz w:val="24"/>
                <w:szCs w:val="24"/>
                <w:color w:val="auto"/>
              </w:rPr>
            </w:pPr>
          </w:p>
        </w:tc>
      </w:tr>
      <w:tr>
        <w:trPr>
          <w:trHeight w:val="235"/>
        </w:trPr>
        <w:tc>
          <w:tcPr>
            <w:tcW w:w="3860" w:type="dxa"/>
            <w:vAlign w:val="bottom"/>
          </w:tcPr>
          <w:p>
            <w:pPr>
              <w:spacing w:after="0"/>
              <w:rPr>
                <w:sz w:val="20"/>
                <w:szCs w:val="20"/>
                <w:color w:val="auto"/>
              </w:rPr>
            </w:pPr>
            <w:r>
              <w:rPr>
                <w:rFonts w:ascii="Arial" w:cs="Arial" w:eastAsia="Arial" w:hAnsi="Arial"/>
                <w:sz w:val="14"/>
                <w:szCs w:val="14"/>
                <w:color w:val="auto"/>
              </w:rPr>
              <w:t>(000 omitted)</w:t>
            </w:r>
          </w:p>
        </w:tc>
        <w:tc>
          <w:tcPr>
            <w:tcW w:w="260" w:type="dxa"/>
            <w:vAlign w:val="bottom"/>
          </w:tcPr>
          <w:p>
            <w:pPr>
              <w:spacing w:after="0"/>
              <w:rPr>
                <w:sz w:val="20"/>
                <w:szCs w:val="20"/>
                <w:color w:val="auto"/>
              </w:rPr>
            </w:pPr>
          </w:p>
        </w:tc>
        <w:tc>
          <w:tcPr>
            <w:tcW w:w="740" w:type="dxa"/>
            <w:vAlign w:val="bottom"/>
          </w:tcPr>
          <w:p>
            <w:pPr>
              <w:jc w:val="right"/>
              <w:ind w:right="328"/>
              <w:spacing w:after="0"/>
              <w:rPr>
                <w:sz w:val="20"/>
                <w:szCs w:val="20"/>
                <w:color w:val="auto"/>
              </w:rPr>
            </w:pPr>
            <w:r>
              <w:rPr>
                <w:rFonts w:ascii="Arial" w:cs="Arial" w:eastAsia="Arial" w:hAnsi="Arial"/>
                <w:sz w:val="14"/>
                <w:szCs w:val="14"/>
                <w:color w:val="auto"/>
              </w:rPr>
              <w:t>2014</w:t>
            </w:r>
          </w:p>
        </w:tc>
        <w:tc>
          <w:tcPr>
            <w:tcW w:w="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60" w:type="dxa"/>
            <w:vAlign w:val="bottom"/>
          </w:tcPr>
          <w:p>
            <w:pPr>
              <w:jc w:val="right"/>
              <w:ind w:right="348"/>
              <w:spacing w:after="0"/>
              <w:rPr>
                <w:sz w:val="20"/>
                <w:szCs w:val="20"/>
                <w:color w:val="auto"/>
              </w:rPr>
            </w:pPr>
            <w:r>
              <w:rPr>
                <w:rFonts w:ascii="Arial" w:cs="Arial" w:eastAsia="Arial" w:hAnsi="Arial"/>
                <w:sz w:val="14"/>
                <w:szCs w:val="14"/>
                <w:color w:val="auto"/>
              </w:rPr>
              <w:t>2013</w:t>
            </w:r>
          </w:p>
        </w:tc>
        <w:tc>
          <w:tcPr>
            <w:tcW w:w="3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40"/>
              <w:spacing w:after="0"/>
              <w:rPr>
                <w:sz w:val="20"/>
                <w:szCs w:val="20"/>
                <w:color w:val="auto"/>
              </w:rPr>
            </w:pPr>
            <w:r>
              <w:rPr>
                <w:rFonts w:ascii="Arial" w:cs="Arial" w:eastAsia="Arial" w:hAnsi="Arial"/>
                <w:sz w:val="14"/>
                <w:szCs w:val="14"/>
                <w:color w:val="auto"/>
              </w:rPr>
              <w:t>Change</w:t>
            </w:r>
          </w:p>
        </w:tc>
        <w:tc>
          <w:tcPr>
            <w:tcW w:w="900" w:type="dxa"/>
            <w:vAlign w:val="bottom"/>
          </w:tcPr>
          <w:p>
            <w:pPr>
              <w:jc w:val="center"/>
              <w:spacing w:after="0"/>
              <w:rPr>
                <w:sz w:val="20"/>
                <w:szCs w:val="20"/>
                <w:color w:val="auto"/>
              </w:rPr>
            </w:pPr>
            <w:r>
              <w:rPr>
                <w:rFonts w:ascii="Arial" w:cs="Arial" w:eastAsia="Arial" w:hAnsi="Arial"/>
                <w:sz w:val="14"/>
                <w:szCs w:val="14"/>
                <w:color w:val="auto"/>
              </w:rPr>
              <w:t>% Change</w:t>
            </w:r>
          </w:p>
        </w:tc>
      </w:tr>
      <w:tr>
        <w:trPr>
          <w:trHeight w:val="496"/>
        </w:trPr>
        <w:tc>
          <w:tcPr>
            <w:tcW w:w="3860" w:type="dxa"/>
            <w:vAlign w:val="bottom"/>
          </w:tcPr>
          <w:p>
            <w:pPr>
              <w:spacing w:after="0"/>
              <w:rPr>
                <w:sz w:val="20"/>
                <w:szCs w:val="20"/>
                <w:color w:val="auto"/>
              </w:rPr>
            </w:pPr>
            <w:r>
              <w:rPr>
                <w:rFonts w:ascii="Arial" w:cs="Arial" w:eastAsia="Arial" w:hAnsi="Arial"/>
                <w:sz w:val="14"/>
                <w:szCs w:val="14"/>
                <w:color w:val="auto"/>
              </w:rPr>
              <w:t>Free Cash Flow (Outflow) (Note A):</w:t>
            </w:r>
          </w:p>
        </w:tc>
        <w:tc>
          <w:tcPr>
            <w:tcW w:w="26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r>
      <w:tr>
        <w:trPr>
          <w:trHeight w:val="242"/>
        </w:trPr>
        <w:tc>
          <w:tcPr>
            <w:tcW w:w="3860" w:type="dxa"/>
            <w:vAlign w:val="bottom"/>
          </w:tcPr>
          <w:p>
            <w:pPr>
              <w:ind w:left="320"/>
              <w:spacing w:after="0"/>
              <w:rPr>
                <w:sz w:val="20"/>
                <w:szCs w:val="20"/>
                <w:color w:val="auto"/>
              </w:rPr>
            </w:pPr>
            <w:r>
              <w:rPr>
                <w:rFonts w:ascii="Arial" w:cs="Arial" w:eastAsia="Arial" w:hAnsi="Arial"/>
                <w:sz w:val="14"/>
                <w:szCs w:val="14"/>
                <w:color w:val="auto"/>
              </w:rPr>
              <w:t>Net cash provided by (used in) operating activities</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25,170</w:t>
            </w:r>
          </w:p>
        </w:tc>
        <w:tc>
          <w:tcPr>
            <w:tcW w:w="320" w:type="dxa"/>
            <w:vAlign w:val="bottom"/>
          </w:tcPr>
          <w:p>
            <w:pPr>
              <w:spacing w:after="0"/>
              <w:rPr>
                <w:sz w:val="21"/>
                <w:szCs w:val="21"/>
                <w:color w:val="auto"/>
              </w:rPr>
            </w:pPr>
          </w:p>
        </w:tc>
        <w:tc>
          <w:tcPr>
            <w:tcW w:w="300" w:type="dxa"/>
            <w:vAlign w:val="bottom"/>
          </w:tcPr>
          <w:p>
            <w:pPr>
              <w:ind w:left="18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08"/>
              <w:spacing w:after="0"/>
              <w:rPr>
                <w:sz w:val="20"/>
                <w:szCs w:val="20"/>
                <w:color w:val="auto"/>
              </w:rPr>
            </w:pPr>
            <w:r>
              <w:rPr>
                <w:rFonts w:ascii="Arial" w:cs="Arial" w:eastAsia="Arial" w:hAnsi="Arial"/>
                <w:sz w:val="14"/>
                <w:szCs w:val="14"/>
                <w:color w:val="auto"/>
              </w:rPr>
              <w:t>(5,575)</w:t>
            </w:r>
          </w:p>
        </w:tc>
        <w:tc>
          <w:tcPr>
            <w:tcW w:w="320" w:type="dxa"/>
            <w:vAlign w:val="bottom"/>
          </w:tcPr>
          <w:p>
            <w:pPr>
              <w:spacing w:after="0"/>
              <w:rPr>
                <w:sz w:val="21"/>
                <w:szCs w:val="21"/>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28"/>
              <w:spacing w:after="0"/>
              <w:rPr>
                <w:sz w:val="20"/>
                <w:szCs w:val="20"/>
                <w:color w:val="auto"/>
              </w:rPr>
            </w:pPr>
            <w:r>
              <w:rPr>
                <w:rFonts w:ascii="Arial" w:cs="Arial" w:eastAsia="Arial" w:hAnsi="Arial"/>
                <w:sz w:val="14"/>
                <w:szCs w:val="14"/>
                <w:color w:val="auto"/>
              </w:rPr>
              <w:t>30,745</w:t>
            </w:r>
          </w:p>
        </w:tc>
        <w:tc>
          <w:tcPr>
            <w:tcW w:w="3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1"/>
              </w:rPr>
              <w:t>**</w:t>
            </w:r>
          </w:p>
        </w:tc>
      </w:tr>
      <w:tr>
        <w:trPr>
          <w:trHeight w:val="223"/>
        </w:trPr>
        <w:tc>
          <w:tcPr>
            <w:tcW w:w="3860" w:type="dxa"/>
            <w:vAlign w:val="bottom"/>
          </w:tcPr>
          <w:p>
            <w:pPr>
              <w:ind w:left="320"/>
              <w:spacing w:after="0"/>
              <w:rPr>
                <w:sz w:val="20"/>
                <w:szCs w:val="20"/>
                <w:color w:val="auto"/>
              </w:rPr>
            </w:pPr>
            <w:r>
              <w:rPr>
                <w:rFonts w:ascii="Arial" w:cs="Arial" w:eastAsia="Arial" w:hAnsi="Arial"/>
                <w:sz w:val="14"/>
                <w:szCs w:val="14"/>
                <w:color w:val="auto"/>
              </w:rPr>
              <w:t>Capital expenditures</w:t>
            </w:r>
          </w:p>
        </w:tc>
        <w:tc>
          <w:tcPr>
            <w:tcW w:w="2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(5,516)</w:t>
            </w:r>
          </w:p>
        </w:tc>
        <w:tc>
          <w:tcPr>
            <w:tcW w:w="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(8,320)</w:t>
            </w:r>
          </w:p>
        </w:tc>
        <w:tc>
          <w:tcPr>
            <w:tcW w:w="3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2,804</w:t>
            </w:r>
          </w:p>
        </w:tc>
        <w:tc>
          <w:tcPr>
            <w:tcW w:w="320" w:type="dxa"/>
            <w:vAlign w:val="bottom"/>
          </w:tcPr>
          <w:p>
            <w:pPr>
              <w:spacing w:after="0"/>
              <w:rPr>
                <w:sz w:val="19"/>
                <w:szCs w:val="19"/>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33.7%</w:t>
            </w:r>
          </w:p>
        </w:tc>
      </w:tr>
      <w:tr>
        <w:trPr>
          <w:trHeight w:val="215"/>
        </w:trPr>
        <w:tc>
          <w:tcPr>
            <w:tcW w:w="3860" w:type="dxa"/>
            <w:vAlign w:val="bottom"/>
          </w:tcPr>
          <w:p>
            <w:pPr>
              <w:ind w:left="320"/>
              <w:spacing w:after="0"/>
              <w:rPr>
                <w:sz w:val="20"/>
                <w:szCs w:val="20"/>
                <w:color w:val="auto"/>
              </w:rPr>
            </w:pPr>
            <w:r>
              <w:rPr>
                <w:rFonts w:ascii="Arial" w:cs="Arial" w:eastAsia="Arial" w:hAnsi="Arial"/>
                <w:sz w:val="14"/>
                <w:szCs w:val="14"/>
                <w:b w:val="1"/>
                <w:bCs w:val="1"/>
                <w:color w:val="auto"/>
              </w:rPr>
              <w:t>Free cash flow (outflow)</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19,654</w:t>
            </w:r>
          </w:p>
        </w:tc>
        <w:tc>
          <w:tcPr>
            <w:tcW w:w="320" w:type="dxa"/>
            <w:vAlign w:val="bottom"/>
          </w:tcPr>
          <w:p>
            <w:pPr>
              <w:spacing w:after="0"/>
              <w:rPr>
                <w:sz w:val="18"/>
                <w:szCs w:val="18"/>
                <w:color w:val="auto"/>
              </w:rPr>
            </w:pPr>
          </w:p>
        </w:tc>
        <w:tc>
          <w:tcPr>
            <w:tcW w:w="30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(13,895)</w:t>
            </w:r>
          </w:p>
        </w:tc>
        <w:tc>
          <w:tcPr>
            <w:tcW w:w="32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33,549</w:t>
            </w:r>
          </w:p>
        </w:tc>
        <w:tc>
          <w:tcPr>
            <w:tcW w:w="320" w:type="dxa"/>
            <w:vAlign w:val="bottom"/>
          </w:tcPr>
          <w:p>
            <w:pPr>
              <w:spacing w:after="0"/>
              <w:rPr>
                <w:sz w:val="18"/>
                <w:szCs w:val="18"/>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w:t>
            </w:r>
          </w:p>
        </w:tc>
      </w:tr>
    </w:tbl>
    <w:p>
      <w:pPr>
        <w:spacing w:after="0" w:line="309" w:lineRule="exact"/>
        <w:rPr>
          <w:sz w:val="20"/>
          <w:szCs w:val="20"/>
          <w:color w:val="auto"/>
        </w:rPr>
      </w:pPr>
    </w:p>
    <w:p>
      <w:pPr>
        <w:ind w:left="146" w:hanging="146"/>
        <w:spacing w:after="0"/>
        <w:tabs>
          <w:tab w:leader="none" w:pos="146" w:val="left"/>
        </w:tabs>
        <w:numPr>
          <w:ilvl w:val="0"/>
          <w:numId w:val="4"/>
        </w:numPr>
        <w:rPr>
          <w:rFonts w:ascii="Arial" w:cs="Arial" w:eastAsia="Arial" w:hAnsi="Arial"/>
          <w:sz w:val="14"/>
          <w:szCs w:val="14"/>
          <w:color w:val="auto"/>
        </w:rPr>
      </w:pPr>
      <w:r>
        <w:rPr>
          <w:rFonts w:ascii="Arial" w:cs="Arial" w:eastAsia="Arial" w:hAnsi="Arial"/>
          <w:sz w:val="14"/>
          <w:szCs w:val="14"/>
          <w:color w:val="auto"/>
        </w:rPr>
        <w:t>Change is greater than +/- 100 percent</w:t>
      </w:r>
    </w:p>
    <w:p>
      <w:pPr>
        <w:spacing w:after="0" w:line="241" w:lineRule="exact"/>
        <w:rPr>
          <w:rFonts w:ascii="Arial" w:cs="Arial" w:eastAsia="Arial" w:hAnsi="Arial"/>
          <w:sz w:val="14"/>
          <w:szCs w:val="14"/>
          <w:color w:val="auto"/>
        </w:rPr>
      </w:pPr>
    </w:p>
    <w:p>
      <w:pPr>
        <w:ind w:left="426" w:hanging="402"/>
        <w:spacing w:after="0" w:line="252" w:lineRule="auto"/>
        <w:tabs>
          <w:tab w:leader="none" w:pos="426" w:val="left"/>
        </w:tabs>
        <w:numPr>
          <w:ilvl w:val="1"/>
          <w:numId w:val="4"/>
        </w:numPr>
        <w:rPr>
          <w:rFonts w:ascii="Arial" w:cs="Arial" w:eastAsia="Arial" w:hAnsi="Arial"/>
          <w:sz w:val="14"/>
          <w:szCs w:val="14"/>
          <w:color w:val="auto"/>
        </w:rPr>
      </w:pPr>
      <w:r>
        <w:rPr>
          <w:rFonts w:ascii="Arial" w:cs="Arial" w:eastAsia="Arial" w:hAnsi="Arial"/>
          <w:sz w:val="14"/>
          <w:szCs w:val="14"/>
          <w:color w:val="auto"/>
        </w:rPr>
        <w:t>Income before other items, Adjusted EBITDA and Free Cash Flow are supplemental to results presented under accounting principles generally accepted in the United States of America ("GAAP") and may not be comparable to similarly titled measures presented by other companies. These non-GAAP measures are used by management to facilitate period-to-period comparisons and analysis of Viad's operating performance and liquidity. Management believes these non-GAAP measures are useful to investors in trending, analyzing and benchmarking the performance and value of Viad's business. These non-GAAP measures should be considered in addition to, but not as a substitute for, other similar measures reported in accordance with GAAP.</w:t>
      </w:r>
    </w:p>
    <w:p>
      <w:pPr>
        <w:spacing w:after="0" w:line="200" w:lineRule="exact"/>
        <w:rPr>
          <w:sz w:val="20"/>
          <w:szCs w:val="20"/>
          <w:color w:val="auto"/>
        </w:rPr>
      </w:pPr>
    </w:p>
    <w:p>
      <w:pPr>
        <w:jc w:val="center"/>
        <w:ind w:right="914"/>
        <w:spacing w:after="0"/>
        <w:rPr>
          <w:sz w:val="20"/>
          <w:szCs w:val="20"/>
          <w:color w:val="auto"/>
        </w:rPr>
      </w:pPr>
      <w:r>
        <w:rPr>
          <w:rFonts w:ascii="Arial" w:cs="Arial" w:eastAsia="Arial" w:hAnsi="Arial"/>
          <w:sz w:val="14"/>
          <w:szCs w:val="14"/>
          <w:b w:val="1"/>
          <w:bCs w:val="1"/>
          <w:color w:val="auto"/>
        </w:rPr>
        <w:t>VIAD CORP AND SUBSIDIARIES</w:t>
      </w:r>
    </w:p>
    <w:p>
      <w:pPr>
        <w:spacing w:after="0" w:line="20" w:lineRule="exact"/>
        <w:rPr>
          <w:sz w:val="20"/>
          <w:szCs w:val="20"/>
          <w:color w:val="auto"/>
        </w:rPr>
      </w:pPr>
    </w:p>
    <w:p>
      <w:pPr>
        <w:jc w:val="center"/>
        <w:ind w:right="914"/>
        <w:spacing w:after="0"/>
        <w:rPr>
          <w:sz w:val="20"/>
          <w:szCs w:val="20"/>
          <w:color w:val="auto"/>
        </w:rPr>
      </w:pPr>
      <w:r>
        <w:rPr>
          <w:rFonts w:ascii="Arial" w:cs="Arial" w:eastAsia="Arial" w:hAnsi="Arial"/>
          <w:sz w:val="14"/>
          <w:szCs w:val="14"/>
          <w:b w:val="1"/>
          <w:bCs w:val="1"/>
          <w:color w:val="auto"/>
        </w:rPr>
        <w:t>TABLE THREE - QUARTERLY AND FULL YEAR RESULTS</w:t>
      </w:r>
    </w:p>
    <w:p>
      <w:pPr>
        <w:jc w:val="center"/>
        <w:ind w:right="914"/>
        <w:spacing w:after="0"/>
        <w:rPr>
          <w:sz w:val="20"/>
          <w:szCs w:val="20"/>
          <w:color w:val="auto"/>
        </w:rPr>
      </w:pPr>
      <w:r>
        <w:rPr>
          <w:rFonts w:ascii="Arial" w:cs="Arial" w:eastAsia="Arial" w:hAnsi="Arial"/>
          <w:sz w:val="14"/>
          <w:szCs w:val="14"/>
          <w:b w:val="1"/>
          <w:bCs w:val="1"/>
          <w:color w:val="auto"/>
        </w:rPr>
        <w:t>(UNAUDITED)</w:t>
      </w:r>
    </w:p>
    <w:p>
      <w:pPr>
        <w:spacing w:after="0" w:line="200" w:lineRule="exact"/>
        <w:rPr>
          <w:sz w:val="20"/>
          <w:szCs w:val="20"/>
          <w:color w:val="auto"/>
        </w:rPr>
      </w:pPr>
    </w:p>
    <w:p>
      <w:pPr>
        <w:spacing w:after="0" w:line="346" w:lineRule="exact"/>
        <w:rPr>
          <w:sz w:val="20"/>
          <w:szCs w:val="20"/>
          <w:color w:val="auto"/>
        </w:rPr>
      </w:pPr>
    </w:p>
    <w:tbl>
      <w:tblPr>
        <w:tblLayout w:type="fixed"/>
        <w:tblInd w:w="6" w:type="dxa"/>
        <w:tblCellMar>
          <w:top w:w="0" w:type="dxa"/>
          <w:left w:w="0" w:type="dxa"/>
          <w:bottom w:w="0" w:type="dxa"/>
          <w:right w:w="0" w:type="dxa"/>
        </w:tblCellMar>
      </w:tblPr>
      <w:tr>
        <w:trPr>
          <w:trHeight w:val="174"/>
        </w:trPr>
        <w:tc>
          <w:tcPr>
            <w:tcW w:w="4180" w:type="dxa"/>
            <w:vAlign w:val="bottom"/>
          </w:tcPr>
          <w:p>
            <w:pPr>
              <w:spacing w:after="0"/>
              <w:rPr>
                <w:sz w:val="20"/>
                <w:szCs w:val="20"/>
                <w:color w:val="auto"/>
              </w:rPr>
            </w:pPr>
            <w:r>
              <w:rPr>
                <w:rFonts w:ascii="Arial" w:cs="Arial" w:eastAsia="Arial" w:hAnsi="Arial"/>
                <w:sz w:val="14"/>
                <w:szCs w:val="14"/>
                <w:color w:val="auto"/>
              </w:rPr>
              <w:t>(000 omitted, except per share data)</w:t>
            </w:r>
          </w:p>
        </w:tc>
        <w:tc>
          <w:tcPr>
            <w:tcW w:w="1220" w:type="dxa"/>
            <w:vAlign w:val="bottom"/>
            <w:gridSpan w:val="3"/>
          </w:tcPr>
          <w:p>
            <w:pPr>
              <w:ind w:left="220"/>
              <w:spacing w:after="0"/>
              <w:rPr>
                <w:sz w:val="20"/>
                <w:szCs w:val="20"/>
                <w:color w:val="auto"/>
              </w:rPr>
            </w:pPr>
            <w:r>
              <w:rPr>
                <w:rFonts w:ascii="Arial" w:cs="Arial" w:eastAsia="Arial" w:hAnsi="Arial"/>
                <w:sz w:val="14"/>
                <w:szCs w:val="14"/>
                <w:color w:val="auto"/>
              </w:rPr>
              <w:t>Q1 2013</w:t>
            </w:r>
          </w:p>
        </w:tc>
        <w:tc>
          <w:tcPr>
            <w:tcW w:w="1220" w:type="dxa"/>
            <w:vAlign w:val="bottom"/>
            <w:gridSpan w:val="3"/>
          </w:tcPr>
          <w:p>
            <w:pPr>
              <w:ind w:left="220"/>
              <w:spacing w:after="0"/>
              <w:rPr>
                <w:sz w:val="20"/>
                <w:szCs w:val="20"/>
                <w:color w:val="auto"/>
              </w:rPr>
            </w:pPr>
            <w:r>
              <w:rPr>
                <w:rFonts w:ascii="Arial" w:cs="Arial" w:eastAsia="Arial" w:hAnsi="Arial"/>
                <w:sz w:val="14"/>
                <w:szCs w:val="14"/>
                <w:color w:val="auto"/>
              </w:rPr>
              <w:t>Q2 2013</w:t>
            </w:r>
          </w:p>
        </w:tc>
        <w:tc>
          <w:tcPr>
            <w:tcW w:w="1220" w:type="dxa"/>
            <w:vAlign w:val="bottom"/>
            <w:gridSpan w:val="3"/>
          </w:tcPr>
          <w:p>
            <w:pPr>
              <w:ind w:left="220"/>
              <w:spacing w:after="0"/>
              <w:rPr>
                <w:sz w:val="20"/>
                <w:szCs w:val="20"/>
                <w:color w:val="auto"/>
              </w:rPr>
            </w:pPr>
            <w:r>
              <w:rPr>
                <w:rFonts w:ascii="Arial" w:cs="Arial" w:eastAsia="Arial" w:hAnsi="Arial"/>
                <w:sz w:val="14"/>
                <w:szCs w:val="14"/>
                <w:color w:val="auto"/>
              </w:rPr>
              <w:t>Q3 2013</w:t>
            </w:r>
          </w:p>
        </w:tc>
        <w:tc>
          <w:tcPr>
            <w:tcW w:w="1200" w:type="dxa"/>
            <w:vAlign w:val="bottom"/>
            <w:gridSpan w:val="3"/>
          </w:tcPr>
          <w:p>
            <w:pPr>
              <w:ind w:left="200"/>
              <w:spacing w:after="0"/>
              <w:rPr>
                <w:sz w:val="20"/>
                <w:szCs w:val="20"/>
                <w:color w:val="auto"/>
              </w:rPr>
            </w:pPr>
            <w:r>
              <w:rPr>
                <w:rFonts w:ascii="Arial" w:cs="Arial" w:eastAsia="Arial" w:hAnsi="Arial"/>
                <w:sz w:val="14"/>
                <w:szCs w:val="14"/>
                <w:color w:val="auto"/>
              </w:rPr>
              <w:t>Q4 2013</w:t>
            </w:r>
          </w:p>
        </w:tc>
        <w:tc>
          <w:tcPr>
            <w:tcW w:w="960" w:type="dxa"/>
            <w:vAlign w:val="bottom"/>
            <w:gridSpan w:val="2"/>
          </w:tcPr>
          <w:p>
            <w:pPr>
              <w:jc w:val="right"/>
              <w:ind w:right="128"/>
              <w:spacing w:after="0"/>
              <w:rPr>
                <w:sz w:val="20"/>
                <w:szCs w:val="20"/>
                <w:color w:val="auto"/>
              </w:rPr>
            </w:pPr>
            <w:r>
              <w:rPr>
                <w:rFonts w:ascii="Arial" w:cs="Arial" w:eastAsia="Arial" w:hAnsi="Arial"/>
                <w:sz w:val="14"/>
                <w:szCs w:val="14"/>
                <w:color w:val="auto"/>
              </w:rPr>
              <w:t>FY 2013</w:t>
            </w:r>
          </w:p>
        </w:tc>
      </w:tr>
      <w:tr>
        <w:trPr>
          <w:trHeight w:val="502"/>
        </w:trPr>
        <w:tc>
          <w:tcPr>
            <w:tcW w:w="4180" w:type="dxa"/>
            <w:vAlign w:val="bottom"/>
          </w:tcPr>
          <w:p>
            <w:pPr>
              <w:spacing w:after="0"/>
              <w:rPr>
                <w:sz w:val="20"/>
                <w:szCs w:val="20"/>
                <w:color w:val="auto"/>
              </w:rPr>
            </w:pPr>
            <w:r>
              <w:rPr>
                <w:rFonts w:ascii="Arial" w:cs="Arial" w:eastAsia="Arial" w:hAnsi="Arial"/>
                <w:sz w:val="14"/>
                <w:szCs w:val="14"/>
                <w:b w:val="1"/>
                <w:bCs w:val="1"/>
                <w:color w:val="auto"/>
              </w:rPr>
              <w:t>As Revised:</w:t>
            </w:r>
          </w:p>
        </w:tc>
        <w:tc>
          <w:tcPr>
            <w:tcW w:w="26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r>
      <w:tr>
        <w:trPr>
          <w:trHeight w:val="483"/>
        </w:trPr>
        <w:tc>
          <w:tcPr>
            <w:tcW w:w="418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36"/>
        </w:trPr>
        <w:tc>
          <w:tcPr>
            <w:tcW w:w="4180" w:type="dxa"/>
            <w:vAlign w:val="bottom"/>
          </w:tcPr>
          <w:p>
            <w:pPr>
              <w:spacing w:after="0"/>
              <w:rPr>
                <w:sz w:val="20"/>
                <w:szCs w:val="20"/>
                <w:color w:val="auto"/>
              </w:rPr>
            </w:pPr>
            <w:r>
              <w:rPr>
                <w:rFonts w:ascii="Arial" w:cs="Arial" w:eastAsia="Arial" w:hAnsi="Arial"/>
                <w:sz w:val="14"/>
                <w:szCs w:val="14"/>
                <w:color w:val="auto"/>
              </w:rPr>
              <w:t>Marketing &amp; Events Group</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276,761</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219,813</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156,486</w:t>
            </w:r>
          </w:p>
        </w:tc>
        <w:tc>
          <w:tcPr>
            <w:tcW w:w="260" w:type="dxa"/>
            <w:vAlign w:val="bottom"/>
          </w:tcPr>
          <w:p>
            <w:pPr>
              <w:spacing w:after="0"/>
              <w:rPr>
                <w:sz w:val="20"/>
                <w:szCs w:val="20"/>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191,844</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844,904</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Travel &amp; Recreation Group</w:t>
            </w:r>
          </w:p>
        </w:tc>
        <w:tc>
          <w:tcPr>
            <w:tcW w:w="2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8,398</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26,367</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63,681</w:t>
            </w:r>
          </w:p>
        </w:tc>
        <w:tc>
          <w:tcPr>
            <w:tcW w:w="2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9,997</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108,443</w:t>
            </w:r>
          </w:p>
        </w:tc>
      </w:tr>
      <w:tr>
        <w:trPr>
          <w:trHeight w:val="215"/>
        </w:trPr>
        <w:tc>
          <w:tcPr>
            <w:tcW w:w="4180" w:type="dxa"/>
            <w:vAlign w:val="bottom"/>
          </w:tcPr>
          <w:p>
            <w:pPr>
              <w:spacing w:after="0"/>
              <w:rPr>
                <w:sz w:val="20"/>
                <w:szCs w:val="20"/>
                <w:color w:val="auto"/>
              </w:rPr>
            </w:pPr>
            <w:r>
              <w:rPr>
                <w:rFonts w:ascii="Arial" w:cs="Arial" w:eastAsia="Arial" w:hAnsi="Arial"/>
                <w:sz w:val="14"/>
                <w:szCs w:val="14"/>
                <w:b w:val="1"/>
                <w:bCs w:val="1"/>
                <w:color w:val="auto"/>
              </w:rPr>
              <w:t>Total</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285,159</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246,180</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220,167</w:t>
            </w:r>
          </w:p>
        </w:tc>
        <w:tc>
          <w:tcPr>
            <w:tcW w:w="260" w:type="dxa"/>
            <w:vAlign w:val="bottom"/>
          </w:tcPr>
          <w:p>
            <w:pPr>
              <w:spacing w:after="0"/>
              <w:rPr>
                <w:sz w:val="18"/>
                <w:szCs w:val="18"/>
                <w:color w:val="auto"/>
              </w:rPr>
            </w:pP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201,841</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953,347</w:t>
            </w:r>
          </w:p>
        </w:tc>
      </w:tr>
      <w:tr>
        <w:trPr>
          <w:trHeight w:val="509"/>
        </w:trPr>
        <w:tc>
          <w:tcPr>
            <w:tcW w:w="4180" w:type="dxa"/>
            <w:vAlign w:val="bottom"/>
          </w:tcPr>
          <w:p>
            <w:pPr>
              <w:spacing w:after="0"/>
              <w:rPr>
                <w:sz w:val="20"/>
                <w:szCs w:val="20"/>
                <w:color w:val="auto"/>
              </w:rPr>
            </w:pPr>
            <w:r>
              <w:rPr>
                <w:rFonts w:ascii="Arial" w:cs="Arial" w:eastAsia="Arial" w:hAnsi="Arial"/>
                <w:sz w:val="14"/>
                <w:szCs w:val="14"/>
                <w:b w:val="1"/>
                <w:bCs w:val="1"/>
                <w:color w:val="auto"/>
              </w:rPr>
              <w:t>Segment operating income (loss):</w:t>
            </w: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36"/>
        </w:trPr>
        <w:tc>
          <w:tcPr>
            <w:tcW w:w="4180" w:type="dxa"/>
            <w:vAlign w:val="bottom"/>
          </w:tcPr>
          <w:p>
            <w:pPr>
              <w:spacing w:after="0"/>
              <w:rPr>
                <w:sz w:val="20"/>
                <w:szCs w:val="20"/>
                <w:color w:val="auto"/>
              </w:rPr>
            </w:pPr>
            <w:r>
              <w:rPr>
                <w:rFonts w:ascii="Arial" w:cs="Arial" w:eastAsia="Arial" w:hAnsi="Arial"/>
                <w:sz w:val="14"/>
                <w:szCs w:val="14"/>
                <w:color w:val="auto"/>
              </w:rPr>
              <w:t>Marketing &amp; Events Group</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18,507</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8,189</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(7,904)</w:t>
            </w:r>
          </w:p>
        </w:tc>
        <w:tc>
          <w:tcPr>
            <w:tcW w:w="260" w:type="dxa"/>
            <w:vAlign w:val="bottom"/>
          </w:tcPr>
          <w:p>
            <w:pPr>
              <w:spacing w:after="0"/>
              <w:rPr>
                <w:sz w:val="20"/>
                <w:szCs w:val="20"/>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1,300</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20,092</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Travel &amp; Recreation Group</w:t>
            </w:r>
          </w:p>
        </w:tc>
        <w:tc>
          <w:tcPr>
            <w:tcW w:w="2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(4,912)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3,266</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26,627</w:t>
            </w:r>
          </w:p>
        </w:tc>
        <w:tc>
          <w:tcPr>
            <w:tcW w:w="2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(3,162)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21,819</w:t>
            </w:r>
          </w:p>
        </w:tc>
      </w:tr>
      <w:tr>
        <w:trPr>
          <w:trHeight w:val="247"/>
        </w:trPr>
        <w:tc>
          <w:tcPr>
            <w:tcW w:w="4180" w:type="dxa"/>
            <w:vAlign w:val="bottom"/>
          </w:tcPr>
          <w:p>
            <w:pPr>
              <w:spacing w:after="0"/>
              <w:rPr>
                <w:sz w:val="20"/>
                <w:szCs w:val="20"/>
                <w:color w:val="auto"/>
              </w:rPr>
            </w:pPr>
            <w:r>
              <w:rPr>
                <w:rFonts w:ascii="Arial" w:cs="Arial" w:eastAsia="Arial" w:hAnsi="Arial"/>
                <w:sz w:val="14"/>
                <w:szCs w:val="14"/>
                <w:b w:val="1"/>
                <w:bCs w:val="1"/>
                <w:color w:val="auto"/>
              </w:rPr>
              <w:t>Total</w:t>
            </w:r>
          </w:p>
        </w:tc>
        <w:tc>
          <w:tcPr>
            <w:tcW w:w="260" w:type="dxa"/>
            <w:vAlign w:val="bottom"/>
          </w:tcPr>
          <w:p>
            <w:pPr>
              <w:spacing w:after="0"/>
              <w:rPr>
                <w:sz w:val="21"/>
                <w:szCs w:val="21"/>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b w:val="1"/>
                <w:bCs w:val="1"/>
                <w:color w:val="auto"/>
              </w:rPr>
              <w:t>13,595</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b w:val="1"/>
                <w:bCs w:val="1"/>
                <w:color w:val="auto"/>
              </w:rPr>
              <w:t>11,455</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b w:val="1"/>
                <w:bCs w:val="1"/>
                <w:color w:val="auto"/>
              </w:rPr>
              <w:t>18,723</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b w:val="1"/>
                <w:bCs w:val="1"/>
                <w:color w:val="auto"/>
              </w:rPr>
              <w:t>(1,862)</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b w:val="1"/>
                <w:bCs w:val="1"/>
                <w:color w:val="auto"/>
              </w:rPr>
              <w:t>41,911</w:t>
            </w:r>
          </w:p>
        </w:tc>
      </w:tr>
      <w:tr>
        <w:trPr>
          <w:trHeight w:val="236"/>
        </w:trPr>
        <w:tc>
          <w:tcPr>
            <w:tcW w:w="4180" w:type="dxa"/>
            <w:vAlign w:val="bottom"/>
          </w:tcPr>
          <w:p>
            <w:pPr>
              <w:spacing w:after="0"/>
              <w:rPr>
                <w:sz w:val="20"/>
                <w:szCs w:val="20"/>
                <w:color w:val="auto"/>
              </w:rPr>
            </w:pPr>
            <w:r>
              <w:rPr>
                <w:rFonts w:ascii="Arial" w:cs="Arial" w:eastAsia="Arial" w:hAnsi="Arial"/>
                <w:sz w:val="14"/>
                <w:szCs w:val="14"/>
                <w:color w:val="auto"/>
              </w:rPr>
              <w:t>Corporate activities</w:t>
            </w:r>
          </w:p>
        </w:tc>
        <w:tc>
          <w:tcPr>
            <w:tcW w:w="260" w:type="dxa"/>
            <w:vAlign w:val="bottom"/>
          </w:tcPr>
          <w:p>
            <w:pPr>
              <w:spacing w:after="0"/>
              <w:rPr>
                <w:sz w:val="20"/>
                <w:szCs w:val="20"/>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(806)</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(1,167)</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(2,034)</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(2,748)</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(6,755)</w:t>
            </w:r>
          </w:p>
        </w:tc>
      </w:tr>
      <w:tr>
        <w:trPr>
          <w:trHeight w:val="242"/>
        </w:trPr>
        <w:tc>
          <w:tcPr>
            <w:tcW w:w="4180" w:type="dxa"/>
            <w:vAlign w:val="bottom"/>
          </w:tcPr>
          <w:p>
            <w:pPr>
              <w:spacing w:after="0"/>
              <w:rPr>
                <w:sz w:val="20"/>
                <w:szCs w:val="20"/>
                <w:color w:val="auto"/>
              </w:rPr>
            </w:pPr>
            <w:r>
              <w:rPr>
                <w:rFonts w:ascii="Arial" w:cs="Arial" w:eastAsia="Arial" w:hAnsi="Arial"/>
                <w:sz w:val="14"/>
                <w:szCs w:val="14"/>
                <w:color w:val="auto"/>
              </w:rPr>
              <w:t>Restructuring charges</w:t>
            </w:r>
          </w:p>
        </w:tc>
        <w:tc>
          <w:tcPr>
            <w:tcW w:w="260" w:type="dxa"/>
            <w:vAlign w:val="bottom"/>
          </w:tcPr>
          <w:p>
            <w:pPr>
              <w:spacing w:after="0"/>
              <w:rPr>
                <w:sz w:val="21"/>
                <w:szCs w:val="21"/>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(720)</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(773)</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(639)</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(1,661)</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(3,793)</w:t>
            </w:r>
          </w:p>
        </w:tc>
      </w:tr>
      <w:tr>
        <w:trPr>
          <w:trHeight w:val="209"/>
        </w:trPr>
        <w:tc>
          <w:tcPr>
            <w:tcW w:w="4180" w:type="dxa"/>
            <w:vAlign w:val="bottom"/>
          </w:tcPr>
          <w:p>
            <w:pPr>
              <w:spacing w:after="0"/>
              <w:rPr>
                <w:sz w:val="20"/>
                <w:szCs w:val="20"/>
                <w:color w:val="auto"/>
              </w:rPr>
            </w:pPr>
            <w:r>
              <w:rPr>
                <w:rFonts w:ascii="Arial" w:cs="Arial" w:eastAsia="Arial" w:hAnsi="Arial"/>
                <w:sz w:val="14"/>
                <w:szCs w:val="14"/>
                <w:color w:val="auto"/>
              </w:rPr>
              <w:t>Impairment charges</w:t>
            </w:r>
          </w:p>
        </w:tc>
        <w:tc>
          <w:tcPr>
            <w:tcW w:w="260" w:type="dxa"/>
            <w:vAlign w:val="bottom"/>
          </w:tcPr>
          <w:p>
            <w:pPr>
              <w:spacing w:after="0"/>
              <w:rPr>
                <w:sz w:val="18"/>
                <w:szCs w:val="18"/>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(3,049)</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(3,049)</w:t>
            </w:r>
          </w:p>
        </w:tc>
      </w:tr>
      <w:tr>
        <w:trPr>
          <w:trHeight w:val="194"/>
        </w:trPr>
        <w:tc>
          <w:tcPr>
            <w:tcW w:w="4180" w:type="dxa"/>
            <w:vAlign w:val="bottom"/>
          </w:tcPr>
          <w:p>
            <w:pPr>
              <w:spacing w:after="0"/>
              <w:rPr>
                <w:sz w:val="20"/>
                <w:szCs w:val="20"/>
                <w:color w:val="auto"/>
              </w:rPr>
            </w:pPr>
            <w:r>
              <w:rPr>
                <w:rFonts w:ascii="Arial" w:cs="Arial" w:eastAsia="Arial" w:hAnsi="Arial"/>
                <w:sz w:val="14"/>
                <w:szCs w:val="14"/>
                <w:color w:val="auto"/>
              </w:rPr>
              <w:t>Net interest expense</w:t>
            </w:r>
          </w:p>
        </w:tc>
        <w:tc>
          <w:tcPr>
            <w:tcW w:w="260" w:type="dxa"/>
            <w:vAlign w:val="bottom"/>
          </w:tcPr>
          <w:p>
            <w:pPr>
              <w:spacing w:after="0"/>
              <w:rPr>
                <w:sz w:val="16"/>
                <w:szCs w:val="16"/>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(158)</w:t>
            </w: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(186)</w:t>
            </w: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(164)</w:t>
            </w: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(176)</w:t>
            </w: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(684)</w:t>
            </w:r>
          </w:p>
        </w:tc>
      </w:tr>
    </w:tbl>
    <w:p>
      <w:pPr>
        <w:sectPr>
          <w:pgSz w:w="11900" w:h="16875" w:orient="portrait"/>
          <w:cols w:equalWidth="0" w:num="1">
            <w:col w:w="11086"/>
          </w:cols>
          <w:pgMar w:left="534" w:top="124" w:right="279" w:bottom="0" w:gutter="0" w:footer="0" w:header="0"/>
        </w:sectPr>
      </w:pPr>
    </w:p>
    <w:bookmarkStart w:id="7" w:name="page8"/>
    <w:bookmarkEnd w:id="7"/>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2996565</wp:posOffset>
            </wp:positionH>
            <wp:positionV relativeFrom="page">
              <wp:posOffset>156845</wp:posOffset>
            </wp:positionV>
            <wp:extent cx="370014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700145" cy="8255"/>
                    </a:xfrm>
                    <a:prstGeom prst="rect">
                      <a:avLst/>
                    </a:prstGeom>
                    <a:noFill/>
                  </pic:spPr>
                </pic:pic>
              </a:graphicData>
            </a:graphic>
          </wp:anchor>
        </w:drawing>
      </w:r>
    </w:p>
    <w:tbl>
      <w:tblPr>
        <w:tblLayout w:type="fixed"/>
        <w:tblInd w:w="120" w:type="dxa"/>
        <w:tblCellMar>
          <w:top w:w="0" w:type="dxa"/>
          <w:left w:w="0" w:type="dxa"/>
          <w:bottom w:w="0" w:type="dxa"/>
          <w:right w:w="0" w:type="dxa"/>
        </w:tblCellMar>
      </w:tblPr>
      <w:tr>
        <w:trPr>
          <w:trHeight w:val="194"/>
        </w:trPr>
        <w:tc>
          <w:tcPr>
            <w:tcW w:w="4180" w:type="dxa"/>
            <w:vAlign w:val="bottom"/>
          </w:tcPr>
          <w:p>
            <w:pPr>
              <w:spacing w:after="0"/>
              <w:rPr>
                <w:sz w:val="20"/>
                <w:szCs w:val="20"/>
                <w:color w:val="auto"/>
              </w:rPr>
            </w:pPr>
            <w:r>
              <w:rPr>
                <w:rFonts w:ascii="Arial" w:cs="Arial" w:eastAsia="Arial" w:hAnsi="Arial"/>
                <w:sz w:val="14"/>
                <w:szCs w:val="14"/>
                <w:color w:val="auto"/>
              </w:rPr>
              <w:t>Income (loss) from continuing operations before income taxes</w:t>
            </w:r>
          </w:p>
        </w:tc>
        <w:tc>
          <w:tcPr>
            <w:tcW w:w="280" w:type="dxa"/>
            <w:vAlign w:val="bottom"/>
          </w:tcPr>
          <w:p>
            <w:pPr>
              <w:spacing w:after="0"/>
              <w:rPr>
                <w:sz w:val="16"/>
                <w:szCs w:val="16"/>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11,911</w:t>
            </w: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9,329</w:t>
            </w: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12,837</w:t>
            </w:r>
          </w:p>
        </w:tc>
        <w:tc>
          <w:tcPr>
            <w:tcW w:w="2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(6,447)</w:t>
            </w: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27,630</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Income taxes</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(3,636)</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(2,940)</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(3,567)</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1,833</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(8,310)</w:t>
            </w:r>
          </w:p>
        </w:tc>
      </w:tr>
      <w:tr>
        <w:trPr>
          <w:trHeight w:val="241"/>
        </w:trPr>
        <w:tc>
          <w:tcPr>
            <w:tcW w:w="4180" w:type="dxa"/>
            <w:vAlign w:val="bottom"/>
          </w:tcPr>
          <w:p>
            <w:pPr>
              <w:spacing w:after="0"/>
              <w:rPr>
                <w:sz w:val="20"/>
                <w:szCs w:val="20"/>
                <w:color w:val="auto"/>
              </w:rPr>
            </w:pPr>
            <w:r>
              <w:rPr>
                <w:rFonts w:ascii="Arial" w:cs="Arial" w:eastAsia="Arial" w:hAnsi="Arial"/>
                <w:sz w:val="14"/>
                <w:szCs w:val="14"/>
                <w:color w:val="auto"/>
              </w:rPr>
              <w:t>Income (loss) from continuing operations</w:t>
            </w: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8,275</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6,389</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9,270</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(4,614)</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19,320</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Income (loss) from discontinued operations</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(485)</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(329)</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3,478</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(298)</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2,366</w:t>
            </w:r>
          </w:p>
        </w:tc>
      </w:tr>
      <w:tr>
        <w:trPr>
          <w:trHeight w:val="241"/>
        </w:trPr>
        <w:tc>
          <w:tcPr>
            <w:tcW w:w="4180" w:type="dxa"/>
            <w:vAlign w:val="bottom"/>
          </w:tcPr>
          <w:p>
            <w:pPr>
              <w:spacing w:after="0"/>
              <w:rPr>
                <w:sz w:val="20"/>
                <w:szCs w:val="20"/>
                <w:color w:val="auto"/>
              </w:rPr>
            </w:pPr>
            <w:r>
              <w:rPr>
                <w:rFonts w:ascii="Arial" w:cs="Arial" w:eastAsia="Arial" w:hAnsi="Arial"/>
                <w:sz w:val="14"/>
                <w:szCs w:val="14"/>
                <w:color w:val="auto"/>
              </w:rPr>
              <w:t>Net income (loss)</w:t>
            </w: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7,790</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6,060</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12,748</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(4,912)</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21,686</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Net loss (income) attributable to noncontrolling interest</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275</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193</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(893)</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294</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(131)</w:t>
            </w:r>
          </w:p>
        </w:tc>
      </w:tr>
      <w:tr>
        <w:trPr>
          <w:trHeight w:val="215"/>
        </w:trPr>
        <w:tc>
          <w:tcPr>
            <w:tcW w:w="4180" w:type="dxa"/>
            <w:vAlign w:val="bottom"/>
          </w:tcPr>
          <w:p>
            <w:pPr>
              <w:spacing w:after="0"/>
              <w:rPr>
                <w:sz w:val="20"/>
                <w:szCs w:val="20"/>
                <w:color w:val="auto"/>
              </w:rPr>
            </w:pPr>
            <w:r>
              <w:rPr>
                <w:rFonts w:ascii="Arial" w:cs="Arial" w:eastAsia="Arial" w:hAnsi="Arial"/>
                <w:sz w:val="14"/>
                <w:szCs w:val="14"/>
                <w:b w:val="1"/>
                <w:bCs w:val="1"/>
                <w:color w:val="auto"/>
              </w:rPr>
              <w:t>Net income (loss) attributable to Viad</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8,065</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6,253</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11,855</w:t>
            </w:r>
          </w:p>
        </w:tc>
        <w:tc>
          <w:tcPr>
            <w:tcW w:w="260" w:type="dxa"/>
            <w:vAlign w:val="bottom"/>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(4,618)</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21,555</w:t>
            </w:r>
          </w:p>
        </w:tc>
      </w:tr>
      <w:tr>
        <w:trPr>
          <w:trHeight w:val="503"/>
        </w:trPr>
        <w:tc>
          <w:tcPr>
            <w:tcW w:w="4180" w:type="dxa"/>
            <w:vAlign w:val="bottom"/>
          </w:tcPr>
          <w:p>
            <w:pPr>
              <w:spacing w:after="0"/>
              <w:rPr>
                <w:sz w:val="20"/>
                <w:szCs w:val="20"/>
                <w:color w:val="auto"/>
              </w:rPr>
            </w:pPr>
            <w:r>
              <w:rPr>
                <w:rFonts w:ascii="Arial" w:cs="Arial" w:eastAsia="Arial" w:hAnsi="Arial"/>
                <w:sz w:val="14"/>
                <w:szCs w:val="14"/>
                <w:color w:val="auto"/>
              </w:rPr>
              <w:t>Income (loss) before other items (per diluted share):</w:t>
            </w: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42"/>
        </w:trPr>
        <w:tc>
          <w:tcPr>
            <w:tcW w:w="4180" w:type="dxa"/>
            <w:vAlign w:val="bottom"/>
          </w:tcPr>
          <w:p>
            <w:pPr>
              <w:ind w:left="240"/>
              <w:spacing w:after="0"/>
              <w:rPr>
                <w:sz w:val="20"/>
                <w:szCs w:val="20"/>
                <w:color w:val="auto"/>
              </w:rPr>
            </w:pPr>
            <w:r>
              <w:rPr>
                <w:rFonts w:ascii="Arial" w:cs="Arial" w:eastAsia="Arial" w:hAnsi="Arial"/>
                <w:sz w:val="14"/>
                <w:szCs w:val="14"/>
                <w:color w:val="auto"/>
              </w:rPr>
              <w:t>Income (loss) from continuing operations attributable to Viad</w:t>
            </w: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0.42</w:t>
            </w:r>
          </w:p>
        </w:tc>
        <w:tc>
          <w:tcPr>
            <w:tcW w:w="26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0.32</w:t>
            </w:r>
          </w:p>
        </w:tc>
        <w:tc>
          <w:tcPr>
            <w:tcW w:w="26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0.44</w:t>
            </w:r>
          </w:p>
        </w:tc>
        <w:tc>
          <w:tcPr>
            <w:tcW w:w="260" w:type="dxa"/>
            <w:vAlign w:val="bottom"/>
          </w:tcPr>
          <w:p>
            <w:pPr>
              <w:spacing w:after="0"/>
              <w:rPr>
                <w:sz w:val="21"/>
                <w:szCs w:val="21"/>
                <w:color w:val="auto"/>
              </w:rPr>
            </w:pP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(0.22)</w:t>
            </w:r>
          </w:p>
        </w:tc>
        <w:tc>
          <w:tcPr>
            <w:tcW w:w="26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0.96</w:t>
            </w:r>
          </w:p>
        </w:tc>
      </w:tr>
      <w:tr>
        <w:trPr>
          <w:trHeight w:val="242"/>
        </w:trPr>
        <w:tc>
          <w:tcPr>
            <w:tcW w:w="4180" w:type="dxa"/>
            <w:vAlign w:val="bottom"/>
          </w:tcPr>
          <w:p>
            <w:pPr>
              <w:ind w:left="240"/>
              <w:spacing w:after="0"/>
              <w:rPr>
                <w:sz w:val="20"/>
                <w:szCs w:val="20"/>
                <w:color w:val="auto"/>
              </w:rPr>
            </w:pPr>
            <w:r>
              <w:rPr>
                <w:rFonts w:ascii="Arial" w:cs="Arial" w:eastAsia="Arial" w:hAnsi="Arial"/>
                <w:sz w:val="14"/>
                <w:szCs w:val="14"/>
                <w:color w:val="auto"/>
              </w:rPr>
              <w:t>Impairment charges, net of tax</w:t>
            </w: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0.07</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0.07</w:t>
            </w:r>
          </w:p>
        </w:tc>
      </w:tr>
      <w:tr>
        <w:trPr>
          <w:trHeight w:val="242"/>
        </w:trPr>
        <w:tc>
          <w:tcPr>
            <w:tcW w:w="4180" w:type="dxa"/>
            <w:vAlign w:val="bottom"/>
          </w:tcPr>
          <w:p>
            <w:pPr>
              <w:ind w:left="240"/>
              <w:spacing w:after="0"/>
              <w:rPr>
                <w:sz w:val="20"/>
                <w:szCs w:val="20"/>
                <w:color w:val="auto"/>
              </w:rPr>
            </w:pPr>
            <w:r>
              <w:rPr>
                <w:rFonts w:ascii="Arial" w:cs="Arial" w:eastAsia="Arial" w:hAnsi="Arial"/>
                <w:sz w:val="14"/>
                <w:szCs w:val="14"/>
                <w:color w:val="auto"/>
              </w:rPr>
              <w:t>Restructuring charges, net of tax</w:t>
            </w: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0.03</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0.06</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0.13</w:t>
            </w:r>
          </w:p>
        </w:tc>
      </w:tr>
      <w:tr>
        <w:trPr>
          <w:trHeight w:val="223"/>
        </w:trPr>
        <w:tc>
          <w:tcPr>
            <w:tcW w:w="4180" w:type="dxa"/>
            <w:vAlign w:val="bottom"/>
          </w:tcPr>
          <w:p>
            <w:pPr>
              <w:ind w:left="240"/>
              <w:spacing w:after="0"/>
              <w:rPr>
                <w:sz w:val="20"/>
                <w:szCs w:val="20"/>
                <w:color w:val="auto"/>
              </w:rPr>
            </w:pPr>
            <w:r>
              <w:rPr>
                <w:rFonts w:ascii="Arial" w:cs="Arial" w:eastAsia="Arial" w:hAnsi="Arial"/>
                <w:sz w:val="14"/>
                <w:szCs w:val="14"/>
                <w:color w:val="auto"/>
              </w:rPr>
              <w:t>Favorable tax matters</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(0.02)</w:t>
            </w:r>
          </w:p>
        </w:tc>
      </w:tr>
      <w:tr>
        <w:trPr>
          <w:trHeight w:val="215"/>
        </w:trPr>
        <w:tc>
          <w:tcPr>
            <w:tcW w:w="4180" w:type="dxa"/>
            <w:vAlign w:val="bottom"/>
          </w:tcPr>
          <w:p>
            <w:pPr>
              <w:ind w:left="240"/>
              <w:spacing w:after="0"/>
              <w:rPr>
                <w:sz w:val="20"/>
                <w:szCs w:val="20"/>
                <w:color w:val="auto"/>
              </w:rPr>
            </w:pPr>
            <w:r>
              <w:rPr>
                <w:rFonts w:ascii="Arial" w:cs="Arial" w:eastAsia="Arial" w:hAnsi="Arial"/>
                <w:sz w:val="14"/>
                <w:szCs w:val="14"/>
                <w:b w:val="1"/>
                <w:bCs w:val="1"/>
                <w:color w:val="auto"/>
              </w:rPr>
              <w:t>Income (loss) before other items</w:t>
            </w: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0.44</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0.35</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0.53</w:t>
            </w:r>
          </w:p>
        </w:tc>
        <w:tc>
          <w:tcPr>
            <w:tcW w:w="260" w:type="dxa"/>
            <w:vAlign w:val="bottom"/>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(0.18)</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1.14</w:t>
            </w:r>
          </w:p>
        </w:tc>
      </w:tr>
      <w:tr>
        <w:trPr>
          <w:trHeight w:val="509"/>
        </w:trPr>
        <w:tc>
          <w:tcPr>
            <w:tcW w:w="4180" w:type="dxa"/>
            <w:vAlign w:val="bottom"/>
          </w:tcPr>
          <w:p>
            <w:pPr>
              <w:spacing w:after="0"/>
              <w:rPr>
                <w:sz w:val="20"/>
                <w:szCs w:val="20"/>
                <w:color w:val="auto"/>
              </w:rPr>
            </w:pPr>
            <w:r>
              <w:rPr>
                <w:rFonts w:ascii="Arial" w:cs="Arial" w:eastAsia="Arial" w:hAnsi="Arial"/>
                <w:sz w:val="14"/>
                <w:szCs w:val="14"/>
                <w:b w:val="1"/>
                <w:bCs w:val="1"/>
                <w:color w:val="auto"/>
              </w:rPr>
              <w:t>As Previously Reported:</w:t>
            </w: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483"/>
        </w:trPr>
        <w:tc>
          <w:tcPr>
            <w:tcW w:w="418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36"/>
        </w:trPr>
        <w:tc>
          <w:tcPr>
            <w:tcW w:w="4180" w:type="dxa"/>
            <w:vAlign w:val="bottom"/>
          </w:tcPr>
          <w:p>
            <w:pPr>
              <w:spacing w:after="0"/>
              <w:rPr>
                <w:sz w:val="20"/>
                <w:szCs w:val="20"/>
                <w:color w:val="auto"/>
              </w:rPr>
            </w:pPr>
            <w:r>
              <w:rPr>
                <w:rFonts w:ascii="Arial" w:cs="Arial" w:eastAsia="Arial" w:hAnsi="Arial"/>
                <w:sz w:val="14"/>
                <w:szCs w:val="14"/>
                <w:color w:val="auto"/>
              </w:rPr>
              <w:t>Marketing &amp; Events Group</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276,761</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219,813</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156,486</w:t>
            </w:r>
          </w:p>
        </w:tc>
        <w:tc>
          <w:tcPr>
            <w:tcW w:w="260" w:type="dxa"/>
            <w:vAlign w:val="bottom"/>
          </w:tcPr>
          <w:p>
            <w:pPr>
              <w:spacing w:after="0"/>
              <w:rPr>
                <w:sz w:val="20"/>
                <w:szCs w:val="20"/>
                <w:color w:val="auto"/>
              </w:rPr>
            </w:pP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191,844</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844,904</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Travel &amp; Recreation Group</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8,402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29,501</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79,987</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9,998</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127,888</w:t>
            </w:r>
          </w:p>
        </w:tc>
      </w:tr>
      <w:tr>
        <w:trPr>
          <w:trHeight w:val="215"/>
        </w:trPr>
        <w:tc>
          <w:tcPr>
            <w:tcW w:w="4180" w:type="dxa"/>
            <w:vAlign w:val="bottom"/>
          </w:tcPr>
          <w:p>
            <w:pPr>
              <w:spacing w:after="0"/>
              <w:rPr>
                <w:sz w:val="20"/>
                <w:szCs w:val="20"/>
                <w:color w:val="auto"/>
              </w:rPr>
            </w:pPr>
            <w:r>
              <w:rPr>
                <w:rFonts w:ascii="Arial" w:cs="Arial" w:eastAsia="Arial" w:hAnsi="Arial"/>
                <w:sz w:val="14"/>
                <w:szCs w:val="14"/>
                <w:b w:val="1"/>
                <w:bCs w:val="1"/>
                <w:color w:val="auto"/>
              </w:rPr>
              <w:t>Total</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285,163</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249,314</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236,473</w:t>
            </w:r>
          </w:p>
        </w:tc>
        <w:tc>
          <w:tcPr>
            <w:tcW w:w="260" w:type="dxa"/>
            <w:vAlign w:val="bottom"/>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201,842</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972,792</w:t>
            </w:r>
          </w:p>
        </w:tc>
      </w:tr>
      <w:tr>
        <w:trPr>
          <w:trHeight w:val="509"/>
        </w:trPr>
        <w:tc>
          <w:tcPr>
            <w:tcW w:w="4180" w:type="dxa"/>
            <w:vAlign w:val="bottom"/>
          </w:tcPr>
          <w:p>
            <w:pPr>
              <w:spacing w:after="0"/>
              <w:rPr>
                <w:sz w:val="20"/>
                <w:szCs w:val="20"/>
                <w:color w:val="auto"/>
              </w:rPr>
            </w:pPr>
            <w:r>
              <w:rPr>
                <w:rFonts w:ascii="Arial" w:cs="Arial" w:eastAsia="Arial" w:hAnsi="Arial"/>
                <w:sz w:val="14"/>
                <w:szCs w:val="14"/>
                <w:b w:val="1"/>
                <w:bCs w:val="1"/>
                <w:color w:val="auto"/>
              </w:rPr>
              <w:t>Segment operating income (loss):</w:t>
            </w: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36"/>
        </w:trPr>
        <w:tc>
          <w:tcPr>
            <w:tcW w:w="4180" w:type="dxa"/>
            <w:vAlign w:val="bottom"/>
          </w:tcPr>
          <w:p>
            <w:pPr>
              <w:spacing w:after="0"/>
              <w:rPr>
                <w:sz w:val="20"/>
                <w:szCs w:val="20"/>
                <w:color w:val="auto"/>
              </w:rPr>
            </w:pPr>
            <w:r>
              <w:rPr>
                <w:rFonts w:ascii="Arial" w:cs="Arial" w:eastAsia="Arial" w:hAnsi="Arial"/>
                <w:sz w:val="14"/>
                <w:szCs w:val="14"/>
                <w:color w:val="auto"/>
              </w:rPr>
              <w:t>Marketing &amp; Events Group</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18,507</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8,189</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(7,904)</w:t>
            </w:r>
          </w:p>
        </w:tc>
        <w:tc>
          <w:tcPr>
            <w:tcW w:w="260" w:type="dxa"/>
            <w:vAlign w:val="bottom"/>
          </w:tcPr>
          <w:p>
            <w:pPr>
              <w:spacing w:after="0"/>
              <w:rPr>
                <w:sz w:val="20"/>
                <w:szCs w:val="20"/>
                <w:color w:val="auto"/>
              </w:rPr>
            </w:pP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1,300</w:t>
            </w:r>
          </w:p>
        </w:tc>
        <w:tc>
          <w:tcPr>
            <w:tcW w:w="26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20,092</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Travel &amp; Recreation Group</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(5,680)</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2,692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32,528</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(3,741)</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25,799</w:t>
            </w:r>
          </w:p>
        </w:tc>
      </w:tr>
      <w:tr>
        <w:trPr>
          <w:trHeight w:val="247"/>
        </w:trPr>
        <w:tc>
          <w:tcPr>
            <w:tcW w:w="4180" w:type="dxa"/>
            <w:vAlign w:val="bottom"/>
          </w:tcPr>
          <w:p>
            <w:pPr>
              <w:spacing w:after="0"/>
              <w:rPr>
                <w:sz w:val="20"/>
                <w:szCs w:val="20"/>
                <w:color w:val="auto"/>
              </w:rPr>
            </w:pPr>
            <w:r>
              <w:rPr>
                <w:rFonts w:ascii="Arial" w:cs="Arial" w:eastAsia="Arial" w:hAnsi="Arial"/>
                <w:sz w:val="14"/>
                <w:szCs w:val="14"/>
                <w:b w:val="1"/>
                <w:bCs w:val="1"/>
                <w:color w:val="auto"/>
              </w:rPr>
              <w:t>Total</w:t>
            </w: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b w:val="1"/>
                <w:bCs w:val="1"/>
                <w:color w:val="auto"/>
              </w:rPr>
              <w:t>12,827</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b w:val="1"/>
                <w:bCs w:val="1"/>
                <w:color w:val="auto"/>
              </w:rPr>
              <w:t>10,881</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b w:val="1"/>
                <w:bCs w:val="1"/>
                <w:color w:val="auto"/>
              </w:rPr>
              <w:t>24,624</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b w:val="1"/>
                <w:bCs w:val="1"/>
                <w:color w:val="auto"/>
              </w:rPr>
              <w:t>(2,441)</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b w:val="1"/>
                <w:bCs w:val="1"/>
                <w:color w:val="auto"/>
              </w:rPr>
              <w:t>45,891</w:t>
            </w:r>
          </w:p>
        </w:tc>
      </w:tr>
      <w:tr>
        <w:trPr>
          <w:trHeight w:val="236"/>
        </w:trPr>
        <w:tc>
          <w:tcPr>
            <w:tcW w:w="4180" w:type="dxa"/>
            <w:vAlign w:val="bottom"/>
          </w:tcPr>
          <w:p>
            <w:pPr>
              <w:spacing w:after="0"/>
              <w:rPr>
                <w:sz w:val="20"/>
                <w:szCs w:val="20"/>
                <w:color w:val="auto"/>
              </w:rPr>
            </w:pPr>
            <w:r>
              <w:rPr>
                <w:rFonts w:ascii="Arial" w:cs="Arial" w:eastAsia="Arial" w:hAnsi="Arial"/>
                <w:sz w:val="14"/>
                <w:szCs w:val="14"/>
                <w:color w:val="auto"/>
              </w:rPr>
              <w:t>Corporate activities</w:t>
            </w: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(806)</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(1,167)</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(2,034)</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(2,748)</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(6,755)</w:t>
            </w:r>
          </w:p>
        </w:tc>
      </w:tr>
      <w:tr>
        <w:trPr>
          <w:trHeight w:val="242"/>
        </w:trPr>
        <w:tc>
          <w:tcPr>
            <w:tcW w:w="4180" w:type="dxa"/>
            <w:vAlign w:val="bottom"/>
          </w:tcPr>
          <w:p>
            <w:pPr>
              <w:spacing w:after="0"/>
              <w:rPr>
                <w:sz w:val="20"/>
                <w:szCs w:val="20"/>
                <w:color w:val="auto"/>
              </w:rPr>
            </w:pPr>
            <w:r>
              <w:rPr>
                <w:rFonts w:ascii="Arial" w:cs="Arial" w:eastAsia="Arial" w:hAnsi="Arial"/>
                <w:sz w:val="14"/>
                <w:szCs w:val="14"/>
                <w:color w:val="auto"/>
              </w:rPr>
              <w:t>Restructuring charges</w:t>
            </w: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(720)</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(773)</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(714)</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(1,684)</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(3,891)</w:t>
            </w:r>
          </w:p>
        </w:tc>
      </w:tr>
      <w:tr>
        <w:trPr>
          <w:trHeight w:val="242"/>
        </w:trPr>
        <w:tc>
          <w:tcPr>
            <w:tcW w:w="4180" w:type="dxa"/>
            <w:vAlign w:val="bottom"/>
          </w:tcPr>
          <w:p>
            <w:pPr>
              <w:spacing w:after="0"/>
              <w:rPr>
                <w:sz w:val="20"/>
                <w:szCs w:val="20"/>
                <w:color w:val="auto"/>
              </w:rPr>
            </w:pPr>
            <w:r>
              <w:rPr>
                <w:rFonts w:ascii="Arial" w:cs="Arial" w:eastAsia="Arial" w:hAnsi="Arial"/>
                <w:sz w:val="14"/>
                <w:szCs w:val="14"/>
                <w:color w:val="auto"/>
              </w:rPr>
              <w:t>Impairment charges</w:t>
            </w: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(5,413)</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(5,413)</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Net interest expense</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(158)</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(186)</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(164)</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(176)</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(684)</w:t>
            </w:r>
          </w:p>
        </w:tc>
      </w:tr>
      <w:tr>
        <w:trPr>
          <w:trHeight w:val="241"/>
        </w:trPr>
        <w:tc>
          <w:tcPr>
            <w:tcW w:w="4180" w:type="dxa"/>
            <w:vAlign w:val="bottom"/>
          </w:tcPr>
          <w:p>
            <w:pPr>
              <w:spacing w:after="0"/>
              <w:rPr>
                <w:sz w:val="20"/>
                <w:szCs w:val="20"/>
                <w:color w:val="auto"/>
              </w:rPr>
            </w:pPr>
            <w:r>
              <w:rPr>
                <w:rFonts w:ascii="Arial" w:cs="Arial" w:eastAsia="Arial" w:hAnsi="Arial"/>
                <w:sz w:val="14"/>
                <w:szCs w:val="14"/>
                <w:color w:val="auto"/>
              </w:rPr>
              <w:t>Income (loss) from continuing operations before income taxes</w:t>
            </w: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11,143</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8,755</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16,299</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(7,049)</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29,148</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Income taxes</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(3,353)</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(2,695)</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(4,557)</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2,015</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(8,590)</w:t>
            </w:r>
          </w:p>
        </w:tc>
      </w:tr>
      <w:tr>
        <w:trPr>
          <w:trHeight w:val="241"/>
        </w:trPr>
        <w:tc>
          <w:tcPr>
            <w:tcW w:w="4180" w:type="dxa"/>
            <w:vAlign w:val="bottom"/>
          </w:tcPr>
          <w:p>
            <w:pPr>
              <w:spacing w:after="0"/>
              <w:rPr>
                <w:sz w:val="20"/>
                <w:szCs w:val="20"/>
                <w:color w:val="auto"/>
              </w:rPr>
            </w:pPr>
            <w:r>
              <w:rPr>
                <w:rFonts w:ascii="Arial" w:cs="Arial" w:eastAsia="Arial" w:hAnsi="Arial"/>
                <w:sz w:val="14"/>
                <w:szCs w:val="14"/>
                <w:color w:val="auto"/>
              </w:rPr>
              <w:t>Income (loss) from continuing operations</w:t>
            </w: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7,790</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6,060</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11,742</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(5,034)</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20,558</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Income (loss) from discontinued operations</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1,006</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1,128</w:t>
            </w:r>
          </w:p>
        </w:tc>
      </w:tr>
      <w:tr>
        <w:trPr>
          <w:trHeight w:val="241"/>
        </w:trPr>
        <w:tc>
          <w:tcPr>
            <w:tcW w:w="4180" w:type="dxa"/>
            <w:vAlign w:val="bottom"/>
          </w:tcPr>
          <w:p>
            <w:pPr>
              <w:spacing w:after="0"/>
              <w:rPr>
                <w:sz w:val="20"/>
                <w:szCs w:val="20"/>
                <w:color w:val="auto"/>
              </w:rPr>
            </w:pPr>
            <w:r>
              <w:rPr>
                <w:rFonts w:ascii="Arial" w:cs="Arial" w:eastAsia="Arial" w:hAnsi="Arial"/>
                <w:sz w:val="14"/>
                <w:szCs w:val="14"/>
                <w:color w:val="auto"/>
              </w:rPr>
              <w:t>Net income (loss)</w:t>
            </w: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7,790</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6,060</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12,748</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(4,912)</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21,686</w:t>
            </w:r>
          </w:p>
        </w:tc>
      </w:tr>
      <w:tr>
        <w:trPr>
          <w:trHeight w:val="223"/>
        </w:trPr>
        <w:tc>
          <w:tcPr>
            <w:tcW w:w="4180" w:type="dxa"/>
            <w:vAlign w:val="bottom"/>
          </w:tcPr>
          <w:p>
            <w:pPr>
              <w:spacing w:after="0"/>
              <w:rPr>
                <w:sz w:val="20"/>
                <w:szCs w:val="20"/>
                <w:color w:val="auto"/>
              </w:rPr>
            </w:pPr>
            <w:r>
              <w:rPr>
                <w:rFonts w:ascii="Arial" w:cs="Arial" w:eastAsia="Arial" w:hAnsi="Arial"/>
                <w:sz w:val="14"/>
                <w:szCs w:val="14"/>
                <w:color w:val="auto"/>
              </w:rPr>
              <w:t>Net loss (income) attributable to noncontrolling interest</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275</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193</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(893)</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294</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(131)</w:t>
            </w:r>
          </w:p>
        </w:tc>
      </w:tr>
      <w:tr>
        <w:trPr>
          <w:trHeight w:val="215"/>
        </w:trPr>
        <w:tc>
          <w:tcPr>
            <w:tcW w:w="4180" w:type="dxa"/>
            <w:vAlign w:val="bottom"/>
          </w:tcPr>
          <w:p>
            <w:pPr>
              <w:spacing w:after="0"/>
              <w:rPr>
                <w:sz w:val="20"/>
                <w:szCs w:val="20"/>
                <w:color w:val="auto"/>
              </w:rPr>
            </w:pPr>
            <w:r>
              <w:rPr>
                <w:rFonts w:ascii="Arial" w:cs="Arial" w:eastAsia="Arial" w:hAnsi="Arial"/>
                <w:sz w:val="14"/>
                <w:szCs w:val="14"/>
                <w:b w:val="1"/>
                <w:bCs w:val="1"/>
                <w:color w:val="auto"/>
              </w:rPr>
              <w:t>Net income (loss) attributable to Viad</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8,065</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6,253</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11,855</w:t>
            </w:r>
          </w:p>
        </w:tc>
        <w:tc>
          <w:tcPr>
            <w:tcW w:w="260" w:type="dxa"/>
            <w:vAlign w:val="bottom"/>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(4,618)</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21,555</w:t>
            </w:r>
          </w:p>
        </w:tc>
      </w:tr>
      <w:tr>
        <w:trPr>
          <w:trHeight w:val="503"/>
        </w:trPr>
        <w:tc>
          <w:tcPr>
            <w:tcW w:w="4180" w:type="dxa"/>
            <w:vAlign w:val="bottom"/>
          </w:tcPr>
          <w:p>
            <w:pPr>
              <w:spacing w:after="0"/>
              <w:rPr>
                <w:sz w:val="20"/>
                <w:szCs w:val="20"/>
                <w:color w:val="auto"/>
              </w:rPr>
            </w:pPr>
            <w:r>
              <w:rPr>
                <w:rFonts w:ascii="Arial" w:cs="Arial" w:eastAsia="Arial" w:hAnsi="Arial"/>
                <w:sz w:val="14"/>
                <w:szCs w:val="14"/>
                <w:color w:val="auto"/>
              </w:rPr>
              <w:t>Income (loss) before other items (per diluted share):</w:t>
            </w: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42"/>
        </w:trPr>
        <w:tc>
          <w:tcPr>
            <w:tcW w:w="4180" w:type="dxa"/>
            <w:vAlign w:val="bottom"/>
          </w:tcPr>
          <w:p>
            <w:pPr>
              <w:ind w:left="240"/>
              <w:spacing w:after="0"/>
              <w:rPr>
                <w:sz w:val="20"/>
                <w:szCs w:val="20"/>
                <w:color w:val="auto"/>
              </w:rPr>
            </w:pPr>
            <w:r>
              <w:rPr>
                <w:rFonts w:ascii="Arial" w:cs="Arial" w:eastAsia="Arial" w:hAnsi="Arial"/>
                <w:sz w:val="14"/>
                <w:szCs w:val="14"/>
                <w:color w:val="auto"/>
              </w:rPr>
              <w:t>Income (loss) from continuing operations attributable to Viad</w:t>
            </w: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0.40</w:t>
            </w:r>
          </w:p>
        </w:tc>
        <w:tc>
          <w:tcPr>
            <w:tcW w:w="26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0.31</w:t>
            </w:r>
          </w:p>
        </w:tc>
        <w:tc>
          <w:tcPr>
            <w:tcW w:w="26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0.53</w:t>
            </w:r>
          </w:p>
        </w:tc>
        <w:tc>
          <w:tcPr>
            <w:tcW w:w="260" w:type="dxa"/>
            <w:vAlign w:val="bottom"/>
          </w:tcPr>
          <w:p>
            <w:pPr>
              <w:spacing w:after="0"/>
              <w:rPr>
                <w:sz w:val="21"/>
                <w:szCs w:val="21"/>
                <w:color w:val="auto"/>
              </w:rPr>
            </w:pP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(0.24)</w:t>
            </w:r>
          </w:p>
        </w:tc>
        <w:tc>
          <w:tcPr>
            <w:tcW w:w="260" w:type="dxa"/>
            <w:vAlign w:val="bottom"/>
          </w:tcPr>
          <w:p>
            <w:pPr>
              <w:spacing w:after="0"/>
              <w:rPr>
                <w:sz w:val="21"/>
                <w:szCs w:val="21"/>
                <w:color w:val="auto"/>
              </w:rPr>
            </w:pPr>
          </w:p>
        </w:tc>
        <w:tc>
          <w:tcPr>
            <w:tcW w:w="2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1.01</w:t>
            </w:r>
          </w:p>
        </w:tc>
      </w:tr>
      <w:tr>
        <w:trPr>
          <w:trHeight w:val="242"/>
        </w:trPr>
        <w:tc>
          <w:tcPr>
            <w:tcW w:w="4180" w:type="dxa"/>
            <w:vAlign w:val="bottom"/>
          </w:tcPr>
          <w:p>
            <w:pPr>
              <w:ind w:left="240"/>
              <w:spacing w:after="0"/>
              <w:rPr>
                <w:sz w:val="20"/>
                <w:szCs w:val="20"/>
                <w:color w:val="auto"/>
              </w:rPr>
            </w:pPr>
            <w:r>
              <w:rPr>
                <w:rFonts w:ascii="Arial" w:cs="Arial" w:eastAsia="Arial" w:hAnsi="Arial"/>
                <w:sz w:val="14"/>
                <w:szCs w:val="14"/>
                <w:color w:val="auto"/>
              </w:rPr>
              <w:t>Impairment charges, net of tax</w:t>
            </w: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0.14</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0.14</w:t>
            </w:r>
          </w:p>
        </w:tc>
      </w:tr>
      <w:tr>
        <w:trPr>
          <w:trHeight w:val="242"/>
        </w:trPr>
        <w:tc>
          <w:tcPr>
            <w:tcW w:w="4180" w:type="dxa"/>
            <w:vAlign w:val="bottom"/>
          </w:tcPr>
          <w:p>
            <w:pPr>
              <w:ind w:left="240"/>
              <w:spacing w:after="0"/>
              <w:rPr>
                <w:sz w:val="20"/>
                <w:szCs w:val="20"/>
                <w:color w:val="auto"/>
              </w:rPr>
            </w:pPr>
            <w:r>
              <w:rPr>
                <w:rFonts w:ascii="Arial" w:cs="Arial" w:eastAsia="Arial" w:hAnsi="Arial"/>
                <w:sz w:val="14"/>
                <w:szCs w:val="14"/>
                <w:color w:val="auto"/>
              </w:rPr>
              <w:t>Restructuring charges, net of tax</w:t>
            </w: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0.06</w:t>
            </w:r>
          </w:p>
        </w:tc>
        <w:tc>
          <w:tcPr>
            <w:tcW w:w="2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0.13</w:t>
            </w:r>
          </w:p>
        </w:tc>
      </w:tr>
      <w:tr>
        <w:trPr>
          <w:trHeight w:val="223"/>
        </w:trPr>
        <w:tc>
          <w:tcPr>
            <w:tcW w:w="4180" w:type="dxa"/>
            <w:vAlign w:val="bottom"/>
          </w:tcPr>
          <w:p>
            <w:pPr>
              <w:ind w:left="240"/>
              <w:spacing w:after="0"/>
              <w:rPr>
                <w:sz w:val="20"/>
                <w:szCs w:val="20"/>
                <w:color w:val="auto"/>
              </w:rPr>
            </w:pPr>
            <w:r>
              <w:rPr>
                <w:rFonts w:ascii="Arial" w:cs="Arial" w:eastAsia="Arial" w:hAnsi="Arial"/>
                <w:sz w:val="14"/>
                <w:szCs w:val="14"/>
                <w:color w:val="auto"/>
              </w:rPr>
              <w:t>Favorable tax matters</w:t>
            </w: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(0.02)</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(0.02)</w:t>
            </w:r>
          </w:p>
        </w:tc>
      </w:tr>
      <w:tr>
        <w:trPr>
          <w:trHeight w:val="215"/>
        </w:trPr>
        <w:tc>
          <w:tcPr>
            <w:tcW w:w="4180" w:type="dxa"/>
            <w:vAlign w:val="bottom"/>
          </w:tcPr>
          <w:p>
            <w:pPr>
              <w:ind w:left="240"/>
              <w:spacing w:after="0"/>
              <w:rPr>
                <w:sz w:val="20"/>
                <w:szCs w:val="20"/>
                <w:color w:val="auto"/>
              </w:rPr>
            </w:pPr>
            <w:r>
              <w:rPr>
                <w:rFonts w:ascii="Arial" w:cs="Arial" w:eastAsia="Arial" w:hAnsi="Arial"/>
                <w:sz w:val="14"/>
                <w:szCs w:val="14"/>
                <w:b w:val="1"/>
                <w:bCs w:val="1"/>
                <w:color w:val="auto"/>
              </w:rPr>
              <w:t>Income (loss) before other items</w:t>
            </w: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0.42</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0.33</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0.69</w:t>
            </w:r>
          </w:p>
        </w:tc>
        <w:tc>
          <w:tcPr>
            <w:tcW w:w="260" w:type="dxa"/>
            <w:vAlign w:val="bottom"/>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(0.20)</w:t>
            </w:r>
          </w:p>
        </w:tc>
        <w:tc>
          <w:tcPr>
            <w:tcW w:w="260" w:type="dxa"/>
            <w:vAlign w:val="bottom"/>
          </w:tcPr>
          <w:p>
            <w:pPr>
              <w:spacing w:after="0"/>
              <w:rPr>
                <w:sz w:val="18"/>
                <w:szCs w:val="18"/>
                <w:color w:val="auto"/>
              </w:rPr>
            </w:pPr>
          </w:p>
        </w:tc>
        <w:tc>
          <w:tcPr>
            <w:tcW w:w="2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w:t>
            </w: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1.26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136525</wp:posOffset>
            </wp:positionV>
            <wp:extent cx="3410585" cy="1816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10585" cy="1816100"/>
                    </a:xfrm>
                    <a:prstGeom prst="rect">
                      <a:avLst/>
                    </a:prstGeom>
                    <a:noFill/>
                  </pic:spPr>
                </pic:pic>
              </a:graphicData>
            </a:graphic>
          </wp:anchor>
        </w:drawing>
      </w:r>
    </w:p>
    <w:p>
      <w:pPr>
        <w:sectPr>
          <w:pgSz w:w="11900" w:h="16838" w:orient="portrait"/>
          <w:cols w:equalWidth="0" w:num="1">
            <w:col w:w="10120"/>
          </w:cols>
          <w:pgMar w:left="420" w:top="448"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Logo - http://photos.prnewswire.com/prnh/20111011/LA84399LOGO</w:t>
      </w:r>
    </w:p>
    <w:sectPr>
      <w:pgSz w:w="11900" w:h="16838" w:orient="portrait"/>
      <w:cols w:equalWidth="0" w:num="1">
        <w:col w:w="10120"/>
      </w:cols>
      <w:pgMar w:left="420" w:top="448" w:right="1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upperLetter"/>
      <w:start w:val="1"/>
    </w:lvl>
  </w:abstractNum>
  <w:abstractNum w:abstractNumId="3">
    <w:nsid w:val="625558EC"/>
    <w:multiLevelType w:val="hybridMultilevel"/>
    <w:lvl w:ilvl="0">
      <w:lvlJc w:val="left"/>
      <w:lvlText w:val="**"/>
      <w:numFmt w:val="bullet"/>
      <w:start w:val="1"/>
    </w:lvl>
    <w:lvl w:ilvl="1">
      <w:lvlJc w:val="left"/>
      <w:lvlText w:val="(%2)"/>
      <w:numFmt w:val="upperLetter"/>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2020-01-27T00:31:19Z</dcterms:created>
  <dcterms:modified xsi:type="dcterms:W3CDTF">2020-01-27T00:31:19Z</dcterms:modified>
</cp:coreProperties>
</file>