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v392790_8k.htm"/>
      <w:bookmarkStart w:id="1" w:name="ksv392790_8k"/>
      <w:bookmarkEnd w:id="0"/>
      <w:bookmarkEnd w:id="1"/>
      <w:r>
        <w:rPr/>
        <w:t> </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UNITED STATES</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SECURITIES AND EXCHANGE COMMISSION</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Washington, D.C. 20549</w:t>
      </w:r>
    </w:p>
    <w:p>
      <w:pPr>
        <w:pStyle w:val="TextBody"/>
        <w:spacing w:before="0" w:after="0"/>
        <w:ind w:left="0" w:right="0" w:hanging="0"/>
        <w:jc w:val="center"/>
        <w:rPr>
          <w:caps w:val="false"/>
          <w:smallCaps w:val="false"/>
        </w:rPr>
      </w:pPr>
      <w:r>
        <w:rPr>
          <w:caps w:val="false"/>
          <w:smallCaps w:val="false"/>
        </w:rPr>
        <w:t> </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FORM 8-K</w:t>
      </w:r>
    </w:p>
    <w:p>
      <w:pPr>
        <w:pStyle w:val="TextBody"/>
        <w:spacing w:before="0" w:after="0"/>
        <w:ind w:left="0" w:right="0" w:hanging="0"/>
        <w:jc w:val="center"/>
        <w:rPr>
          <w:caps w:val="false"/>
          <w:smallCaps w:val="false"/>
        </w:rPr>
      </w:pPr>
      <w:r>
        <w:rPr>
          <w:caps w:val="false"/>
          <w:smallCaps w:val="false"/>
        </w:rPr>
        <w:t> </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CURRENT REPORT</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Pursuant to Section 13 OR 15(d) of the Securities Exchange Act of 1934</w:t>
      </w:r>
    </w:p>
    <w:p>
      <w:pPr>
        <w:pStyle w:val="TextBody"/>
        <w:spacing w:before="0" w:after="0"/>
        <w:ind w:left="0" w:right="0" w:hanging="0"/>
        <w:jc w:val="center"/>
        <w:rPr>
          <w:caps w:val="false"/>
          <w:smallCaps w:val="false"/>
        </w:rPr>
      </w:pPr>
      <w:r>
        <w:rPr>
          <w:caps w:val="false"/>
          <w:smallCaps w:val="false"/>
        </w:rPr>
        <w:t> </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October 31, 2014</w:t>
      </w:r>
    </w:p>
    <w:p>
      <w:pPr>
        <w:pStyle w:val="TextBody"/>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Date of Report (Date of earliest event reported)</w:t>
      </w:r>
    </w:p>
    <w:p>
      <w:pPr>
        <w:pStyle w:val="TextBody"/>
        <w:spacing w:before="0" w:after="0"/>
        <w:ind w:left="0" w:right="0" w:hanging="0"/>
        <w:jc w:val="center"/>
        <w:rPr>
          <w:caps w:val="false"/>
          <w:smallCaps w:val="false"/>
        </w:rPr>
      </w:pPr>
      <w:r>
        <w:rPr>
          <w:caps w:val="false"/>
          <w:smallCaps w:val="false"/>
        </w:rPr>
        <w:t> </w:t>
      </w:r>
    </w:p>
    <w:p>
      <w:pPr>
        <w:pStyle w:val="TextBody"/>
        <w:spacing w:before="0" w:after="0"/>
        <w:ind w:left="0" w:right="0" w:hanging="0"/>
        <w:jc w:val="center"/>
        <w:rPr>
          <w:caps w:val="false"/>
          <w:smallCaps w:val="false"/>
        </w:rPr>
      </w:pPr>
      <w:r>
        <w:rPr>
          <w:caps w:val="false"/>
          <w:smallCaps w:val="false"/>
        </w:rPr>
        <w:drawing>
          <wp:inline distT="0" distB="0" distL="0" distR="0">
            <wp:extent cx="1266825" cy="6572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66825" cy="657225"/>
                    </a:xfrm>
                    <a:prstGeom prst="rect">
                      <a:avLst/>
                    </a:prstGeom>
                  </pic:spPr>
                </pic:pic>
              </a:graphicData>
            </a:graphic>
          </wp:inline>
        </w:drawing>
      </w:r>
    </w:p>
    <w:p>
      <w:pPr>
        <w:pStyle w:val="TextBody"/>
        <w:spacing w:before="0" w:after="0"/>
        <w:ind w:left="0" w:right="0" w:hanging="0"/>
        <w:jc w:val="center"/>
        <w:rPr>
          <w:caps w:val="false"/>
          <w:smallCaps w:val="false"/>
        </w:rPr>
      </w:pPr>
      <w:r>
        <w:rPr>
          <w:caps w:val="false"/>
          <w:smallCaps w:val="false"/>
        </w:rPr>
        <w:t> </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Viad Corp</w:t>
      </w:r>
    </w:p>
    <w:p>
      <w:pPr>
        <w:pStyle w:val="TextBody"/>
        <w:spacing w:before="0" w:after="0"/>
        <w:ind w:left="0" w:right="0" w:hanging="0"/>
        <w:jc w:val="center"/>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(Exact name of registrant as specified in its charter)</w:t>
      </w:r>
    </w:p>
    <w:p>
      <w:pPr>
        <w:pStyle w:val="TextBody"/>
        <w:spacing w:before="0" w:after="0"/>
        <w:ind w:left="0" w:right="0" w:hanging="0"/>
        <w:jc w:val="center"/>
        <w:rPr>
          <w:caps w:val="false"/>
          <w:smallCaps w:val="false"/>
        </w:rPr>
      </w:pPr>
      <w:r>
        <w:rPr>
          <w:caps w:val="false"/>
          <w:smallCaps w:val="false"/>
        </w:rPr>
        <w:t> </w:t>
      </w:r>
    </w:p>
    <w:tbl>
      <w:tblPr>
        <w:tblW w:w="4125" w:type="dxa"/>
        <w:jc w:val="left"/>
        <w:tblInd w:w="0" w:type="dxa"/>
        <w:tblCellMar>
          <w:top w:w="0" w:type="dxa"/>
          <w:left w:w="0" w:type="dxa"/>
          <w:bottom w:w="0" w:type="dxa"/>
          <w:right w:w="0" w:type="dxa"/>
        </w:tblCellMar>
      </w:tblPr>
      <w:tblGrid>
        <w:gridCol w:w="1850"/>
        <w:gridCol w:w="950"/>
        <w:gridCol w:w="1325"/>
      </w:tblGrid>
      <w:tr>
        <w:trPr/>
        <w:tc>
          <w:tcPr>
            <w:tcW w:w="1850" w:type="dxa"/>
            <w:tcBorders/>
            <w:shd w:fill="auto" w:val="clear"/>
            <w:vAlign w:val="center"/>
          </w:tcPr>
          <w:p>
            <w:pPr>
              <w:pStyle w:val="TableContents"/>
              <w:spacing w:before="0" w:after="283"/>
              <w:jc w:val="center"/>
              <w:rPr>
                <w:b/>
                <w:sz w:val="17"/>
              </w:rPr>
            </w:pPr>
            <w:r>
              <w:rPr>
                <w:b/>
                <w:sz w:val="17"/>
              </w:rPr>
              <w:t>Delaware</w:t>
            </w:r>
          </w:p>
        </w:tc>
        <w:tc>
          <w:tcPr>
            <w:tcW w:w="950" w:type="dxa"/>
            <w:tcBorders/>
            <w:shd w:fill="auto" w:val="clear"/>
            <w:vAlign w:val="center"/>
          </w:tcPr>
          <w:p>
            <w:pPr>
              <w:pStyle w:val="TableContents"/>
              <w:spacing w:before="0" w:after="283"/>
              <w:jc w:val="center"/>
              <w:rPr>
                <w:b/>
                <w:sz w:val="17"/>
              </w:rPr>
            </w:pPr>
            <w:r>
              <w:rPr>
                <w:b/>
                <w:sz w:val="17"/>
              </w:rPr>
              <w:t>001-11015</w:t>
            </w:r>
          </w:p>
        </w:tc>
        <w:tc>
          <w:tcPr>
            <w:tcW w:w="1325" w:type="dxa"/>
            <w:tcBorders/>
            <w:shd w:fill="auto" w:val="clear"/>
            <w:vAlign w:val="center"/>
          </w:tcPr>
          <w:p>
            <w:pPr>
              <w:pStyle w:val="TableContents"/>
              <w:spacing w:before="0" w:after="283"/>
              <w:jc w:val="center"/>
              <w:rPr>
                <w:b/>
                <w:sz w:val="17"/>
              </w:rPr>
            </w:pPr>
            <w:r>
              <w:rPr>
                <w:b/>
                <w:sz w:val="17"/>
              </w:rPr>
              <w:t>36-1169950</w:t>
            </w:r>
          </w:p>
        </w:tc>
      </w:tr>
      <w:tr>
        <w:trPr/>
        <w:tc>
          <w:tcPr>
            <w:tcW w:w="1850" w:type="dxa"/>
            <w:tcBorders/>
            <w:shd w:fill="auto" w:val="clear"/>
            <w:vAlign w:val="center"/>
          </w:tcPr>
          <w:p>
            <w:pPr>
              <w:pStyle w:val="TableContents"/>
              <w:spacing w:before="0" w:after="283"/>
              <w:jc w:val="center"/>
              <w:rPr>
                <w:sz w:val="17"/>
              </w:rPr>
            </w:pPr>
            <w:r>
              <w:rPr>
                <w:sz w:val="17"/>
              </w:rPr>
              <w:t>(State or other jurisdiction</w:t>
            </w:r>
          </w:p>
        </w:tc>
        <w:tc>
          <w:tcPr>
            <w:tcW w:w="950" w:type="dxa"/>
            <w:tcBorders/>
            <w:shd w:fill="auto" w:val="clear"/>
            <w:vAlign w:val="center"/>
          </w:tcPr>
          <w:p>
            <w:pPr>
              <w:pStyle w:val="TableContents"/>
              <w:spacing w:before="0" w:after="283"/>
              <w:jc w:val="center"/>
              <w:rPr>
                <w:sz w:val="17"/>
              </w:rPr>
            </w:pPr>
            <w:r>
              <w:rPr>
                <w:sz w:val="17"/>
              </w:rPr>
              <w:t>(Commission</w:t>
            </w:r>
          </w:p>
        </w:tc>
        <w:tc>
          <w:tcPr>
            <w:tcW w:w="1325" w:type="dxa"/>
            <w:tcBorders/>
            <w:shd w:fill="auto" w:val="clear"/>
            <w:vAlign w:val="center"/>
          </w:tcPr>
          <w:p>
            <w:pPr>
              <w:pStyle w:val="TableContents"/>
              <w:spacing w:before="0" w:after="283"/>
              <w:jc w:val="center"/>
              <w:rPr>
                <w:sz w:val="17"/>
              </w:rPr>
            </w:pPr>
            <w:r>
              <w:rPr>
                <w:sz w:val="17"/>
              </w:rPr>
              <w:t>(IRS Employer</w:t>
            </w:r>
          </w:p>
        </w:tc>
      </w:tr>
      <w:tr>
        <w:trPr/>
        <w:tc>
          <w:tcPr>
            <w:tcW w:w="1850" w:type="dxa"/>
            <w:tcBorders/>
            <w:shd w:fill="auto" w:val="clear"/>
            <w:vAlign w:val="center"/>
          </w:tcPr>
          <w:p>
            <w:pPr>
              <w:pStyle w:val="TableContents"/>
              <w:spacing w:before="0" w:after="283"/>
              <w:jc w:val="center"/>
              <w:rPr>
                <w:sz w:val="17"/>
              </w:rPr>
            </w:pPr>
            <w:r>
              <w:rPr>
                <w:sz w:val="17"/>
              </w:rPr>
              <w:t>of incorporation)</w:t>
            </w:r>
          </w:p>
        </w:tc>
        <w:tc>
          <w:tcPr>
            <w:tcW w:w="950" w:type="dxa"/>
            <w:tcBorders/>
            <w:shd w:fill="auto" w:val="clear"/>
            <w:vAlign w:val="center"/>
          </w:tcPr>
          <w:p>
            <w:pPr>
              <w:pStyle w:val="TableContents"/>
              <w:spacing w:before="0" w:after="283"/>
              <w:jc w:val="center"/>
              <w:rPr>
                <w:sz w:val="17"/>
              </w:rPr>
            </w:pPr>
            <w:r>
              <w:rPr>
                <w:sz w:val="17"/>
              </w:rPr>
              <w:t>File Number)</w:t>
            </w:r>
          </w:p>
        </w:tc>
        <w:tc>
          <w:tcPr>
            <w:tcW w:w="1325" w:type="dxa"/>
            <w:tcBorders/>
            <w:shd w:fill="auto" w:val="clear"/>
            <w:vAlign w:val="center"/>
          </w:tcPr>
          <w:p>
            <w:pPr>
              <w:pStyle w:val="TableContents"/>
              <w:spacing w:before="0" w:after="283"/>
              <w:jc w:val="center"/>
              <w:rPr>
                <w:sz w:val="17"/>
              </w:rPr>
            </w:pPr>
            <w:r>
              <w:rPr>
                <w:sz w:val="17"/>
              </w:rPr>
              <w:t>Identification No.)</w:t>
            </w:r>
          </w:p>
        </w:tc>
      </w:tr>
    </w:tbl>
    <w:p>
      <w:pPr>
        <w:pStyle w:val="TextBody"/>
        <w:spacing w:before="0" w:after="0"/>
        <w:ind w:left="0" w:right="0" w:hanging="0"/>
        <w:jc w:val="both"/>
        <w:rPr>
          <w:caps w:val="false"/>
          <w:smallCaps w:val="false"/>
        </w:rPr>
      </w:pPr>
      <w:r>
        <w:rPr>
          <w:caps w:val="false"/>
          <w:smallCaps w:val="false"/>
        </w:rPr>
        <w:t> </w:t>
      </w:r>
    </w:p>
    <w:tbl>
      <w:tblPr>
        <w:tblW w:w="5170" w:type="dxa"/>
        <w:jc w:val="left"/>
        <w:tblInd w:w="0" w:type="dxa"/>
        <w:tblCellMar>
          <w:top w:w="0" w:type="dxa"/>
          <w:left w:w="0" w:type="dxa"/>
          <w:bottom w:w="0" w:type="dxa"/>
          <w:right w:w="0" w:type="dxa"/>
        </w:tblCellMar>
      </w:tblPr>
      <w:tblGrid>
        <w:gridCol w:w="4265"/>
        <w:gridCol w:w="905"/>
      </w:tblGrid>
      <w:tr>
        <w:trPr/>
        <w:tc>
          <w:tcPr>
            <w:tcW w:w="4265" w:type="dxa"/>
            <w:tcBorders/>
            <w:shd w:fill="auto" w:val="clear"/>
            <w:vAlign w:val="center"/>
          </w:tcPr>
          <w:p>
            <w:pPr>
              <w:pStyle w:val="TableContents"/>
              <w:spacing w:before="0" w:after="283"/>
              <w:jc w:val="center"/>
              <w:rPr>
                <w:b/>
                <w:sz w:val="17"/>
              </w:rPr>
            </w:pPr>
            <w:r>
              <w:rPr>
                <w:b/>
                <w:sz w:val="17"/>
              </w:rPr>
              <w:t>1850 North Central Avenue, Suite 1900, Phoenix, Arizona</w:t>
            </w:r>
          </w:p>
        </w:tc>
        <w:tc>
          <w:tcPr>
            <w:tcW w:w="905" w:type="dxa"/>
            <w:tcBorders/>
            <w:shd w:fill="auto" w:val="clear"/>
            <w:vAlign w:val="center"/>
          </w:tcPr>
          <w:p>
            <w:pPr>
              <w:pStyle w:val="TableContents"/>
              <w:spacing w:before="0" w:after="283"/>
              <w:jc w:val="center"/>
              <w:rPr>
                <w:b/>
                <w:sz w:val="17"/>
              </w:rPr>
            </w:pPr>
            <w:r>
              <w:rPr>
                <w:b/>
                <w:sz w:val="17"/>
              </w:rPr>
              <w:t>85004-4565</w:t>
            </w:r>
          </w:p>
        </w:tc>
      </w:tr>
      <w:tr>
        <w:trPr/>
        <w:tc>
          <w:tcPr>
            <w:tcW w:w="4265" w:type="dxa"/>
            <w:tcBorders/>
            <w:shd w:fill="auto" w:val="clear"/>
            <w:vAlign w:val="center"/>
          </w:tcPr>
          <w:p>
            <w:pPr>
              <w:pStyle w:val="TableContents"/>
              <w:spacing w:before="0" w:after="283"/>
              <w:jc w:val="center"/>
              <w:rPr>
                <w:sz w:val="17"/>
              </w:rPr>
            </w:pPr>
            <w:r>
              <w:rPr>
                <w:sz w:val="17"/>
              </w:rPr>
              <w:t>(Address of principal executive offices)</w:t>
            </w:r>
          </w:p>
        </w:tc>
        <w:tc>
          <w:tcPr>
            <w:tcW w:w="905" w:type="dxa"/>
            <w:tcBorders/>
            <w:shd w:fill="auto" w:val="clear"/>
            <w:vAlign w:val="center"/>
          </w:tcPr>
          <w:p>
            <w:pPr>
              <w:pStyle w:val="TableContents"/>
              <w:spacing w:before="0" w:after="283"/>
              <w:jc w:val="center"/>
              <w:rPr>
                <w:sz w:val="17"/>
              </w:rPr>
            </w:pPr>
            <w:r>
              <w:rPr>
                <w:sz w:val="17"/>
              </w:rPr>
              <w:t>(Zip Code)</w:t>
            </w:r>
          </w:p>
        </w:tc>
      </w:tr>
    </w:tbl>
    <w:p>
      <w:pPr>
        <w:pStyle w:val="TextBody"/>
        <w:spacing w:before="0" w:after="0"/>
        <w:ind w:left="0" w:right="0" w:hanging="0"/>
        <w:jc w:val="both"/>
        <w:rPr>
          <w:caps w:val="false"/>
          <w:smallCaps w:val="false"/>
        </w:rPr>
      </w:pPr>
      <w:r>
        <w:rPr>
          <w:caps w:val="false"/>
          <w:smallCaps w:val="false"/>
        </w:rPr>
        <w:t> </w:t>
      </w:r>
    </w:p>
    <w:p>
      <w:pPr>
        <w:pStyle w:val="TextBody"/>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Registrant’s telephone number, including area code: (602) 207-1000</w:t>
      </w:r>
    </w:p>
    <w:p>
      <w:pPr>
        <w:pStyle w:val="TextBody"/>
        <w:spacing w:before="0" w:after="0"/>
        <w:ind w:left="0" w:right="0" w:hanging="0"/>
        <w:rPr>
          <w:caps w:val="false"/>
          <w:smallCaps w:val="false"/>
        </w:rPr>
      </w:pPr>
      <w:r>
        <w:rPr>
          <w:caps w:val="false"/>
          <w:smallCaps w:val="false"/>
        </w:rPr>
        <w:t> </w:t>
      </w:r>
    </w:p>
    <w:p>
      <w:pPr>
        <w:pStyle w:val="TextBody"/>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Check the appropriate box below if the Form 8-K filing is intended to simultaneously satisfy the filing obligation of the registrant under any of the following provisions (see General Instruction A.2. below):</w:t>
      </w:r>
    </w:p>
    <w:p>
      <w:pPr>
        <w:pStyle w:val="TextBody"/>
        <w:spacing w:before="0" w:after="0"/>
        <w:ind w:left="0" w:right="0" w:hanging="0"/>
        <w:jc w:val="both"/>
        <w:rPr>
          <w:caps w:val="false"/>
          <w:smallCaps w:val="false"/>
        </w:rPr>
      </w:pPr>
      <w:r>
        <w:rPr>
          <w:caps w:val="false"/>
          <w:smallCaps w:val="false"/>
        </w:rPr>
        <w:t> </w:t>
      </w:r>
    </w:p>
    <w:tbl>
      <w:tblPr>
        <w:tblW w:w="10205" w:type="dxa"/>
        <w:jc w:val="left"/>
        <w:tblInd w:w="0" w:type="dxa"/>
        <w:tblCellMar>
          <w:top w:w="0" w:type="dxa"/>
          <w:left w:w="0" w:type="dxa"/>
          <w:bottom w:w="0" w:type="dxa"/>
          <w:right w:w="0" w:type="dxa"/>
        </w:tblCellMar>
      </w:tblPr>
      <w:tblGrid>
        <w:gridCol w:w="75"/>
        <w:gridCol w:w="230"/>
        <w:gridCol w:w="9900"/>
      </w:tblGrid>
      <w:tr>
        <w:trPr/>
        <w:tc>
          <w:tcPr>
            <w:tcW w:w="75"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w:t>
            </w:r>
          </w:p>
        </w:tc>
        <w:tc>
          <w:tcPr>
            <w:tcW w:w="9900" w:type="dxa"/>
            <w:tcBorders/>
            <w:shd w:fill="auto" w:val="clear"/>
            <w:vAlign w:val="center"/>
          </w:tcPr>
          <w:p>
            <w:pPr>
              <w:pStyle w:val="TableContents"/>
              <w:spacing w:before="0" w:after="283"/>
              <w:rPr/>
            </w:pPr>
            <w:r>
              <w:rPr/>
              <w:t>Written communications pursuant to Rule 425 under the Securities Act (17 CFR 230.425)</w:t>
            </w:r>
          </w:p>
        </w:tc>
      </w:tr>
      <w:tr>
        <w:trPr/>
        <w:tc>
          <w:tcPr>
            <w:tcW w:w="75"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900" w:type="dxa"/>
            <w:tcBorders/>
            <w:shd w:fill="auto" w:val="clear"/>
            <w:vAlign w:val="center"/>
          </w:tcPr>
          <w:p>
            <w:pPr>
              <w:pStyle w:val="TableContents"/>
              <w:spacing w:before="0" w:after="283"/>
              <w:rPr/>
            </w:pPr>
            <w:r>
              <w:rPr/>
              <w:t> </w:t>
            </w:r>
          </w:p>
        </w:tc>
      </w:tr>
      <w:tr>
        <w:trPr/>
        <w:tc>
          <w:tcPr>
            <w:tcW w:w="75"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w:t>
            </w:r>
          </w:p>
        </w:tc>
        <w:tc>
          <w:tcPr>
            <w:tcW w:w="9900" w:type="dxa"/>
            <w:tcBorders/>
            <w:shd w:fill="auto" w:val="clear"/>
            <w:vAlign w:val="center"/>
          </w:tcPr>
          <w:p>
            <w:pPr>
              <w:pStyle w:val="TableContents"/>
              <w:spacing w:before="0" w:after="283"/>
              <w:rPr/>
            </w:pPr>
            <w:r>
              <w:rPr/>
              <w:t>Soliciting material pursuant to Rule 14a-12 under the Exchange Act (17 CFR 240.14a-12)</w:t>
            </w:r>
          </w:p>
        </w:tc>
      </w:tr>
      <w:tr>
        <w:trPr/>
        <w:tc>
          <w:tcPr>
            <w:tcW w:w="75"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900" w:type="dxa"/>
            <w:tcBorders/>
            <w:shd w:fill="auto" w:val="clear"/>
            <w:vAlign w:val="center"/>
          </w:tcPr>
          <w:p>
            <w:pPr>
              <w:pStyle w:val="TableContents"/>
              <w:spacing w:before="0" w:after="283"/>
              <w:rPr/>
            </w:pPr>
            <w:r>
              <w:rPr/>
              <w:t> </w:t>
            </w:r>
          </w:p>
        </w:tc>
      </w:tr>
      <w:tr>
        <w:trPr/>
        <w:tc>
          <w:tcPr>
            <w:tcW w:w="75"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w:t>
            </w:r>
          </w:p>
        </w:tc>
        <w:tc>
          <w:tcPr>
            <w:tcW w:w="9900" w:type="dxa"/>
            <w:tcBorders/>
            <w:shd w:fill="auto" w:val="clear"/>
            <w:vAlign w:val="center"/>
          </w:tcPr>
          <w:p>
            <w:pPr>
              <w:pStyle w:val="TableContents"/>
              <w:spacing w:before="0" w:after="283"/>
              <w:rPr/>
            </w:pPr>
            <w:r>
              <w:rPr/>
              <w:t>Pre-commencement communications pursuant to Rule 14d-2(b) under the Exchange Act (17 CFR 240.14d-2(b))</w:t>
            </w:r>
          </w:p>
        </w:tc>
      </w:tr>
      <w:tr>
        <w:trPr/>
        <w:tc>
          <w:tcPr>
            <w:tcW w:w="75"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9900" w:type="dxa"/>
            <w:tcBorders/>
            <w:shd w:fill="auto" w:val="clear"/>
            <w:vAlign w:val="center"/>
          </w:tcPr>
          <w:p>
            <w:pPr>
              <w:pStyle w:val="TableContents"/>
              <w:spacing w:before="0" w:after="283"/>
              <w:rPr/>
            </w:pPr>
            <w:r>
              <w:rPr/>
              <w:t> </w:t>
            </w:r>
          </w:p>
        </w:tc>
      </w:tr>
      <w:tr>
        <w:trPr/>
        <w:tc>
          <w:tcPr>
            <w:tcW w:w="75"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w:t>
            </w:r>
          </w:p>
        </w:tc>
        <w:tc>
          <w:tcPr>
            <w:tcW w:w="9900" w:type="dxa"/>
            <w:tcBorders/>
            <w:shd w:fill="auto" w:val="clear"/>
            <w:vAlign w:val="center"/>
          </w:tcPr>
          <w:p>
            <w:pPr>
              <w:pStyle w:val="TableContents"/>
              <w:spacing w:before="0" w:after="283"/>
              <w:rPr/>
            </w:pPr>
            <w:r>
              <w:rPr/>
              <w:t>Pre-commencement communications pursuant to Rule 13e-4(c) under the Exchange Act (17 CFR 240.13e-4(c))</w:t>
            </w:r>
          </w:p>
        </w:tc>
      </w:tr>
    </w:tbl>
    <w:p>
      <w:pPr>
        <w:pStyle w:val="TextBody"/>
        <w:spacing w:before="0" w:after="0"/>
        <w:ind w:left="0" w:right="0" w:hanging="0"/>
        <w:rPr>
          <w:caps w:val="false"/>
          <w:smallCaps w:val="false"/>
        </w:rPr>
      </w:pPr>
      <w:r>
        <w:rPr>
          <w:caps w:val="false"/>
          <w:smallCaps w:val="false"/>
        </w:rPr>
        <w:t> </w:t>
      </w:r>
    </w:p>
    <w:tbl>
      <w:tblPr>
        <w:tblW w:w="90" w:type="dxa"/>
        <w:jc w:val="left"/>
        <w:tblInd w:w="0" w:type="dxa"/>
        <w:tblCellMar>
          <w:top w:w="0" w:type="dxa"/>
          <w:left w:w="0" w:type="dxa"/>
          <w:bottom w:w="0" w:type="dxa"/>
          <w:right w:w="0" w:type="dxa"/>
        </w:tblCellMar>
      </w:tblPr>
      <w:tblGrid>
        <w:gridCol w:w="90"/>
      </w:tblGrid>
      <w:tr>
        <w:trPr/>
        <w:tc>
          <w:tcPr>
            <w:tcW w:w="90" w:type="dxa"/>
            <w:tcBorders/>
            <w:shd w:fill="auto" w:val="clear"/>
            <w:vAlign w:val="center"/>
          </w:tcPr>
          <w:p>
            <w:pPr>
              <w:pStyle w:val="TableContents"/>
              <w:spacing w:before="0" w:after="283"/>
              <w:jc w:val="center"/>
              <w:rPr/>
            </w:pPr>
            <w:r>
              <w:rPr/>
              <w:t> </w:t>
            </w:r>
          </w:p>
        </w:tc>
      </w:tr>
    </w:tbl>
    <w:tbl>
      <w:tblPr>
        <w:tblW w:w="90" w:type="dxa"/>
        <w:jc w:val="left"/>
        <w:tblInd w:w="0" w:type="dxa"/>
        <w:tblCellMar>
          <w:top w:w="0" w:type="dxa"/>
          <w:left w:w="0" w:type="dxa"/>
          <w:bottom w:w="0" w:type="dxa"/>
          <w:right w:w="0" w:type="dxa"/>
        </w:tblCellMar>
      </w:tblPr>
      <w:tblGrid>
        <w:gridCol w:w="90"/>
      </w:tblGrid>
      <w:tr>
        <w:trPr/>
        <w:tc>
          <w:tcPr>
            <w:tcW w:w="90" w:type="dxa"/>
            <w:tcBorders/>
            <w:shd w:fill="auto" w:val="clear"/>
            <w:vAlign w:val="center"/>
          </w:tcPr>
          <w:p>
            <w:pPr>
              <w:pStyle w:val="TableContents"/>
              <w:spacing w:before="0" w:after="283"/>
              <w:jc w:val="center"/>
              <w:rPr/>
            </w:pPr>
            <w:r>
              <w:rPr/>
              <w:t> </w:t>
            </w:r>
          </w:p>
        </w:tc>
      </w:tr>
    </w:tbl>
    <w:p>
      <w:pPr>
        <w:pStyle w:val="TextBody"/>
        <w:spacing w:before="0" w:after="0"/>
        <w:ind w:left="0" w:right="0" w:hanging="0"/>
        <w:rPr>
          <w:caps w:val="false"/>
          <w:smallCaps w:val="false"/>
        </w:rPr>
      </w:pPr>
      <w:r>
        <w:rPr>
          <w:caps w:val="false"/>
          <w:smallCaps w:val="false"/>
        </w:rPr>
        <w:t> </w:t>
      </w:r>
    </w:p>
    <w:p>
      <w:pPr>
        <w:pStyle w:val="TextBody"/>
        <w:spacing w:before="0" w:after="0"/>
        <w:ind w:left="0" w:right="0" w:hanging="0"/>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Item 2.02 RESULTS OF OPERATIONS AND FINANCIAL CONDITION</w:t>
      </w:r>
    </w:p>
    <w:p>
      <w:pPr>
        <w:pStyle w:val="TextBody"/>
        <w:spacing w:before="0" w:after="0"/>
        <w:ind w:left="0" w:right="0" w:hanging="0"/>
        <w:rPr>
          <w:caps w:val="false"/>
          <w:smallCaps w:val="false"/>
        </w:rPr>
      </w:pPr>
      <w:r>
        <w:rPr>
          <w:caps w:val="false"/>
          <w:smallCaps w:val="false"/>
        </w:rPr>
        <w:t> </w:t>
      </w:r>
    </w:p>
    <w:p>
      <w:pPr>
        <w:pStyle w:val="TextBody"/>
        <w:spacing w:before="0" w:after="0"/>
        <w:ind w:left="0" w:right="0" w:hanging="0"/>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On October 31, 2014, Viad Corp (the “Company”) issued a press release announcing its unaudited financial results for the third quarter ended September 30, 2014. A copy of the Company’s press release is furnished herewith as Exhibit 99 and is incorporated by reference herein.</w:t>
      </w:r>
    </w:p>
    <w:p>
      <w:pPr>
        <w:pStyle w:val="TextBody"/>
        <w:spacing w:before="0" w:after="0"/>
        <w:ind w:left="0" w:right="0" w:hanging="0"/>
        <w:rPr>
          <w:caps w:val="false"/>
          <w:smallCaps w:val="false"/>
        </w:rPr>
      </w:pPr>
      <w:r>
        <w:rPr>
          <w:caps w:val="false"/>
          <w:smallCaps w:val="false"/>
        </w:rPr>
        <w:t> </w:t>
      </w:r>
    </w:p>
    <w:p>
      <w:pPr>
        <w:pStyle w:val="TextBody"/>
        <w:spacing w:before="0" w:after="0"/>
        <w:ind w:left="0" w:right="0" w:hanging="0"/>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The information in Item 2.02 of this current report on Form 8-K (this “Report”) is being furnished and shall not be deemed “filed” for the purposes of Section 18 of the Securities Exchange Act of 1934, as amended, or otherwise subject to the liabilities of that Section. The information in Item 2.02 of this Report shall not be incorporated by reference into any registration statement or other document pursuant to the Securities Act of 1933, as amended.</w:t>
      </w:r>
    </w:p>
    <w:p>
      <w:pPr>
        <w:pStyle w:val="TextBody"/>
        <w:spacing w:before="0" w:after="0"/>
        <w:ind w:left="0" w:right="0" w:hanging="0"/>
        <w:rPr>
          <w:caps w:val="false"/>
          <w:smallCaps w:val="false"/>
        </w:rPr>
      </w:pPr>
      <w:r>
        <w:rPr>
          <w:caps w:val="false"/>
          <w:smallCaps w:val="false"/>
        </w:rPr>
        <w:t> </w:t>
      </w:r>
    </w:p>
    <w:p>
      <w:pPr>
        <w:pStyle w:val="TextBody"/>
        <w:spacing w:before="0" w:after="0"/>
        <w:ind w:left="0" w:right="0" w:hanging="0"/>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Item 9.01 FINANCIAL STATEMENTS AND EXHIBITS</w:t>
      </w:r>
    </w:p>
    <w:p>
      <w:pPr>
        <w:pStyle w:val="TextBody"/>
        <w:spacing w:before="0" w:after="0"/>
        <w:ind w:left="0" w:right="0" w:hanging="0"/>
        <w:rPr>
          <w:caps w:val="false"/>
          <w:smallCaps w:val="false"/>
        </w:rPr>
      </w:pPr>
      <w:r>
        <w:rPr>
          <w:caps w:val="false"/>
          <w:smallCaps w:val="false"/>
        </w:rPr>
        <w:t> </w:t>
      </w:r>
    </w:p>
    <w:p>
      <w:pPr>
        <w:pStyle w:val="TextBody"/>
        <w:spacing w:before="0" w:after="0"/>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(d) Exhibits</w:t>
      </w:r>
    </w:p>
    <w:p>
      <w:pPr>
        <w:pStyle w:val="TextBody"/>
        <w:spacing w:before="0" w:after="0"/>
        <w:rPr>
          <w:caps w:val="false"/>
          <w:smallCaps w:val="false"/>
        </w:rPr>
      </w:pPr>
      <w:r>
        <w:rPr>
          <w:caps w:val="false"/>
          <w:smallCaps w:val="false"/>
        </w:rPr>
        <w:t> </w:t>
      </w:r>
    </w:p>
    <w:p>
      <w:pPr>
        <w:pStyle w:val="TextBody"/>
        <w:spacing w:before="0" w:after="0"/>
        <w:ind w:left="1440" w:right="0" w:hanging="0"/>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99 - Press Release dated October 31, 2014.</w:t>
      </w:r>
    </w:p>
    <w:p>
      <w:pPr>
        <w:pStyle w:val="TextBody"/>
        <w:spacing w:before="0" w:after="0"/>
        <w:ind w:left="1440" w:right="0" w:hanging="0"/>
        <w:rPr>
          <w:caps w:val="false"/>
          <w:smallCaps w:val="false"/>
        </w:rPr>
      </w:pPr>
      <w:r>
        <w:rPr>
          <w:caps w:val="false"/>
          <w:smallCaps w:val="false"/>
        </w:rPr>
        <w:t> </w:t>
      </w:r>
    </w:p>
    <w:p>
      <w:pPr>
        <w:pStyle w:val="TextBody"/>
        <w:spacing w:before="0" w:after="0"/>
        <w:ind w:left="0" w:right="0" w:hanging="0"/>
        <w:jc w:val="center"/>
        <w:rPr>
          <w:rFonts w:ascii="Times New Roman;Times;Serif" w:hAnsi="Times New Roman;Times;Serif"/>
          <w:b/>
          <w:i w:val="false"/>
          <w:caps w:val="false"/>
          <w:smallCaps w:val="false"/>
          <w:sz w:val="20"/>
        </w:rPr>
      </w:pPr>
      <w:r>
        <w:rPr>
          <w:rFonts w:ascii="Times New Roman;Times;Serif" w:hAnsi="Times New Roman;Times;Serif"/>
          <w:b/>
          <w:i w:val="false"/>
          <w:caps w:val="false"/>
          <w:smallCaps w:val="false"/>
          <w:sz w:val="20"/>
        </w:rPr>
        <w:t>SIGNATURES</w:t>
      </w:r>
    </w:p>
    <w:p>
      <w:pPr>
        <w:pStyle w:val="TextBody"/>
        <w:spacing w:before="0" w:after="0"/>
        <w:ind w:left="0" w:right="0" w:hanging="0"/>
        <w:rPr>
          <w:caps w:val="false"/>
          <w:smallCaps w:val="false"/>
        </w:rPr>
      </w:pPr>
      <w:r>
        <w:rPr>
          <w:caps w:val="false"/>
          <w:smallCaps w:val="false"/>
        </w:rPr>
        <w:t> </w:t>
      </w:r>
    </w:p>
    <w:p>
      <w:pPr>
        <w:pStyle w:val="TextBody"/>
        <w:spacing w:before="0" w:after="0"/>
        <w:ind w:left="0" w:right="0" w:hanging="0"/>
        <w:jc w:val="both"/>
        <w:rPr>
          <w:rFonts w:ascii="Times New Roman;Times;Serif" w:hAnsi="Times New Roman;Times;Serif"/>
          <w:b w:val="false"/>
          <w:i w:val="false"/>
          <w:caps w:val="false"/>
          <w:smallCaps w:val="false"/>
          <w:sz w:val="20"/>
        </w:rPr>
      </w:pPr>
      <w:r>
        <w:rPr>
          <w:rFonts w:ascii="Times New Roman;Times;Serif" w:hAnsi="Times New Roman;Times;Serif"/>
          <w:b w:val="false"/>
          <w:i w:val="false"/>
          <w:caps w:val="false"/>
          <w:smallCaps w:val="false"/>
          <w:sz w:val="20"/>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rPr>
          <w:caps w:val="false"/>
          <w:smallCaps w:val="false"/>
        </w:rPr>
      </w:pPr>
      <w:r>
        <w:rPr>
          <w:caps w:val="false"/>
          <w:smallCaps w:val="false"/>
        </w:rPr>
        <w:t> </w:t>
      </w:r>
    </w:p>
    <w:tbl>
      <w:tblPr>
        <w:tblW w:w="4530" w:type="dxa"/>
        <w:jc w:val="left"/>
        <w:tblInd w:w="0" w:type="dxa"/>
        <w:tblCellMar>
          <w:top w:w="0" w:type="dxa"/>
          <w:left w:w="0" w:type="dxa"/>
          <w:bottom w:w="0" w:type="dxa"/>
          <w:right w:w="0" w:type="dxa"/>
        </w:tblCellMar>
      </w:tblPr>
      <w:tblGrid>
        <w:gridCol w:w="1700"/>
        <w:gridCol w:w="365"/>
        <w:gridCol w:w="2465"/>
      </w:tblGrid>
      <w:tr>
        <w:trPr/>
        <w:tc>
          <w:tcPr>
            <w:tcW w:w="1700"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jc w:val="left"/>
              <w:rPr/>
            </w:pPr>
            <w:r>
              <w:rPr/>
              <w:t> </w:t>
            </w:r>
          </w:p>
        </w:tc>
        <w:tc>
          <w:tcPr>
            <w:tcW w:w="2465" w:type="dxa"/>
            <w:tcBorders/>
            <w:shd w:fill="auto" w:val="clear"/>
            <w:vAlign w:val="center"/>
          </w:tcPr>
          <w:p>
            <w:pPr>
              <w:pStyle w:val="TableContents"/>
              <w:spacing w:before="0" w:after="283"/>
              <w:rPr>
                <w:b/>
              </w:rPr>
            </w:pPr>
            <w:r>
              <w:rPr>
                <w:b/>
              </w:rPr>
              <w:t>Viad Corp</w:t>
            </w:r>
          </w:p>
        </w:tc>
      </w:tr>
      <w:tr>
        <w:trPr/>
        <w:tc>
          <w:tcPr>
            <w:tcW w:w="1700"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jc w:val="left"/>
              <w:rPr/>
            </w:pPr>
            <w:r>
              <w:rPr/>
              <w:t> </w:t>
            </w:r>
          </w:p>
        </w:tc>
        <w:tc>
          <w:tcPr>
            <w:tcW w:w="2465" w:type="dxa"/>
            <w:tcBorders/>
            <w:shd w:fill="auto" w:val="clear"/>
            <w:vAlign w:val="center"/>
          </w:tcPr>
          <w:p>
            <w:pPr>
              <w:pStyle w:val="TableContents"/>
              <w:spacing w:before="0" w:after="283"/>
              <w:rPr/>
            </w:pPr>
            <w:r>
              <w:rPr/>
              <w:t>(Registrant)</w:t>
            </w:r>
          </w:p>
        </w:tc>
      </w:tr>
      <w:tr>
        <w:trPr/>
        <w:tc>
          <w:tcPr>
            <w:tcW w:w="1700"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jc w:val="left"/>
              <w:rPr/>
            </w:pPr>
            <w:r>
              <w:rPr/>
              <w:t> </w:t>
            </w:r>
          </w:p>
        </w:tc>
        <w:tc>
          <w:tcPr>
            <w:tcW w:w="2465" w:type="dxa"/>
            <w:tcBorders/>
            <w:shd w:fill="auto" w:val="clear"/>
            <w:vAlign w:val="center"/>
          </w:tcPr>
          <w:p>
            <w:pPr>
              <w:pStyle w:val="TableContents"/>
              <w:spacing w:before="0" w:after="283"/>
              <w:rPr/>
            </w:pPr>
            <w:r>
              <w:rPr/>
              <w:t> </w:t>
            </w:r>
          </w:p>
        </w:tc>
      </w:tr>
      <w:tr>
        <w:trPr/>
        <w:tc>
          <w:tcPr>
            <w:tcW w:w="1700" w:type="dxa"/>
            <w:tcBorders/>
            <w:shd w:fill="auto" w:val="clear"/>
            <w:vAlign w:val="center"/>
          </w:tcPr>
          <w:p>
            <w:pPr>
              <w:pStyle w:val="TableContents"/>
              <w:spacing w:before="0" w:after="283"/>
              <w:rPr/>
            </w:pPr>
            <w:r>
              <w:rPr/>
              <w:t>October 31, 2014</w:t>
            </w:r>
          </w:p>
        </w:tc>
        <w:tc>
          <w:tcPr>
            <w:tcW w:w="365" w:type="dxa"/>
            <w:tcBorders/>
            <w:shd w:fill="auto" w:val="clear"/>
            <w:vAlign w:val="center"/>
          </w:tcPr>
          <w:p>
            <w:pPr>
              <w:pStyle w:val="TableContents"/>
              <w:spacing w:before="0" w:after="283"/>
              <w:jc w:val="left"/>
              <w:rPr/>
            </w:pPr>
            <w:r>
              <w:rPr/>
              <w:t>By:</w:t>
            </w:r>
          </w:p>
        </w:tc>
        <w:tc>
          <w:tcPr>
            <w:tcW w:w="2465" w:type="dxa"/>
            <w:tcBorders>
              <w:bottom w:val="single" w:sz="8" w:space="0" w:color="000000"/>
            </w:tcBorders>
            <w:shd w:fill="auto" w:val="clear"/>
            <w:tcMar>
              <w:bottom w:w="28" w:type="dxa"/>
            </w:tcMar>
            <w:vAlign w:val="center"/>
          </w:tcPr>
          <w:p>
            <w:pPr>
              <w:pStyle w:val="TableContents"/>
              <w:spacing w:before="0" w:after="283"/>
              <w:rPr/>
            </w:pPr>
            <w:r>
              <w:rPr/>
              <w:t>/s/ Leslie S. Striedel</w:t>
            </w:r>
          </w:p>
        </w:tc>
      </w:tr>
      <w:tr>
        <w:trPr/>
        <w:tc>
          <w:tcPr>
            <w:tcW w:w="1700"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jc w:val="left"/>
              <w:rPr/>
            </w:pPr>
            <w:r>
              <w:rPr/>
              <w:t> </w:t>
            </w:r>
          </w:p>
        </w:tc>
        <w:tc>
          <w:tcPr>
            <w:tcW w:w="2465" w:type="dxa"/>
            <w:tcBorders/>
            <w:shd w:fill="auto" w:val="clear"/>
            <w:vAlign w:val="center"/>
          </w:tcPr>
          <w:p>
            <w:pPr>
              <w:pStyle w:val="TableContents"/>
              <w:spacing w:before="0" w:after="283"/>
              <w:rPr/>
            </w:pPr>
            <w:r>
              <w:rPr/>
              <w:t>Leslie S. Striedel</w:t>
            </w:r>
          </w:p>
        </w:tc>
      </w:tr>
      <w:tr>
        <w:trPr/>
        <w:tc>
          <w:tcPr>
            <w:tcW w:w="1700" w:type="dxa"/>
            <w:tcBorders/>
            <w:shd w:fill="auto" w:val="clear"/>
            <w:vAlign w:val="center"/>
          </w:tcPr>
          <w:p>
            <w:pPr>
              <w:pStyle w:val="TableContents"/>
              <w:spacing w:before="0" w:after="283"/>
              <w:rPr/>
            </w:pPr>
            <w:r>
              <w:rPr/>
              <w:t> </w:t>
            </w:r>
          </w:p>
        </w:tc>
        <w:tc>
          <w:tcPr>
            <w:tcW w:w="365" w:type="dxa"/>
            <w:tcBorders/>
            <w:shd w:fill="auto" w:val="clear"/>
            <w:vAlign w:val="center"/>
          </w:tcPr>
          <w:p>
            <w:pPr>
              <w:pStyle w:val="TableContents"/>
              <w:spacing w:before="0" w:after="283"/>
              <w:jc w:val="left"/>
              <w:rPr/>
            </w:pPr>
            <w:r>
              <w:rPr/>
              <w:t> </w:t>
            </w:r>
          </w:p>
        </w:tc>
        <w:tc>
          <w:tcPr>
            <w:tcW w:w="2465" w:type="dxa"/>
            <w:tcBorders/>
            <w:shd w:fill="auto" w:val="clear"/>
            <w:vAlign w:val="center"/>
          </w:tcPr>
          <w:p>
            <w:pPr>
              <w:pStyle w:val="TableContents"/>
              <w:spacing w:before="0" w:after="283"/>
              <w:rPr/>
            </w:pPr>
            <w:r>
              <w:rPr/>
              <w:t>Chief Accounting Officer</w:t>
            </w:r>
          </w:p>
        </w:tc>
      </w:tr>
    </w:tbl>
    <w:p>
      <w:pPr>
        <w:pStyle w:val="TextBody"/>
        <w:spacing w:before="0" w:after="0"/>
        <w:ind w:left="0" w:right="0" w:hanging="0"/>
        <w:rPr>
          <w:caps w:val="false"/>
          <w:smallCaps w:val="false"/>
        </w:rPr>
      </w:pPr>
      <w:r>
        <w:rPr>
          <w:caps w:val="false"/>
          <w:smallCaps w:val="false"/>
        </w:rPr>
        <w:t> </w:t>
      </w:r>
    </w:p>
    <w:tbl>
      <w:tblPr>
        <w:tblW w:w="90" w:type="dxa"/>
        <w:jc w:val="left"/>
        <w:tblInd w:w="0" w:type="dxa"/>
        <w:tblCellMar>
          <w:top w:w="0" w:type="dxa"/>
          <w:left w:w="0" w:type="dxa"/>
          <w:bottom w:w="0" w:type="dxa"/>
          <w:right w:w="0" w:type="dxa"/>
        </w:tblCellMar>
      </w:tblPr>
      <w:tblGrid>
        <w:gridCol w:w="90"/>
      </w:tblGrid>
      <w:tr>
        <w:trPr/>
        <w:tc>
          <w:tcPr>
            <w:tcW w:w="90" w:type="dxa"/>
            <w:tcBorders/>
            <w:shd w:fill="auto" w:val="clear"/>
            <w:vAlign w:val="center"/>
          </w:tcPr>
          <w:p>
            <w:pPr>
              <w:pStyle w:val="TableContents"/>
              <w:spacing w:before="0" w:after="283"/>
              <w:jc w:val="center"/>
              <w:rPr/>
            </w:pPr>
            <w:r>
              <w:rPr/>
              <w:t> </w:t>
            </w:r>
          </w:p>
        </w:tc>
      </w:tr>
    </w:tbl>
    <w:p>
      <w:pPr>
        <w:pStyle w:val="TextBody"/>
        <w:spacing w:before="0" w:after="0"/>
        <w:ind w:left="0" w:right="0" w:hanging="0"/>
        <w:rPr>
          <w:caps w:val="false"/>
          <w:smallCaps w:val="false"/>
        </w:rPr>
      </w:pPr>
      <w:r>
        <w:rPr>
          <w:caps w:val="false"/>
          <w:smallCaps w:val="false"/>
        </w:rPr>
        <w:t> </w:t>
      </w:r>
      <w:r>
        <w:br w:type="page"/>
      </w:r>
    </w:p>
    <w:p>
      <w:pPr>
        <w:pStyle w:val="TextBody"/>
        <w:ind w:left="200" w:right="0" w:hanging="0"/>
        <w:jc w:val="center"/>
        <w:rPr>
          <w:b/>
        </w:rPr>
      </w:pPr>
      <w:bookmarkStart w:id="2" w:name="v392790_ex99.htm"/>
      <w:bookmarkStart w:id="3" w:name="ksv392790_ex99"/>
      <w:bookmarkEnd w:id="2"/>
      <w:bookmarkEnd w:id="3"/>
      <w:r>
        <w:rPr>
          <w:b/>
        </w:rPr>
        <w:t>Viad Corp Announces Third Quarter 2014 Financial Results</w:t>
      </w:r>
    </w:p>
    <w:p>
      <w:pPr>
        <w:pStyle w:val="TextBody"/>
        <w:ind w:left="200" w:right="0" w:hanging="0"/>
        <w:rPr/>
      </w:pPr>
      <w:r>
        <w:rPr/>
        <w:br/>
        <w:br/>
        <w:t xml:space="preserve">Income from Continuing Operations per Share of $1.53 </w:t>
        <w:br/>
        <w:br/>
        <w:t>Income Before Other Items per Share of $1.04</w:t>
      </w:r>
    </w:p>
    <w:p>
      <w:pPr>
        <w:pStyle w:val="TextBody"/>
        <w:spacing w:before="320" w:after="283"/>
        <w:ind w:left="200" w:right="0" w:hanging="0"/>
        <w:rPr/>
      </w:pPr>
      <w:r>
        <w:rPr/>
        <w:t xml:space="preserve">PHOENIX, Oct. 31, 2014 /PRNewswire/ -- Viad Corp (NYSE:VVI) today announced third quarter 2014 income from continuing operations of $30.8 million, or $1.53 per diluted share. Viad's income before other items of $20.8 million, or $1.04 per diluted share, excludes restructuring charges of $0.01 per diluted share and $0.50 per diluted share related to favorable tax matters. This compares to the Company's prior guidance of income before other items in the range of $0.91 to $1.01 per share and 2013 third quarter income before other items of $0.53 per share. </w:t>
      </w:r>
    </w:p>
    <w:p>
      <w:pPr>
        <w:pStyle w:val="TextBody"/>
        <w:numPr>
          <w:ilvl w:val="0"/>
          <w:numId w:val="2"/>
        </w:numPr>
        <w:tabs>
          <w:tab w:val="clear" w:pos="1134"/>
          <w:tab w:val="left" w:pos="907" w:leader="none"/>
        </w:tabs>
        <w:spacing w:before="320" w:after="283"/>
        <w:ind w:left="907" w:right="0" w:hanging="283"/>
        <w:rPr/>
      </w:pPr>
      <w:r>
        <w:rPr>
          <w:b/>
        </w:rPr>
        <w:t>Revenue was $299.8 million</w:t>
      </w:r>
      <w:r>
        <w:rPr/>
        <w:t xml:space="preserve"> as compared to $220.2 million in 2013. </w:t>
      </w:r>
    </w:p>
    <w:p>
      <w:pPr>
        <w:pStyle w:val="TextBody"/>
        <w:numPr>
          <w:ilvl w:val="0"/>
          <w:numId w:val="2"/>
        </w:numPr>
        <w:tabs>
          <w:tab w:val="clear" w:pos="1134"/>
          <w:tab w:val="left" w:pos="907" w:leader="none"/>
        </w:tabs>
        <w:spacing w:before="320" w:after="283"/>
        <w:ind w:left="907" w:right="0" w:hanging="283"/>
        <w:rPr/>
      </w:pPr>
      <w:r>
        <w:rPr>
          <w:b/>
        </w:rPr>
        <w:t xml:space="preserve">Segment operating income was $33.0 million </w:t>
      </w:r>
      <w:r>
        <w:rPr/>
        <w:t xml:space="preserve">as compared to $18.7 million in 2013. </w:t>
      </w:r>
    </w:p>
    <w:p>
      <w:pPr>
        <w:pStyle w:val="TextBody"/>
        <w:numPr>
          <w:ilvl w:val="0"/>
          <w:numId w:val="2"/>
        </w:numPr>
        <w:tabs>
          <w:tab w:val="clear" w:pos="1134"/>
          <w:tab w:val="left" w:pos="907" w:leader="none"/>
        </w:tabs>
        <w:spacing w:before="320" w:after="283"/>
        <w:ind w:left="907" w:right="0" w:hanging="283"/>
        <w:rPr/>
      </w:pPr>
      <w:r>
        <w:rPr>
          <w:b/>
        </w:rPr>
        <w:t>Free cash flow was $45.2 million</w:t>
      </w:r>
      <w:r>
        <w:rPr/>
        <w:t xml:space="preserve"> as compared to $23.8 million in 2013. </w:t>
      </w:r>
    </w:p>
    <w:p>
      <w:pPr>
        <w:pStyle w:val="TextBody"/>
        <w:numPr>
          <w:ilvl w:val="0"/>
          <w:numId w:val="2"/>
        </w:numPr>
        <w:tabs>
          <w:tab w:val="clear" w:pos="1134"/>
          <w:tab w:val="left" w:pos="907" w:leader="none"/>
        </w:tabs>
        <w:spacing w:before="320" w:after="283"/>
        <w:ind w:left="907" w:right="0" w:hanging="283"/>
        <w:rPr/>
      </w:pPr>
      <w:r>
        <w:rPr>
          <w:b/>
        </w:rPr>
        <w:t xml:space="preserve">Cash and cash equivalents were $56.9 million </w:t>
      </w:r>
      <w:r>
        <w:rPr/>
        <w:t xml:space="preserve">at September 30, 2014. </w:t>
      </w:r>
    </w:p>
    <w:p>
      <w:pPr>
        <w:pStyle w:val="TextBody"/>
        <w:numPr>
          <w:ilvl w:val="0"/>
          <w:numId w:val="2"/>
        </w:numPr>
        <w:tabs>
          <w:tab w:val="clear" w:pos="1134"/>
          <w:tab w:val="left" w:pos="907" w:leader="none"/>
        </w:tabs>
        <w:spacing w:before="320" w:after="283"/>
        <w:ind w:left="907" w:right="0" w:hanging="283"/>
        <w:rPr/>
      </w:pPr>
      <w:r>
        <w:rPr>
          <w:b/>
        </w:rPr>
        <w:t>Debt was $24.0 million</w:t>
      </w:r>
      <w:r>
        <w:rPr/>
        <w:t xml:space="preserve">, with a </w:t>
      </w:r>
      <w:r>
        <w:rPr>
          <w:b/>
        </w:rPr>
        <w:t>debt-to-capital ratio of 6.2%</w:t>
      </w:r>
      <w:r>
        <w:rPr/>
        <w:t xml:space="preserve"> at September 30, 2014. </w:t>
      </w:r>
    </w:p>
    <w:p>
      <w:pPr>
        <w:pStyle w:val="TextBody"/>
        <w:numPr>
          <w:ilvl w:val="0"/>
          <w:numId w:val="2"/>
        </w:numPr>
        <w:tabs>
          <w:tab w:val="clear" w:pos="1134"/>
          <w:tab w:val="left" w:pos="907" w:leader="none"/>
        </w:tabs>
        <w:spacing w:before="320" w:after="283"/>
        <w:ind w:left="907" w:right="0" w:hanging="283"/>
        <w:rPr/>
      </w:pPr>
      <w:r>
        <w:rPr>
          <w:b/>
        </w:rPr>
        <w:t>Viad acquired hospitality assets and an audio-visual services firm</w:t>
      </w:r>
      <w:r>
        <w:rPr/>
        <w:t xml:space="preserve"> during the quarter at an aggregate purchase price of $41.8 million, subject to certain adjustments, that was financed with debt.</w:t>
      </w:r>
    </w:p>
    <w:p>
      <w:pPr>
        <w:pStyle w:val="TextBody"/>
        <w:spacing w:before="320" w:after="283"/>
        <w:ind w:left="200" w:right="0" w:hanging="0"/>
        <w:rPr/>
      </w:pPr>
      <w:r>
        <w:rPr/>
        <w:t>Paul B. Dykstra, chairman, president and chief executive officer, said, "Both of our business groups delivered significant year-on-year growth with results that were in line with our prior guidance. Our strong third quarter results reflect the benefit of positive show rotation, continued same-show growth and better than anticipated visitation to our new Glacier Skywalk attraction. The acquisitions of the West Glacier Motel &amp; Cabins, the Apgar Village Lodge and related assets, and Blitz Communications also added to our revenues and profits during the quarter."</w:t>
      </w:r>
    </w:p>
    <w:p>
      <w:pPr>
        <w:pStyle w:val="TextBody"/>
        <w:spacing w:before="320" w:after="283"/>
        <w:ind w:left="200" w:right="0" w:hanging="0"/>
        <w:rPr/>
      </w:pPr>
      <w:r>
        <w:rPr/>
        <w:t>The favorable tax matters of $0.50 per share recorded during the quarter represented the reversal of a valuation allowance recorded in connection with the Company's analysis of its deferred tax assets. During the quarter, it was determined that certain deferred tax assets associated with foreign tax credits, for which a valuation allowance had previously been established, once again met the "more-likely-than-not" test contained in the accounting standards regarding the realization of those assets. Accordingly, the Company recorded a non-cash tax benefit of $10.1 million to income tax expense.</w:t>
      </w:r>
    </w:p>
    <w:p>
      <w:pPr>
        <w:pStyle w:val="TextBody"/>
        <w:spacing w:before="320" w:after="283"/>
        <w:ind w:left="200" w:right="0" w:hanging="0"/>
        <w:rPr>
          <w:b/>
        </w:rPr>
      </w:pPr>
      <w:r>
        <w:rPr>
          <w:b/>
        </w:rPr>
        <w:t>Business Group Highlights</w:t>
      </w:r>
    </w:p>
    <w:tbl>
      <w:tblPr>
        <w:tblW w:w="8800" w:type="dxa"/>
        <w:jc w:val="left"/>
        <w:tblInd w:w="200" w:type="dxa"/>
        <w:tblCellMar>
          <w:top w:w="0" w:type="dxa"/>
          <w:left w:w="0" w:type="dxa"/>
          <w:bottom w:w="0" w:type="dxa"/>
          <w:right w:w="0" w:type="dxa"/>
        </w:tblCellMar>
      </w:tblPr>
      <w:tblGrid>
        <w:gridCol w:w="2868"/>
        <w:gridCol w:w="651"/>
        <w:gridCol w:w="26"/>
        <w:gridCol w:w="651"/>
        <w:gridCol w:w="26"/>
        <w:gridCol w:w="680"/>
        <w:gridCol w:w="218"/>
        <w:gridCol w:w="237"/>
        <w:gridCol w:w="211"/>
        <w:gridCol w:w="26"/>
        <w:gridCol w:w="739"/>
        <w:gridCol w:w="37"/>
        <w:gridCol w:w="855"/>
        <w:gridCol w:w="37"/>
        <w:gridCol w:w="706"/>
        <w:gridCol w:w="806"/>
        <w:gridCol w:w="26"/>
      </w:tblGrid>
      <w:tr>
        <w:trPr/>
        <w:tc>
          <w:tcPr>
            <w:tcW w:w="2868" w:type="dxa"/>
            <w:tcBorders/>
            <w:shd w:fill="auto" w:val="clear"/>
            <w:vAlign w:val="center"/>
          </w:tcPr>
          <w:p>
            <w:pPr>
              <w:pStyle w:val="TableContents"/>
              <w:spacing w:before="0" w:after="283"/>
              <w:rPr/>
            </w:pPr>
            <w:r>
              <w:rPr/>
            </w:r>
          </w:p>
        </w:tc>
        <w:tc>
          <w:tcPr>
            <w:tcW w:w="2700" w:type="dxa"/>
            <w:gridSpan w:val="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Third Quarter</w:t>
            </w:r>
          </w:p>
        </w:tc>
        <w:tc>
          <w:tcPr>
            <w:tcW w:w="26" w:type="dxa"/>
            <w:tcBorders/>
            <w:shd w:fill="auto" w:val="clear"/>
            <w:vAlign w:val="center"/>
          </w:tcPr>
          <w:p>
            <w:pPr>
              <w:pStyle w:val="TableContents"/>
              <w:spacing w:before="0" w:after="283"/>
              <w:rPr/>
            </w:pPr>
            <w:r>
              <w:rPr/>
            </w:r>
          </w:p>
        </w:tc>
        <w:tc>
          <w:tcPr>
            <w:tcW w:w="3180" w:type="dxa"/>
            <w:gridSpan w:val="6"/>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September 30 Year-to-Date</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0" w:right="285" w:hanging="0"/>
              <w:rPr>
                <w:color w:val="000000"/>
              </w:rPr>
            </w:pPr>
            <w:r>
              <w:rPr>
                <w:color w:val="000000"/>
              </w:rPr>
              <w:t> </w:t>
            </w:r>
            <w:r>
              <w:rPr>
                <w:rFonts w:ascii="Arial" w:hAnsi="Arial"/>
                <w:i/>
                <w:color w:val="000000"/>
                <w:sz w:val="16"/>
              </w:rPr>
              <w:t>($ in millions)</w:t>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2014</w:t>
            </w:r>
          </w:p>
        </w:tc>
        <w:tc>
          <w:tcPr>
            <w:tcW w:w="26" w:type="dxa"/>
            <w:tcBorders>
              <w:bottom w:val="single" w:sz="8" w:space="0" w:color="000000"/>
            </w:tcBorders>
            <w:shd w:fill="auto" w:val="clear"/>
            <w:tcMar>
              <w:bottom w:w="28" w:type="dxa"/>
            </w:tcMar>
            <w:vAlign w:val="center"/>
          </w:tcPr>
          <w:p>
            <w:pPr>
              <w:pStyle w:val="TableContents"/>
              <w:spacing w:before="0" w:after="283"/>
              <w:rPr/>
            </w:pPr>
            <w:r>
              <w:rPr/>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2013</w:t>
            </w:r>
          </w:p>
        </w:tc>
        <w:tc>
          <w:tcPr>
            <w:tcW w:w="26" w:type="dxa"/>
            <w:tcBorders>
              <w:bottom w:val="single" w:sz="8" w:space="0" w:color="000000"/>
            </w:tcBorders>
            <w:shd w:fill="auto" w:val="clear"/>
            <w:tcMar>
              <w:bottom w:w="28" w:type="dxa"/>
            </w:tcMar>
            <w:vAlign w:val="center"/>
          </w:tcPr>
          <w:p>
            <w:pPr>
              <w:pStyle w:val="TableContents"/>
              <w:spacing w:before="0" w:after="283"/>
              <w:rPr/>
            </w:pPr>
            <w:r>
              <w:rPr/>
            </w:r>
          </w:p>
        </w:tc>
        <w:tc>
          <w:tcPr>
            <w:tcW w:w="1135" w:type="dxa"/>
            <w:gridSpan w:val="3"/>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Change</w:t>
            </w:r>
          </w:p>
        </w:tc>
        <w:tc>
          <w:tcPr>
            <w:tcW w:w="237" w:type="dxa"/>
            <w:gridSpan w:val="2"/>
            <w:tcBorders/>
            <w:shd w:fill="auto" w:val="clear"/>
            <w:vAlign w:val="center"/>
          </w:tcPr>
          <w:p>
            <w:pPr>
              <w:pStyle w:val="TableContents"/>
              <w:spacing w:before="0" w:after="283"/>
              <w:rPr/>
            </w:pPr>
            <w:r>
              <w:rPr/>
            </w:r>
          </w:p>
        </w:tc>
        <w:tc>
          <w:tcPr>
            <w:tcW w:w="739"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2014</w:t>
            </w:r>
          </w:p>
        </w:tc>
        <w:tc>
          <w:tcPr>
            <w:tcW w:w="37" w:type="dxa"/>
            <w:tcBorders>
              <w:bottom w:val="single" w:sz="8" w:space="0" w:color="000000"/>
            </w:tcBorders>
            <w:shd w:fill="auto" w:val="clear"/>
            <w:tcMar>
              <w:bottom w:w="28" w:type="dxa"/>
            </w:tcMar>
            <w:vAlign w:val="center"/>
          </w:tcPr>
          <w:p>
            <w:pPr>
              <w:pStyle w:val="TableContents"/>
              <w:spacing w:before="0" w:after="283"/>
              <w:rPr/>
            </w:pPr>
            <w:r>
              <w:rPr/>
            </w:r>
          </w:p>
        </w:tc>
        <w:tc>
          <w:tcPr>
            <w:tcW w:w="855"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2013</w:t>
            </w:r>
          </w:p>
        </w:tc>
        <w:tc>
          <w:tcPr>
            <w:tcW w:w="37" w:type="dxa"/>
            <w:tcBorders>
              <w:bottom w:val="single" w:sz="8" w:space="0" w:color="000000"/>
            </w:tcBorders>
            <w:shd w:fill="auto" w:val="clear"/>
            <w:tcMar>
              <w:bottom w:w="28" w:type="dxa"/>
            </w:tcMar>
            <w:vAlign w:val="center"/>
          </w:tcPr>
          <w:p>
            <w:pPr>
              <w:pStyle w:val="TableContents"/>
              <w:spacing w:before="0" w:after="283"/>
              <w:rPr/>
            </w:pPr>
            <w:r>
              <w:rPr/>
            </w:r>
          </w:p>
        </w:tc>
        <w:tc>
          <w:tcPr>
            <w:tcW w:w="1512" w:type="dxa"/>
            <w:gridSpan w:val="2"/>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Change</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Revenue:</w:t>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898" w:type="dxa"/>
            <w:gridSpan w:val="2"/>
            <w:tcBorders/>
            <w:shd w:fill="auto" w:val="clear"/>
            <w:vAlign w:val="center"/>
          </w:tcPr>
          <w:p>
            <w:pPr>
              <w:pStyle w:val="TableContents"/>
              <w:spacing w:before="0" w:after="283"/>
              <w:rPr/>
            </w:pPr>
            <w:r>
              <w:rPr/>
            </w:r>
          </w:p>
        </w:tc>
        <w:tc>
          <w:tcPr>
            <w:tcW w:w="474" w:type="dxa"/>
            <w:gridSpan w:val="3"/>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283"/>
              <w:rPr/>
            </w:pPr>
            <w:r>
              <w:rPr/>
            </w:r>
          </w:p>
        </w:tc>
        <w:tc>
          <w:tcPr>
            <w:tcW w:w="806" w:type="dxa"/>
            <w:tcBorders/>
            <w:shd w:fill="auto" w:val="clear"/>
            <w:vAlign w:val="center"/>
          </w:tcPr>
          <w:p>
            <w:pPr>
              <w:pStyle w:val="TableContents"/>
              <w:spacing w:before="0" w:after="283"/>
              <w:rPr/>
            </w:pPr>
            <w:r>
              <w:rPr/>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180" w:right="0" w:hanging="0"/>
              <w:rPr>
                <w:rFonts w:ascii="Arial" w:hAnsi="Arial"/>
                <w:color w:val="000000"/>
                <w:sz w:val="16"/>
              </w:rPr>
            </w:pPr>
            <w:r>
              <w:rPr>
                <w:rFonts w:ascii="Arial" w:hAnsi="Arial"/>
                <w:color w:val="000000"/>
                <w:sz w:val="16"/>
              </w:rPr>
              <w:t>Marketing &amp; Events Group:</w:t>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rPr/>
            </w:pPr>
            <w:r>
              <w:rPr/>
            </w:r>
          </w:p>
        </w:tc>
        <w:tc>
          <w:tcPr>
            <w:tcW w:w="218" w:type="dxa"/>
            <w:tcBorders/>
            <w:shd w:fill="auto" w:val="clear"/>
            <w:vAlign w:val="center"/>
          </w:tcPr>
          <w:p>
            <w:pPr>
              <w:pStyle w:val="TableContents"/>
              <w:spacing w:before="0" w:after="283"/>
              <w:rPr/>
            </w:pPr>
            <w:r>
              <w:rPr/>
            </w:r>
          </w:p>
        </w:tc>
        <w:tc>
          <w:tcPr>
            <w:tcW w:w="474" w:type="dxa"/>
            <w:gridSpan w:val="3"/>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283"/>
              <w:rPr/>
            </w:pPr>
            <w:r>
              <w:rPr/>
            </w:r>
          </w:p>
        </w:tc>
        <w:tc>
          <w:tcPr>
            <w:tcW w:w="806" w:type="dxa"/>
            <w:tcBorders/>
            <w:shd w:fill="auto" w:val="clear"/>
            <w:vAlign w:val="center"/>
          </w:tcPr>
          <w:p>
            <w:pPr>
              <w:pStyle w:val="TableContents"/>
              <w:spacing w:before="0" w:after="283"/>
              <w:rPr/>
            </w:pPr>
            <w:r>
              <w:rPr/>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360" w:right="0" w:hanging="0"/>
              <w:rPr>
                <w:rFonts w:ascii="Arial" w:hAnsi="Arial"/>
                <w:color w:val="000000"/>
                <w:sz w:val="16"/>
              </w:rPr>
            </w:pPr>
            <w:r>
              <w:rPr>
                <w:rFonts w:ascii="Arial" w:hAnsi="Arial"/>
                <w:color w:val="000000"/>
                <w:sz w:val="16"/>
              </w:rPr>
              <w:t>U.S.</w:t>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$ 168.1</w:t>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$ 120.5</w:t>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$ 47.6</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39.5%</w:t>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$ 558.3</w:t>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$494.4</w:t>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$63.9</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12.9%</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360" w:right="0" w:hanging="0"/>
              <w:rPr>
                <w:rFonts w:ascii="Arial" w:hAnsi="Arial"/>
                <w:color w:val="000000"/>
                <w:sz w:val="16"/>
              </w:rPr>
            </w:pPr>
            <w:r>
              <w:rPr>
                <w:rFonts w:ascii="Arial" w:hAnsi="Arial"/>
                <w:color w:val="000000"/>
                <w:sz w:val="16"/>
              </w:rPr>
              <w:t>International</w:t>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64.2</w:t>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40.3</w:t>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23.9</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59.2%</w:t>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186.3</w:t>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169.0</w:t>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17.3</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10.3%</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360" w:right="0" w:hanging="0"/>
              <w:rPr>
                <w:rFonts w:ascii="Arial" w:hAnsi="Arial"/>
                <w:color w:val="000000"/>
                <w:sz w:val="16"/>
              </w:rPr>
            </w:pPr>
            <w:r>
              <w:rPr>
                <w:rFonts w:ascii="Arial" w:hAnsi="Arial"/>
                <w:color w:val="000000"/>
                <w:sz w:val="16"/>
              </w:rPr>
              <w:t>Intersegment eliminations</w:t>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(5.6)</w:t>
            </w:r>
          </w:p>
        </w:tc>
        <w:tc>
          <w:tcPr>
            <w:tcW w:w="26" w:type="dxa"/>
            <w:tcBorders/>
            <w:shd w:fill="auto" w:val="clear"/>
            <w:vAlign w:val="center"/>
          </w:tcPr>
          <w:p>
            <w:pPr>
              <w:pStyle w:val="TableContents"/>
              <w:spacing w:before="0" w:after="283"/>
              <w:rPr/>
            </w:pPr>
            <w:r>
              <w:rPr/>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(4.4)</w:t>
            </w:r>
          </w:p>
        </w:tc>
        <w:tc>
          <w:tcPr>
            <w:tcW w:w="26" w:type="dxa"/>
            <w:tcBorders/>
            <w:shd w:fill="auto" w:val="clear"/>
            <w:vAlign w:val="center"/>
          </w:tcPr>
          <w:p>
            <w:pPr>
              <w:pStyle w:val="TableContents"/>
              <w:spacing w:before="0" w:after="283"/>
              <w:rPr/>
            </w:pPr>
            <w:r>
              <w:rPr/>
            </w:r>
          </w:p>
        </w:tc>
        <w:tc>
          <w:tcPr>
            <w:tcW w:w="680" w:type="dxa"/>
            <w:tcBorders>
              <w:bottom w:val="single" w:sz="8"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(1.2)</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28.6%</w:t>
            </w:r>
          </w:p>
        </w:tc>
        <w:tc>
          <w:tcPr>
            <w:tcW w:w="26" w:type="dxa"/>
            <w:tcBorders/>
            <w:shd w:fill="auto" w:val="clear"/>
            <w:vAlign w:val="center"/>
          </w:tcPr>
          <w:p>
            <w:pPr>
              <w:pStyle w:val="TableContents"/>
              <w:spacing w:before="0" w:after="283"/>
              <w:rPr/>
            </w:pPr>
            <w:r>
              <w:rPr/>
            </w:r>
          </w:p>
        </w:tc>
        <w:tc>
          <w:tcPr>
            <w:tcW w:w="739" w:type="dxa"/>
            <w:tcBorders>
              <w:bottom w:val="single" w:sz="8"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(13.5)</w:t>
            </w:r>
          </w:p>
        </w:tc>
        <w:tc>
          <w:tcPr>
            <w:tcW w:w="37" w:type="dxa"/>
            <w:tcBorders/>
            <w:shd w:fill="auto" w:val="clear"/>
            <w:vAlign w:val="center"/>
          </w:tcPr>
          <w:p>
            <w:pPr>
              <w:pStyle w:val="TableContents"/>
              <w:spacing w:before="0" w:after="283"/>
              <w:rPr/>
            </w:pPr>
            <w:r>
              <w:rPr/>
            </w:r>
          </w:p>
        </w:tc>
        <w:tc>
          <w:tcPr>
            <w:tcW w:w="855"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(10.3)</w:t>
            </w:r>
          </w:p>
        </w:tc>
        <w:tc>
          <w:tcPr>
            <w:tcW w:w="37" w:type="dxa"/>
            <w:tcBorders/>
            <w:shd w:fill="auto" w:val="clear"/>
            <w:vAlign w:val="center"/>
          </w:tcPr>
          <w:p>
            <w:pPr>
              <w:pStyle w:val="TableContents"/>
              <w:spacing w:before="0" w:after="283"/>
              <w:rPr/>
            </w:pPr>
            <w:r>
              <w:rPr/>
            </w:r>
          </w:p>
        </w:tc>
        <w:tc>
          <w:tcPr>
            <w:tcW w:w="70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(3.2)</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31.6%</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360" w:right="0" w:hanging="0"/>
              <w:rPr>
                <w:rFonts w:ascii="Arial" w:hAnsi="Arial"/>
                <w:color w:val="000000"/>
                <w:sz w:val="16"/>
              </w:rPr>
            </w:pPr>
            <w:r>
              <w:rPr>
                <w:rFonts w:ascii="Arial" w:hAnsi="Arial"/>
                <w:color w:val="000000"/>
                <w:sz w:val="16"/>
              </w:rPr>
              <w:t>Total</w:t>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226.7</w:t>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156.5</w:t>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70.2</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44.8%</w:t>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731.1</w:t>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653.1</w:t>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78.0</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11.9%</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180" w:right="0" w:hanging="0"/>
              <w:rPr>
                <w:rFonts w:ascii="Arial" w:hAnsi="Arial"/>
                <w:color w:val="000000"/>
                <w:sz w:val="16"/>
              </w:rPr>
            </w:pPr>
            <w:r>
              <w:rPr>
                <w:rFonts w:ascii="Arial" w:hAnsi="Arial"/>
                <w:color w:val="000000"/>
                <w:sz w:val="16"/>
              </w:rPr>
              <w:t>Travel &amp; Recreation Group</w:t>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73.1</w:t>
            </w:r>
          </w:p>
        </w:tc>
        <w:tc>
          <w:tcPr>
            <w:tcW w:w="26" w:type="dxa"/>
            <w:tcBorders/>
            <w:shd w:fill="auto" w:val="clear"/>
            <w:vAlign w:val="center"/>
          </w:tcPr>
          <w:p>
            <w:pPr>
              <w:pStyle w:val="TableContents"/>
              <w:spacing w:before="0" w:after="283"/>
              <w:rPr/>
            </w:pPr>
            <w:r>
              <w:rPr/>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63.7</w:t>
            </w:r>
          </w:p>
        </w:tc>
        <w:tc>
          <w:tcPr>
            <w:tcW w:w="26" w:type="dxa"/>
            <w:tcBorders/>
            <w:shd w:fill="auto" w:val="clear"/>
            <w:vAlign w:val="center"/>
          </w:tcPr>
          <w:p>
            <w:pPr>
              <w:pStyle w:val="TableContents"/>
              <w:spacing w:before="0" w:after="283"/>
              <w:rPr/>
            </w:pPr>
            <w:r>
              <w:rPr/>
            </w:r>
          </w:p>
        </w:tc>
        <w:tc>
          <w:tcPr>
            <w:tcW w:w="680" w:type="dxa"/>
            <w:tcBorders>
              <w:bottom w:val="single" w:sz="8"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9.5</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14.9%</w:t>
            </w:r>
          </w:p>
        </w:tc>
        <w:tc>
          <w:tcPr>
            <w:tcW w:w="26" w:type="dxa"/>
            <w:tcBorders/>
            <w:shd w:fill="auto" w:val="clear"/>
            <w:vAlign w:val="center"/>
          </w:tcPr>
          <w:p>
            <w:pPr>
              <w:pStyle w:val="TableContents"/>
              <w:spacing w:before="0" w:after="283"/>
              <w:rPr/>
            </w:pPr>
            <w:r>
              <w:rPr/>
            </w:r>
          </w:p>
        </w:tc>
        <w:tc>
          <w:tcPr>
            <w:tcW w:w="739" w:type="dxa"/>
            <w:tcBorders>
              <w:bottom w:val="single" w:sz="8"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110.8</w:t>
            </w:r>
          </w:p>
        </w:tc>
        <w:tc>
          <w:tcPr>
            <w:tcW w:w="37" w:type="dxa"/>
            <w:tcBorders/>
            <w:shd w:fill="auto" w:val="clear"/>
            <w:vAlign w:val="center"/>
          </w:tcPr>
          <w:p>
            <w:pPr>
              <w:pStyle w:val="TableContents"/>
              <w:spacing w:before="0" w:after="283"/>
              <w:rPr/>
            </w:pPr>
            <w:r>
              <w:rPr/>
            </w:r>
          </w:p>
        </w:tc>
        <w:tc>
          <w:tcPr>
            <w:tcW w:w="855"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98.4</w:t>
            </w:r>
          </w:p>
        </w:tc>
        <w:tc>
          <w:tcPr>
            <w:tcW w:w="37" w:type="dxa"/>
            <w:tcBorders/>
            <w:shd w:fill="auto" w:val="clear"/>
            <w:vAlign w:val="center"/>
          </w:tcPr>
          <w:p>
            <w:pPr>
              <w:pStyle w:val="TableContents"/>
              <w:spacing w:before="0" w:after="283"/>
              <w:rPr/>
            </w:pPr>
            <w:r>
              <w:rPr/>
            </w:r>
          </w:p>
        </w:tc>
        <w:tc>
          <w:tcPr>
            <w:tcW w:w="70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12.3</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12.5%</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Total</w:t>
            </w:r>
          </w:p>
        </w:tc>
        <w:tc>
          <w:tcPr>
            <w:tcW w:w="651"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$299.8</w:t>
            </w:r>
          </w:p>
        </w:tc>
        <w:tc>
          <w:tcPr>
            <w:tcW w:w="26" w:type="dxa"/>
            <w:tcBorders/>
            <w:shd w:fill="auto" w:val="clear"/>
            <w:vAlign w:val="center"/>
          </w:tcPr>
          <w:p>
            <w:pPr>
              <w:pStyle w:val="TableContents"/>
              <w:spacing w:before="0" w:after="283"/>
              <w:rPr/>
            </w:pPr>
            <w:r>
              <w:rPr/>
            </w:r>
          </w:p>
        </w:tc>
        <w:tc>
          <w:tcPr>
            <w:tcW w:w="651"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$220.2</w:t>
            </w:r>
          </w:p>
        </w:tc>
        <w:tc>
          <w:tcPr>
            <w:tcW w:w="26" w:type="dxa"/>
            <w:tcBorders/>
            <w:shd w:fill="auto" w:val="clear"/>
            <w:vAlign w:val="center"/>
          </w:tcPr>
          <w:p>
            <w:pPr>
              <w:pStyle w:val="TableContents"/>
              <w:spacing w:before="0" w:after="283"/>
              <w:rPr/>
            </w:pPr>
            <w:r>
              <w:rPr/>
            </w:r>
          </w:p>
        </w:tc>
        <w:tc>
          <w:tcPr>
            <w:tcW w:w="680" w:type="dxa"/>
            <w:tcBorders>
              <w:bottom w:val="double" w:sz="5"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$ 79.6</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36.2%</w:t>
            </w:r>
          </w:p>
        </w:tc>
        <w:tc>
          <w:tcPr>
            <w:tcW w:w="26" w:type="dxa"/>
            <w:tcBorders/>
            <w:shd w:fill="auto" w:val="clear"/>
            <w:vAlign w:val="center"/>
          </w:tcPr>
          <w:p>
            <w:pPr>
              <w:pStyle w:val="TableContents"/>
              <w:spacing w:before="0" w:after="283"/>
              <w:rPr/>
            </w:pPr>
            <w:r>
              <w:rPr/>
            </w:r>
          </w:p>
        </w:tc>
        <w:tc>
          <w:tcPr>
            <w:tcW w:w="739" w:type="dxa"/>
            <w:tcBorders>
              <w:bottom w:val="double" w:sz="5"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$841.8</w:t>
            </w:r>
          </w:p>
        </w:tc>
        <w:tc>
          <w:tcPr>
            <w:tcW w:w="37" w:type="dxa"/>
            <w:tcBorders/>
            <w:shd w:fill="auto" w:val="clear"/>
            <w:vAlign w:val="center"/>
          </w:tcPr>
          <w:p>
            <w:pPr>
              <w:pStyle w:val="TableContents"/>
              <w:spacing w:before="0" w:after="283"/>
              <w:rPr/>
            </w:pPr>
            <w:r>
              <w:rPr/>
            </w:r>
          </w:p>
        </w:tc>
        <w:tc>
          <w:tcPr>
            <w:tcW w:w="855"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$751.5</w:t>
            </w:r>
          </w:p>
        </w:tc>
        <w:tc>
          <w:tcPr>
            <w:tcW w:w="37" w:type="dxa"/>
            <w:tcBorders/>
            <w:shd w:fill="auto" w:val="clear"/>
            <w:vAlign w:val="center"/>
          </w:tcPr>
          <w:p>
            <w:pPr>
              <w:pStyle w:val="TableContents"/>
              <w:spacing w:before="0" w:after="283"/>
              <w:rPr/>
            </w:pPr>
            <w:r>
              <w:rPr/>
            </w:r>
          </w:p>
        </w:tc>
        <w:tc>
          <w:tcPr>
            <w:tcW w:w="70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$90.3</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12.0%</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rPr/>
            </w:pPr>
            <w:r>
              <w:rPr/>
            </w:r>
          </w:p>
        </w:tc>
        <w:tc>
          <w:tcPr>
            <w:tcW w:w="666" w:type="dxa"/>
            <w:gridSpan w:val="3"/>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283"/>
              <w:rPr/>
            </w:pPr>
            <w:r>
              <w:rPr/>
            </w:r>
          </w:p>
        </w:tc>
        <w:tc>
          <w:tcPr>
            <w:tcW w:w="806" w:type="dxa"/>
            <w:tcBorders/>
            <w:shd w:fill="auto" w:val="clear"/>
            <w:vAlign w:val="center"/>
          </w:tcPr>
          <w:p>
            <w:pPr>
              <w:pStyle w:val="TableContents"/>
              <w:spacing w:before="0" w:after="283"/>
              <w:rPr/>
            </w:pPr>
            <w:r>
              <w:rPr/>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Segment operating income (loss):</w:t>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rPr/>
            </w:pPr>
            <w:r>
              <w:rPr/>
            </w:r>
          </w:p>
        </w:tc>
        <w:tc>
          <w:tcPr>
            <w:tcW w:w="666" w:type="dxa"/>
            <w:gridSpan w:val="3"/>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283"/>
              <w:rPr/>
            </w:pPr>
            <w:r>
              <w:rPr/>
            </w:r>
          </w:p>
        </w:tc>
        <w:tc>
          <w:tcPr>
            <w:tcW w:w="806" w:type="dxa"/>
            <w:tcBorders/>
            <w:shd w:fill="auto" w:val="clear"/>
            <w:vAlign w:val="center"/>
          </w:tcPr>
          <w:p>
            <w:pPr>
              <w:pStyle w:val="TableContents"/>
              <w:spacing w:before="0" w:after="283"/>
              <w:rPr/>
            </w:pPr>
            <w:r>
              <w:rPr/>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180" w:right="0" w:hanging="0"/>
              <w:rPr>
                <w:rFonts w:ascii="Arial" w:hAnsi="Arial"/>
                <w:color w:val="000000"/>
                <w:sz w:val="16"/>
              </w:rPr>
            </w:pPr>
            <w:r>
              <w:rPr>
                <w:rFonts w:ascii="Arial" w:hAnsi="Arial"/>
                <w:color w:val="000000"/>
                <w:sz w:val="16"/>
              </w:rPr>
              <w:t>Marketing &amp; Events Group:</w:t>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rPr/>
            </w:pPr>
            <w:r>
              <w:rPr/>
            </w:r>
          </w:p>
        </w:tc>
        <w:tc>
          <w:tcPr>
            <w:tcW w:w="666" w:type="dxa"/>
            <w:gridSpan w:val="3"/>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283"/>
              <w:rPr/>
            </w:pPr>
            <w:r>
              <w:rPr/>
            </w:r>
          </w:p>
        </w:tc>
        <w:tc>
          <w:tcPr>
            <w:tcW w:w="806" w:type="dxa"/>
            <w:tcBorders/>
            <w:shd w:fill="auto" w:val="clear"/>
            <w:vAlign w:val="center"/>
          </w:tcPr>
          <w:p>
            <w:pPr>
              <w:pStyle w:val="TableContents"/>
              <w:spacing w:before="0" w:after="283"/>
              <w:rPr/>
            </w:pPr>
            <w:r>
              <w:rPr/>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360" w:right="0" w:hanging="0"/>
              <w:rPr>
                <w:rFonts w:ascii="Arial" w:hAnsi="Arial"/>
                <w:color w:val="000000"/>
                <w:sz w:val="16"/>
              </w:rPr>
            </w:pPr>
            <w:r>
              <w:rPr>
                <w:rFonts w:ascii="Arial" w:hAnsi="Arial"/>
                <w:color w:val="000000"/>
                <w:sz w:val="16"/>
              </w:rPr>
              <w:t>U.S.</w:t>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1.1</w:t>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(3.7)</w:t>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$4.8</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w:t>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$22.0</w:t>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$13.0</w:t>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$9.01</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70.0%</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360" w:right="0" w:hanging="0"/>
              <w:rPr>
                <w:rFonts w:ascii="Arial" w:hAnsi="Arial"/>
                <w:color w:val="000000"/>
                <w:sz w:val="16"/>
              </w:rPr>
            </w:pPr>
            <w:r>
              <w:rPr>
                <w:rFonts w:ascii="Arial" w:hAnsi="Arial"/>
                <w:color w:val="000000"/>
                <w:sz w:val="16"/>
              </w:rPr>
              <w:t>International</w:t>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1.3</w:t>
            </w:r>
          </w:p>
        </w:tc>
        <w:tc>
          <w:tcPr>
            <w:tcW w:w="26" w:type="dxa"/>
            <w:tcBorders/>
            <w:shd w:fill="auto" w:val="clear"/>
            <w:vAlign w:val="center"/>
          </w:tcPr>
          <w:p>
            <w:pPr>
              <w:pStyle w:val="TableContents"/>
              <w:spacing w:before="0" w:after="283"/>
              <w:rPr/>
            </w:pPr>
            <w:r>
              <w:rPr/>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(4.2)</w:t>
            </w:r>
          </w:p>
        </w:tc>
        <w:tc>
          <w:tcPr>
            <w:tcW w:w="26" w:type="dxa"/>
            <w:tcBorders/>
            <w:shd w:fill="auto" w:val="clear"/>
            <w:vAlign w:val="center"/>
          </w:tcPr>
          <w:p>
            <w:pPr>
              <w:pStyle w:val="TableContents"/>
              <w:spacing w:before="0" w:after="283"/>
              <w:rPr/>
            </w:pPr>
            <w:r>
              <w:rPr/>
            </w:r>
          </w:p>
        </w:tc>
        <w:tc>
          <w:tcPr>
            <w:tcW w:w="680" w:type="dxa"/>
            <w:tcBorders>
              <w:bottom w:val="single" w:sz="8"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5.5</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w:t>
            </w:r>
          </w:p>
        </w:tc>
        <w:tc>
          <w:tcPr>
            <w:tcW w:w="26" w:type="dxa"/>
            <w:tcBorders/>
            <w:shd w:fill="auto" w:val="clear"/>
            <w:vAlign w:val="center"/>
          </w:tcPr>
          <w:p>
            <w:pPr>
              <w:pStyle w:val="TableContents"/>
              <w:spacing w:before="0" w:after="283"/>
              <w:rPr/>
            </w:pPr>
            <w:r>
              <w:rPr/>
            </w:r>
          </w:p>
        </w:tc>
        <w:tc>
          <w:tcPr>
            <w:tcW w:w="739" w:type="dxa"/>
            <w:tcBorders>
              <w:bottom w:val="single" w:sz="8"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7.5</w:t>
            </w:r>
          </w:p>
        </w:tc>
        <w:tc>
          <w:tcPr>
            <w:tcW w:w="37" w:type="dxa"/>
            <w:tcBorders/>
            <w:shd w:fill="auto" w:val="clear"/>
            <w:vAlign w:val="center"/>
          </w:tcPr>
          <w:p>
            <w:pPr>
              <w:pStyle w:val="TableContents"/>
              <w:spacing w:before="0" w:after="283"/>
              <w:rPr/>
            </w:pPr>
            <w:r>
              <w:rPr/>
            </w:r>
          </w:p>
        </w:tc>
        <w:tc>
          <w:tcPr>
            <w:tcW w:w="855"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5.8</w:t>
            </w:r>
          </w:p>
        </w:tc>
        <w:tc>
          <w:tcPr>
            <w:tcW w:w="37" w:type="dxa"/>
            <w:tcBorders/>
            <w:shd w:fill="auto" w:val="clear"/>
            <w:vAlign w:val="center"/>
          </w:tcPr>
          <w:p>
            <w:pPr>
              <w:pStyle w:val="TableContents"/>
              <w:spacing w:before="0" w:after="283"/>
              <w:rPr/>
            </w:pPr>
            <w:r>
              <w:rPr/>
            </w:r>
          </w:p>
        </w:tc>
        <w:tc>
          <w:tcPr>
            <w:tcW w:w="70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1.7</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29.0%</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360" w:right="0" w:hanging="0"/>
              <w:rPr>
                <w:rFonts w:ascii="Arial" w:hAnsi="Arial"/>
                <w:color w:val="000000"/>
                <w:sz w:val="16"/>
              </w:rPr>
            </w:pPr>
            <w:r>
              <w:rPr>
                <w:rFonts w:ascii="Arial" w:hAnsi="Arial"/>
                <w:color w:val="000000"/>
                <w:sz w:val="16"/>
              </w:rPr>
              <w:t>Total</w:t>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2.4</w:t>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(7.9)</w:t>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10.3</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w:t>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29.6</w:t>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18.8</w:t>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10.8</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57.3%</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180" w:right="0" w:hanging="0"/>
              <w:rPr>
                <w:rFonts w:ascii="Arial" w:hAnsi="Arial"/>
                <w:color w:val="000000"/>
                <w:sz w:val="16"/>
              </w:rPr>
            </w:pPr>
            <w:r>
              <w:rPr>
                <w:rFonts w:ascii="Arial" w:hAnsi="Arial"/>
                <w:color w:val="000000"/>
                <w:sz w:val="16"/>
              </w:rPr>
              <w:t>Travel &amp; Recreation Group</w:t>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30.6</w:t>
            </w:r>
          </w:p>
        </w:tc>
        <w:tc>
          <w:tcPr>
            <w:tcW w:w="26" w:type="dxa"/>
            <w:tcBorders/>
            <w:shd w:fill="auto" w:val="clear"/>
            <w:vAlign w:val="center"/>
          </w:tcPr>
          <w:p>
            <w:pPr>
              <w:pStyle w:val="TableContents"/>
              <w:spacing w:before="0" w:after="283"/>
              <w:rPr/>
            </w:pPr>
            <w:r>
              <w:rPr/>
            </w:r>
          </w:p>
        </w:tc>
        <w:tc>
          <w:tcPr>
            <w:tcW w:w="65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26.6</w:t>
            </w:r>
          </w:p>
        </w:tc>
        <w:tc>
          <w:tcPr>
            <w:tcW w:w="26" w:type="dxa"/>
            <w:tcBorders/>
            <w:shd w:fill="auto" w:val="clear"/>
            <w:vAlign w:val="center"/>
          </w:tcPr>
          <w:p>
            <w:pPr>
              <w:pStyle w:val="TableContents"/>
              <w:spacing w:before="0" w:after="283"/>
              <w:rPr/>
            </w:pPr>
            <w:r>
              <w:rPr/>
            </w:r>
          </w:p>
        </w:tc>
        <w:tc>
          <w:tcPr>
            <w:tcW w:w="680" w:type="dxa"/>
            <w:tcBorders>
              <w:bottom w:val="single" w:sz="8"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4.0</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15.1%</w:t>
            </w:r>
          </w:p>
        </w:tc>
        <w:tc>
          <w:tcPr>
            <w:tcW w:w="26" w:type="dxa"/>
            <w:tcBorders/>
            <w:shd w:fill="auto" w:val="clear"/>
            <w:vAlign w:val="center"/>
          </w:tcPr>
          <w:p>
            <w:pPr>
              <w:pStyle w:val="TableContents"/>
              <w:spacing w:before="0" w:after="283"/>
              <w:rPr/>
            </w:pPr>
            <w:r>
              <w:rPr/>
            </w:r>
          </w:p>
        </w:tc>
        <w:tc>
          <w:tcPr>
            <w:tcW w:w="739" w:type="dxa"/>
            <w:tcBorders>
              <w:bottom w:val="single" w:sz="8"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31.0</w:t>
            </w:r>
          </w:p>
        </w:tc>
        <w:tc>
          <w:tcPr>
            <w:tcW w:w="37" w:type="dxa"/>
            <w:tcBorders/>
            <w:shd w:fill="auto" w:val="clear"/>
            <w:vAlign w:val="center"/>
          </w:tcPr>
          <w:p>
            <w:pPr>
              <w:pStyle w:val="TableContents"/>
              <w:spacing w:before="0" w:after="283"/>
              <w:rPr/>
            </w:pPr>
            <w:r>
              <w:rPr/>
            </w:r>
          </w:p>
        </w:tc>
        <w:tc>
          <w:tcPr>
            <w:tcW w:w="855"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25.0</w:t>
            </w:r>
          </w:p>
        </w:tc>
        <w:tc>
          <w:tcPr>
            <w:tcW w:w="37" w:type="dxa"/>
            <w:tcBorders/>
            <w:shd w:fill="auto" w:val="clear"/>
            <w:vAlign w:val="center"/>
          </w:tcPr>
          <w:p>
            <w:pPr>
              <w:pStyle w:val="TableContents"/>
              <w:spacing w:before="0" w:after="283"/>
              <w:rPr/>
            </w:pPr>
            <w:r>
              <w:rPr/>
            </w:r>
          </w:p>
        </w:tc>
        <w:tc>
          <w:tcPr>
            <w:tcW w:w="70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6.0</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23.9%</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0"/>
              <w:ind w:left="0" w:right="0" w:hanging="0"/>
              <w:rPr>
                <w:color w:val="000000"/>
              </w:rPr>
            </w:pPr>
            <w:r>
              <w:rPr>
                <w:color w:val="000000"/>
              </w:rPr>
              <w:t> </w:t>
            </w:r>
            <w:r>
              <w:rPr>
                <w:rFonts w:ascii="Arial" w:hAnsi="Arial"/>
                <w:color w:val="000000"/>
                <w:sz w:val="16"/>
              </w:rPr>
              <w:t>Total</w:t>
            </w:r>
          </w:p>
        </w:tc>
        <w:tc>
          <w:tcPr>
            <w:tcW w:w="651"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$33.0</w:t>
            </w:r>
          </w:p>
        </w:tc>
        <w:tc>
          <w:tcPr>
            <w:tcW w:w="26" w:type="dxa"/>
            <w:tcBorders/>
            <w:shd w:fill="auto" w:val="clear"/>
            <w:vAlign w:val="center"/>
          </w:tcPr>
          <w:p>
            <w:pPr>
              <w:pStyle w:val="TableContents"/>
              <w:spacing w:before="0" w:after="283"/>
              <w:rPr/>
            </w:pPr>
            <w:r>
              <w:rPr/>
            </w:r>
          </w:p>
        </w:tc>
        <w:tc>
          <w:tcPr>
            <w:tcW w:w="651"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$18.7</w:t>
            </w:r>
          </w:p>
        </w:tc>
        <w:tc>
          <w:tcPr>
            <w:tcW w:w="26" w:type="dxa"/>
            <w:tcBorders/>
            <w:shd w:fill="auto" w:val="clear"/>
            <w:vAlign w:val="center"/>
          </w:tcPr>
          <w:p>
            <w:pPr>
              <w:pStyle w:val="TableContents"/>
              <w:spacing w:before="0" w:after="283"/>
              <w:rPr/>
            </w:pPr>
            <w:r>
              <w:rPr/>
            </w:r>
          </w:p>
        </w:tc>
        <w:tc>
          <w:tcPr>
            <w:tcW w:w="680" w:type="dxa"/>
            <w:tcBorders>
              <w:bottom w:val="double" w:sz="5"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$ 14.3</w:t>
            </w:r>
          </w:p>
        </w:tc>
        <w:tc>
          <w:tcPr>
            <w:tcW w:w="666" w:type="dxa"/>
            <w:gridSpan w:val="3"/>
            <w:tcBorders/>
            <w:shd w:fill="auto" w:val="clear"/>
            <w:vAlign w:val="center"/>
          </w:tcPr>
          <w:p>
            <w:pPr>
              <w:pStyle w:val="TableContents"/>
              <w:spacing w:before="0" w:after="283"/>
              <w:ind w:left="0" w:right="90" w:hanging="0"/>
              <w:jc w:val="right"/>
              <w:rPr>
                <w:rFonts w:ascii="Arial" w:hAnsi="Arial"/>
                <w:color w:val="000000"/>
                <w:sz w:val="16"/>
              </w:rPr>
            </w:pPr>
            <w:r>
              <w:rPr>
                <w:rFonts w:ascii="Arial" w:hAnsi="Arial"/>
                <w:color w:val="000000"/>
                <w:sz w:val="16"/>
              </w:rPr>
              <w:t>76.3%</w:t>
            </w:r>
          </w:p>
        </w:tc>
        <w:tc>
          <w:tcPr>
            <w:tcW w:w="26" w:type="dxa"/>
            <w:tcBorders/>
            <w:shd w:fill="auto" w:val="clear"/>
            <w:vAlign w:val="center"/>
          </w:tcPr>
          <w:p>
            <w:pPr>
              <w:pStyle w:val="TableContents"/>
              <w:spacing w:before="0" w:after="283"/>
              <w:rPr/>
            </w:pPr>
            <w:r>
              <w:rPr/>
            </w:r>
          </w:p>
        </w:tc>
        <w:tc>
          <w:tcPr>
            <w:tcW w:w="739" w:type="dxa"/>
            <w:tcBorders>
              <w:bottom w:val="double" w:sz="5" w:space="0" w:color="000000"/>
            </w:tcBorders>
            <w:shd w:fill="auto" w:val="clear"/>
            <w:tcMar>
              <w:bottom w:w="28" w:type="dxa"/>
            </w:tcMar>
            <w:vAlign w:val="center"/>
          </w:tcPr>
          <w:p>
            <w:pPr>
              <w:pStyle w:val="TableContents"/>
              <w:spacing w:before="0" w:after="283"/>
              <w:ind w:left="0" w:right="75" w:hanging="0"/>
              <w:jc w:val="right"/>
              <w:rPr>
                <w:rFonts w:ascii="Arial" w:hAnsi="Arial"/>
                <w:color w:val="000000"/>
                <w:sz w:val="16"/>
              </w:rPr>
            </w:pPr>
            <w:r>
              <w:rPr>
                <w:rFonts w:ascii="Arial" w:hAnsi="Arial"/>
                <w:color w:val="000000"/>
                <w:sz w:val="16"/>
              </w:rPr>
              <w:t>$ 60.5</w:t>
            </w:r>
          </w:p>
        </w:tc>
        <w:tc>
          <w:tcPr>
            <w:tcW w:w="37" w:type="dxa"/>
            <w:tcBorders/>
            <w:shd w:fill="auto" w:val="clear"/>
            <w:vAlign w:val="center"/>
          </w:tcPr>
          <w:p>
            <w:pPr>
              <w:pStyle w:val="TableContents"/>
              <w:spacing w:before="0" w:after="283"/>
              <w:rPr/>
            </w:pPr>
            <w:r>
              <w:rPr/>
            </w:r>
          </w:p>
        </w:tc>
        <w:tc>
          <w:tcPr>
            <w:tcW w:w="855"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$ 43.8</w:t>
            </w:r>
          </w:p>
        </w:tc>
        <w:tc>
          <w:tcPr>
            <w:tcW w:w="37" w:type="dxa"/>
            <w:tcBorders/>
            <w:shd w:fill="auto" w:val="clear"/>
            <w:vAlign w:val="center"/>
          </w:tcPr>
          <w:p>
            <w:pPr>
              <w:pStyle w:val="TableContents"/>
              <w:spacing w:before="0" w:after="283"/>
              <w:rPr/>
            </w:pPr>
            <w:r>
              <w:rPr/>
            </w:r>
          </w:p>
        </w:tc>
        <w:tc>
          <w:tcPr>
            <w:tcW w:w="70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$16.7</w:t>
            </w:r>
          </w:p>
        </w:tc>
        <w:tc>
          <w:tcPr>
            <w:tcW w:w="80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38.2%</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898" w:type="dxa"/>
            <w:gridSpan w:val="2"/>
            <w:tcBorders/>
            <w:shd w:fill="auto" w:val="clear"/>
            <w:vAlign w:val="center"/>
          </w:tcPr>
          <w:p>
            <w:pPr>
              <w:pStyle w:val="TableContents"/>
              <w:spacing w:before="0" w:after="283"/>
              <w:rPr/>
            </w:pPr>
            <w:r>
              <w:rPr/>
            </w:r>
          </w:p>
        </w:tc>
        <w:tc>
          <w:tcPr>
            <w:tcW w:w="1213" w:type="dxa"/>
            <w:gridSpan w:val="4"/>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283"/>
              <w:rPr/>
            </w:pPr>
            <w:r>
              <w:rPr/>
            </w:r>
          </w:p>
        </w:tc>
        <w:tc>
          <w:tcPr>
            <w:tcW w:w="806" w:type="dxa"/>
            <w:tcBorders/>
            <w:shd w:fill="auto" w:val="clear"/>
            <w:vAlign w:val="center"/>
          </w:tcPr>
          <w:p>
            <w:pPr>
              <w:pStyle w:val="TableContents"/>
              <w:spacing w:before="0" w:after="283"/>
              <w:rPr/>
            </w:pPr>
            <w:r>
              <w:rPr/>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Operating margins:</w:t>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283"/>
              <w:rPr/>
            </w:pPr>
            <w:r>
              <w:rPr/>
            </w:r>
          </w:p>
        </w:tc>
        <w:tc>
          <w:tcPr>
            <w:tcW w:w="26" w:type="dxa"/>
            <w:tcBorders/>
            <w:shd w:fill="auto" w:val="clear"/>
            <w:vAlign w:val="center"/>
          </w:tcPr>
          <w:p>
            <w:pPr>
              <w:pStyle w:val="TableContents"/>
              <w:spacing w:before="0" w:after="283"/>
              <w:rPr/>
            </w:pPr>
            <w:r>
              <w:rPr/>
            </w:r>
          </w:p>
        </w:tc>
        <w:tc>
          <w:tcPr>
            <w:tcW w:w="898" w:type="dxa"/>
            <w:gridSpan w:val="2"/>
            <w:tcBorders/>
            <w:shd w:fill="auto" w:val="clear"/>
            <w:vAlign w:val="center"/>
          </w:tcPr>
          <w:p>
            <w:pPr>
              <w:pStyle w:val="TableContents"/>
              <w:spacing w:before="0" w:after="283"/>
              <w:rPr/>
            </w:pPr>
            <w:r>
              <w:rPr/>
            </w:r>
          </w:p>
        </w:tc>
        <w:tc>
          <w:tcPr>
            <w:tcW w:w="1213" w:type="dxa"/>
            <w:gridSpan w:val="4"/>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283"/>
              <w:rPr/>
            </w:pPr>
            <w:r>
              <w:rPr/>
            </w:r>
          </w:p>
        </w:tc>
        <w:tc>
          <w:tcPr>
            <w:tcW w:w="37" w:type="dxa"/>
            <w:tcBorders/>
            <w:shd w:fill="auto" w:val="clear"/>
            <w:vAlign w:val="center"/>
          </w:tcPr>
          <w:p>
            <w:pPr>
              <w:pStyle w:val="TableContents"/>
              <w:spacing w:before="0" w:after="283"/>
              <w:rPr/>
            </w:pPr>
            <w:r>
              <w:rPr/>
            </w:r>
          </w:p>
        </w:tc>
        <w:tc>
          <w:tcPr>
            <w:tcW w:w="706" w:type="dxa"/>
            <w:tcBorders/>
            <w:shd w:fill="auto" w:val="clear"/>
            <w:vAlign w:val="center"/>
          </w:tcPr>
          <w:p>
            <w:pPr>
              <w:pStyle w:val="TableContents"/>
              <w:spacing w:before="0" w:after="283"/>
              <w:rPr/>
            </w:pPr>
            <w:r>
              <w:rPr/>
            </w:r>
          </w:p>
        </w:tc>
        <w:tc>
          <w:tcPr>
            <w:tcW w:w="806" w:type="dxa"/>
            <w:tcBorders/>
            <w:shd w:fill="auto" w:val="clear"/>
            <w:vAlign w:val="center"/>
          </w:tcPr>
          <w:p>
            <w:pPr>
              <w:pStyle w:val="TableContents"/>
              <w:spacing w:before="0" w:after="283"/>
              <w:rPr/>
            </w:pPr>
            <w:r>
              <w:rPr/>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180" w:right="0" w:hanging="0"/>
              <w:rPr>
                <w:rFonts w:ascii="Arial" w:hAnsi="Arial"/>
                <w:color w:val="000000"/>
                <w:sz w:val="16"/>
              </w:rPr>
            </w:pPr>
            <w:r>
              <w:rPr>
                <w:rFonts w:ascii="Arial" w:hAnsi="Arial"/>
                <w:color w:val="000000"/>
                <w:sz w:val="16"/>
              </w:rPr>
              <w:t>Marketing &amp; Events Group</w:t>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w:t>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-5.1%</w:t>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610</w:t>
            </w:r>
          </w:p>
        </w:tc>
        <w:tc>
          <w:tcPr>
            <w:tcW w:w="666" w:type="dxa"/>
            <w:gridSpan w:val="3"/>
            <w:tcBorders/>
            <w:shd w:fill="auto" w:val="clear"/>
            <w:vAlign w:val="center"/>
          </w:tcPr>
          <w:p>
            <w:pPr>
              <w:pStyle w:val="TableContents"/>
              <w:spacing w:before="0" w:after="283"/>
              <w:ind w:left="0" w:right="90" w:hanging="0"/>
              <w:rPr>
                <w:color w:val="000000"/>
              </w:rPr>
            </w:pPr>
            <w:r>
              <w:rPr>
                <w:color w:val="000000"/>
              </w:rPr>
              <w:t> </w:t>
            </w:r>
            <w:r>
              <w:rPr>
                <w:rFonts w:ascii="Arial" w:hAnsi="Arial"/>
                <w:color w:val="000000"/>
                <w:sz w:val="16"/>
              </w:rPr>
              <w:t>bps</w:t>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4.0%</w:t>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2.9%</w:t>
            </w:r>
          </w:p>
        </w:tc>
        <w:tc>
          <w:tcPr>
            <w:tcW w:w="37" w:type="dxa"/>
            <w:tcBorders/>
            <w:shd w:fill="auto" w:val="clear"/>
            <w:vAlign w:val="center"/>
          </w:tcPr>
          <w:p>
            <w:pPr>
              <w:pStyle w:val="TableContents"/>
              <w:spacing w:before="0" w:after="283"/>
              <w:rPr/>
            </w:pPr>
            <w:r>
              <w:rPr/>
            </w:r>
          </w:p>
        </w:tc>
        <w:tc>
          <w:tcPr>
            <w:tcW w:w="1512" w:type="dxa"/>
            <w:gridSpan w:val="2"/>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110 Bps</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283"/>
              <w:ind w:left="180" w:right="0" w:hanging="0"/>
              <w:rPr>
                <w:rFonts w:ascii="Arial" w:hAnsi="Arial"/>
                <w:color w:val="000000"/>
                <w:sz w:val="16"/>
              </w:rPr>
            </w:pPr>
            <w:r>
              <w:rPr>
                <w:rFonts w:ascii="Arial" w:hAnsi="Arial"/>
                <w:color w:val="000000"/>
                <w:sz w:val="16"/>
              </w:rPr>
              <w:t>Travel &amp; Recreation Group</w:t>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41.9%</w:t>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41.8%</w:t>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w:t>
            </w:r>
          </w:p>
        </w:tc>
        <w:tc>
          <w:tcPr>
            <w:tcW w:w="666" w:type="dxa"/>
            <w:gridSpan w:val="3"/>
            <w:tcBorders/>
            <w:shd w:fill="auto" w:val="clear"/>
            <w:vAlign w:val="center"/>
          </w:tcPr>
          <w:p>
            <w:pPr>
              <w:pStyle w:val="TableContents"/>
              <w:spacing w:before="0" w:after="283"/>
              <w:ind w:left="0" w:right="90" w:hanging="0"/>
              <w:rPr>
                <w:color w:val="000000"/>
              </w:rPr>
            </w:pPr>
            <w:r>
              <w:rPr>
                <w:color w:val="000000"/>
              </w:rPr>
              <w:t> </w:t>
            </w:r>
            <w:r>
              <w:rPr>
                <w:rFonts w:ascii="Arial" w:hAnsi="Arial"/>
                <w:color w:val="000000"/>
                <w:sz w:val="16"/>
              </w:rPr>
              <w:t>bps</w:t>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27.9%</w:t>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25.4%</w:t>
            </w:r>
          </w:p>
        </w:tc>
        <w:tc>
          <w:tcPr>
            <w:tcW w:w="37" w:type="dxa"/>
            <w:tcBorders/>
            <w:shd w:fill="auto" w:val="clear"/>
            <w:vAlign w:val="center"/>
          </w:tcPr>
          <w:p>
            <w:pPr>
              <w:pStyle w:val="TableContents"/>
              <w:spacing w:before="0" w:after="283"/>
              <w:rPr/>
            </w:pPr>
            <w:r>
              <w:rPr/>
            </w:r>
          </w:p>
        </w:tc>
        <w:tc>
          <w:tcPr>
            <w:tcW w:w="1512" w:type="dxa"/>
            <w:gridSpan w:val="2"/>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250 Bps</w:t>
            </w:r>
          </w:p>
        </w:tc>
        <w:tc>
          <w:tcPr>
            <w:tcW w:w="26" w:type="dxa"/>
            <w:tcBorders/>
            <w:shd w:fill="auto" w:val="clear"/>
          </w:tcPr>
          <w:p>
            <w:pPr>
              <w:pStyle w:val="TableContents"/>
              <w:spacing w:before="0" w:after="283"/>
              <w:rPr>
                <w:sz w:val="4"/>
                <w:szCs w:val="4"/>
              </w:rPr>
            </w:pPr>
            <w:r>
              <w:rPr>
                <w:sz w:val="4"/>
                <w:szCs w:val="4"/>
              </w:rPr>
            </w:r>
          </w:p>
        </w:tc>
      </w:tr>
      <w:tr>
        <w:trPr/>
        <w:tc>
          <w:tcPr>
            <w:tcW w:w="2868" w:type="dxa"/>
            <w:tcBorders/>
            <w:shd w:fill="auto" w:val="clear"/>
            <w:vAlign w:val="center"/>
          </w:tcPr>
          <w:p>
            <w:pPr>
              <w:pStyle w:val="TableContents"/>
              <w:spacing w:before="0" w:after="0"/>
              <w:ind w:left="0" w:right="0" w:hanging="0"/>
              <w:rPr>
                <w:color w:val="000000"/>
              </w:rPr>
            </w:pPr>
            <w:r>
              <w:rPr>
                <w:color w:val="000000"/>
              </w:rPr>
              <w:t> </w:t>
            </w:r>
            <w:r>
              <w:rPr>
                <w:rFonts w:ascii="Arial" w:hAnsi="Arial"/>
                <w:color w:val="000000"/>
                <w:sz w:val="16"/>
              </w:rPr>
              <w:t>Total</w:t>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11.0%</w:t>
            </w:r>
          </w:p>
        </w:tc>
        <w:tc>
          <w:tcPr>
            <w:tcW w:w="26" w:type="dxa"/>
            <w:tcBorders/>
            <w:shd w:fill="auto" w:val="clear"/>
            <w:vAlign w:val="center"/>
          </w:tcPr>
          <w:p>
            <w:pPr>
              <w:pStyle w:val="TableContents"/>
              <w:spacing w:before="0" w:after="283"/>
              <w:rPr/>
            </w:pPr>
            <w:r>
              <w:rPr/>
            </w:r>
          </w:p>
        </w:tc>
        <w:tc>
          <w:tcPr>
            <w:tcW w:w="65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8.5%</w:t>
            </w:r>
          </w:p>
        </w:tc>
        <w:tc>
          <w:tcPr>
            <w:tcW w:w="26" w:type="dxa"/>
            <w:tcBorders/>
            <w:shd w:fill="auto" w:val="clear"/>
            <w:vAlign w:val="center"/>
          </w:tcPr>
          <w:p>
            <w:pPr>
              <w:pStyle w:val="TableContents"/>
              <w:spacing w:before="0" w:after="283"/>
              <w:rPr/>
            </w:pPr>
            <w:r>
              <w:rPr/>
            </w:r>
          </w:p>
        </w:tc>
        <w:tc>
          <w:tcPr>
            <w:tcW w:w="6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250</w:t>
            </w:r>
          </w:p>
        </w:tc>
        <w:tc>
          <w:tcPr>
            <w:tcW w:w="666" w:type="dxa"/>
            <w:gridSpan w:val="3"/>
            <w:tcBorders/>
            <w:shd w:fill="auto" w:val="clear"/>
            <w:vAlign w:val="center"/>
          </w:tcPr>
          <w:p>
            <w:pPr>
              <w:pStyle w:val="TableContents"/>
              <w:spacing w:before="0" w:after="283"/>
              <w:ind w:left="0" w:right="90" w:hanging="0"/>
              <w:rPr>
                <w:color w:val="000000"/>
              </w:rPr>
            </w:pPr>
            <w:r>
              <w:rPr>
                <w:color w:val="000000"/>
              </w:rPr>
              <w:t> </w:t>
            </w:r>
            <w:r>
              <w:rPr>
                <w:rFonts w:ascii="Arial" w:hAnsi="Arial"/>
                <w:color w:val="000000"/>
                <w:sz w:val="16"/>
              </w:rPr>
              <w:t>bps</w:t>
            </w:r>
          </w:p>
        </w:tc>
        <w:tc>
          <w:tcPr>
            <w:tcW w:w="26" w:type="dxa"/>
            <w:tcBorders/>
            <w:shd w:fill="auto" w:val="clear"/>
            <w:vAlign w:val="center"/>
          </w:tcPr>
          <w:p>
            <w:pPr>
              <w:pStyle w:val="TableContents"/>
              <w:spacing w:before="0" w:after="283"/>
              <w:rPr/>
            </w:pPr>
            <w:r>
              <w:rPr/>
            </w:r>
          </w:p>
        </w:tc>
        <w:tc>
          <w:tcPr>
            <w:tcW w:w="73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7.2%</w:t>
            </w:r>
          </w:p>
        </w:tc>
        <w:tc>
          <w:tcPr>
            <w:tcW w:w="37" w:type="dxa"/>
            <w:tcBorders/>
            <w:shd w:fill="auto" w:val="clear"/>
            <w:vAlign w:val="center"/>
          </w:tcPr>
          <w:p>
            <w:pPr>
              <w:pStyle w:val="TableContents"/>
              <w:spacing w:before="0" w:after="283"/>
              <w:rPr/>
            </w:pPr>
            <w:r>
              <w:rPr/>
            </w:r>
          </w:p>
        </w:tc>
        <w:tc>
          <w:tcPr>
            <w:tcW w:w="85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5.8%</w:t>
            </w:r>
          </w:p>
        </w:tc>
        <w:tc>
          <w:tcPr>
            <w:tcW w:w="37" w:type="dxa"/>
            <w:tcBorders/>
            <w:shd w:fill="auto" w:val="clear"/>
            <w:vAlign w:val="center"/>
          </w:tcPr>
          <w:p>
            <w:pPr>
              <w:pStyle w:val="TableContents"/>
              <w:spacing w:before="0" w:after="283"/>
              <w:rPr/>
            </w:pPr>
            <w:r>
              <w:rPr/>
            </w:r>
          </w:p>
        </w:tc>
        <w:tc>
          <w:tcPr>
            <w:tcW w:w="1512" w:type="dxa"/>
            <w:gridSpan w:val="2"/>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140 Bps</w:t>
            </w:r>
          </w:p>
        </w:tc>
        <w:tc>
          <w:tcPr>
            <w:tcW w:w="26" w:type="dxa"/>
            <w:tcBorders/>
            <w:shd w:fill="auto" w:val="clear"/>
          </w:tcPr>
          <w:p>
            <w:pPr>
              <w:pStyle w:val="TableContents"/>
              <w:spacing w:before="0" w:after="283"/>
              <w:rPr>
                <w:sz w:val="4"/>
                <w:szCs w:val="4"/>
              </w:rPr>
            </w:pPr>
            <w:r>
              <w:rPr>
                <w:sz w:val="4"/>
                <w:szCs w:val="4"/>
              </w:rPr>
            </w:r>
          </w:p>
        </w:tc>
      </w:tr>
      <w:tr>
        <w:trPr/>
        <w:tc>
          <w:tcPr>
            <w:tcW w:w="8800" w:type="dxa"/>
            <w:gridSpan w:val="17"/>
            <w:tcBorders/>
            <w:shd w:fill="auto" w:val="clear"/>
            <w:vAlign w:val="center"/>
          </w:tcPr>
          <w:p>
            <w:pPr>
              <w:pStyle w:val="TableContents"/>
              <w:spacing w:before="0" w:after="283"/>
              <w:rPr/>
            </w:pPr>
            <w:r>
              <w:rPr/>
            </w:r>
          </w:p>
        </w:tc>
      </w:tr>
      <w:tr>
        <w:trPr/>
        <w:tc>
          <w:tcPr>
            <w:tcW w:w="8800" w:type="dxa"/>
            <w:gridSpan w:val="17"/>
            <w:tcBorders/>
            <w:shd w:fill="auto" w:val="clear"/>
            <w:vAlign w:val="center"/>
          </w:tcPr>
          <w:p>
            <w:pPr>
              <w:pStyle w:val="TableContents"/>
              <w:ind w:left="0" w:right="90" w:hanging="0"/>
              <w:rPr>
                <w:rFonts w:ascii="Arial" w:hAnsi="Arial"/>
                <w:i/>
                <w:color w:val="000000"/>
                <w:sz w:val="16"/>
              </w:rPr>
            </w:pPr>
            <w:r>
              <w:rPr>
                <w:rFonts w:ascii="Arial" w:hAnsi="Arial"/>
                <w:i/>
                <w:color w:val="000000"/>
                <w:sz w:val="16"/>
              </w:rPr>
              <w:t>** Change is greater than +/- 100 percent.</w:t>
            </w:r>
          </w:p>
          <w:p>
            <w:pPr>
              <w:pStyle w:val="TableContents"/>
              <w:ind w:left="0" w:right="90" w:hanging="0"/>
              <w:rPr>
                <w:rFonts w:ascii="Arial" w:hAnsi="Arial"/>
                <w:i/>
                <w:color w:val="000000"/>
                <w:sz w:val="16"/>
              </w:rPr>
            </w:pPr>
            <w:r>
              <w:rPr>
                <w:rFonts w:ascii="Arial" w:hAnsi="Arial"/>
                <w:i/>
                <w:color w:val="000000"/>
                <w:sz w:val="16"/>
              </w:rPr>
              <w:t>Note: Calculated amounts presented above (including totals and percentages) are calculated using dollars in thousands.</w:t>
            </w:r>
          </w:p>
          <w:p>
            <w:pPr>
              <w:pStyle w:val="TableContents"/>
              <w:spacing w:before="0" w:after="283"/>
              <w:ind w:left="0" w:right="90" w:hanging="0"/>
              <w:rPr>
                <w:color w:val="000000"/>
              </w:rPr>
            </w:pPr>
            <w:r>
              <w:rPr>
                <w:color w:val="000000"/>
              </w:rPr>
              <w:t> </w:t>
            </w:r>
          </w:p>
        </w:tc>
      </w:tr>
    </w:tbl>
    <w:p>
      <w:pPr>
        <w:pStyle w:val="TextBody"/>
        <w:spacing w:before="320" w:after="283"/>
        <w:ind w:left="200" w:right="0" w:hanging="0"/>
        <w:rPr>
          <w:b/>
          <w:i/>
        </w:rPr>
      </w:pPr>
      <w:r>
        <w:rPr>
          <w:b/>
          <w:i/>
        </w:rPr>
        <w:t>Marketing &amp; Events Group</w:t>
      </w:r>
    </w:p>
    <w:p>
      <w:pPr>
        <w:pStyle w:val="TextBody"/>
        <w:spacing w:before="320" w:after="283"/>
        <w:ind w:left="200" w:right="0" w:hanging="0"/>
        <w:rPr/>
      </w:pPr>
      <w:r>
        <w:rPr/>
        <w:t>For the third quarter of 2014, the Marketing &amp; Events Group posted revenue of $226.7 million and operating income of $2.4 million, which were in line with the Company's prior guidance. As compared to the 2013 third quarter, group operating results improved by $10.3 million on a revenue increase of $70.2 million with a 610 basis point improvement in operating margin.</w:t>
      </w:r>
    </w:p>
    <w:p>
      <w:pPr>
        <w:pStyle w:val="TextBody"/>
        <w:spacing w:before="320" w:after="283"/>
        <w:ind w:left="200" w:right="0" w:hanging="0"/>
        <w:rPr/>
      </w:pPr>
      <w:r>
        <w:rPr/>
        <w:t xml:space="preserve">U.S. segment third quarter revenue increased $47.6 million, or 39.5 percent, to $168.1 million as compared to $120.5 million in the 2013 third quarter and segment operating results improved by $4.8 million to income of $1.1 million. The growth versus the prior year was primarily driven by positive show rotation of approximately $34 million in revenue, a 3.4 percent increase in base same-show revenue and new business wins, partially offset by a non-recurring gain during the 2013 third quarter of $4.8 million related to the sale of a facility in connection with GES' Service Delivery Network initiative. Base same-show revenue is defined as revenue from shows that are produced out of the same city during the same quarter each year. </w:t>
      </w:r>
    </w:p>
    <w:p>
      <w:pPr>
        <w:pStyle w:val="TextBody"/>
        <w:spacing w:before="320" w:after="283"/>
        <w:ind w:left="200" w:right="0" w:hanging="0"/>
        <w:rPr/>
      </w:pPr>
      <w:r>
        <w:rPr/>
        <w:t>International segment third quarter revenue increased $23.9 million, or 59.2 percent, to $64.2 million and segment operating results improved by $5.5 million to income of $1.3 million. Foreign exchange rate variances had a favorable impact on revenue and operating income of $2.6 million and $89,000, respectively, as compared to the 2013 third quarter. Excluding foreign exchange rate variances, revenue and operating income increased by $21.3 million and $5.4 million, respectively. This growth was primarily driven by positive show rotation of approximately $14 million in revenue and new business wins, as well as the September 16</w:t>
      </w:r>
      <w:r>
        <w:rPr>
          <w:position w:val="8"/>
          <w:sz w:val="19"/>
        </w:rPr>
        <w:t>th</w:t>
      </w:r>
      <w:r>
        <w:rPr/>
        <w:t xml:space="preserve"> acquisition of Blitz Communications. </w:t>
      </w:r>
    </w:p>
    <w:p>
      <w:pPr>
        <w:pStyle w:val="TextBody"/>
        <w:spacing w:before="320" w:after="283"/>
        <w:ind w:left="200" w:right="0" w:hanging="0"/>
        <w:rPr/>
      </w:pPr>
      <w:r>
        <w:rPr/>
        <w:t>Dykstra said, "The Marketing &amp; Events Group posted strong third quarter results that were significantly better than the prior year and in line with our guidance. During the quarter, we produced IMTS and provided services at the Farnborough Airshow, which are major biennial events. We also benefited from continued same-show growth and new event wins, including the annual Mary Kay Seminar held in Dallas and the Commonwealth Games held in Scotland. We continue to focus on business development and margin improvement to deliver top-line growth and margin expansion in 2014 and beyond."</w:t>
      </w:r>
    </w:p>
    <w:p>
      <w:pPr>
        <w:pStyle w:val="TextBody"/>
        <w:spacing w:before="320" w:after="283"/>
        <w:ind w:left="200" w:right="0" w:hanging="0"/>
        <w:rPr>
          <w:b/>
          <w:i/>
        </w:rPr>
      </w:pPr>
      <w:r>
        <w:rPr>
          <w:b/>
          <w:i/>
        </w:rPr>
        <w:t>Travel &amp; Recreation Group</w:t>
      </w:r>
    </w:p>
    <w:p>
      <w:pPr>
        <w:pStyle w:val="TextBody"/>
        <w:spacing w:before="320" w:after="283"/>
        <w:ind w:left="200" w:right="0" w:hanging="0"/>
        <w:rPr/>
      </w:pPr>
      <w:r>
        <w:rPr/>
        <w:t xml:space="preserve">Travel &amp; Recreation Group revenue for the third quarter was $73.1 million with operating income of $30.6 million. Group operating income was at the high end of the Company's prior guidance and up 15.1 percent as compared to the 2013 third quarter on a revenue increase of 14.9 percent. Foreign exchange rate variances versus 2013 had an unfavorable impact on revenue and operating income of $2.2 million and $1.0 million, respectively. Excluding foreign exchange rate variances, revenue increased by $11.6 million, or 18.3 percent, and operating income increased by approximately $5.0 million, or 18.9 percent. Approximately $8.5 million of the revenue growth was due to the new Glacier Skywalk attraction and the July 1 acquisition of the West Glacier Motel &amp; Cabins, the Apgar Village Lodge and related assets ("West Glacier"). </w:t>
      </w:r>
    </w:p>
    <w:p>
      <w:pPr>
        <w:pStyle w:val="TextBody"/>
        <w:spacing w:before="320" w:after="283"/>
        <w:ind w:left="200" w:right="0" w:hanging="0"/>
        <w:rPr/>
      </w:pPr>
      <w:r>
        <w:rPr/>
        <w:t>Dykstra said, "Our Travel &amp; Recreation Group delivered another very strong quarter. The Glacier Skywalk continues to exceed expectations with a total guest count of over 200,000 during the quarter and over 280,000 year-to-date. We also continued to experience solid growth in passenger volumes at the Columbia Icefield Glacier Adventure, the Banff Gondola and the Banff Lake Cruise. The recently acquired West Glacier assets are performing well and I commend the team at Glacier Park for another smooth integration."</w:t>
      </w:r>
    </w:p>
    <w:p>
      <w:pPr>
        <w:pStyle w:val="TextBody"/>
        <w:spacing w:before="320" w:after="283"/>
        <w:ind w:left="200" w:right="0" w:hanging="0"/>
        <w:rPr>
          <w:b/>
        </w:rPr>
      </w:pPr>
      <w:r>
        <w:rPr>
          <w:b/>
        </w:rPr>
        <w:t>2014 Outlook</w:t>
      </w:r>
    </w:p>
    <w:p>
      <w:pPr>
        <w:pStyle w:val="TextBody"/>
        <w:spacing w:before="320" w:after="283"/>
        <w:ind w:left="200" w:right="0" w:hanging="0"/>
        <w:rPr/>
      </w:pPr>
      <w:r>
        <w:rPr/>
        <w:t>Guidance provided by Viad is subject to change as a variety of factors can affect actual results. Those factors are identified in the safe harbor language at the end of this press release.</w:t>
      </w:r>
    </w:p>
    <w:p>
      <w:pPr>
        <w:pStyle w:val="TextBody"/>
        <w:spacing w:before="320" w:after="283"/>
        <w:ind w:left="200" w:right="0" w:hanging="0"/>
        <w:rPr/>
      </w:pPr>
      <w:r>
        <w:rPr/>
        <w:t>Dykstra said, "We have realized significant growth so far this year and are sharply focused on finishing this year as strong as possible while also setting the company up for continued success in the years to come. We've made great progress against our strategic growth initiatives for both business groups with the launch of the Glacier Skywalk and the acquisitions of the West Glacier hospitality assets, audio-visual firm Blitz Communications and, most recently, event housing firms onPeak and Travel Planners. These are all great businesses in their own right and help to strengthen and expand our existing operations. In addition to reaping the synergistic benefits of acquisitions, we remain committed to driving margin improvement through operational excellence to further enhance shareholder value."</w:t>
      </w:r>
    </w:p>
    <w:p>
      <w:pPr>
        <w:pStyle w:val="TextBody"/>
        <w:spacing w:before="320" w:after="283"/>
        <w:ind w:left="200" w:right="0" w:hanging="0"/>
        <w:rPr>
          <w:b/>
        </w:rPr>
      </w:pPr>
      <w:r>
        <w:rPr>
          <w:b/>
        </w:rPr>
        <w:t xml:space="preserve">2014 Full Year Guidance </w:t>
      </w:r>
    </w:p>
    <w:p>
      <w:pPr>
        <w:pStyle w:val="TextBody"/>
        <w:spacing w:before="320" w:after="283"/>
        <w:ind w:left="200" w:right="0" w:hanging="0"/>
        <w:rPr>
          <w:b/>
          <w:i/>
        </w:rPr>
      </w:pPr>
      <w:r>
        <w:rPr>
          <w:b/>
          <w:i/>
        </w:rPr>
        <w:t xml:space="preserve">Marketing &amp; Events Group </w:t>
      </w:r>
    </w:p>
    <w:p>
      <w:pPr>
        <w:pStyle w:val="TextBody"/>
        <w:numPr>
          <w:ilvl w:val="0"/>
          <w:numId w:val="3"/>
        </w:numPr>
        <w:tabs>
          <w:tab w:val="clear" w:pos="1134"/>
          <w:tab w:val="left" w:pos="907" w:leader="none"/>
        </w:tabs>
        <w:spacing w:before="320" w:after="283"/>
        <w:ind w:left="907" w:right="0" w:hanging="283"/>
        <w:rPr/>
      </w:pPr>
      <w:r>
        <w:rPr>
          <w:b/>
        </w:rPr>
        <w:t xml:space="preserve">Revenue </w:t>
      </w:r>
      <w:r>
        <w:rPr/>
        <w:t xml:space="preserve">is expected to increase at a low double-digit rate from $844.9 million in 2013. </w:t>
      </w:r>
    </w:p>
    <w:p>
      <w:pPr>
        <w:pStyle w:val="TextBody"/>
        <w:numPr>
          <w:ilvl w:val="1"/>
          <w:numId w:val="3"/>
        </w:numPr>
        <w:tabs>
          <w:tab w:val="clear" w:pos="1134"/>
          <w:tab w:val="left" w:pos="1614" w:leader="none"/>
        </w:tabs>
        <w:spacing w:before="320" w:after="283"/>
        <w:ind w:left="1614" w:right="0" w:hanging="283"/>
        <w:rPr/>
      </w:pPr>
      <w:r>
        <w:rPr>
          <w:b/>
        </w:rPr>
        <w:t xml:space="preserve">Base same-show revenue </w:t>
      </w:r>
      <w:r>
        <w:rPr/>
        <w:t xml:space="preserve">is expected to increase at a low to mid single-digit rate in the U.S. Base same shows are defined as shows that take place in the same city during the same quarter each year. </w:t>
      </w:r>
    </w:p>
    <w:p>
      <w:pPr>
        <w:pStyle w:val="TextBody"/>
        <w:numPr>
          <w:ilvl w:val="1"/>
          <w:numId w:val="3"/>
        </w:numPr>
        <w:tabs>
          <w:tab w:val="clear" w:pos="1134"/>
          <w:tab w:val="left" w:pos="1614" w:leader="none"/>
        </w:tabs>
        <w:spacing w:before="320" w:after="283"/>
        <w:ind w:left="1614" w:right="0" w:hanging="283"/>
        <w:rPr/>
      </w:pPr>
      <w:r>
        <w:rPr>
          <w:b/>
        </w:rPr>
        <w:t>Show rotation</w:t>
      </w:r>
      <w:r>
        <w:rPr/>
        <w:t xml:space="preserve"> is expected to have a net positive impact on full year revenue of approximately $60 million.  Show rotation refers to shows that occur less frequently than annually, as well as annual shows that shift quarters from one year to the next. </w:t>
      </w:r>
    </w:p>
    <w:p>
      <w:pPr>
        <w:pStyle w:val="TextBody"/>
        <w:numPr>
          <w:ilvl w:val="2"/>
          <w:numId w:val="3"/>
        </w:numPr>
        <w:tabs>
          <w:tab w:val="clear" w:pos="1134"/>
          <w:tab w:val="left" w:pos="2321" w:leader="none"/>
        </w:tabs>
        <w:spacing w:before="320" w:after="283"/>
        <w:ind w:left="2321" w:right="0" w:hanging="283"/>
        <w:rPr/>
      </w:pPr>
      <w:r>
        <w:rPr>
          <w:i/>
        </w:rPr>
        <w:t>First quarter</w:t>
      </w:r>
      <w:r>
        <w:rPr/>
        <w:t xml:space="preserve"> show rotation had a positive impact on revenue of approximately $35 million. </w:t>
      </w:r>
    </w:p>
    <w:p>
      <w:pPr>
        <w:pStyle w:val="TextBody"/>
        <w:numPr>
          <w:ilvl w:val="2"/>
          <w:numId w:val="3"/>
        </w:numPr>
        <w:tabs>
          <w:tab w:val="clear" w:pos="1134"/>
          <w:tab w:val="left" w:pos="2321" w:leader="none"/>
        </w:tabs>
        <w:spacing w:before="320" w:after="283"/>
        <w:ind w:left="2321" w:right="0" w:hanging="283"/>
        <w:rPr/>
      </w:pPr>
      <w:r>
        <w:rPr>
          <w:i/>
        </w:rPr>
        <w:t>Second quarter</w:t>
      </w:r>
      <w:r>
        <w:rPr/>
        <w:t xml:space="preserve"> show rotation had a negative impact on revenue of approximately $12 million. </w:t>
      </w:r>
    </w:p>
    <w:p>
      <w:pPr>
        <w:pStyle w:val="TextBody"/>
        <w:numPr>
          <w:ilvl w:val="2"/>
          <w:numId w:val="3"/>
        </w:numPr>
        <w:tabs>
          <w:tab w:val="clear" w:pos="1134"/>
          <w:tab w:val="left" w:pos="2321" w:leader="none"/>
        </w:tabs>
        <w:spacing w:before="320" w:after="283"/>
        <w:ind w:left="2321" w:right="0" w:hanging="283"/>
        <w:rPr/>
      </w:pPr>
      <w:r>
        <w:rPr>
          <w:i/>
        </w:rPr>
        <w:t>Third quarter</w:t>
      </w:r>
      <w:r>
        <w:rPr/>
        <w:t xml:space="preserve"> show rotation had a positive impact on revenue of approximately $48 million. </w:t>
      </w:r>
    </w:p>
    <w:p>
      <w:pPr>
        <w:pStyle w:val="TextBody"/>
        <w:numPr>
          <w:ilvl w:val="2"/>
          <w:numId w:val="3"/>
        </w:numPr>
        <w:tabs>
          <w:tab w:val="clear" w:pos="1134"/>
          <w:tab w:val="left" w:pos="2321" w:leader="none"/>
        </w:tabs>
        <w:spacing w:before="320" w:after="283"/>
        <w:ind w:left="2321" w:right="0" w:hanging="283"/>
        <w:rPr/>
      </w:pPr>
      <w:r>
        <w:rPr>
          <w:i/>
        </w:rPr>
        <w:t>Fourth quarter</w:t>
      </w:r>
      <w:r>
        <w:rPr/>
        <w:t xml:space="preserve"> show rotation is expected to negatively impact revenue by approximately $10 million.</w:t>
      </w:r>
    </w:p>
    <w:p>
      <w:pPr>
        <w:pStyle w:val="TextBody"/>
        <w:numPr>
          <w:ilvl w:val="1"/>
          <w:numId w:val="3"/>
        </w:numPr>
        <w:tabs>
          <w:tab w:val="clear" w:pos="1134"/>
          <w:tab w:val="left" w:pos="1614" w:leader="none"/>
        </w:tabs>
        <w:spacing w:before="320" w:after="283"/>
        <w:ind w:left="1614" w:right="0" w:hanging="283"/>
        <w:rPr/>
      </w:pPr>
      <w:r>
        <w:rPr>
          <w:b/>
        </w:rPr>
        <w:t>Exchange rate variances</w:t>
      </w:r>
      <w:r>
        <w:rPr/>
        <w:t xml:space="preserve"> are not expected to have a meaningful impact on results versus 2013. </w:t>
      </w:r>
    </w:p>
    <w:p>
      <w:pPr>
        <w:pStyle w:val="TextBody"/>
        <w:numPr>
          <w:ilvl w:val="0"/>
          <w:numId w:val="3"/>
        </w:numPr>
        <w:tabs>
          <w:tab w:val="clear" w:pos="1134"/>
          <w:tab w:val="left" w:pos="907" w:leader="none"/>
        </w:tabs>
        <w:spacing w:before="320" w:after="283"/>
        <w:ind w:left="907" w:right="0" w:hanging="283"/>
        <w:rPr/>
      </w:pPr>
      <w:r>
        <w:rPr>
          <w:b/>
        </w:rPr>
        <w:t xml:space="preserve">Operating margins </w:t>
      </w:r>
      <w:r>
        <w:rPr/>
        <w:t>are expected to be in the range of 3.2 percent to 3.3 percent, up from 2.4 percent in 2013, driven primarily by continued improvements in U.S. segment profitability partially offset by acquisition integration costs that are expected to approximate $2 million.</w:t>
      </w:r>
    </w:p>
    <w:p>
      <w:pPr>
        <w:pStyle w:val="TextBody"/>
        <w:spacing w:before="320" w:after="283"/>
        <w:ind w:left="200" w:right="0" w:hanging="0"/>
        <w:rPr>
          <w:b/>
          <w:i/>
        </w:rPr>
      </w:pPr>
      <w:r>
        <w:rPr>
          <w:b/>
          <w:i/>
        </w:rPr>
        <w:t>Travel &amp; Recreation Group</w:t>
      </w:r>
    </w:p>
    <w:p>
      <w:pPr>
        <w:pStyle w:val="TextBody"/>
        <w:numPr>
          <w:ilvl w:val="0"/>
          <w:numId w:val="4"/>
        </w:numPr>
        <w:tabs>
          <w:tab w:val="clear" w:pos="1134"/>
          <w:tab w:val="left" w:pos="907" w:leader="none"/>
        </w:tabs>
        <w:spacing w:before="320" w:after="283"/>
        <w:ind w:left="907" w:right="0" w:hanging="283"/>
        <w:rPr/>
      </w:pPr>
      <w:r>
        <w:rPr>
          <w:b/>
        </w:rPr>
        <w:t xml:space="preserve">Revenue </w:t>
      </w:r>
      <w:r>
        <w:rPr/>
        <w:t xml:space="preserve">is expected to increase at a low double-digit rate from $108.4 million in 2013. Exchange rate variances are expected to negatively impact revenue by approximately $5 million versus 2013. </w:t>
      </w:r>
    </w:p>
    <w:p>
      <w:pPr>
        <w:pStyle w:val="TextBody"/>
        <w:numPr>
          <w:ilvl w:val="0"/>
          <w:numId w:val="4"/>
        </w:numPr>
        <w:tabs>
          <w:tab w:val="clear" w:pos="1134"/>
          <w:tab w:val="left" w:pos="907" w:leader="none"/>
        </w:tabs>
        <w:spacing w:before="320" w:after="283"/>
        <w:ind w:left="907" w:right="0" w:hanging="283"/>
        <w:rPr/>
      </w:pPr>
      <w:r>
        <w:rPr>
          <w:b/>
        </w:rPr>
        <w:t>Operating margins</w:t>
      </w:r>
      <w:r>
        <w:rPr/>
        <w:t xml:space="preserve"> are expected to approximate 23 percent, up from 20.1 percent in 2013.</w:t>
      </w:r>
    </w:p>
    <w:p>
      <w:pPr>
        <w:pStyle w:val="TextBody"/>
        <w:spacing w:before="320" w:after="283"/>
        <w:ind w:left="200" w:right="0" w:hanging="0"/>
        <w:rPr>
          <w:b/>
          <w:i/>
        </w:rPr>
      </w:pPr>
      <w:r>
        <w:rPr>
          <w:b/>
          <w:i/>
        </w:rPr>
        <w:t>Corporate &amp; Other</w:t>
      </w:r>
    </w:p>
    <w:p>
      <w:pPr>
        <w:pStyle w:val="TextBody"/>
        <w:numPr>
          <w:ilvl w:val="0"/>
          <w:numId w:val="5"/>
        </w:numPr>
        <w:tabs>
          <w:tab w:val="clear" w:pos="1134"/>
          <w:tab w:val="left" w:pos="907" w:leader="none"/>
        </w:tabs>
        <w:spacing w:before="320" w:after="283"/>
        <w:ind w:left="907" w:right="0" w:hanging="283"/>
        <w:rPr/>
      </w:pPr>
      <w:r>
        <w:rPr>
          <w:b/>
        </w:rPr>
        <w:t>Corporate activities</w:t>
      </w:r>
      <w:r>
        <w:rPr/>
        <w:t xml:space="preserve"> expense is expected to approximate $10 million to $11 million, which includes approximately $2.5 million of acquisition and transaction-related costs that were incurred primarily during the third quarter. </w:t>
      </w:r>
    </w:p>
    <w:p>
      <w:pPr>
        <w:pStyle w:val="TextBody"/>
        <w:numPr>
          <w:ilvl w:val="0"/>
          <w:numId w:val="5"/>
        </w:numPr>
        <w:tabs>
          <w:tab w:val="clear" w:pos="1134"/>
          <w:tab w:val="left" w:pos="907" w:leader="none"/>
        </w:tabs>
        <w:spacing w:before="320" w:after="283"/>
        <w:ind w:left="907" w:right="0" w:hanging="283"/>
        <w:rPr/>
      </w:pPr>
      <w:r>
        <w:rPr>
          <w:b/>
        </w:rPr>
        <w:t>Exchange rates</w:t>
      </w:r>
      <w:r>
        <w:rPr/>
        <w:t xml:space="preserve"> are assumed to approximate $0.91 U.S. Dollars per Canadian Dollar and $1.66 U.S. Dollars per British Pound (on a weighted-average basis). Exchange rate variances are expected to negatively impact income by approximately $0.03 per share versus 2013. </w:t>
      </w:r>
    </w:p>
    <w:p>
      <w:pPr>
        <w:pStyle w:val="TextBody"/>
        <w:numPr>
          <w:ilvl w:val="0"/>
          <w:numId w:val="5"/>
        </w:numPr>
        <w:tabs>
          <w:tab w:val="clear" w:pos="1134"/>
          <w:tab w:val="left" w:pos="907" w:leader="none"/>
        </w:tabs>
        <w:spacing w:before="320" w:after="283"/>
        <w:ind w:left="907" w:right="0" w:hanging="283"/>
        <w:rPr/>
      </w:pPr>
      <w:r>
        <w:rPr>
          <w:b/>
        </w:rPr>
        <w:t xml:space="preserve">The effective tax rate </w:t>
      </w:r>
      <w:r>
        <w:rPr/>
        <w:t>on income before other items is assumed to approximate 28 percent to 29 percent, as compared to 32 percent in 2013.</w:t>
      </w:r>
    </w:p>
    <w:p>
      <w:pPr>
        <w:pStyle w:val="TextBody"/>
        <w:spacing w:before="320" w:after="283"/>
        <w:ind w:left="200" w:right="0" w:hanging="0"/>
        <w:rPr>
          <w:b/>
        </w:rPr>
      </w:pPr>
      <w:r>
        <w:rPr>
          <w:b/>
        </w:rPr>
        <w:t xml:space="preserve">2014 Fourth Quarter Guidance </w:t>
      </w:r>
    </w:p>
    <w:p>
      <w:pPr>
        <w:pStyle w:val="TextBody"/>
        <w:spacing w:before="320" w:after="283"/>
        <w:ind w:left="200" w:right="0" w:hanging="0"/>
        <w:rPr/>
      </w:pPr>
      <w:r>
        <w:rPr/>
        <w:t>For the fourth quarter, Viad's loss per share is expected to be in the range of $0.30 to $0.20. This compares to the 2013 fourth quarter loss before other items of $0.18 per share. Revenue is expected to be in the range of $215 million to $230 million as compared to $201.8 million in the 2013 fourth quarter. The fourth quarter segment operating loss is expected to be in the range of $4.0 million to $1.0 million as compared to $1.9 million in 2013. The acquisitions of West Glacier, Blitz Communications, onPeak and Travel Planners are expected to add approximately $20 million in revenue with a net operating loss of approximately $1.9 million in the aggregate during the fourth quarter, with the operating loss being driven by integration costs as well as a seasonal operating loss at West Glacier. Additionally, show rotation is expected to negatively impact revenue by approximately $10 million.</w:t>
      </w:r>
    </w:p>
    <w:p>
      <w:pPr>
        <w:pStyle w:val="TextBody"/>
        <w:spacing w:before="320" w:after="283"/>
        <w:ind w:left="200" w:right="0" w:hanging="0"/>
        <w:rPr/>
      </w:pPr>
      <w:r>
        <w:rPr/>
        <w:t>Implicit within this guidance are the following group revenue and operating income (loss) expectations:</w:t>
      </w:r>
    </w:p>
    <w:tbl>
      <w:tblPr>
        <w:tblW w:w="6645" w:type="dxa"/>
        <w:jc w:val="left"/>
        <w:tblInd w:w="200" w:type="dxa"/>
        <w:tblCellMar>
          <w:top w:w="0" w:type="dxa"/>
          <w:left w:w="0" w:type="dxa"/>
          <w:bottom w:w="0" w:type="dxa"/>
          <w:right w:w="0" w:type="dxa"/>
        </w:tblCellMar>
      </w:tblPr>
      <w:tblGrid>
        <w:gridCol w:w="1985"/>
        <w:gridCol w:w="605"/>
        <w:gridCol w:w="725"/>
        <w:gridCol w:w="201"/>
        <w:gridCol w:w="553"/>
        <w:gridCol w:w="23"/>
        <w:gridCol w:w="663"/>
        <w:gridCol w:w="962"/>
        <w:gridCol w:w="205"/>
        <w:gridCol w:w="723"/>
      </w:tblGrid>
      <w:tr>
        <w:trPr/>
        <w:tc>
          <w:tcPr>
            <w:tcW w:w="1985" w:type="dxa"/>
            <w:tcBorders/>
            <w:shd w:fill="auto" w:val="clear"/>
            <w:vAlign w:val="center"/>
          </w:tcPr>
          <w:p>
            <w:pPr>
              <w:pStyle w:val="TableContents"/>
              <w:spacing w:before="0" w:after="0"/>
              <w:ind w:left="0" w:right="0" w:hanging="0"/>
              <w:rPr>
                <w:rFonts w:ascii="Arial" w:hAnsi="Arial"/>
                <w:i/>
                <w:color w:val="000000"/>
                <w:sz w:val="16"/>
              </w:rPr>
            </w:pPr>
            <w:r>
              <w:rPr>
                <w:rFonts w:ascii="Arial" w:hAnsi="Arial"/>
                <w:i/>
                <w:color w:val="000000"/>
                <w:sz w:val="16"/>
              </w:rPr>
              <w:t>($ in millions)</w:t>
            </w:r>
          </w:p>
        </w:tc>
        <w:tc>
          <w:tcPr>
            <w:tcW w:w="2084" w:type="dxa"/>
            <w:gridSpan w:val="4"/>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Group Revenue</w:t>
            </w:r>
          </w:p>
        </w:tc>
        <w:tc>
          <w:tcPr>
            <w:tcW w:w="23" w:type="dxa"/>
            <w:tcBorders/>
            <w:shd w:fill="auto" w:val="clear"/>
            <w:vAlign w:val="center"/>
          </w:tcPr>
          <w:p>
            <w:pPr>
              <w:pStyle w:val="TableContents"/>
              <w:spacing w:before="0" w:after="283"/>
              <w:rPr/>
            </w:pPr>
            <w:r>
              <w:rPr/>
            </w:r>
          </w:p>
        </w:tc>
        <w:tc>
          <w:tcPr>
            <w:tcW w:w="2553" w:type="dxa"/>
            <w:gridSpan w:val="4"/>
            <w:tcBorders>
              <w:bottom w:val="single" w:sz="8" w:space="0" w:color="000000"/>
            </w:tcBorders>
            <w:shd w:fill="auto" w:val="clear"/>
            <w:tcMar>
              <w:bottom w:w="28" w:type="dxa"/>
            </w:tcMar>
            <w:vAlign w:val="center"/>
          </w:tcPr>
          <w:p>
            <w:pPr>
              <w:pStyle w:val="TableContents"/>
              <w:spacing w:before="0" w:after="0"/>
              <w:ind w:left="0" w:right="0" w:hanging="0"/>
              <w:rPr>
                <w:rFonts w:ascii="Arial" w:hAnsi="Arial"/>
                <w:b/>
                <w:color w:val="000000"/>
                <w:sz w:val="16"/>
              </w:rPr>
            </w:pPr>
            <w:r>
              <w:rPr>
                <w:rFonts w:ascii="Arial" w:hAnsi="Arial"/>
                <w:b/>
                <w:color w:val="000000"/>
                <w:sz w:val="16"/>
              </w:rPr>
              <w:t>Group Operating Income (Loss)</w:t>
            </w:r>
          </w:p>
        </w:tc>
      </w:tr>
      <w:tr>
        <w:trPr/>
        <w:tc>
          <w:tcPr>
            <w:tcW w:w="1985" w:type="dxa"/>
            <w:tcBorders/>
            <w:shd w:fill="auto" w:val="clear"/>
            <w:vAlign w:val="center"/>
          </w:tcPr>
          <w:p>
            <w:pPr>
              <w:pStyle w:val="TableContents"/>
              <w:spacing w:before="0" w:after="283"/>
              <w:rPr/>
            </w:pPr>
            <w:r>
              <w:rPr/>
            </w:r>
          </w:p>
        </w:tc>
        <w:tc>
          <w:tcPr>
            <w:tcW w:w="2084" w:type="dxa"/>
            <w:gridSpan w:val="4"/>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2014 Guidance</w:t>
            </w:r>
          </w:p>
        </w:tc>
        <w:tc>
          <w:tcPr>
            <w:tcW w:w="23" w:type="dxa"/>
            <w:tcBorders/>
            <w:shd w:fill="auto" w:val="clear"/>
            <w:vAlign w:val="center"/>
          </w:tcPr>
          <w:p>
            <w:pPr>
              <w:pStyle w:val="TableContents"/>
              <w:spacing w:before="0" w:after="283"/>
              <w:rPr/>
            </w:pPr>
            <w:r>
              <w:rPr/>
            </w:r>
          </w:p>
        </w:tc>
        <w:tc>
          <w:tcPr>
            <w:tcW w:w="2553" w:type="dxa"/>
            <w:gridSpan w:val="4"/>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2014 Guidance</w:t>
            </w:r>
          </w:p>
        </w:tc>
      </w:tr>
      <w:tr>
        <w:trPr/>
        <w:tc>
          <w:tcPr>
            <w:tcW w:w="1985" w:type="dxa"/>
            <w:tcBorders/>
            <w:shd w:fill="auto" w:val="clear"/>
            <w:vAlign w:val="center"/>
          </w:tcPr>
          <w:p>
            <w:pPr>
              <w:pStyle w:val="TableContents"/>
              <w:spacing w:before="0" w:after="283"/>
              <w:rPr/>
            </w:pPr>
            <w:r>
              <w:rPr/>
            </w:r>
          </w:p>
        </w:tc>
        <w:tc>
          <w:tcPr>
            <w:tcW w:w="605" w:type="dxa"/>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2013</w:t>
            </w:r>
          </w:p>
        </w:tc>
        <w:tc>
          <w:tcPr>
            <w:tcW w:w="725" w:type="dxa"/>
            <w:tcBorders/>
            <w:shd w:fill="auto" w:val="clear"/>
            <w:vAlign w:val="center"/>
          </w:tcPr>
          <w:p>
            <w:pPr>
              <w:pStyle w:val="TableContents"/>
              <w:spacing w:before="0" w:after="0"/>
              <w:ind w:left="0" w:right="0" w:hanging="0"/>
              <w:rPr>
                <w:rFonts w:ascii="Arial" w:hAnsi="Arial"/>
                <w:b/>
                <w:color w:val="000000"/>
                <w:sz w:val="16"/>
              </w:rPr>
            </w:pPr>
            <w:r>
              <w:rPr>
                <w:rFonts w:ascii="Arial" w:hAnsi="Arial"/>
                <w:b/>
                <w:color w:val="000000"/>
                <w:sz w:val="16"/>
              </w:rPr>
              <w:t>Low End</w:t>
            </w:r>
          </w:p>
        </w:tc>
        <w:tc>
          <w:tcPr>
            <w:tcW w:w="754" w:type="dxa"/>
            <w:gridSpan w:val="2"/>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High End</w:t>
            </w:r>
          </w:p>
        </w:tc>
        <w:tc>
          <w:tcPr>
            <w:tcW w:w="23" w:type="dxa"/>
            <w:tcBorders/>
            <w:shd w:fill="auto" w:val="clear"/>
            <w:vAlign w:val="center"/>
          </w:tcPr>
          <w:p>
            <w:pPr>
              <w:pStyle w:val="TableContents"/>
              <w:spacing w:before="0" w:after="283"/>
              <w:rPr/>
            </w:pPr>
            <w:r>
              <w:rPr/>
            </w:r>
          </w:p>
        </w:tc>
        <w:tc>
          <w:tcPr>
            <w:tcW w:w="663"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2013</w:t>
            </w:r>
          </w:p>
        </w:tc>
        <w:tc>
          <w:tcPr>
            <w:tcW w:w="962" w:type="dxa"/>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Low End</w:t>
            </w:r>
          </w:p>
        </w:tc>
        <w:tc>
          <w:tcPr>
            <w:tcW w:w="928" w:type="dxa"/>
            <w:gridSpan w:val="2"/>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High End</w:t>
            </w:r>
          </w:p>
        </w:tc>
      </w:tr>
      <w:tr>
        <w:trPr/>
        <w:tc>
          <w:tcPr>
            <w:tcW w:w="1985" w:type="dxa"/>
            <w:tcBorders/>
            <w:shd w:fill="auto" w:val="clear"/>
            <w:vAlign w:val="center"/>
          </w:tcPr>
          <w:p>
            <w:pPr>
              <w:pStyle w:val="TableContents"/>
              <w:spacing w:before="0" w:after="283"/>
              <w:rPr/>
            </w:pPr>
            <w:r>
              <w:rPr/>
            </w:r>
          </w:p>
        </w:tc>
        <w:tc>
          <w:tcPr>
            <w:tcW w:w="605" w:type="dxa"/>
            <w:tcBorders/>
            <w:shd w:fill="auto" w:val="clear"/>
            <w:vAlign w:val="center"/>
          </w:tcPr>
          <w:p>
            <w:pPr>
              <w:pStyle w:val="TableContents"/>
              <w:spacing w:before="0" w:after="283"/>
              <w:rPr/>
            </w:pPr>
            <w:r>
              <w:rPr/>
            </w:r>
          </w:p>
        </w:tc>
        <w:tc>
          <w:tcPr>
            <w:tcW w:w="725" w:type="dxa"/>
            <w:tcBorders/>
            <w:shd w:fill="auto" w:val="clear"/>
            <w:vAlign w:val="center"/>
          </w:tcPr>
          <w:p>
            <w:pPr>
              <w:pStyle w:val="TableContents"/>
              <w:spacing w:before="0" w:after="283"/>
              <w:rPr/>
            </w:pPr>
            <w:r>
              <w:rPr/>
            </w:r>
          </w:p>
        </w:tc>
        <w:tc>
          <w:tcPr>
            <w:tcW w:w="201" w:type="dxa"/>
            <w:tcBorders/>
            <w:shd w:fill="auto" w:val="clear"/>
            <w:vAlign w:val="center"/>
          </w:tcPr>
          <w:p>
            <w:pPr>
              <w:pStyle w:val="TableContents"/>
              <w:spacing w:before="0" w:after="283"/>
              <w:rPr/>
            </w:pPr>
            <w:r>
              <w:rPr/>
            </w:r>
          </w:p>
        </w:tc>
        <w:tc>
          <w:tcPr>
            <w:tcW w:w="553"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663" w:type="dxa"/>
            <w:tcBorders/>
            <w:shd w:fill="auto" w:val="clear"/>
            <w:vAlign w:val="center"/>
          </w:tcPr>
          <w:p>
            <w:pPr>
              <w:pStyle w:val="TableContents"/>
              <w:spacing w:before="0" w:after="283"/>
              <w:rPr/>
            </w:pPr>
            <w:r>
              <w:rPr/>
            </w:r>
          </w:p>
        </w:tc>
        <w:tc>
          <w:tcPr>
            <w:tcW w:w="962" w:type="dxa"/>
            <w:tcBorders/>
            <w:shd w:fill="auto" w:val="clear"/>
            <w:vAlign w:val="center"/>
          </w:tcPr>
          <w:p>
            <w:pPr>
              <w:pStyle w:val="TableContents"/>
              <w:spacing w:before="0" w:after="283"/>
              <w:rPr/>
            </w:pPr>
            <w:r>
              <w:rPr/>
            </w:r>
          </w:p>
        </w:tc>
        <w:tc>
          <w:tcPr>
            <w:tcW w:w="205" w:type="dxa"/>
            <w:tcBorders/>
            <w:shd w:fill="auto" w:val="clear"/>
            <w:vAlign w:val="center"/>
          </w:tcPr>
          <w:p>
            <w:pPr>
              <w:pStyle w:val="TableContents"/>
              <w:spacing w:before="0" w:after="283"/>
              <w:rPr/>
            </w:pPr>
            <w:r>
              <w:rPr/>
            </w:r>
          </w:p>
        </w:tc>
        <w:tc>
          <w:tcPr>
            <w:tcW w:w="723" w:type="dxa"/>
            <w:tcBorders/>
            <w:shd w:fill="auto" w:val="clear"/>
            <w:vAlign w:val="center"/>
          </w:tcPr>
          <w:p>
            <w:pPr>
              <w:pStyle w:val="TableContents"/>
              <w:spacing w:before="0" w:after="283"/>
              <w:rPr/>
            </w:pPr>
            <w:r>
              <w:rPr/>
            </w:r>
          </w:p>
        </w:tc>
      </w:tr>
      <w:tr>
        <w:trPr/>
        <w:tc>
          <w:tcPr>
            <w:tcW w:w="1985"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Marketing &amp; Events Group</w:t>
            </w:r>
          </w:p>
        </w:tc>
        <w:tc>
          <w:tcPr>
            <w:tcW w:w="60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$ 191.8</w:t>
            </w:r>
          </w:p>
        </w:tc>
        <w:tc>
          <w:tcPr>
            <w:tcW w:w="72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$ 207</w:t>
            </w:r>
          </w:p>
        </w:tc>
        <w:tc>
          <w:tcPr>
            <w:tcW w:w="201"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to</w:t>
            </w:r>
          </w:p>
        </w:tc>
        <w:tc>
          <w:tcPr>
            <w:tcW w:w="553"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$ 220</w:t>
            </w:r>
          </w:p>
        </w:tc>
        <w:tc>
          <w:tcPr>
            <w:tcW w:w="23" w:type="dxa"/>
            <w:tcBorders/>
            <w:shd w:fill="auto" w:val="clear"/>
            <w:vAlign w:val="center"/>
          </w:tcPr>
          <w:p>
            <w:pPr>
              <w:pStyle w:val="TableContents"/>
              <w:spacing w:before="0" w:after="283"/>
              <w:rPr/>
            </w:pPr>
            <w:r>
              <w:rPr/>
            </w:r>
          </w:p>
        </w:tc>
        <w:tc>
          <w:tcPr>
            <w:tcW w:w="663" w:type="dxa"/>
            <w:tcBorders/>
            <w:shd w:fill="auto" w:val="clear"/>
            <w:vAlign w:val="center"/>
          </w:tcPr>
          <w:p>
            <w:pPr>
              <w:pStyle w:val="TableContents"/>
              <w:spacing w:before="0" w:after="283"/>
              <w:ind w:left="30" w:right="0" w:hanging="0"/>
              <w:jc w:val="right"/>
              <w:rPr>
                <w:rFonts w:ascii="Arial" w:hAnsi="Arial"/>
                <w:color w:val="000000"/>
                <w:sz w:val="16"/>
              </w:rPr>
            </w:pPr>
            <w:r>
              <w:rPr>
                <w:rFonts w:ascii="Arial" w:hAnsi="Arial"/>
                <w:color w:val="000000"/>
                <w:sz w:val="16"/>
              </w:rPr>
              <w:t>$   1.3</w:t>
            </w:r>
          </w:p>
        </w:tc>
        <w:tc>
          <w:tcPr>
            <w:tcW w:w="962" w:type="dxa"/>
            <w:tcBorders/>
            <w:shd w:fill="auto" w:val="clear"/>
            <w:vAlign w:val="center"/>
          </w:tcPr>
          <w:p>
            <w:pPr>
              <w:pStyle w:val="TableContents"/>
              <w:spacing w:before="0" w:after="283"/>
              <w:ind w:left="30" w:right="0" w:hanging="0"/>
              <w:jc w:val="right"/>
              <w:rPr>
                <w:rFonts w:ascii="Arial" w:hAnsi="Arial"/>
                <w:color w:val="000000"/>
                <w:sz w:val="16"/>
              </w:rPr>
            </w:pPr>
            <w:r>
              <w:rPr>
                <w:rFonts w:ascii="Arial" w:hAnsi="Arial"/>
                <w:color w:val="000000"/>
                <w:sz w:val="16"/>
              </w:rPr>
              <w:t>$      -</w:t>
            </w:r>
          </w:p>
        </w:tc>
        <w:tc>
          <w:tcPr>
            <w:tcW w:w="205"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to</w:t>
            </w:r>
          </w:p>
        </w:tc>
        <w:tc>
          <w:tcPr>
            <w:tcW w:w="723"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2.0</w:t>
            </w:r>
          </w:p>
        </w:tc>
      </w:tr>
      <w:tr>
        <w:trPr/>
        <w:tc>
          <w:tcPr>
            <w:tcW w:w="1985"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Travel &amp; Recreation Group</w:t>
            </w:r>
          </w:p>
        </w:tc>
        <w:tc>
          <w:tcPr>
            <w:tcW w:w="60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10.0</w:t>
            </w:r>
          </w:p>
        </w:tc>
        <w:tc>
          <w:tcPr>
            <w:tcW w:w="725"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8.5</w:t>
            </w:r>
          </w:p>
        </w:tc>
        <w:tc>
          <w:tcPr>
            <w:tcW w:w="201"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to</w:t>
            </w:r>
          </w:p>
        </w:tc>
        <w:tc>
          <w:tcPr>
            <w:tcW w:w="553"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$10.5</w:t>
            </w:r>
          </w:p>
        </w:tc>
        <w:tc>
          <w:tcPr>
            <w:tcW w:w="23" w:type="dxa"/>
            <w:tcBorders/>
            <w:shd w:fill="auto" w:val="clear"/>
            <w:vAlign w:val="center"/>
          </w:tcPr>
          <w:p>
            <w:pPr>
              <w:pStyle w:val="TableContents"/>
              <w:spacing w:before="0" w:after="283"/>
              <w:rPr/>
            </w:pPr>
            <w:r>
              <w:rPr/>
            </w:r>
          </w:p>
        </w:tc>
        <w:tc>
          <w:tcPr>
            <w:tcW w:w="663" w:type="dxa"/>
            <w:tcBorders/>
            <w:shd w:fill="auto" w:val="clear"/>
            <w:vAlign w:val="center"/>
          </w:tcPr>
          <w:p>
            <w:pPr>
              <w:pStyle w:val="TableContents"/>
              <w:spacing w:before="0" w:after="283"/>
              <w:ind w:left="30" w:right="0" w:hanging="0"/>
              <w:jc w:val="right"/>
              <w:rPr>
                <w:rFonts w:ascii="Arial" w:hAnsi="Arial"/>
                <w:color w:val="000000"/>
                <w:sz w:val="16"/>
              </w:rPr>
            </w:pPr>
            <w:r>
              <w:rPr>
                <w:rFonts w:ascii="Arial" w:hAnsi="Arial"/>
                <w:color w:val="000000"/>
                <w:sz w:val="16"/>
              </w:rPr>
              <w:t>$ (3.2)</w:t>
            </w:r>
          </w:p>
        </w:tc>
        <w:tc>
          <w:tcPr>
            <w:tcW w:w="962" w:type="dxa"/>
            <w:tcBorders/>
            <w:shd w:fill="auto" w:val="clear"/>
            <w:vAlign w:val="center"/>
          </w:tcPr>
          <w:p>
            <w:pPr>
              <w:pStyle w:val="TableContents"/>
              <w:spacing w:before="0" w:after="283"/>
              <w:ind w:left="30" w:right="0" w:hanging="0"/>
              <w:jc w:val="right"/>
              <w:rPr>
                <w:rFonts w:ascii="Arial" w:hAnsi="Arial"/>
                <w:color w:val="000000"/>
                <w:sz w:val="16"/>
              </w:rPr>
            </w:pPr>
            <w:r>
              <w:rPr>
                <w:rFonts w:ascii="Arial" w:hAnsi="Arial"/>
                <w:color w:val="000000"/>
                <w:sz w:val="16"/>
              </w:rPr>
              <w:t>$ (4.5)</w:t>
            </w:r>
          </w:p>
        </w:tc>
        <w:tc>
          <w:tcPr>
            <w:tcW w:w="205"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to</w:t>
            </w:r>
          </w:p>
        </w:tc>
        <w:tc>
          <w:tcPr>
            <w:tcW w:w="723"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(2.5)</w:t>
            </w:r>
          </w:p>
        </w:tc>
      </w:tr>
      <w:tr>
        <w:trPr/>
        <w:tc>
          <w:tcPr>
            <w:tcW w:w="1985" w:type="dxa"/>
            <w:tcBorders/>
            <w:shd w:fill="auto" w:val="clear"/>
            <w:vAlign w:val="center"/>
          </w:tcPr>
          <w:p>
            <w:pPr>
              <w:pStyle w:val="TableContents"/>
              <w:spacing w:before="0" w:after="283"/>
              <w:rPr/>
            </w:pPr>
            <w:r>
              <w:rPr/>
            </w:r>
          </w:p>
        </w:tc>
        <w:tc>
          <w:tcPr>
            <w:tcW w:w="605" w:type="dxa"/>
            <w:tcBorders/>
            <w:shd w:fill="auto" w:val="clear"/>
            <w:vAlign w:val="center"/>
          </w:tcPr>
          <w:p>
            <w:pPr>
              <w:pStyle w:val="TableContents"/>
              <w:spacing w:before="0" w:after="283"/>
              <w:rPr/>
            </w:pPr>
            <w:r>
              <w:rPr/>
            </w:r>
          </w:p>
        </w:tc>
        <w:tc>
          <w:tcPr>
            <w:tcW w:w="725" w:type="dxa"/>
            <w:tcBorders/>
            <w:shd w:fill="auto" w:val="clear"/>
            <w:vAlign w:val="center"/>
          </w:tcPr>
          <w:p>
            <w:pPr>
              <w:pStyle w:val="TableContents"/>
              <w:spacing w:before="0" w:after="283"/>
              <w:rPr/>
            </w:pPr>
            <w:r>
              <w:rPr/>
            </w:r>
          </w:p>
        </w:tc>
        <w:tc>
          <w:tcPr>
            <w:tcW w:w="201" w:type="dxa"/>
            <w:tcBorders/>
            <w:shd w:fill="auto" w:val="clear"/>
            <w:vAlign w:val="center"/>
          </w:tcPr>
          <w:p>
            <w:pPr>
              <w:pStyle w:val="TableContents"/>
              <w:spacing w:before="0" w:after="283"/>
              <w:rPr/>
            </w:pPr>
            <w:r>
              <w:rPr/>
            </w:r>
          </w:p>
        </w:tc>
        <w:tc>
          <w:tcPr>
            <w:tcW w:w="553"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663" w:type="dxa"/>
            <w:tcBorders/>
            <w:shd w:fill="auto" w:val="clear"/>
            <w:vAlign w:val="center"/>
          </w:tcPr>
          <w:p>
            <w:pPr>
              <w:pStyle w:val="TableContents"/>
              <w:spacing w:before="0" w:after="283"/>
              <w:rPr/>
            </w:pPr>
            <w:r>
              <w:rPr/>
            </w:r>
          </w:p>
        </w:tc>
        <w:tc>
          <w:tcPr>
            <w:tcW w:w="962" w:type="dxa"/>
            <w:tcBorders/>
            <w:shd w:fill="auto" w:val="clear"/>
            <w:vAlign w:val="center"/>
          </w:tcPr>
          <w:p>
            <w:pPr>
              <w:pStyle w:val="TableContents"/>
              <w:spacing w:before="0" w:after="283"/>
              <w:rPr/>
            </w:pPr>
            <w:r>
              <w:rPr/>
            </w:r>
          </w:p>
        </w:tc>
        <w:tc>
          <w:tcPr>
            <w:tcW w:w="205" w:type="dxa"/>
            <w:tcBorders/>
            <w:shd w:fill="auto" w:val="clear"/>
            <w:vAlign w:val="center"/>
          </w:tcPr>
          <w:p>
            <w:pPr>
              <w:pStyle w:val="TableContents"/>
              <w:spacing w:before="0" w:after="283"/>
              <w:rPr/>
            </w:pPr>
            <w:r>
              <w:rPr/>
            </w:r>
          </w:p>
        </w:tc>
        <w:tc>
          <w:tcPr>
            <w:tcW w:w="723" w:type="dxa"/>
            <w:tcBorders/>
            <w:shd w:fill="auto" w:val="clear"/>
            <w:vAlign w:val="center"/>
          </w:tcPr>
          <w:p>
            <w:pPr>
              <w:pStyle w:val="TableContents"/>
              <w:spacing w:before="0" w:after="283"/>
              <w:rPr/>
            </w:pPr>
            <w:r>
              <w:rPr/>
            </w:r>
          </w:p>
        </w:tc>
      </w:tr>
    </w:tbl>
    <w:p>
      <w:pPr>
        <w:pStyle w:val="TextBody"/>
        <w:spacing w:before="320" w:after="283"/>
        <w:ind w:left="200" w:right="0" w:hanging="0"/>
        <w:rPr>
          <w:b/>
        </w:rPr>
      </w:pPr>
      <w:r>
        <w:rPr>
          <w:b/>
        </w:rPr>
        <w:t>Conference Call and Web Cast</w:t>
      </w:r>
    </w:p>
    <w:p>
      <w:pPr>
        <w:pStyle w:val="TextBody"/>
        <w:spacing w:before="320" w:after="283"/>
        <w:ind w:left="200" w:right="0" w:hanging="0"/>
        <w:rPr/>
      </w:pPr>
      <w:r>
        <w:rPr/>
        <w:t>Viad Corp will hold a conference call with investors and analysts for a review of third quarter 2014 results on Friday, October 31 at 9 a.m. (ET). To join the live conference, call (800) 857-4380, passcode "Viad," or access the webcast through Viad's Web site at www.viad.com. A replay will be available for a limited time at (866) 395-1651 and (203) 369-0471 (no passcode required) or visit the Viad Web site and link to a replay of the webcast.</w:t>
      </w:r>
    </w:p>
    <w:p>
      <w:pPr>
        <w:pStyle w:val="TextBody"/>
        <w:spacing w:before="320" w:after="283"/>
        <w:ind w:left="200" w:right="0" w:hanging="0"/>
        <w:rPr>
          <w:b/>
        </w:rPr>
      </w:pPr>
      <w:r>
        <w:rPr>
          <w:b/>
        </w:rPr>
        <w:t>About Viad</w:t>
      </w:r>
    </w:p>
    <w:p>
      <w:pPr>
        <w:pStyle w:val="TextBody"/>
        <w:spacing w:before="320" w:after="283"/>
        <w:ind w:left="200" w:right="0" w:hanging="0"/>
        <w:rPr/>
      </w:pPr>
      <w:r>
        <w:rPr/>
        <w:t>Viad is an S&amp;P SmallCap 600 company. Viad operates through its Marketing &amp; Events Group, composed of Global Experience Specialists and affiliates, and its Travel &amp; Recreation Group, composed of Brewster Travel Canada, Glacier Park, Inc. and Alaska Denali Travel. For more information, visit the Company's Web site at www.viad.com.</w:t>
      </w:r>
    </w:p>
    <w:p>
      <w:pPr>
        <w:pStyle w:val="TextBody"/>
        <w:spacing w:before="320" w:after="283"/>
        <w:ind w:left="200" w:right="0" w:hanging="0"/>
        <w:rPr>
          <w:i/>
        </w:rPr>
      </w:pPr>
      <w:r>
        <w:rPr>
          <w:i/>
        </w:rPr>
        <w:t>Forward-Looking Statements</w:t>
      </w:r>
    </w:p>
    <w:p>
      <w:pPr>
        <w:pStyle w:val="TextBody"/>
        <w:spacing w:before="320" w:after="283"/>
        <w:ind w:left="200" w:right="0" w:hanging="0"/>
        <w:rPr>
          <w:i/>
        </w:rPr>
      </w:pPr>
      <w:r>
        <w:rPr>
          <w:i/>
        </w:rPr>
        <w:t>As provided by the safe harbor provision under the Private Securities Litigation Reform Act of 1995, Viad cautions readers that, in addition to historical information contained herein, this press release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or renewal business, investment policies, productivity improvements, ongoing cost reduction efforts, efficiency, competitiveness, legal expenses, tax rates and other tax matters, foreign exchange rates, and the realization of restructuring cost savings. Actual results could differ materially from those discussed in the forward-looking statements. Viad's businesses can be affected by a host of risks and uncertainties. Among other things, natural disasters, gains and losses of customers, consumer demand patterns, labor relations, purchasing decisions related to customer demand for exhibition and event services, existing and new competition, industry alliances, consolidation and growth patterns within the industries in which Viad competes, acquisitions, capital allocations, adverse developments in liabilities associated with discontinued operations and any deterioration in the economy, may individually or in combination impact future results. In addition to factors mentioned elsewhere, economic, competitive, governmental, technological, capital marketplace and other factors, including terrorist activities or war, a pandemic health crisis and international conditions, could affect the forward-looking statements in this press release. Additional information concerning business and other risk factors that could cause actual results to materially differ from those in the forward-looking statements can be found in Viad's annual and quarterly reports filed with the Securities and Exchange Commission.</w:t>
      </w:r>
    </w:p>
    <w:p>
      <w:pPr>
        <w:pStyle w:val="TextBody"/>
        <w:spacing w:before="320" w:after="283"/>
        <w:ind w:left="200" w:right="0" w:hanging="0"/>
        <w:rPr/>
      </w:pPr>
      <w:r>
        <w:rPr>
          <w:i/>
        </w:rPr>
        <w:t>Information about Viad Corp obtained from sources other than the company may be out-of-date or incorrect. Please rely only on company press releases, SEC filings and other information provided by the company,</w:t>
      </w:r>
      <w:r>
        <w:rPr/>
        <w:t xml:space="preserve"> </w:t>
      </w:r>
      <w:r>
        <w:rPr>
          <w:i/>
        </w:rPr>
        <w:t>keeping in mind that forward-looking statements speak only as of the date made. Viad undertakes no obligation to update any forward-looking statements, including prior forward-looking statements, to reflect events or circumstances arising after the date as of which the forward-looking statements were made.</w:t>
      </w:r>
    </w:p>
    <w:tbl>
      <w:tblPr>
        <w:tblW w:w="3228" w:type="dxa"/>
        <w:jc w:val="left"/>
        <w:tblInd w:w="200" w:type="dxa"/>
        <w:tblCellMar>
          <w:top w:w="0" w:type="dxa"/>
          <w:left w:w="0" w:type="dxa"/>
          <w:bottom w:w="0" w:type="dxa"/>
          <w:right w:w="0" w:type="dxa"/>
        </w:tblCellMar>
      </w:tblPr>
      <w:tblGrid>
        <w:gridCol w:w="2011"/>
        <w:gridCol w:w="1217"/>
      </w:tblGrid>
      <w:tr>
        <w:trPr/>
        <w:tc>
          <w:tcPr>
            <w:tcW w:w="2011" w:type="dxa"/>
            <w:tcBorders/>
            <w:shd w:fill="auto" w:val="clear"/>
            <w:vAlign w:val="center"/>
          </w:tcPr>
          <w:p>
            <w:pPr>
              <w:pStyle w:val="TableContents"/>
              <w:spacing w:before="0" w:after="0"/>
              <w:ind w:left="0" w:right="0" w:hanging="0"/>
              <w:rPr>
                <w:rFonts w:ascii="Arial" w:hAnsi="Arial"/>
                <w:b/>
                <w:color w:val="000000"/>
                <w:sz w:val="16"/>
              </w:rPr>
            </w:pPr>
            <w:r>
              <w:rPr>
                <w:rFonts w:ascii="Arial" w:hAnsi="Arial"/>
                <w:b/>
                <w:color w:val="000000"/>
                <w:sz w:val="16"/>
              </w:rPr>
              <w:t xml:space="preserve">Contacts: </w:t>
            </w:r>
          </w:p>
          <w:p>
            <w:pPr>
              <w:pStyle w:val="TableContents"/>
              <w:spacing w:before="0" w:after="0"/>
              <w:ind w:left="0" w:right="0" w:hanging="0"/>
              <w:rPr>
                <w:rFonts w:ascii="Arial" w:hAnsi="Arial"/>
                <w:color w:val="000000"/>
                <w:sz w:val="16"/>
              </w:rPr>
            </w:pPr>
            <w:r>
              <w:rPr>
                <w:rFonts w:ascii="Arial" w:hAnsi="Arial"/>
                <w:color w:val="000000"/>
                <w:sz w:val="16"/>
              </w:rPr>
              <w:t>Joe Diaz</w:t>
            </w:r>
          </w:p>
          <w:p>
            <w:pPr>
              <w:pStyle w:val="TableContents"/>
              <w:spacing w:before="0" w:after="0"/>
              <w:ind w:left="0" w:right="0" w:hanging="0"/>
              <w:rPr>
                <w:rFonts w:ascii="Arial" w:hAnsi="Arial"/>
                <w:i/>
                <w:color w:val="000000"/>
                <w:sz w:val="16"/>
              </w:rPr>
            </w:pPr>
            <w:r>
              <w:rPr>
                <w:rFonts w:ascii="Arial" w:hAnsi="Arial"/>
                <w:i/>
                <w:color w:val="000000"/>
                <w:sz w:val="16"/>
              </w:rPr>
              <w:t>Lytham Partners</w:t>
            </w:r>
          </w:p>
          <w:p>
            <w:pPr>
              <w:pStyle w:val="TableContents"/>
              <w:spacing w:before="0" w:after="0"/>
              <w:ind w:left="0" w:right="0" w:hanging="0"/>
              <w:rPr>
                <w:rFonts w:ascii="Arial" w:hAnsi="Arial"/>
                <w:color w:val="000000"/>
                <w:sz w:val="16"/>
              </w:rPr>
            </w:pPr>
            <w:r>
              <w:rPr>
                <w:rFonts w:ascii="Arial" w:hAnsi="Arial"/>
                <w:color w:val="000000"/>
                <w:sz w:val="16"/>
              </w:rPr>
              <w:t>(602) 889-9660</w:t>
            </w:r>
          </w:p>
          <w:p>
            <w:pPr>
              <w:pStyle w:val="TableContents"/>
              <w:spacing w:before="0" w:after="0"/>
              <w:ind w:left="0" w:right="0" w:hanging="0"/>
              <w:rPr>
                <w:rFonts w:ascii="Arial" w:hAnsi="Arial"/>
                <w:color w:val="000000"/>
                <w:sz w:val="16"/>
              </w:rPr>
            </w:pPr>
            <w:r>
              <w:rPr>
                <w:rFonts w:ascii="Arial" w:hAnsi="Arial"/>
                <w:color w:val="000000"/>
                <w:sz w:val="16"/>
              </w:rPr>
              <w:t>diaz@lythampartners.com</w:t>
            </w:r>
          </w:p>
        </w:tc>
        <w:tc>
          <w:tcPr>
            <w:tcW w:w="1217"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Carrie Long</w:t>
            </w:r>
          </w:p>
          <w:p>
            <w:pPr>
              <w:pStyle w:val="TableContents"/>
              <w:spacing w:before="0" w:after="0"/>
              <w:ind w:left="0" w:right="0" w:hanging="0"/>
              <w:rPr>
                <w:rFonts w:ascii="Arial" w:hAnsi="Arial"/>
                <w:i/>
                <w:color w:val="000000"/>
                <w:sz w:val="16"/>
              </w:rPr>
            </w:pPr>
            <w:r>
              <w:rPr>
                <w:rFonts w:ascii="Arial" w:hAnsi="Arial"/>
                <w:i/>
                <w:color w:val="000000"/>
                <w:sz w:val="16"/>
              </w:rPr>
              <w:t>Viad Corp</w:t>
            </w:r>
          </w:p>
          <w:p>
            <w:pPr>
              <w:pStyle w:val="TableContents"/>
              <w:spacing w:before="0" w:after="0"/>
              <w:ind w:left="0" w:right="0" w:hanging="0"/>
              <w:rPr>
                <w:rFonts w:ascii="Arial" w:hAnsi="Arial"/>
                <w:color w:val="000000"/>
                <w:sz w:val="16"/>
              </w:rPr>
            </w:pPr>
            <w:r>
              <w:rPr>
                <w:rFonts w:ascii="Arial" w:hAnsi="Arial"/>
                <w:color w:val="000000"/>
                <w:sz w:val="16"/>
              </w:rPr>
              <w:t>(602) 207-2681</w:t>
            </w:r>
          </w:p>
          <w:p>
            <w:pPr>
              <w:pStyle w:val="TableContents"/>
              <w:spacing w:before="0" w:after="0"/>
              <w:ind w:left="0" w:right="0" w:hanging="0"/>
              <w:rPr>
                <w:rFonts w:ascii="Arial" w:hAnsi="Arial"/>
                <w:color w:val="000000"/>
                <w:sz w:val="16"/>
              </w:rPr>
            </w:pPr>
            <w:r>
              <w:rPr>
                <w:rFonts w:ascii="Arial" w:hAnsi="Arial"/>
                <w:color w:val="000000"/>
                <w:sz w:val="16"/>
              </w:rPr>
              <w:t>IR@viad.com</w:t>
            </w:r>
          </w:p>
        </w:tc>
      </w:tr>
      <w:tr>
        <w:trPr/>
        <w:tc>
          <w:tcPr>
            <w:tcW w:w="2011" w:type="dxa"/>
            <w:tcBorders/>
            <w:shd w:fill="auto" w:val="clear"/>
            <w:vAlign w:val="center"/>
          </w:tcPr>
          <w:p>
            <w:pPr>
              <w:pStyle w:val="TableContents"/>
              <w:spacing w:before="0" w:after="283"/>
              <w:rPr/>
            </w:pPr>
            <w:r>
              <w:rPr/>
            </w:r>
          </w:p>
        </w:tc>
        <w:tc>
          <w:tcPr>
            <w:tcW w:w="1217" w:type="dxa"/>
            <w:tcBorders/>
            <w:shd w:fill="auto" w:val="clear"/>
            <w:vAlign w:val="center"/>
          </w:tcPr>
          <w:p>
            <w:pPr>
              <w:pStyle w:val="TableContents"/>
              <w:spacing w:before="0" w:after="283"/>
              <w:rPr/>
            </w:pPr>
            <w:r>
              <w:rPr/>
            </w:r>
          </w:p>
        </w:tc>
      </w:tr>
    </w:tbl>
    <w:tbl>
      <w:tblPr>
        <w:tblW w:w="10005" w:type="dxa"/>
        <w:jc w:val="left"/>
        <w:tblInd w:w="200" w:type="dxa"/>
        <w:tblCellMar>
          <w:top w:w="0" w:type="dxa"/>
          <w:left w:w="0" w:type="dxa"/>
          <w:bottom w:w="0" w:type="dxa"/>
          <w:right w:w="0" w:type="dxa"/>
        </w:tblCellMar>
      </w:tblPr>
      <w:tblGrid>
        <w:gridCol w:w="202"/>
        <w:gridCol w:w="23"/>
        <w:gridCol w:w="2074"/>
        <w:gridCol w:w="980"/>
        <w:gridCol w:w="27"/>
        <w:gridCol w:w="980"/>
        <w:gridCol w:w="27"/>
        <w:gridCol w:w="856"/>
        <w:gridCol w:w="27"/>
        <w:gridCol w:w="927"/>
        <w:gridCol w:w="27"/>
        <w:gridCol w:w="980"/>
        <w:gridCol w:w="27"/>
        <w:gridCol w:w="980"/>
        <w:gridCol w:w="27"/>
        <w:gridCol w:w="856"/>
        <w:gridCol w:w="27"/>
        <w:gridCol w:w="927"/>
        <w:gridCol w:w="31"/>
      </w:tblGrid>
      <w:tr>
        <w:trPr/>
        <w:tc>
          <w:tcPr>
            <w:tcW w:w="9974" w:type="dxa"/>
            <w:gridSpan w:val="18"/>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9974"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VIAD CORP AND SUBSIDIARIES</w:t>
            </w:r>
          </w:p>
        </w:tc>
        <w:tc>
          <w:tcPr>
            <w:tcW w:w="31" w:type="dxa"/>
            <w:tcBorders/>
            <w:shd w:fill="auto" w:val="clear"/>
            <w:vAlign w:val="center"/>
          </w:tcPr>
          <w:p>
            <w:pPr>
              <w:pStyle w:val="TableContents"/>
              <w:spacing w:before="0" w:after="283"/>
              <w:rPr/>
            </w:pPr>
            <w:r>
              <w:rPr/>
            </w:r>
          </w:p>
        </w:tc>
      </w:tr>
      <w:tr>
        <w:trPr/>
        <w:tc>
          <w:tcPr>
            <w:tcW w:w="9974"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TABLE ONE - QUARTERLY RESULTS</w:t>
            </w:r>
          </w:p>
        </w:tc>
        <w:tc>
          <w:tcPr>
            <w:tcW w:w="31" w:type="dxa"/>
            <w:tcBorders/>
            <w:shd w:fill="auto" w:val="clear"/>
            <w:vAlign w:val="center"/>
          </w:tcPr>
          <w:p>
            <w:pPr>
              <w:pStyle w:val="TableContents"/>
              <w:spacing w:before="0" w:after="283"/>
              <w:rPr/>
            </w:pPr>
            <w:r>
              <w:rPr/>
            </w:r>
          </w:p>
        </w:tc>
      </w:tr>
      <w:tr>
        <w:trPr/>
        <w:tc>
          <w:tcPr>
            <w:tcW w:w="9974"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(UNAUDITED)</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3824"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Three months ended September 30,</w:t>
            </w:r>
          </w:p>
        </w:tc>
        <w:tc>
          <w:tcPr>
            <w:tcW w:w="27" w:type="dxa"/>
            <w:tcBorders/>
            <w:shd w:fill="auto" w:val="clear"/>
            <w:vAlign w:val="center"/>
          </w:tcPr>
          <w:p>
            <w:pPr>
              <w:pStyle w:val="TableContents"/>
              <w:spacing w:before="0" w:after="283"/>
              <w:rPr/>
            </w:pPr>
            <w:r>
              <w:rPr/>
            </w:r>
          </w:p>
        </w:tc>
        <w:tc>
          <w:tcPr>
            <w:tcW w:w="3824"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Nine months ended September 30,</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(000 omitted, except per share data)</w:t>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Revenues</w:t>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299,802</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220,167</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79,635</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36.2%</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841,834</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751,506</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90,328</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12.0%</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top w:val="double" w:sz="5" w:space="0" w:color="000000"/>
            </w:tcBorders>
            <w:shd w:fill="auto" w:val="clear"/>
            <w:tcMar>
              <w:top w:w="28" w:type="dxa"/>
            </w:tcM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top w:val="double" w:sz="5" w:space="0" w:color="000000"/>
            </w:tcBorders>
            <w:shd w:fill="auto" w:val="clear"/>
            <w:tcMar>
              <w:top w:w="28" w:type="dxa"/>
            </w:tcM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Segment operating income</w:t>
            </w:r>
          </w:p>
        </w:tc>
        <w:tc>
          <w:tcPr>
            <w:tcW w:w="980"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33,014</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18,723</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14,291</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76.3%</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60,511</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43,773</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16,738</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38.2%</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Corporate activities (Note A)</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(3,468)</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(2,034)</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(1,434)</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-70.5%</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(7,498)</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(4,007)</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(3,491)</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-87.1%</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Restructuring charges (Note B)</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(238)</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(639)</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401</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62.8%</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(1,814)</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(2,132)</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318</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14.9%</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Impairment charges (Note C)</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(3,049)</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3,049</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(884)</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(3,049)</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2,165</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71.0%</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Net interest expense</w:t>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(381)</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(164)</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(217)</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(869)</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(508)</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(361)</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-71.1%</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from continuing operations before</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income taxes</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28,927</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12,837</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16,090</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49,446</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34,077</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15,369</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45.1%</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tax benefit (expense) (Note D)</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2,623</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(3,567)</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6,190</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(870)</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(10,143)</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9,273</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91.4%</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from continuing operations</w:t>
            </w:r>
          </w:p>
        </w:tc>
        <w:tc>
          <w:tcPr>
            <w:tcW w:w="980"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31,550</w:t>
            </w:r>
          </w:p>
        </w:tc>
        <w:tc>
          <w:tcPr>
            <w:tcW w:w="27" w:type="dxa"/>
            <w:tcBorders/>
            <w:shd w:fill="auto" w:val="clear"/>
            <w:vAlign w:val="center"/>
          </w:tcPr>
          <w:p>
            <w:pPr>
              <w:pStyle w:val="TableContents"/>
              <w:spacing w:before="0" w:after="283"/>
              <w:rPr/>
            </w:pPr>
            <w:r>
              <w:rPr/>
            </w:r>
          </w:p>
        </w:tc>
        <w:tc>
          <w:tcPr>
            <w:tcW w:w="980"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9,270</w:t>
            </w:r>
          </w:p>
        </w:tc>
        <w:tc>
          <w:tcPr>
            <w:tcW w:w="27" w:type="dxa"/>
            <w:tcBorders/>
            <w:shd w:fill="auto" w:val="clear"/>
            <w:vAlign w:val="center"/>
          </w:tcPr>
          <w:p>
            <w:pPr>
              <w:pStyle w:val="TableContents"/>
              <w:spacing w:before="0" w:after="283"/>
              <w:rPr/>
            </w:pPr>
            <w:r>
              <w:rPr/>
            </w:r>
          </w:p>
        </w:tc>
        <w:tc>
          <w:tcPr>
            <w:tcW w:w="856"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22,280</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48,576</w:t>
            </w:r>
          </w:p>
        </w:tc>
        <w:tc>
          <w:tcPr>
            <w:tcW w:w="27" w:type="dxa"/>
            <w:tcBorders/>
            <w:shd w:fill="auto" w:val="clear"/>
            <w:vAlign w:val="center"/>
          </w:tcPr>
          <w:p>
            <w:pPr>
              <w:pStyle w:val="TableContents"/>
              <w:spacing w:before="0" w:after="283"/>
              <w:rPr/>
            </w:pPr>
            <w:r>
              <w:rPr/>
            </w:r>
          </w:p>
        </w:tc>
        <w:tc>
          <w:tcPr>
            <w:tcW w:w="980"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23,934</w:t>
            </w:r>
          </w:p>
        </w:tc>
        <w:tc>
          <w:tcPr>
            <w:tcW w:w="27" w:type="dxa"/>
            <w:tcBorders/>
            <w:shd w:fill="auto" w:val="clear"/>
            <w:vAlign w:val="center"/>
          </w:tcPr>
          <w:p>
            <w:pPr>
              <w:pStyle w:val="TableContents"/>
              <w:spacing w:before="0" w:after="283"/>
              <w:rPr/>
            </w:pPr>
            <w:r>
              <w:rPr/>
            </w:r>
          </w:p>
        </w:tc>
        <w:tc>
          <w:tcPr>
            <w:tcW w:w="856"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24,642</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(loss) from discontinued operations (Note E)</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(979)</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3,478</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(4,457)</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13,023</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2,664</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10,359</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Net income</w:t>
            </w:r>
          </w:p>
        </w:tc>
        <w:tc>
          <w:tcPr>
            <w:tcW w:w="980"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30,571</w:t>
            </w:r>
          </w:p>
        </w:tc>
        <w:tc>
          <w:tcPr>
            <w:tcW w:w="27" w:type="dxa"/>
            <w:tcBorders/>
            <w:shd w:fill="auto" w:val="clear"/>
            <w:vAlign w:val="center"/>
          </w:tcPr>
          <w:p>
            <w:pPr>
              <w:pStyle w:val="TableContents"/>
              <w:spacing w:before="0" w:after="283"/>
              <w:rPr/>
            </w:pPr>
            <w:r>
              <w:rPr/>
            </w:r>
          </w:p>
        </w:tc>
        <w:tc>
          <w:tcPr>
            <w:tcW w:w="980"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12,748</w:t>
            </w:r>
          </w:p>
        </w:tc>
        <w:tc>
          <w:tcPr>
            <w:tcW w:w="27" w:type="dxa"/>
            <w:tcBorders/>
            <w:shd w:fill="auto" w:val="clear"/>
            <w:vAlign w:val="center"/>
          </w:tcPr>
          <w:p>
            <w:pPr>
              <w:pStyle w:val="TableContents"/>
              <w:spacing w:before="0" w:after="283"/>
              <w:rPr/>
            </w:pPr>
            <w:r>
              <w:rPr/>
            </w:r>
          </w:p>
        </w:tc>
        <w:tc>
          <w:tcPr>
            <w:tcW w:w="856"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17,823</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61,599</w:t>
            </w:r>
          </w:p>
        </w:tc>
        <w:tc>
          <w:tcPr>
            <w:tcW w:w="27" w:type="dxa"/>
            <w:tcBorders/>
            <w:shd w:fill="auto" w:val="clear"/>
            <w:vAlign w:val="center"/>
          </w:tcPr>
          <w:p>
            <w:pPr>
              <w:pStyle w:val="TableContents"/>
              <w:spacing w:before="0" w:after="283"/>
              <w:rPr/>
            </w:pPr>
            <w:r>
              <w:rPr/>
            </w:r>
          </w:p>
        </w:tc>
        <w:tc>
          <w:tcPr>
            <w:tcW w:w="980"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26,598</w:t>
            </w:r>
          </w:p>
        </w:tc>
        <w:tc>
          <w:tcPr>
            <w:tcW w:w="27" w:type="dxa"/>
            <w:tcBorders/>
            <w:shd w:fill="auto" w:val="clear"/>
            <w:vAlign w:val="center"/>
          </w:tcPr>
          <w:p>
            <w:pPr>
              <w:pStyle w:val="TableContents"/>
              <w:spacing w:before="0" w:after="283"/>
              <w:rPr/>
            </w:pPr>
            <w:r>
              <w:rPr/>
            </w:r>
          </w:p>
        </w:tc>
        <w:tc>
          <w:tcPr>
            <w:tcW w:w="856" w:type="dxa"/>
            <w:tcBorders>
              <w:top w:val="single" w:sz="4" w:space="0" w:color="000000"/>
            </w:tcBorders>
            <w:shd w:fill="auto" w:val="clear"/>
            <w:tcMar>
              <w:top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35,001</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Net income attributable to noncontrolling interest</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(951)</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(893)</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(58)</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-6.5%</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(3,355)</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(425)</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(2,930)</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Net income attributable to Viad</w:t>
            </w:r>
          </w:p>
        </w:tc>
        <w:tc>
          <w:tcPr>
            <w:tcW w:w="98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29,620</w:t>
            </w:r>
          </w:p>
        </w:tc>
        <w:tc>
          <w:tcPr>
            <w:tcW w:w="27" w:type="dxa"/>
            <w:tcBorders/>
            <w:shd w:fill="auto" w:val="clear"/>
            <w:vAlign w:val="center"/>
          </w:tcPr>
          <w:p>
            <w:pPr>
              <w:pStyle w:val="TableContents"/>
              <w:spacing w:before="0" w:after="283"/>
              <w:rPr/>
            </w:pPr>
            <w:r>
              <w:rPr/>
            </w:r>
          </w:p>
        </w:tc>
        <w:tc>
          <w:tcPr>
            <w:tcW w:w="98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11,855</w:t>
            </w:r>
          </w:p>
        </w:tc>
        <w:tc>
          <w:tcPr>
            <w:tcW w:w="27" w:type="dxa"/>
            <w:tcBorders/>
            <w:shd w:fill="auto" w:val="clear"/>
            <w:vAlign w:val="center"/>
          </w:tcPr>
          <w:p>
            <w:pPr>
              <w:pStyle w:val="TableContents"/>
              <w:spacing w:before="0" w:after="283"/>
              <w:rPr/>
            </w:pPr>
            <w:r>
              <w:rPr/>
            </w:r>
          </w:p>
        </w:tc>
        <w:tc>
          <w:tcPr>
            <w:tcW w:w="856"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17,765</w:t>
            </w:r>
          </w:p>
        </w:tc>
        <w:tc>
          <w:tcPr>
            <w:tcW w:w="27" w:type="dxa"/>
            <w:tcBorders/>
            <w:shd w:fill="auto" w:val="clear"/>
            <w:vAlign w:val="center"/>
          </w:tcPr>
          <w:p>
            <w:pPr>
              <w:pStyle w:val="TableContents"/>
              <w:spacing w:before="0" w:after="283"/>
              <w:rPr/>
            </w:pPr>
            <w:r>
              <w:rPr/>
            </w:r>
          </w:p>
        </w:tc>
        <w:tc>
          <w:tcPr>
            <w:tcW w:w="927"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27" w:type="dxa"/>
            <w:tcBorders/>
            <w:shd w:fill="auto" w:val="clear"/>
            <w:vAlign w:val="center"/>
          </w:tcPr>
          <w:p>
            <w:pPr>
              <w:pStyle w:val="TableContents"/>
              <w:spacing w:before="0" w:after="283"/>
              <w:rPr/>
            </w:pPr>
            <w:r>
              <w:rPr/>
            </w:r>
          </w:p>
        </w:tc>
        <w:tc>
          <w:tcPr>
            <w:tcW w:w="98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58,244</w:t>
            </w:r>
          </w:p>
        </w:tc>
        <w:tc>
          <w:tcPr>
            <w:tcW w:w="27" w:type="dxa"/>
            <w:tcBorders/>
            <w:shd w:fill="auto" w:val="clear"/>
            <w:vAlign w:val="center"/>
          </w:tcPr>
          <w:p>
            <w:pPr>
              <w:pStyle w:val="TableContents"/>
              <w:spacing w:before="0" w:after="283"/>
              <w:rPr/>
            </w:pPr>
            <w:r>
              <w:rPr/>
            </w:r>
          </w:p>
        </w:tc>
        <w:tc>
          <w:tcPr>
            <w:tcW w:w="98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26,173</w:t>
            </w:r>
          </w:p>
        </w:tc>
        <w:tc>
          <w:tcPr>
            <w:tcW w:w="27" w:type="dxa"/>
            <w:tcBorders/>
            <w:shd w:fill="auto" w:val="clear"/>
            <w:vAlign w:val="center"/>
          </w:tcPr>
          <w:p>
            <w:pPr>
              <w:pStyle w:val="TableContents"/>
              <w:spacing w:before="0" w:after="283"/>
              <w:rPr/>
            </w:pPr>
            <w:r>
              <w:rPr/>
            </w:r>
          </w:p>
        </w:tc>
        <w:tc>
          <w:tcPr>
            <w:tcW w:w="856"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32,071</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Amounts Attributable to Viad Common Stockholders:</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from continuing operations</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30,756</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8,871</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21,885</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48,046</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23,840</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24,206</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(loss) from discontinued operations</w:t>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(1,136)</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2,984</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(4,120)</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10,198</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2,333</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7,865</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Net income</w:t>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29,620</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11,855</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17,765</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58,244</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26,173</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32,071</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Diluted income per common share:</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from continuing operations attributable to </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Viad common shareholders</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1.53</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0.44</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1.09</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2.38</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1.17</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1.21</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(loss) from discontinued operations</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attributable to Viad common shareholders</w:t>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(0.05)</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0.14</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(0.19)</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0.50</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0.12</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0.38</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Net income attributable to Viad common</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shareholders</w:t>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1.48</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0.58</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0.90</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2.88</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1.29</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1.59</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Basic income per common share:</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from continuing operations attributable to </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Viad common shareholders</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1.53</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0.44</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1.09</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2.38</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1.17</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1.21</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(loss) from discontinued operations</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attributable to Viad common shareholders</w:t>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(0.05)</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0.14</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(0.19)</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0.50</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0.12</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0.38</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Net income attributable to Viad common</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shareholders</w:t>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1.48</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0.58</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0.90</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2.88</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1.29</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1.59</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Common shares treated as outstanding for</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299"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per share calculations:</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Weighted-average outstanding common shares</w:t>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19,679</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19,868</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(189)</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19,832</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19,839</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Weighted-average outstanding and potentially</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dilutive common shares</w:t>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19,954</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20,191</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(237)</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20,174</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20,188</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(14)</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-0.1%</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5169" w:type="dxa"/>
            <w:gridSpan w:val="8"/>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 Change is greater than +/- 100 percent</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9974"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VIAD CORP AND SUBSIDIARIES</w:t>
            </w:r>
          </w:p>
        </w:tc>
        <w:tc>
          <w:tcPr>
            <w:tcW w:w="31" w:type="dxa"/>
            <w:tcBorders/>
            <w:shd w:fill="auto" w:val="clear"/>
            <w:vAlign w:val="center"/>
          </w:tcPr>
          <w:p>
            <w:pPr>
              <w:pStyle w:val="TableContents"/>
              <w:spacing w:before="0" w:after="283"/>
              <w:rPr/>
            </w:pPr>
            <w:r>
              <w:rPr/>
            </w:r>
          </w:p>
        </w:tc>
      </w:tr>
      <w:tr>
        <w:trPr/>
        <w:tc>
          <w:tcPr>
            <w:tcW w:w="9974"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TABLE ONE - NOTES TO QUARTERLY RESULTS</w:t>
            </w:r>
          </w:p>
        </w:tc>
        <w:tc>
          <w:tcPr>
            <w:tcW w:w="31" w:type="dxa"/>
            <w:tcBorders/>
            <w:shd w:fill="auto" w:val="clear"/>
            <w:vAlign w:val="center"/>
          </w:tcPr>
          <w:p>
            <w:pPr>
              <w:pStyle w:val="TableContents"/>
              <w:spacing w:before="0" w:after="283"/>
              <w:rPr/>
            </w:pPr>
            <w:r>
              <w:rPr/>
            </w:r>
          </w:p>
        </w:tc>
      </w:tr>
      <w:tr>
        <w:trPr/>
        <w:tc>
          <w:tcPr>
            <w:tcW w:w="9974"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(UNAUDITED)</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(A)</w:t>
            </w:r>
          </w:p>
        </w:tc>
        <w:tc>
          <w:tcPr>
            <w:tcW w:w="23" w:type="dxa"/>
            <w:tcBorders/>
            <w:shd w:fill="auto" w:val="clear"/>
            <w:vAlign w:val="center"/>
          </w:tcPr>
          <w:p>
            <w:pPr>
              <w:pStyle w:val="TableContents"/>
              <w:spacing w:before="0" w:after="283"/>
              <w:rPr/>
            </w:pPr>
            <w:r>
              <w:rPr/>
            </w:r>
          </w:p>
        </w:tc>
        <w:tc>
          <w:tcPr>
            <w:tcW w:w="9749" w:type="dxa"/>
            <w:gridSpan w:val="16"/>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 xml:space="preserve">Corporate Activities — The increase in corporate activities expense for the nine months ended September 30, 2014 was primarily related to consulting and other transaction-related costs associated with acquisitions incurred primarily during the third quarter of 2014 and higher 401(k) employer matching contributions expense due to the depletion of the Company's common stock held in the Employee Stock Ownership Plan feature of the Company's 401(k).  Matching contributions are now funded from shares of Viad common stock held in treasury which have a higher cost to the Company. </w:t>
              <w:br/>
              <w:br/>
              <w:t>The increase in corporate activities expense for the three months ended September 30, 2014 was primarily related to consulting and other transaction-related costs associated with acquisitions.</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(B)</w:t>
            </w:r>
          </w:p>
        </w:tc>
        <w:tc>
          <w:tcPr>
            <w:tcW w:w="23" w:type="dxa"/>
            <w:tcBorders/>
            <w:shd w:fill="auto" w:val="clear"/>
            <w:vAlign w:val="center"/>
          </w:tcPr>
          <w:p>
            <w:pPr>
              <w:pStyle w:val="TableContents"/>
              <w:spacing w:before="0" w:after="283"/>
              <w:rPr/>
            </w:pPr>
            <w:r>
              <w:rPr/>
            </w:r>
          </w:p>
        </w:tc>
        <w:tc>
          <w:tcPr>
            <w:tcW w:w="9749" w:type="dxa"/>
            <w:gridSpan w:val="16"/>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Restructuring Charges — During the three and nine months ended September 30, 2014, Viad recorded net restructuring charges of $238,000 ($148,000 after-tax) and $1,814,000 ($1,134,000 after-tax), respectively, primarily related to the elimination of certain positions in the Marketing &amp; Events Group. During the three and nine months ended September 30, 2013, Viad recorded net restructuring charges of $639,000 ($398,000 after-tax) and $2,132,000 ($1,462,000 after-tax), respectively, primarily related to facility consolidations and the elimination of certain positions in the Marketing &amp; Events Group.</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(C)</w:t>
            </w:r>
          </w:p>
        </w:tc>
        <w:tc>
          <w:tcPr>
            <w:tcW w:w="23" w:type="dxa"/>
            <w:tcBorders/>
            <w:shd w:fill="auto" w:val="clear"/>
            <w:vAlign w:val="center"/>
          </w:tcPr>
          <w:p>
            <w:pPr>
              <w:pStyle w:val="TableContents"/>
              <w:spacing w:before="0" w:after="283"/>
              <w:rPr/>
            </w:pPr>
            <w:r>
              <w:rPr/>
            </w:r>
          </w:p>
        </w:tc>
        <w:tc>
          <w:tcPr>
            <w:tcW w:w="9749" w:type="dxa"/>
            <w:gridSpan w:val="16"/>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Impairment Charges — During the nine months ended September 30, 2014, Viad recorded impairment charges of $884,000 ($549,000 after-tax) at the Marketing &amp; Events Group primarily related to the write-off of certain internally developed software. During the nine months ended September 30, 2013, Viad recorded impairment charges of $3,049,000 ($1,639,000 after-tax) related to the non-cash write-down of goodwill at Glacier Park of $2.1 million ($1.0 million after-tax) and $952,000 ($600,000 after-tax) related to the write-off of certain assets within the Marketing &amp; Events Group.</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(D)</w:t>
            </w:r>
          </w:p>
        </w:tc>
        <w:tc>
          <w:tcPr>
            <w:tcW w:w="23" w:type="dxa"/>
            <w:tcBorders/>
            <w:shd w:fill="auto" w:val="clear"/>
            <w:vAlign w:val="center"/>
          </w:tcPr>
          <w:p>
            <w:pPr>
              <w:pStyle w:val="TableContents"/>
              <w:spacing w:before="0" w:after="283"/>
              <w:rPr/>
            </w:pPr>
            <w:r>
              <w:rPr/>
            </w:r>
          </w:p>
        </w:tc>
        <w:tc>
          <w:tcPr>
            <w:tcW w:w="9780" w:type="dxa"/>
            <w:gridSpan w:val="17"/>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 xml:space="preserve">Income Taxes — Included in the third quarter of 2014 was a benefit related to favorable tax matters of $0.50 per share representing the reversal of a valuation allowance recorded in connection with the Company's analysis of its deferred tax assets. During the third quarter, it was determined that </w:t>
              <w:br/>
              <w:t xml:space="preserve">certain deferred tax assets associated with foreign tax credits, for which a valuation allowance had previously been established, once again met the </w:t>
              <w:br/>
              <w:t xml:space="preserve">"more-likely-than-not" test in the accounting standards regarding the realization of those assets. Accordingly, the Company recorded a non-cash tax </w:t>
              <w:br/>
              <w:t>benefit of $10.1 million to income tax expense.</w:t>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(E)</w:t>
            </w:r>
          </w:p>
        </w:tc>
        <w:tc>
          <w:tcPr>
            <w:tcW w:w="23" w:type="dxa"/>
            <w:tcBorders/>
            <w:shd w:fill="auto" w:val="clear"/>
            <w:vAlign w:val="center"/>
          </w:tcPr>
          <w:p>
            <w:pPr>
              <w:pStyle w:val="TableContents"/>
              <w:spacing w:before="0" w:after="283"/>
              <w:rPr/>
            </w:pPr>
            <w:r>
              <w:rPr/>
            </w:r>
          </w:p>
        </w:tc>
        <w:tc>
          <w:tcPr>
            <w:tcW w:w="9749" w:type="dxa"/>
            <w:gridSpan w:val="16"/>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 xml:space="preserve">Income from Discontinued Operations — On December 31, 2013, Glacier Park's concession contract with the Park Service to operate lodging, tour and transportation and other hospitality services for Glacier National Park expired. Upon completion of the contract term, Viad received cash payments in January 2014 totaling $25.0 million for the Company's possessory interest. This resulted in a pre-tax gain of $21.5 million and an after-tax gain of $12.6 million which was recorded as income from discontinued operations. In addition, 2013 results related to the operations of Glacier Park's concession contract business have been reclassified as discontinued operations. The third quarter loss from discontinued operations included income of approximately $700,000, net of tax, related to the gain on sale of personal property at Glacier Park, which was more than offset by the allocation of taxes to the possessory interest gain. </w:t>
              <w:br/>
              <w:br/>
              <w:t xml:space="preserve">For the nine months ended September 30, 2014, Viad also recorded a loss from discontinued operations of approximately $300,000, net of tax, due to additional reserves related to certain liabilities associated with previously sold operations. </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(F)</w:t>
            </w:r>
          </w:p>
        </w:tc>
        <w:tc>
          <w:tcPr>
            <w:tcW w:w="23" w:type="dxa"/>
            <w:tcBorders/>
            <w:shd w:fill="auto" w:val="clear"/>
            <w:vAlign w:val="center"/>
          </w:tcPr>
          <w:p>
            <w:pPr>
              <w:pStyle w:val="TableContents"/>
              <w:spacing w:before="0" w:after="283"/>
              <w:rPr/>
            </w:pPr>
            <w:r>
              <w:rPr/>
            </w:r>
          </w:p>
        </w:tc>
        <w:tc>
          <w:tcPr>
            <w:tcW w:w="9780" w:type="dxa"/>
            <w:gridSpan w:val="17"/>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per Common Share — Following is a reconciliation of net income attributable to Viad to net income allocated to Viad common shareholders:</w:t>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3824"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Three months ended September 30,</w:t>
            </w:r>
          </w:p>
        </w:tc>
        <w:tc>
          <w:tcPr>
            <w:tcW w:w="27" w:type="dxa"/>
            <w:tcBorders/>
            <w:shd w:fill="auto" w:val="clear"/>
            <w:vAlign w:val="center"/>
          </w:tcPr>
          <w:p>
            <w:pPr>
              <w:pStyle w:val="TableContents"/>
              <w:spacing w:before="0" w:after="283"/>
              <w:rPr/>
            </w:pPr>
            <w:r>
              <w:rPr/>
            </w:r>
          </w:p>
        </w:tc>
        <w:tc>
          <w:tcPr>
            <w:tcW w:w="3824"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Nine months ended September 30,</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(000 omitted, except per share data)</w:t>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Net income attributable to Viad</w:t>
            </w:r>
          </w:p>
        </w:tc>
        <w:tc>
          <w:tcPr>
            <w:tcW w:w="980"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29,620</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11,855</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17,765</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58,244</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26,173</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32,071</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Less: Allocation to nonvested shares</w:t>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(538)</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(264)</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(274)</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(1,098)</w:t>
            </w:r>
          </w:p>
        </w:tc>
        <w:tc>
          <w:tcPr>
            <w:tcW w:w="27" w:type="dxa"/>
            <w:tcBorders/>
            <w:shd w:fill="auto" w:val="clear"/>
            <w:vAlign w:val="center"/>
          </w:tcPr>
          <w:p>
            <w:pPr>
              <w:pStyle w:val="TableContents"/>
              <w:spacing w:before="0" w:after="283"/>
              <w:rPr/>
            </w:pPr>
            <w:r>
              <w:rPr/>
            </w:r>
          </w:p>
        </w:tc>
        <w:tc>
          <w:tcPr>
            <w:tcW w:w="98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(605)</w:t>
            </w:r>
          </w:p>
        </w:tc>
        <w:tc>
          <w:tcPr>
            <w:tcW w:w="27" w:type="dxa"/>
            <w:tcBorders/>
            <w:shd w:fill="auto" w:val="clear"/>
            <w:vAlign w:val="center"/>
          </w:tcPr>
          <w:p>
            <w:pPr>
              <w:pStyle w:val="TableContents"/>
              <w:spacing w:before="0" w:after="283"/>
              <w:rPr/>
            </w:pPr>
            <w:r>
              <w:rPr/>
            </w:r>
          </w:p>
        </w:tc>
        <w:tc>
          <w:tcPr>
            <w:tcW w:w="856"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(493)</w:t>
            </w:r>
          </w:p>
        </w:tc>
        <w:tc>
          <w:tcPr>
            <w:tcW w:w="27" w:type="dxa"/>
            <w:tcBorders/>
            <w:shd w:fill="auto" w:val="clear"/>
            <w:vAlign w:val="center"/>
          </w:tcPr>
          <w:p>
            <w:pPr>
              <w:pStyle w:val="TableContents"/>
              <w:spacing w:before="0" w:after="283"/>
              <w:rPr/>
            </w:pPr>
            <w:r>
              <w:rPr/>
            </w:r>
          </w:p>
        </w:tc>
        <w:tc>
          <w:tcPr>
            <w:tcW w:w="927"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-81.5%</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Net income allocated to Viad common shareholders</w:t>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29,082</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11,591</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17,491</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57,146</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25,568</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31,578</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Weighted-average outstanding common shares</w:t>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19,679</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19,868</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(189)</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19,832</w:t>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19,839</w:t>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w:t>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097" w:type="dxa"/>
            <w:gridSpan w:val="2"/>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Basic income per common share attributable to</w:t>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Viad common shareholders</w:t>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1.48</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0.58</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0.90</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2.88</w:t>
            </w:r>
          </w:p>
        </w:tc>
        <w:tc>
          <w:tcPr>
            <w:tcW w:w="27" w:type="dxa"/>
            <w:tcBorders/>
            <w:shd w:fill="auto" w:val="clear"/>
            <w:vAlign w:val="center"/>
          </w:tcPr>
          <w:p>
            <w:pPr>
              <w:pStyle w:val="TableContents"/>
              <w:spacing w:before="0" w:after="283"/>
              <w:rPr/>
            </w:pPr>
            <w:r>
              <w:rPr/>
            </w:r>
          </w:p>
        </w:tc>
        <w:tc>
          <w:tcPr>
            <w:tcW w:w="98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1.29</w:t>
            </w:r>
          </w:p>
        </w:tc>
        <w:tc>
          <w:tcPr>
            <w:tcW w:w="27" w:type="dxa"/>
            <w:tcBorders/>
            <w:shd w:fill="auto" w:val="clear"/>
            <w:vAlign w:val="center"/>
          </w:tcPr>
          <w:p>
            <w:pPr>
              <w:pStyle w:val="TableContents"/>
              <w:spacing w:before="0" w:after="283"/>
              <w:rPr/>
            </w:pPr>
            <w:r>
              <w:rPr/>
            </w:r>
          </w:p>
        </w:tc>
        <w:tc>
          <w:tcPr>
            <w:tcW w:w="856"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1.59</w:t>
            </w:r>
          </w:p>
        </w:tc>
        <w:tc>
          <w:tcPr>
            <w:tcW w:w="27" w:type="dxa"/>
            <w:tcBorders/>
            <w:shd w:fill="auto" w:val="clear"/>
            <w:vAlign w:val="center"/>
          </w:tcPr>
          <w:p>
            <w:pPr>
              <w:pStyle w:val="TableContents"/>
              <w:spacing w:before="0" w:after="283"/>
              <w:rPr/>
            </w:pPr>
            <w:r>
              <w:rPr/>
            </w:r>
          </w:p>
        </w:tc>
        <w:tc>
          <w:tcPr>
            <w:tcW w:w="927" w:type="dxa"/>
            <w:tcBorders>
              <w:bottom w:val="double" w:sz="5" w:space="0" w:color="000000"/>
            </w:tcBorders>
            <w:shd w:fill="auto" w:val="clear"/>
            <w:tcMar>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c>
          <w:tcPr>
            <w:tcW w:w="31" w:type="dxa"/>
            <w:tcBorders/>
            <w:shd w:fill="auto" w:val="clear"/>
            <w:vAlign w:val="center"/>
          </w:tcPr>
          <w:p>
            <w:pPr>
              <w:pStyle w:val="TableContents"/>
              <w:spacing w:before="0" w:after="283"/>
              <w:rPr/>
            </w:pPr>
            <w:r>
              <w:rPr/>
            </w:r>
          </w:p>
        </w:tc>
      </w:tr>
      <w:tr>
        <w:trPr/>
        <w:tc>
          <w:tcPr>
            <w:tcW w:w="202" w:type="dxa"/>
            <w:tcBorders/>
            <w:shd w:fill="auto" w:val="clear"/>
            <w:vAlign w:val="center"/>
          </w:tcPr>
          <w:p>
            <w:pPr>
              <w:pStyle w:val="TableContents"/>
              <w:spacing w:before="0" w:after="283"/>
              <w:rPr/>
            </w:pPr>
            <w:r>
              <w:rPr/>
            </w:r>
          </w:p>
        </w:tc>
        <w:tc>
          <w:tcPr>
            <w:tcW w:w="23" w:type="dxa"/>
            <w:tcBorders/>
            <w:shd w:fill="auto" w:val="clear"/>
            <w:vAlign w:val="center"/>
          </w:tcPr>
          <w:p>
            <w:pPr>
              <w:pStyle w:val="TableContents"/>
              <w:spacing w:before="0" w:after="283"/>
              <w:rPr/>
            </w:pPr>
            <w:r>
              <w:rPr/>
            </w:r>
          </w:p>
        </w:tc>
        <w:tc>
          <w:tcPr>
            <w:tcW w:w="2074"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r>
        <w:trPr/>
        <w:tc>
          <w:tcPr>
            <w:tcW w:w="4313" w:type="dxa"/>
            <w:gridSpan w:val="7"/>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 Change is greater than +/- 100 percent</w:t>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80"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856" w:type="dxa"/>
            <w:tcBorders/>
            <w:shd w:fill="auto" w:val="clear"/>
            <w:vAlign w:val="center"/>
          </w:tcPr>
          <w:p>
            <w:pPr>
              <w:pStyle w:val="TableContents"/>
              <w:spacing w:before="0" w:after="283"/>
              <w:rPr/>
            </w:pPr>
            <w:r>
              <w:rPr/>
            </w:r>
          </w:p>
        </w:tc>
        <w:tc>
          <w:tcPr>
            <w:tcW w:w="27" w:type="dxa"/>
            <w:tcBorders/>
            <w:shd w:fill="auto" w:val="clear"/>
            <w:vAlign w:val="center"/>
          </w:tcPr>
          <w:p>
            <w:pPr>
              <w:pStyle w:val="TableContents"/>
              <w:spacing w:before="0" w:after="283"/>
              <w:rPr/>
            </w:pPr>
            <w:r>
              <w:rPr/>
            </w:r>
          </w:p>
        </w:tc>
        <w:tc>
          <w:tcPr>
            <w:tcW w:w="927" w:type="dxa"/>
            <w:tcBorders/>
            <w:shd w:fill="auto" w:val="clear"/>
            <w:vAlign w:val="center"/>
          </w:tcPr>
          <w:p>
            <w:pPr>
              <w:pStyle w:val="TableContents"/>
              <w:spacing w:before="0" w:after="283"/>
              <w:rPr/>
            </w:pPr>
            <w:r>
              <w:rPr/>
            </w:r>
          </w:p>
        </w:tc>
        <w:tc>
          <w:tcPr>
            <w:tcW w:w="31" w:type="dxa"/>
            <w:tcBorders/>
            <w:shd w:fill="auto" w:val="clear"/>
            <w:vAlign w:val="center"/>
          </w:tcPr>
          <w:p>
            <w:pPr>
              <w:pStyle w:val="TableContents"/>
              <w:spacing w:before="0" w:after="283"/>
              <w:rPr/>
            </w:pPr>
            <w:r>
              <w:rPr/>
            </w:r>
          </w:p>
        </w:tc>
      </w:tr>
    </w:tbl>
    <w:tbl>
      <w:tblPr>
        <w:tblW w:w="10005" w:type="dxa"/>
        <w:jc w:val="left"/>
        <w:tblInd w:w="200" w:type="dxa"/>
        <w:tblCellMar>
          <w:top w:w="0" w:type="dxa"/>
          <w:left w:w="0" w:type="dxa"/>
          <w:bottom w:w="0" w:type="dxa"/>
          <w:right w:w="0" w:type="dxa"/>
        </w:tblCellMar>
      </w:tblPr>
      <w:tblGrid>
        <w:gridCol w:w="66"/>
        <w:gridCol w:w="122"/>
        <w:gridCol w:w="2024"/>
        <w:gridCol w:w="901"/>
        <w:gridCol w:w="29"/>
        <w:gridCol w:w="901"/>
        <w:gridCol w:w="29"/>
        <w:gridCol w:w="940"/>
        <w:gridCol w:w="29"/>
        <w:gridCol w:w="1018"/>
        <w:gridCol w:w="29"/>
        <w:gridCol w:w="901"/>
        <w:gridCol w:w="29"/>
        <w:gridCol w:w="960"/>
        <w:gridCol w:w="29"/>
        <w:gridCol w:w="940"/>
        <w:gridCol w:w="29"/>
        <w:gridCol w:w="1029"/>
      </w:tblGrid>
      <w:tr>
        <w:trPr/>
        <w:tc>
          <w:tcPr>
            <w:tcW w:w="10005" w:type="dxa"/>
            <w:gridSpan w:val="18"/>
            <w:tcBorders/>
            <w:shd w:fill="auto" w:val="clear"/>
            <w:vAlign w:val="center"/>
          </w:tcPr>
          <w:p>
            <w:pPr>
              <w:pStyle w:val="TableContents"/>
              <w:spacing w:before="0" w:after="283"/>
              <w:rPr/>
            </w:pPr>
            <w:r>
              <w:rPr/>
            </w:r>
          </w:p>
        </w:tc>
      </w:tr>
      <w:tr>
        <w:trPr/>
        <w:tc>
          <w:tcPr>
            <w:tcW w:w="10005" w:type="dxa"/>
            <w:gridSpan w:val="18"/>
            <w:tcBorders/>
            <w:shd w:fill="auto" w:val="clear"/>
            <w:vAlign w:val="center"/>
          </w:tcPr>
          <w:p>
            <w:pPr>
              <w:pStyle w:val="TableContents"/>
              <w:spacing w:before="0" w:after="283"/>
              <w:rPr/>
            </w:pPr>
            <w:r>
              <w:rPr/>
            </w:r>
          </w:p>
        </w:tc>
      </w:tr>
      <w:tr>
        <w:trPr/>
        <w:tc>
          <w:tcPr>
            <w:tcW w:w="10005"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VIAD CORP AND SUBSIDIARIES</w:t>
            </w:r>
          </w:p>
        </w:tc>
      </w:tr>
      <w:tr>
        <w:trPr/>
        <w:tc>
          <w:tcPr>
            <w:tcW w:w="10005"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TABLE TWO - INCOME BEFORE OTHER ITEMS,</w:t>
            </w:r>
          </w:p>
        </w:tc>
      </w:tr>
      <w:tr>
        <w:trPr/>
        <w:tc>
          <w:tcPr>
            <w:tcW w:w="10005"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ADJUSTED EBITDA AND FREE CASH FLOW</w:t>
            </w:r>
          </w:p>
        </w:tc>
      </w:tr>
      <w:tr>
        <w:trPr/>
        <w:tc>
          <w:tcPr>
            <w:tcW w:w="10005" w:type="dxa"/>
            <w:gridSpan w:val="18"/>
            <w:tcBorders/>
            <w:shd w:fill="auto" w:val="cle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(UNAUDITED)</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3847"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Three months ended September 30,</w:t>
            </w:r>
          </w:p>
        </w:tc>
        <w:tc>
          <w:tcPr>
            <w:tcW w:w="29" w:type="dxa"/>
            <w:tcBorders/>
            <w:shd w:fill="auto" w:val="clear"/>
            <w:vAlign w:val="center"/>
          </w:tcPr>
          <w:p>
            <w:pPr>
              <w:pStyle w:val="TableContents"/>
              <w:spacing w:before="0" w:after="283"/>
              <w:rPr/>
            </w:pPr>
            <w:r>
              <w:rPr/>
            </w:r>
          </w:p>
        </w:tc>
        <w:tc>
          <w:tcPr>
            <w:tcW w:w="3917"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Nine months ended September 30,</w:t>
            </w:r>
          </w:p>
        </w:tc>
      </w:tr>
      <w:tr>
        <w:trPr/>
        <w:tc>
          <w:tcPr>
            <w:tcW w:w="2212" w:type="dxa"/>
            <w:gridSpan w:val="3"/>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(000 omitted)</w:t>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9" w:type="dxa"/>
            <w:tcBorders/>
            <w:shd w:fill="auto" w:val="clear"/>
            <w:vAlign w:val="center"/>
          </w:tcPr>
          <w:p>
            <w:pPr>
              <w:pStyle w:val="TableContents"/>
              <w:spacing w:before="0" w:after="283"/>
              <w:rPr/>
            </w:pPr>
            <w:r>
              <w:rPr/>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9" w:type="dxa"/>
            <w:tcBorders/>
            <w:shd w:fill="auto" w:val="clear"/>
            <w:vAlign w:val="center"/>
          </w:tcPr>
          <w:p>
            <w:pPr>
              <w:pStyle w:val="TableContents"/>
              <w:spacing w:before="0" w:after="283"/>
              <w:rPr/>
            </w:pPr>
            <w:r>
              <w:rPr/>
            </w:r>
          </w:p>
        </w:tc>
        <w:tc>
          <w:tcPr>
            <w:tcW w:w="94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1018"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9" w:type="dxa"/>
            <w:tcBorders/>
            <w:shd w:fill="auto" w:val="clear"/>
            <w:vAlign w:val="center"/>
          </w:tcPr>
          <w:p>
            <w:pPr>
              <w:pStyle w:val="TableContents"/>
              <w:spacing w:before="0" w:after="283"/>
              <w:rPr/>
            </w:pPr>
            <w:r>
              <w:rPr/>
            </w:r>
          </w:p>
        </w:tc>
        <w:tc>
          <w:tcPr>
            <w:tcW w:w="96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9" w:type="dxa"/>
            <w:tcBorders/>
            <w:shd w:fill="auto" w:val="clear"/>
            <w:vAlign w:val="center"/>
          </w:tcPr>
          <w:p>
            <w:pPr>
              <w:pStyle w:val="TableContents"/>
              <w:spacing w:before="0" w:after="283"/>
              <w:rPr/>
            </w:pPr>
            <w:r>
              <w:rPr/>
            </w:r>
          </w:p>
        </w:tc>
        <w:tc>
          <w:tcPr>
            <w:tcW w:w="94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1029"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2212"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before other items (Note A):</w:t>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Income from continuing operations</w:t>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attributable to Viad</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30,756</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8,871</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21,885</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48,046</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23,840</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24,206</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Restructuring charges, net of tax</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148</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398</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(250)</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62.8%</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1,134</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1,462</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(328)</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22.4%</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Impairment charges, net of tax</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1,639</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(1,639)</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549</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1,639</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(1,090)</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66.5%</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Favorable tax matters</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(10,089)</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(10,089)</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(12,624)</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(12,624)</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Income before other items</w:t>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20,815</w:t>
            </w:r>
          </w:p>
        </w:tc>
        <w:tc>
          <w:tcPr>
            <w:tcW w:w="29" w:type="dxa"/>
            <w:tcBorders/>
            <w:shd w:fill="auto" w:val="clear"/>
            <w:vAlign w:val="center"/>
          </w:tcPr>
          <w:p>
            <w:pPr>
              <w:pStyle w:val="TableContents"/>
              <w:spacing w:before="0" w:after="283"/>
              <w:rPr/>
            </w:pPr>
            <w:r>
              <w:rPr/>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10,908</w:t>
            </w:r>
          </w:p>
        </w:tc>
        <w:tc>
          <w:tcPr>
            <w:tcW w:w="29" w:type="dxa"/>
            <w:tcBorders/>
            <w:shd w:fill="auto" w:val="clear"/>
            <w:vAlign w:val="center"/>
          </w:tcPr>
          <w:p>
            <w:pPr>
              <w:pStyle w:val="TableContents"/>
              <w:spacing w:before="0" w:after="283"/>
              <w:rPr/>
            </w:pPr>
            <w:r>
              <w:rPr/>
            </w:r>
          </w:p>
        </w:tc>
        <w:tc>
          <w:tcPr>
            <w:tcW w:w="94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9,907</w:t>
            </w:r>
          </w:p>
        </w:tc>
        <w:tc>
          <w:tcPr>
            <w:tcW w:w="29" w:type="dxa"/>
            <w:tcBorders/>
            <w:shd w:fill="auto" w:val="clear"/>
            <w:vAlign w:val="center"/>
          </w:tcPr>
          <w:p>
            <w:pPr>
              <w:pStyle w:val="TableContents"/>
              <w:spacing w:before="0" w:after="283"/>
              <w:rPr/>
            </w:pPr>
            <w:r>
              <w:rPr/>
            </w:r>
          </w:p>
        </w:tc>
        <w:tc>
          <w:tcPr>
            <w:tcW w:w="1018"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90.8%</w:t>
            </w:r>
          </w:p>
        </w:tc>
        <w:tc>
          <w:tcPr>
            <w:tcW w:w="29" w:type="dxa"/>
            <w:tcBorders/>
            <w:shd w:fill="auto" w:val="clear"/>
            <w:vAlign w:val="center"/>
          </w:tcPr>
          <w:p>
            <w:pPr>
              <w:pStyle w:val="TableContents"/>
              <w:spacing w:before="0" w:after="283"/>
              <w:rPr/>
            </w:pPr>
            <w:r>
              <w:rPr/>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37,105</w:t>
            </w:r>
          </w:p>
        </w:tc>
        <w:tc>
          <w:tcPr>
            <w:tcW w:w="29" w:type="dxa"/>
            <w:tcBorders/>
            <w:shd w:fill="auto" w:val="clear"/>
            <w:vAlign w:val="center"/>
          </w:tcPr>
          <w:p>
            <w:pPr>
              <w:pStyle w:val="TableContents"/>
              <w:spacing w:before="0" w:after="283"/>
              <w:rPr/>
            </w:pPr>
            <w:r>
              <w:rPr/>
            </w:r>
          </w:p>
        </w:tc>
        <w:tc>
          <w:tcPr>
            <w:tcW w:w="96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26,941</w:t>
            </w:r>
          </w:p>
        </w:tc>
        <w:tc>
          <w:tcPr>
            <w:tcW w:w="29" w:type="dxa"/>
            <w:tcBorders/>
            <w:shd w:fill="auto" w:val="clear"/>
            <w:vAlign w:val="center"/>
          </w:tcPr>
          <w:p>
            <w:pPr>
              <w:pStyle w:val="TableContents"/>
              <w:spacing w:before="0" w:after="283"/>
              <w:rPr/>
            </w:pPr>
            <w:r>
              <w:rPr/>
            </w:r>
          </w:p>
        </w:tc>
        <w:tc>
          <w:tcPr>
            <w:tcW w:w="94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10,164</w:t>
            </w:r>
          </w:p>
        </w:tc>
        <w:tc>
          <w:tcPr>
            <w:tcW w:w="29" w:type="dxa"/>
            <w:tcBorders/>
            <w:shd w:fill="auto" w:val="clear"/>
            <w:vAlign w:val="center"/>
          </w:tcPr>
          <w:p>
            <w:pPr>
              <w:pStyle w:val="TableContents"/>
              <w:spacing w:before="0" w:after="283"/>
              <w:rPr/>
            </w:pPr>
            <w:r>
              <w:rPr/>
            </w:r>
          </w:p>
        </w:tc>
        <w:tc>
          <w:tcPr>
            <w:tcW w:w="1029"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37.7%</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2212" w:type="dxa"/>
            <w:gridSpan w:val="3"/>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(per diluted share)</w:t>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2212"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before other items:</w:t>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Income from continuing operations</w:t>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attributable to Viad</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1.53</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0.44</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1.09</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2.38</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1.17</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1.21</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Restructuring charges, net of tax</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0.01</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0.02</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(0.01)</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50.0%</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0.06</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0.07</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(0.01)</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14.3%</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Impairment charges, net of tax</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0.07</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(0.07)</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0.03</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0.08</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(0.05)</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62.5%</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Favorable tax matters</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(0.50)</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(0.50)</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(0.63)</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(0.63)</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Income before other items</w:t>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1.04</w:t>
            </w:r>
          </w:p>
        </w:tc>
        <w:tc>
          <w:tcPr>
            <w:tcW w:w="29" w:type="dxa"/>
            <w:tcBorders/>
            <w:shd w:fill="auto" w:val="clear"/>
            <w:vAlign w:val="center"/>
          </w:tcPr>
          <w:p>
            <w:pPr>
              <w:pStyle w:val="TableContents"/>
              <w:spacing w:before="0" w:after="283"/>
              <w:rPr/>
            </w:pPr>
            <w:r>
              <w:rPr/>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0.53</w:t>
            </w:r>
          </w:p>
        </w:tc>
        <w:tc>
          <w:tcPr>
            <w:tcW w:w="29" w:type="dxa"/>
            <w:tcBorders/>
            <w:shd w:fill="auto" w:val="clear"/>
            <w:vAlign w:val="center"/>
          </w:tcPr>
          <w:p>
            <w:pPr>
              <w:pStyle w:val="TableContents"/>
              <w:spacing w:before="0" w:after="283"/>
              <w:rPr/>
            </w:pPr>
            <w:r>
              <w:rPr/>
            </w:r>
          </w:p>
        </w:tc>
        <w:tc>
          <w:tcPr>
            <w:tcW w:w="94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0.51</w:t>
            </w:r>
          </w:p>
        </w:tc>
        <w:tc>
          <w:tcPr>
            <w:tcW w:w="29" w:type="dxa"/>
            <w:tcBorders/>
            <w:shd w:fill="auto" w:val="clear"/>
            <w:vAlign w:val="center"/>
          </w:tcPr>
          <w:p>
            <w:pPr>
              <w:pStyle w:val="TableContents"/>
              <w:spacing w:before="0" w:after="283"/>
              <w:rPr/>
            </w:pPr>
            <w:r>
              <w:rPr/>
            </w:r>
          </w:p>
        </w:tc>
        <w:tc>
          <w:tcPr>
            <w:tcW w:w="1018"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96.2%</w:t>
            </w:r>
          </w:p>
        </w:tc>
        <w:tc>
          <w:tcPr>
            <w:tcW w:w="29" w:type="dxa"/>
            <w:tcBorders/>
            <w:shd w:fill="auto" w:val="clear"/>
            <w:vAlign w:val="center"/>
          </w:tcPr>
          <w:p>
            <w:pPr>
              <w:pStyle w:val="TableContents"/>
              <w:spacing w:before="0" w:after="283"/>
              <w:rPr/>
            </w:pPr>
            <w:r>
              <w:rPr/>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1.84</w:t>
            </w:r>
          </w:p>
        </w:tc>
        <w:tc>
          <w:tcPr>
            <w:tcW w:w="29" w:type="dxa"/>
            <w:tcBorders/>
            <w:shd w:fill="auto" w:val="clear"/>
            <w:vAlign w:val="center"/>
          </w:tcPr>
          <w:p>
            <w:pPr>
              <w:pStyle w:val="TableContents"/>
              <w:spacing w:before="0" w:after="283"/>
              <w:rPr/>
            </w:pPr>
            <w:r>
              <w:rPr/>
            </w:r>
          </w:p>
        </w:tc>
        <w:tc>
          <w:tcPr>
            <w:tcW w:w="96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1.32</w:t>
            </w:r>
          </w:p>
        </w:tc>
        <w:tc>
          <w:tcPr>
            <w:tcW w:w="29" w:type="dxa"/>
            <w:tcBorders/>
            <w:shd w:fill="auto" w:val="clear"/>
            <w:vAlign w:val="center"/>
          </w:tcPr>
          <w:p>
            <w:pPr>
              <w:pStyle w:val="TableContents"/>
              <w:spacing w:before="0" w:after="283"/>
              <w:rPr/>
            </w:pPr>
            <w:r>
              <w:rPr/>
            </w:r>
          </w:p>
        </w:tc>
        <w:tc>
          <w:tcPr>
            <w:tcW w:w="94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0.52</w:t>
            </w:r>
          </w:p>
        </w:tc>
        <w:tc>
          <w:tcPr>
            <w:tcW w:w="29" w:type="dxa"/>
            <w:tcBorders/>
            <w:shd w:fill="auto" w:val="clear"/>
            <w:vAlign w:val="center"/>
          </w:tcPr>
          <w:p>
            <w:pPr>
              <w:pStyle w:val="TableContents"/>
              <w:spacing w:before="0" w:after="283"/>
              <w:rPr/>
            </w:pPr>
            <w:r>
              <w:rPr/>
            </w:r>
          </w:p>
        </w:tc>
        <w:tc>
          <w:tcPr>
            <w:tcW w:w="1029"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39.4%</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3847"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color w:val="000000"/>
              </w:rPr>
            </w:pPr>
            <w:r>
              <w:rPr>
                <w:color w:val="000000"/>
              </w:rPr>
              <w:t> </w:t>
            </w:r>
            <w:r>
              <w:rPr>
                <w:rFonts w:ascii="Arial" w:hAnsi="Arial"/>
                <w:color w:val="000000"/>
                <w:sz w:val="16"/>
              </w:rPr>
              <w:t>Three months ended September 30, </w:t>
            </w:r>
          </w:p>
        </w:tc>
        <w:tc>
          <w:tcPr>
            <w:tcW w:w="29" w:type="dxa"/>
            <w:tcBorders/>
            <w:shd w:fill="auto" w:val="clear"/>
            <w:vAlign w:val="center"/>
          </w:tcPr>
          <w:p>
            <w:pPr>
              <w:pStyle w:val="TableContents"/>
              <w:spacing w:before="0" w:after="283"/>
              <w:rPr/>
            </w:pPr>
            <w:r>
              <w:rPr/>
            </w:r>
          </w:p>
        </w:tc>
        <w:tc>
          <w:tcPr>
            <w:tcW w:w="3917"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color w:val="000000"/>
              </w:rPr>
            </w:pPr>
            <w:r>
              <w:rPr>
                <w:color w:val="000000"/>
              </w:rPr>
              <w:t> </w:t>
            </w:r>
            <w:r>
              <w:rPr>
                <w:rFonts w:ascii="Arial" w:hAnsi="Arial"/>
                <w:color w:val="000000"/>
                <w:sz w:val="16"/>
              </w:rPr>
              <w:t>Nine months ended September 30, </w:t>
            </w:r>
          </w:p>
        </w:tc>
      </w:tr>
      <w:tr>
        <w:trPr/>
        <w:tc>
          <w:tcPr>
            <w:tcW w:w="2212" w:type="dxa"/>
            <w:gridSpan w:val="3"/>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(000 omitted)</w:t>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9" w:type="dxa"/>
            <w:tcBorders/>
            <w:shd w:fill="auto" w:val="clear"/>
            <w:vAlign w:val="center"/>
          </w:tcPr>
          <w:p>
            <w:pPr>
              <w:pStyle w:val="TableContents"/>
              <w:spacing w:before="0" w:after="283"/>
              <w:rPr/>
            </w:pPr>
            <w:r>
              <w:rPr/>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9" w:type="dxa"/>
            <w:tcBorders/>
            <w:shd w:fill="auto" w:val="clear"/>
            <w:vAlign w:val="center"/>
          </w:tcPr>
          <w:p>
            <w:pPr>
              <w:pStyle w:val="TableContents"/>
              <w:spacing w:before="0" w:after="283"/>
              <w:rPr/>
            </w:pPr>
            <w:r>
              <w:rPr/>
            </w:r>
          </w:p>
        </w:tc>
        <w:tc>
          <w:tcPr>
            <w:tcW w:w="94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1018"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9" w:type="dxa"/>
            <w:tcBorders/>
            <w:shd w:fill="auto" w:val="clear"/>
            <w:vAlign w:val="center"/>
          </w:tcPr>
          <w:p>
            <w:pPr>
              <w:pStyle w:val="TableContents"/>
              <w:spacing w:before="0" w:after="283"/>
              <w:rPr/>
            </w:pPr>
            <w:r>
              <w:rPr/>
            </w:r>
          </w:p>
        </w:tc>
        <w:tc>
          <w:tcPr>
            <w:tcW w:w="96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9" w:type="dxa"/>
            <w:tcBorders/>
            <w:shd w:fill="auto" w:val="clear"/>
            <w:vAlign w:val="center"/>
          </w:tcPr>
          <w:p>
            <w:pPr>
              <w:pStyle w:val="TableContents"/>
              <w:spacing w:before="0" w:after="283"/>
              <w:rPr/>
            </w:pPr>
            <w:r>
              <w:rPr/>
            </w:r>
          </w:p>
        </w:tc>
        <w:tc>
          <w:tcPr>
            <w:tcW w:w="94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1029"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2212"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Adjusted EBITDA (Note A):</w:t>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Net income attributable to Viad</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29,620</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11,855</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17,765</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58,244</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26,173</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32,071</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loss from discontinued operations</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1,136</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(2,984)</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4,120</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(10,198)</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(2,333)</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(7,865)</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Impairment charges</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2,630</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(2,630)</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884</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2,630</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(1,746)</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66.4%</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Interest expense</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489</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289</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200</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-69.2%</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1,161</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916</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245</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-26.7%</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tax expense (benefit)</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(3,168)</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3,330</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(6,498)</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439</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10,043</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(9,604)</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95.6%</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Depreciation and amortization</w:t>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7,780</w:t>
            </w:r>
          </w:p>
        </w:tc>
        <w:tc>
          <w:tcPr>
            <w:tcW w:w="29" w:type="dxa"/>
            <w:tcBorders/>
            <w:shd w:fill="auto" w:val="clear"/>
            <w:vAlign w:val="center"/>
          </w:tcPr>
          <w:p>
            <w:pPr>
              <w:pStyle w:val="TableContents"/>
              <w:spacing w:before="0" w:after="283"/>
              <w:rPr/>
            </w:pPr>
            <w:r>
              <w:rPr/>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7,192</w:t>
            </w:r>
          </w:p>
        </w:tc>
        <w:tc>
          <w:tcPr>
            <w:tcW w:w="29" w:type="dxa"/>
            <w:tcBorders/>
            <w:shd w:fill="auto" w:val="clear"/>
            <w:vAlign w:val="center"/>
          </w:tcPr>
          <w:p>
            <w:pPr>
              <w:pStyle w:val="TableContents"/>
              <w:spacing w:before="0" w:after="283"/>
              <w:rPr/>
            </w:pPr>
            <w:r>
              <w:rPr/>
            </w:r>
          </w:p>
        </w:tc>
        <w:tc>
          <w:tcPr>
            <w:tcW w:w="94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588</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-8.2%</w:t>
            </w:r>
          </w:p>
        </w:tc>
        <w:tc>
          <w:tcPr>
            <w:tcW w:w="29" w:type="dxa"/>
            <w:tcBorders/>
            <w:shd w:fill="auto" w:val="clear"/>
            <w:vAlign w:val="center"/>
          </w:tcPr>
          <w:p>
            <w:pPr>
              <w:pStyle w:val="TableContents"/>
              <w:spacing w:before="0" w:after="283"/>
              <w:rPr/>
            </w:pPr>
            <w:r>
              <w:rPr/>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21,559</w:t>
            </w:r>
          </w:p>
        </w:tc>
        <w:tc>
          <w:tcPr>
            <w:tcW w:w="29" w:type="dxa"/>
            <w:tcBorders/>
            <w:shd w:fill="auto" w:val="clear"/>
            <w:vAlign w:val="center"/>
          </w:tcPr>
          <w:p>
            <w:pPr>
              <w:pStyle w:val="TableContents"/>
              <w:spacing w:before="0" w:after="283"/>
              <w:rPr/>
            </w:pPr>
            <w:r>
              <w:rPr/>
            </w:r>
          </w:p>
        </w:tc>
        <w:tc>
          <w:tcPr>
            <w:tcW w:w="96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21,057</w:t>
            </w:r>
          </w:p>
        </w:tc>
        <w:tc>
          <w:tcPr>
            <w:tcW w:w="29" w:type="dxa"/>
            <w:tcBorders/>
            <w:shd w:fill="auto" w:val="clear"/>
            <w:vAlign w:val="center"/>
          </w:tcPr>
          <w:p>
            <w:pPr>
              <w:pStyle w:val="TableContents"/>
              <w:spacing w:before="0" w:after="283"/>
              <w:rPr/>
            </w:pPr>
            <w:r>
              <w:rPr/>
            </w:r>
          </w:p>
        </w:tc>
        <w:tc>
          <w:tcPr>
            <w:tcW w:w="940" w:type="dxa"/>
            <w:tcBorders>
              <w:bottom w:val="single" w:sz="8" w:space="0" w:color="000000"/>
            </w:tcBorders>
            <w:shd w:fill="auto" w:val="clear"/>
            <w:tcMar>
              <w:bottom w:w="28" w:type="dxa"/>
            </w:tcM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502</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-2.4%</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Adjusted EBITDA</w:t>
            </w:r>
          </w:p>
        </w:tc>
        <w:tc>
          <w:tcPr>
            <w:tcW w:w="901"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35,857</w:t>
            </w:r>
          </w:p>
        </w:tc>
        <w:tc>
          <w:tcPr>
            <w:tcW w:w="29" w:type="dxa"/>
            <w:tcBorders/>
            <w:shd w:fill="auto" w:val="clear"/>
            <w:vAlign w:val="center"/>
          </w:tcPr>
          <w:p>
            <w:pPr>
              <w:pStyle w:val="TableContents"/>
              <w:spacing w:before="0" w:after="283"/>
              <w:rPr/>
            </w:pPr>
            <w:r>
              <w:rPr/>
            </w:r>
          </w:p>
        </w:tc>
        <w:tc>
          <w:tcPr>
            <w:tcW w:w="901"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22,312</w:t>
            </w:r>
          </w:p>
        </w:tc>
        <w:tc>
          <w:tcPr>
            <w:tcW w:w="29" w:type="dxa"/>
            <w:tcBorders/>
            <w:shd w:fill="auto" w:val="clear"/>
            <w:vAlign w:val="center"/>
          </w:tcPr>
          <w:p>
            <w:pPr>
              <w:pStyle w:val="TableContents"/>
              <w:spacing w:before="0" w:after="283"/>
              <w:rPr/>
            </w:pPr>
            <w:r>
              <w:rPr/>
            </w:r>
          </w:p>
        </w:tc>
        <w:tc>
          <w:tcPr>
            <w:tcW w:w="94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13,545</w:t>
            </w:r>
          </w:p>
        </w:tc>
        <w:tc>
          <w:tcPr>
            <w:tcW w:w="29" w:type="dxa"/>
            <w:tcBorders/>
            <w:shd w:fill="auto" w:val="clear"/>
            <w:vAlign w:val="center"/>
          </w:tcPr>
          <w:p>
            <w:pPr>
              <w:pStyle w:val="TableContents"/>
              <w:spacing w:before="0" w:after="283"/>
              <w:rPr/>
            </w:pPr>
            <w:r>
              <w:rPr/>
            </w:r>
          </w:p>
        </w:tc>
        <w:tc>
          <w:tcPr>
            <w:tcW w:w="1018"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60.7%</w:t>
            </w:r>
          </w:p>
        </w:tc>
        <w:tc>
          <w:tcPr>
            <w:tcW w:w="29" w:type="dxa"/>
            <w:tcBorders/>
            <w:shd w:fill="auto" w:val="clear"/>
            <w:vAlign w:val="center"/>
          </w:tcPr>
          <w:p>
            <w:pPr>
              <w:pStyle w:val="TableContents"/>
              <w:spacing w:before="0" w:after="283"/>
              <w:rPr/>
            </w:pPr>
            <w:r>
              <w:rPr/>
            </w:r>
          </w:p>
        </w:tc>
        <w:tc>
          <w:tcPr>
            <w:tcW w:w="901"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72,089</w:t>
            </w:r>
          </w:p>
        </w:tc>
        <w:tc>
          <w:tcPr>
            <w:tcW w:w="29" w:type="dxa"/>
            <w:tcBorders/>
            <w:shd w:fill="auto" w:val="clear"/>
            <w:vAlign w:val="center"/>
          </w:tcPr>
          <w:p>
            <w:pPr>
              <w:pStyle w:val="TableContents"/>
              <w:spacing w:before="0" w:after="283"/>
              <w:rPr/>
            </w:pPr>
            <w:r>
              <w:rPr/>
            </w:r>
          </w:p>
        </w:tc>
        <w:tc>
          <w:tcPr>
            <w:tcW w:w="96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58,486</w:t>
            </w:r>
          </w:p>
        </w:tc>
        <w:tc>
          <w:tcPr>
            <w:tcW w:w="29" w:type="dxa"/>
            <w:tcBorders/>
            <w:shd w:fill="auto" w:val="clear"/>
            <w:vAlign w:val="center"/>
          </w:tcPr>
          <w:p>
            <w:pPr>
              <w:pStyle w:val="TableContents"/>
              <w:spacing w:before="0" w:after="283"/>
              <w:rPr/>
            </w:pPr>
            <w:r>
              <w:rPr/>
            </w:r>
          </w:p>
        </w:tc>
        <w:tc>
          <w:tcPr>
            <w:tcW w:w="940" w:type="dxa"/>
            <w:tcBorders>
              <w:bottom w:val="double" w:sz="5" w:space="0" w:color="000000"/>
            </w:tcBorders>
            <w:shd w:fill="auto" w:val="clear"/>
            <w:tcMar>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13,603</w:t>
            </w:r>
          </w:p>
        </w:tc>
        <w:tc>
          <w:tcPr>
            <w:tcW w:w="29" w:type="dxa"/>
            <w:tcBorders/>
            <w:shd w:fill="auto" w:val="clear"/>
            <w:vAlign w:val="center"/>
          </w:tcPr>
          <w:p>
            <w:pPr>
              <w:pStyle w:val="TableContents"/>
              <w:spacing w:before="0" w:after="283"/>
              <w:rPr/>
            </w:pPr>
            <w:r>
              <w:rPr/>
            </w:r>
          </w:p>
        </w:tc>
        <w:tc>
          <w:tcPr>
            <w:tcW w:w="1029"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23.3%</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3847"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color w:val="000000"/>
              </w:rPr>
            </w:pPr>
            <w:r>
              <w:rPr>
                <w:color w:val="000000"/>
              </w:rPr>
              <w:t> </w:t>
            </w:r>
            <w:r>
              <w:rPr>
                <w:rFonts w:ascii="Arial" w:hAnsi="Arial"/>
                <w:color w:val="000000"/>
                <w:sz w:val="16"/>
              </w:rPr>
              <w:t>Three months ended September 30, </w:t>
            </w:r>
          </w:p>
        </w:tc>
        <w:tc>
          <w:tcPr>
            <w:tcW w:w="29" w:type="dxa"/>
            <w:tcBorders/>
            <w:shd w:fill="auto" w:val="clear"/>
            <w:vAlign w:val="center"/>
          </w:tcPr>
          <w:p>
            <w:pPr>
              <w:pStyle w:val="TableContents"/>
              <w:spacing w:before="0" w:after="283"/>
              <w:rPr/>
            </w:pPr>
            <w:r>
              <w:rPr/>
            </w:r>
          </w:p>
        </w:tc>
        <w:tc>
          <w:tcPr>
            <w:tcW w:w="3917" w:type="dxa"/>
            <w:gridSpan w:val="7"/>
            <w:tcBorders>
              <w:bottom w:val="single" w:sz="8" w:space="0" w:color="000000"/>
            </w:tcBorders>
            <w:shd w:fill="auto" w:val="clear"/>
            <w:tcMar>
              <w:bottom w:w="28" w:type="dxa"/>
            </w:tcMar>
            <w:vAlign w:val="center"/>
          </w:tcPr>
          <w:p>
            <w:pPr>
              <w:pStyle w:val="TableContents"/>
              <w:spacing w:before="0" w:after="0"/>
              <w:ind w:left="0" w:right="0" w:hanging="0"/>
              <w:jc w:val="center"/>
              <w:rPr>
                <w:color w:val="000000"/>
              </w:rPr>
            </w:pPr>
            <w:r>
              <w:rPr>
                <w:color w:val="000000"/>
              </w:rPr>
              <w:t> </w:t>
            </w:r>
            <w:r>
              <w:rPr>
                <w:rFonts w:ascii="Arial" w:hAnsi="Arial"/>
                <w:color w:val="000000"/>
                <w:sz w:val="16"/>
              </w:rPr>
              <w:t>Nine months ended September 30, </w:t>
            </w:r>
          </w:p>
        </w:tc>
      </w:tr>
      <w:tr>
        <w:trPr/>
        <w:tc>
          <w:tcPr>
            <w:tcW w:w="2212" w:type="dxa"/>
            <w:gridSpan w:val="3"/>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(000 omitted)</w:t>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9" w:type="dxa"/>
            <w:tcBorders/>
            <w:shd w:fill="auto" w:val="clear"/>
            <w:vAlign w:val="center"/>
          </w:tcPr>
          <w:p>
            <w:pPr>
              <w:pStyle w:val="TableContents"/>
              <w:spacing w:before="0" w:after="283"/>
              <w:rPr/>
            </w:pPr>
            <w:r>
              <w:rPr/>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9" w:type="dxa"/>
            <w:tcBorders/>
            <w:shd w:fill="auto" w:val="clear"/>
            <w:vAlign w:val="center"/>
          </w:tcPr>
          <w:p>
            <w:pPr>
              <w:pStyle w:val="TableContents"/>
              <w:spacing w:before="0" w:after="283"/>
              <w:rPr/>
            </w:pPr>
            <w:r>
              <w:rPr/>
            </w:r>
          </w:p>
        </w:tc>
        <w:tc>
          <w:tcPr>
            <w:tcW w:w="94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1018"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901"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2014</w:t>
            </w:r>
          </w:p>
        </w:tc>
        <w:tc>
          <w:tcPr>
            <w:tcW w:w="29" w:type="dxa"/>
            <w:tcBorders/>
            <w:shd w:fill="auto" w:val="clear"/>
            <w:vAlign w:val="center"/>
          </w:tcPr>
          <w:p>
            <w:pPr>
              <w:pStyle w:val="TableContents"/>
              <w:spacing w:before="0" w:after="283"/>
              <w:rPr/>
            </w:pPr>
            <w:r>
              <w:rPr/>
            </w:r>
          </w:p>
        </w:tc>
        <w:tc>
          <w:tcPr>
            <w:tcW w:w="96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2013</w:t>
            </w:r>
          </w:p>
        </w:tc>
        <w:tc>
          <w:tcPr>
            <w:tcW w:w="29" w:type="dxa"/>
            <w:tcBorders/>
            <w:shd w:fill="auto" w:val="clear"/>
            <w:vAlign w:val="center"/>
          </w:tcPr>
          <w:p>
            <w:pPr>
              <w:pStyle w:val="TableContents"/>
              <w:spacing w:before="0" w:after="283"/>
              <w:rPr/>
            </w:pPr>
            <w:r>
              <w:rPr/>
            </w:r>
          </w:p>
        </w:tc>
        <w:tc>
          <w:tcPr>
            <w:tcW w:w="940"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c>
          <w:tcPr>
            <w:tcW w:w="29" w:type="dxa"/>
            <w:tcBorders/>
            <w:shd w:fill="auto" w:val="clear"/>
            <w:vAlign w:val="center"/>
          </w:tcPr>
          <w:p>
            <w:pPr>
              <w:pStyle w:val="TableContents"/>
              <w:spacing w:before="0" w:after="283"/>
              <w:rPr/>
            </w:pPr>
            <w:r>
              <w:rPr/>
            </w:r>
          </w:p>
        </w:tc>
        <w:tc>
          <w:tcPr>
            <w:tcW w:w="1029" w:type="dxa"/>
            <w:tcBorders>
              <w:bottom w:val="single" w:sz="8" w:space="0" w:color="000000"/>
            </w:tcBorders>
            <w:shd w:fill="auto" w:val="clear"/>
            <w:tcMar>
              <w:bottom w:w="28" w:type="dxa"/>
            </w:tcM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 Change</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2212" w:type="dxa"/>
            <w:gridSpan w:val="3"/>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Free Cash Flow (Note A):</w:t>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Net cash provided by</w:t>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operating activities</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53,695</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35,068</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18,627</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53.1%</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81,860</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27,333</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  54,527</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center"/>
              <w:rPr>
                <w:rFonts w:ascii="Arial" w:hAnsi="Arial"/>
                <w:color w:val="000000"/>
                <w:sz w:val="16"/>
              </w:rPr>
            </w:pPr>
            <w:r>
              <w:rPr>
                <w:rFonts w:ascii="Arial" w:hAnsi="Arial"/>
                <w:color w:val="000000"/>
                <w:sz w:val="16"/>
              </w:rPr>
              <w:t>**</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Capital expenditures</w:t>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(8,494)</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(11,222)</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2,728</w:t>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24.3%</w:t>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(21,898)</w:t>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(26,927)</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5,029</w:t>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0"/>
              <w:ind w:left="0" w:right="0" w:hanging="0"/>
              <w:jc w:val="right"/>
              <w:rPr>
                <w:rFonts w:ascii="Arial" w:hAnsi="Arial"/>
                <w:color w:val="000000"/>
                <w:sz w:val="16"/>
              </w:rPr>
            </w:pPr>
            <w:r>
              <w:rPr>
                <w:rFonts w:ascii="Arial" w:hAnsi="Arial"/>
                <w:color w:val="000000"/>
                <w:sz w:val="16"/>
              </w:rPr>
              <w:t>18.7%</w:t>
            </w:r>
          </w:p>
        </w:tc>
      </w:tr>
      <w:tr>
        <w:trPr/>
        <w:tc>
          <w:tcPr>
            <w:tcW w:w="66" w:type="dxa"/>
            <w:tcBorders/>
            <w:shd w:fill="auto" w:val="clear"/>
            <w:vAlign w:val="center"/>
          </w:tcPr>
          <w:p>
            <w:pPr>
              <w:pStyle w:val="TableContents"/>
              <w:spacing w:before="0" w:after="283"/>
              <w:rPr/>
            </w:pPr>
            <w:r>
              <w:rPr/>
            </w:r>
          </w:p>
        </w:tc>
        <w:tc>
          <w:tcPr>
            <w:tcW w:w="2146" w:type="dxa"/>
            <w:gridSpan w:val="2"/>
            <w:tcBorders/>
            <w:shd w:fill="auto" w:val="clear"/>
            <w:vAlign w:val="center"/>
          </w:tcPr>
          <w:p>
            <w:pPr>
              <w:pStyle w:val="TableContents"/>
              <w:spacing w:before="0" w:after="0"/>
              <w:ind w:left="0" w:right="0" w:hanging="0"/>
              <w:jc w:val="left"/>
              <w:rPr>
                <w:rFonts w:ascii="Arial" w:hAnsi="Arial"/>
                <w:b/>
                <w:color w:val="000000"/>
                <w:sz w:val="16"/>
              </w:rPr>
            </w:pPr>
            <w:r>
              <w:rPr>
                <w:rFonts w:ascii="Arial" w:hAnsi="Arial"/>
                <w:b/>
                <w:color w:val="000000"/>
                <w:sz w:val="16"/>
              </w:rPr>
              <w:t>Free cash flow</w:t>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45,201</w:t>
            </w:r>
          </w:p>
        </w:tc>
        <w:tc>
          <w:tcPr>
            <w:tcW w:w="29" w:type="dxa"/>
            <w:tcBorders/>
            <w:shd w:fill="auto" w:val="clear"/>
            <w:vAlign w:val="center"/>
          </w:tcPr>
          <w:p>
            <w:pPr>
              <w:pStyle w:val="TableContents"/>
              <w:spacing w:before="0" w:after="283"/>
              <w:rPr/>
            </w:pPr>
            <w:r>
              <w:rPr/>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23,846</w:t>
            </w:r>
          </w:p>
        </w:tc>
        <w:tc>
          <w:tcPr>
            <w:tcW w:w="29" w:type="dxa"/>
            <w:tcBorders/>
            <w:shd w:fill="auto" w:val="clear"/>
            <w:vAlign w:val="center"/>
          </w:tcPr>
          <w:p>
            <w:pPr>
              <w:pStyle w:val="TableContents"/>
              <w:spacing w:before="0" w:after="283"/>
              <w:rPr/>
            </w:pPr>
            <w:r>
              <w:rPr/>
            </w:r>
          </w:p>
        </w:tc>
        <w:tc>
          <w:tcPr>
            <w:tcW w:w="94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21,355</w:t>
            </w:r>
          </w:p>
        </w:tc>
        <w:tc>
          <w:tcPr>
            <w:tcW w:w="29" w:type="dxa"/>
            <w:tcBorders/>
            <w:shd w:fill="auto" w:val="clear"/>
            <w:vAlign w:val="center"/>
          </w:tcPr>
          <w:p>
            <w:pPr>
              <w:pStyle w:val="TableContents"/>
              <w:spacing w:before="0" w:after="283"/>
              <w:rPr/>
            </w:pPr>
            <w:r>
              <w:rPr/>
            </w:r>
          </w:p>
        </w:tc>
        <w:tc>
          <w:tcPr>
            <w:tcW w:w="1018"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89.6%</w:t>
            </w:r>
          </w:p>
        </w:tc>
        <w:tc>
          <w:tcPr>
            <w:tcW w:w="29" w:type="dxa"/>
            <w:tcBorders/>
            <w:shd w:fill="auto" w:val="clear"/>
            <w:vAlign w:val="center"/>
          </w:tcPr>
          <w:p>
            <w:pPr>
              <w:pStyle w:val="TableContents"/>
              <w:spacing w:before="0" w:after="283"/>
              <w:rPr/>
            </w:pPr>
            <w:r>
              <w:rPr/>
            </w:r>
          </w:p>
        </w:tc>
        <w:tc>
          <w:tcPr>
            <w:tcW w:w="901"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59,962</w:t>
            </w:r>
          </w:p>
        </w:tc>
        <w:tc>
          <w:tcPr>
            <w:tcW w:w="29" w:type="dxa"/>
            <w:tcBorders/>
            <w:shd w:fill="auto" w:val="clear"/>
            <w:vAlign w:val="center"/>
          </w:tcPr>
          <w:p>
            <w:pPr>
              <w:pStyle w:val="TableContents"/>
              <w:spacing w:before="0" w:after="283"/>
              <w:rPr/>
            </w:pPr>
            <w:r>
              <w:rPr/>
            </w:r>
          </w:p>
        </w:tc>
        <w:tc>
          <w:tcPr>
            <w:tcW w:w="96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406</w:t>
            </w:r>
          </w:p>
        </w:tc>
        <w:tc>
          <w:tcPr>
            <w:tcW w:w="29" w:type="dxa"/>
            <w:tcBorders/>
            <w:shd w:fill="auto" w:val="clear"/>
            <w:vAlign w:val="center"/>
          </w:tcPr>
          <w:p>
            <w:pPr>
              <w:pStyle w:val="TableContents"/>
              <w:spacing w:before="0" w:after="283"/>
              <w:rPr/>
            </w:pPr>
            <w:r>
              <w:rPr/>
            </w:r>
          </w:p>
        </w:tc>
        <w:tc>
          <w:tcPr>
            <w:tcW w:w="940"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right"/>
              <w:rPr>
                <w:rFonts w:ascii="Arial" w:hAnsi="Arial"/>
                <w:b/>
                <w:color w:val="000000"/>
                <w:sz w:val="16"/>
              </w:rPr>
            </w:pPr>
            <w:r>
              <w:rPr>
                <w:rFonts w:ascii="Arial" w:hAnsi="Arial"/>
                <w:b/>
                <w:color w:val="000000"/>
                <w:sz w:val="16"/>
              </w:rPr>
              <w:t>$  59,556</w:t>
            </w:r>
          </w:p>
        </w:tc>
        <w:tc>
          <w:tcPr>
            <w:tcW w:w="29" w:type="dxa"/>
            <w:tcBorders/>
            <w:shd w:fill="auto" w:val="clear"/>
            <w:vAlign w:val="center"/>
          </w:tcPr>
          <w:p>
            <w:pPr>
              <w:pStyle w:val="TableContents"/>
              <w:spacing w:before="0" w:after="283"/>
              <w:rPr/>
            </w:pPr>
            <w:r>
              <w:rPr/>
            </w:r>
          </w:p>
        </w:tc>
        <w:tc>
          <w:tcPr>
            <w:tcW w:w="1029" w:type="dxa"/>
            <w:tcBorders>
              <w:top w:val="single" w:sz="4" w:space="0" w:color="000000"/>
              <w:bottom w:val="double" w:sz="5" w:space="0" w:color="000000"/>
            </w:tcBorders>
            <w:shd w:fill="auto" w:val="clear"/>
            <w:tcMar>
              <w:top w:w="28" w:type="dxa"/>
              <w:bottom w:w="28" w:type="dxa"/>
            </w:tcMar>
            <w:vAlign w:val="center"/>
          </w:tcPr>
          <w:p>
            <w:pPr>
              <w:pStyle w:val="TableContents"/>
              <w:spacing w:before="0" w:after="0"/>
              <w:ind w:left="0" w:right="0" w:hanging="0"/>
              <w:jc w:val="center"/>
              <w:rPr>
                <w:rFonts w:ascii="Arial" w:hAnsi="Arial"/>
                <w:b/>
                <w:color w:val="000000"/>
                <w:sz w:val="16"/>
              </w:rPr>
            </w:pPr>
            <w:r>
              <w:rPr>
                <w:rFonts w:ascii="Arial" w:hAnsi="Arial"/>
                <w:b/>
                <w:color w:val="000000"/>
                <w:sz w:val="16"/>
              </w:rPr>
              <w:t>**</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4043" w:type="dxa"/>
            <w:gridSpan w:val="6"/>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 Change is greater than +/- 100 percent</w:t>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r>
        <w:trPr/>
        <w:tc>
          <w:tcPr>
            <w:tcW w:w="188" w:type="dxa"/>
            <w:gridSpan w:val="2"/>
            <w:tcBorders/>
            <w:shd w:fill="auto" w:val="clear"/>
            <w:vAlign w:val="center"/>
          </w:tcPr>
          <w:p>
            <w:pPr>
              <w:pStyle w:val="TableContents"/>
              <w:spacing w:before="0" w:after="0"/>
              <w:ind w:left="0" w:right="0" w:hanging="0"/>
              <w:rPr>
                <w:rFonts w:ascii="Arial" w:hAnsi="Arial"/>
                <w:color w:val="000000"/>
                <w:sz w:val="16"/>
              </w:rPr>
            </w:pPr>
            <w:r>
              <w:rPr>
                <w:rFonts w:ascii="Arial" w:hAnsi="Arial"/>
                <w:color w:val="000000"/>
                <w:sz w:val="16"/>
              </w:rPr>
              <w:t>(A)</w:t>
            </w:r>
          </w:p>
        </w:tc>
        <w:tc>
          <w:tcPr>
            <w:tcW w:w="9817" w:type="dxa"/>
            <w:gridSpan w:val="16"/>
            <w:tcBorders/>
            <w:shd w:fill="auto" w:val="clear"/>
            <w:vAlign w:val="center"/>
          </w:tcPr>
          <w:p>
            <w:pPr>
              <w:pStyle w:val="TableContents"/>
              <w:spacing w:before="0" w:after="0"/>
              <w:ind w:left="0" w:right="0" w:hanging="0"/>
              <w:jc w:val="left"/>
              <w:rPr>
                <w:rFonts w:ascii="Arial" w:hAnsi="Arial"/>
                <w:color w:val="000000"/>
                <w:sz w:val="16"/>
              </w:rPr>
            </w:pPr>
            <w:r>
              <w:rPr>
                <w:rFonts w:ascii="Arial" w:hAnsi="Arial"/>
                <w:color w:val="000000"/>
                <w:sz w:val="16"/>
              </w:rPr>
              <w:t>Income before other items, Adjusted EBITDA and Free Cash Flow are supplemental to results presented under accounting principles generally accepted in the United States of America ("GAAP") and may not be comparable to similarly titled measures presented by other companies. These non-GAAP measures are used by management to facilitate period-to-period comparisons and analysis of Viad's operating performance and liquidity. Management believes these non-GAAP measures are useful to investors in trending, analyzing and benchmarking the performance and value of Viad's business. These non-GAAP measures should be considered in addition to, but not as a substitute for, other similar measures reported in accordance with GAAP.</w:t>
            </w:r>
          </w:p>
        </w:tc>
      </w:tr>
      <w:tr>
        <w:trPr/>
        <w:tc>
          <w:tcPr>
            <w:tcW w:w="66" w:type="dxa"/>
            <w:tcBorders/>
            <w:shd w:fill="auto" w:val="clear"/>
            <w:vAlign w:val="center"/>
          </w:tcPr>
          <w:p>
            <w:pPr>
              <w:pStyle w:val="TableContents"/>
              <w:spacing w:before="0" w:after="283"/>
              <w:rPr/>
            </w:pPr>
            <w:r>
              <w:rPr/>
            </w:r>
          </w:p>
        </w:tc>
        <w:tc>
          <w:tcPr>
            <w:tcW w:w="122" w:type="dxa"/>
            <w:tcBorders/>
            <w:shd w:fill="auto" w:val="clear"/>
            <w:vAlign w:val="center"/>
          </w:tcPr>
          <w:p>
            <w:pPr>
              <w:pStyle w:val="TableContents"/>
              <w:spacing w:before="0" w:after="283"/>
              <w:rPr/>
            </w:pPr>
            <w:r>
              <w:rPr/>
            </w:r>
          </w:p>
        </w:tc>
        <w:tc>
          <w:tcPr>
            <w:tcW w:w="2024"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18"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01"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6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940" w:type="dxa"/>
            <w:tcBorders/>
            <w:shd w:fill="auto" w:val="clear"/>
            <w:vAlign w:val="center"/>
          </w:tcPr>
          <w:p>
            <w:pPr>
              <w:pStyle w:val="TableContents"/>
              <w:spacing w:before="0" w:after="283"/>
              <w:rPr/>
            </w:pPr>
            <w:r>
              <w:rPr/>
            </w:r>
          </w:p>
        </w:tc>
        <w:tc>
          <w:tcPr>
            <w:tcW w:w="29" w:type="dxa"/>
            <w:tcBorders/>
            <w:shd w:fill="auto" w:val="clear"/>
            <w:vAlign w:val="center"/>
          </w:tcPr>
          <w:p>
            <w:pPr>
              <w:pStyle w:val="TableContents"/>
              <w:spacing w:before="0" w:after="283"/>
              <w:rPr/>
            </w:pPr>
            <w:r>
              <w:rPr/>
            </w:r>
          </w:p>
        </w:tc>
        <w:tc>
          <w:tcPr>
            <w:tcW w:w="1029" w:type="dxa"/>
            <w:tcBorders/>
            <w:shd w:fill="auto" w:val="clear"/>
            <w:vAlign w:val="center"/>
          </w:tcPr>
          <w:p>
            <w:pPr>
              <w:pStyle w:val="TableContents"/>
              <w:spacing w:before="0" w:after="283"/>
              <w:rPr/>
            </w:pPr>
            <w:r>
              <w:rPr/>
            </w:r>
          </w:p>
        </w:tc>
      </w:tr>
    </w:tbl>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jc w:val="left"/>
        <w:rPr/>
      </w:pPr>
      <w:r>
        <w:rPr/>
        <w:drawing>
          <wp:inline distT="0" distB="0" distL="0" distR="0">
            <wp:extent cx="3810000" cy="20288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810000" cy="2028825"/>
                    </a:xfrm>
                    <a:prstGeom prst="rect">
                      <a:avLst/>
                    </a:prstGeom>
                  </pic:spPr>
                </pic:pic>
              </a:graphicData>
            </a:graphic>
          </wp:inline>
        </w:drawing>
      </w:r>
      <w:bookmarkStart w:id="4" w:name="prnejpgab6dleft"/>
      <w:bookmarkEnd w:id="4"/>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320" w:after="283"/>
        <w:ind w:left="200" w:right="0" w:hanging="0"/>
        <w:rPr/>
      </w:pPr>
      <w:r>
        <w:rPr/>
        <w:t xml:space="preserve">Logo - http://photos.prnewswire.com/prnh/20111011/LA84399LOGO </w:t>
      </w:r>
    </w:p>
    <w:p>
      <w:pPr>
        <w:pStyle w:val="TextBody"/>
        <w:spacing w:before="320" w:after="283"/>
        <w:ind w:left="200" w:right="0" w:hanging="0"/>
        <w:rPr/>
      </w:pPr>
      <w:r>
        <w:rPr/>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New Roman">
    <w:altName w:val="Times"/>
    <w:charset w:val="00"/>
    <w:family w:val="auto"/>
    <w:pitch w:val="default"/>
  </w:font>
  <w:font w:name="Arial">
    <w:charset w:val="00"/>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Wingdings" w:hAnsi="Wingdings" w:cs="Wingdings"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4477</Words>
  <CharactersWithSpaces>28243</CharactersWithSpaces>
  <Paragraphs>875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