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18"/>
          <w:szCs w:val="18"/>
          <w:color w:val="auto"/>
        </w:rPr>
        <w:t>February 4, 2010</w:t>
      </w:r>
    </w:p>
    <w:p>
      <w:pPr>
        <w:spacing w:after="0" w:line="185" w:lineRule="exact"/>
        <w:rPr>
          <w:sz w:val="24"/>
          <w:szCs w:val="24"/>
          <w:color w:val="auto"/>
        </w:rPr>
      </w:pPr>
    </w:p>
    <w:p>
      <w:pPr>
        <w:spacing w:after="0"/>
        <w:rPr>
          <w:sz w:val="20"/>
          <w:szCs w:val="20"/>
          <w:color w:val="auto"/>
        </w:rPr>
      </w:pPr>
      <w:r>
        <w:rPr>
          <w:rFonts w:ascii="Arial" w:cs="Arial" w:eastAsia="Arial" w:hAnsi="Arial"/>
          <w:sz w:val="18"/>
          <w:szCs w:val="18"/>
          <w:color w:val="auto"/>
        </w:rPr>
        <w:t>United States Securities and Exchange Commission</w:t>
      </w:r>
    </w:p>
    <w:p>
      <w:pPr>
        <w:spacing w:after="0" w:line="23" w:lineRule="exact"/>
        <w:rPr>
          <w:sz w:val="24"/>
          <w:szCs w:val="24"/>
          <w:color w:val="auto"/>
        </w:rPr>
      </w:pPr>
    </w:p>
    <w:p>
      <w:pPr>
        <w:spacing w:after="0"/>
        <w:rPr>
          <w:sz w:val="20"/>
          <w:szCs w:val="20"/>
          <w:color w:val="auto"/>
        </w:rPr>
      </w:pPr>
      <w:r>
        <w:rPr>
          <w:rFonts w:ascii="Arial" w:cs="Arial" w:eastAsia="Arial" w:hAnsi="Arial"/>
          <w:sz w:val="18"/>
          <w:szCs w:val="18"/>
          <w:color w:val="auto"/>
        </w:rPr>
        <w:t>Mail Stop 3561</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100 F Street N.E.</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Washington, D.C. 20549</w:t>
      </w:r>
    </w:p>
    <w:p>
      <w:pPr>
        <w:spacing w:after="0" w:line="207" w:lineRule="exact"/>
        <w:rPr>
          <w:sz w:val="24"/>
          <w:szCs w:val="24"/>
          <w:color w:val="auto"/>
        </w:rPr>
      </w:pPr>
    </w:p>
    <w:p>
      <w:pPr>
        <w:ind w:left="260"/>
        <w:spacing w:after="0"/>
        <w:rPr>
          <w:sz w:val="20"/>
          <w:szCs w:val="20"/>
          <w:color w:val="auto"/>
        </w:rPr>
      </w:pPr>
      <w:r>
        <w:rPr>
          <w:rFonts w:ascii="Arial" w:cs="Arial" w:eastAsia="Arial" w:hAnsi="Arial"/>
          <w:sz w:val="18"/>
          <w:szCs w:val="18"/>
          <w:b w:val="1"/>
          <w:bCs w:val="1"/>
          <w:color w:val="auto"/>
        </w:rPr>
        <w:t>Re: Viad Corp</w:t>
      </w:r>
    </w:p>
    <w:p>
      <w:pPr>
        <w:spacing w:after="0" w:line="27" w:lineRule="exact"/>
        <w:rPr>
          <w:sz w:val="24"/>
          <w:szCs w:val="24"/>
          <w:color w:val="auto"/>
        </w:rPr>
      </w:pPr>
    </w:p>
    <w:p>
      <w:pPr>
        <w:ind w:left="620"/>
        <w:spacing w:after="0"/>
        <w:rPr>
          <w:sz w:val="20"/>
          <w:szCs w:val="20"/>
          <w:color w:val="auto"/>
        </w:rPr>
      </w:pPr>
      <w:r>
        <w:rPr>
          <w:rFonts w:ascii="Arial" w:cs="Arial" w:eastAsia="Arial" w:hAnsi="Arial"/>
          <w:sz w:val="18"/>
          <w:szCs w:val="18"/>
          <w:b w:val="1"/>
          <w:bCs w:val="1"/>
          <w:color w:val="auto"/>
        </w:rPr>
        <w:t>Form 10-K for Fiscal Year Ended December 31, 2008</w:t>
      </w:r>
    </w:p>
    <w:p>
      <w:pPr>
        <w:spacing w:after="0" w:line="9" w:lineRule="exact"/>
        <w:rPr>
          <w:sz w:val="24"/>
          <w:szCs w:val="24"/>
          <w:color w:val="auto"/>
        </w:rPr>
      </w:pPr>
    </w:p>
    <w:p>
      <w:pPr>
        <w:ind w:left="620"/>
        <w:spacing w:after="0"/>
        <w:rPr>
          <w:sz w:val="20"/>
          <w:szCs w:val="20"/>
          <w:color w:val="auto"/>
        </w:rPr>
      </w:pPr>
      <w:r>
        <w:rPr>
          <w:rFonts w:ascii="Arial" w:cs="Arial" w:eastAsia="Arial" w:hAnsi="Arial"/>
          <w:sz w:val="18"/>
          <w:szCs w:val="18"/>
          <w:b w:val="1"/>
          <w:bCs w:val="1"/>
          <w:color w:val="auto"/>
        </w:rPr>
        <w:t>Filed February 27, 2009</w:t>
      </w:r>
    </w:p>
    <w:p>
      <w:pPr>
        <w:spacing w:after="0" w:line="9" w:lineRule="exact"/>
        <w:rPr>
          <w:sz w:val="24"/>
          <w:szCs w:val="24"/>
          <w:color w:val="auto"/>
        </w:rPr>
      </w:pPr>
    </w:p>
    <w:p>
      <w:pPr>
        <w:ind w:left="620"/>
        <w:spacing w:after="0"/>
        <w:rPr>
          <w:sz w:val="20"/>
          <w:szCs w:val="20"/>
          <w:color w:val="auto"/>
        </w:rPr>
      </w:pPr>
      <w:r>
        <w:rPr>
          <w:rFonts w:ascii="Arial" w:cs="Arial" w:eastAsia="Arial" w:hAnsi="Arial"/>
          <w:sz w:val="18"/>
          <w:szCs w:val="18"/>
          <w:b w:val="1"/>
          <w:bCs w:val="1"/>
          <w:color w:val="auto"/>
        </w:rPr>
        <w:t>Definitive Proxy Statement on Schedule 14A</w:t>
      </w:r>
    </w:p>
    <w:p>
      <w:pPr>
        <w:spacing w:after="0" w:line="9" w:lineRule="exact"/>
        <w:rPr>
          <w:sz w:val="24"/>
          <w:szCs w:val="24"/>
          <w:color w:val="auto"/>
        </w:rPr>
      </w:pPr>
    </w:p>
    <w:p>
      <w:pPr>
        <w:ind w:left="620"/>
        <w:spacing w:after="0"/>
        <w:rPr>
          <w:sz w:val="20"/>
          <w:szCs w:val="20"/>
          <w:color w:val="auto"/>
        </w:rPr>
      </w:pPr>
      <w:r>
        <w:rPr>
          <w:rFonts w:ascii="Arial" w:cs="Arial" w:eastAsia="Arial" w:hAnsi="Arial"/>
          <w:sz w:val="18"/>
          <w:szCs w:val="18"/>
          <w:b w:val="1"/>
          <w:bCs w:val="1"/>
          <w:color w:val="auto"/>
        </w:rPr>
        <w:t>Filed April 3, 2009</w:t>
      </w:r>
    </w:p>
    <w:p>
      <w:pPr>
        <w:spacing w:after="0" w:line="9" w:lineRule="exact"/>
        <w:rPr>
          <w:sz w:val="24"/>
          <w:szCs w:val="24"/>
          <w:color w:val="auto"/>
        </w:rPr>
      </w:pPr>
    </w:p>
    <w:p>
      <w:pPr>
        <w:ind w:left="620"/>
        <w:spacing w:after="0"/>
        <w:rPr>
          <w:sz w:val="20"/>
          <w:szCs w:val="20"/>
          <w:color w:val="auto"/>
        </w:rPr>
      </w:pPr>
      <w:r>
        <w:rPr>
          <w:rFonts w:ascii="Arial" w:cs="Arial" w:eastAsia="Arial" w:hAnsi="Arial"/>
          <w:sz w:val="18"/>
          <w:szCs w:val="18"/>
          <w:b w:val="1"/>
          <w:bCs w:val="1"/>
          <w:color w:val="auto"/>
        </w:rPr>
        <w:t>File No. 001-11015</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198" w:lineRule="exact"/>
        <w:rPr>
          <w:sz w:val="24"/>
          <w:szCs w:val="24"/>
          <w:color w:val="auto"/>
        </w:rPr>
      </w:pPr>
    </w:p>
    <w:p>
      <w:pPr>
        <w:jc w:val="both"/>
        <w:ind w:right="559" w:firstLine="280"/>
        <w:spacing w:after="0" w:line="276" w:lineRule="auto"/>
        <w:rPr>
          <w:sz w:val="20"/>
          <w:szCs w:val="20"/>
          <w:color w:val="auto"/>
        </w:rPr>
      </w:pPr>
      <w:r>
        <w:rPr>
          <w:rFonts w:ascii="Arial" w:cs="Arial" w:eastAsia="Arial" w:hAnsi="Arial"/>
          <w:sz w:val="17"/>
          <w:szCs w:val="17"/>
          <w:color w:val="auto"/>
        </w:rPr>
        <w:t>On behalf of Viad Corp, a Delaware corporation (“Viad” or the “Company”), we transmit for filing, pursuant to the Electronic Data Gathering, Analysis and Retrieval system, responses to the comments of the staff (the “Staff”) of the Securities and Exchange Commission regarding the above-referenced filings. The Staff’s comments were set forth in a letter dated January 21, 2010, addressed to Scott E. Sayre, Vice President — General Counsel and Secretary, over the signature of H. Christopher Owings. The text of the Staff’s comments and Viad’s responses thereto are set forth below.</w:t>
      </w:r>
    </w:p>
    <w:p>
      <w:pPr>
        <w:spacing w:after="0" w:line="128" w:lineRule="exact"/>
        <w:rPr>
          <w:sz w:val="24"/>
          <w:szCs w:val="24"/>
          <w:color w:val="auto"/>
        </w:rPr>
      </w:pPr>
    </w:p>
    <w:p>
      <w:pPr>
        <w:spacing w:after="0"/>
        <w:rPr>
          <w:sz w:val="20"/>
          <w:szCs w:val="20"/>
          <w:color w:val="auto"/>
        </w:rPr>
      </w:pPr>
      <w:r>
        <w:rPr>
          <w:rFonts w:ascii="Arial" w:cs="Arial" w:eastAsia="Arial" w:hAnsi="Arial"/>
          <w:sz w:val="18"/>
          <w:szCs w:val="18"/>
          <w:b w:val="1"/>
          <w:bCs w:val="1"/>
          <w:u w:val="single" w:color="auto"/>
          <w:color w:val="auto"/>
        </w:rPr>
        <w:t>Definitive Proxy Statement on Schedule 14A</w:t>
      </w:r>
    </w:p>
    <w:p>
      <w:pPr>
        <w:spacing w:after="0" w:line="189" w:lineRule="exact"/>
        <w:rPr>
          <w:sz w:val="24"/>
          <w:szCs w:val="24"/>
          <w:color w:val="auto"/>
        </w:rPr>
      </w:pPr>
    </w:p>
    <w:p>
      <w:pPr>
        <w:spacing w:after="0"/>
        <w:rPr>
          <w:sz w:val="20"/>
          <w:szCs w:val="20"/>
          <w:color w:val="auto"/>
        </w:rPr>
      </w:pPr>
      <w:r>
        <w:rPr>
          <w:rFonts w:ascii="Arial" w:cs="Arial" w:eastAsia="Arial" w:hAnsi="Arial"/>
          <w:sz w:val="18"/>
          <w:szCs w:val="18"/>
          <w:u w:val="single" w:color="auto"/>
          <w:color w:val="auto"/>
        </w:rPr>
        <w:t>Executive Compensation, page 12</w:t>
      </w:r>
    </w:p>
    <w:p>
      <w:pPr>
        <w:spacing w:after="0" w:line="198" w:lineRule="exact"/>
        <w:rPr>
          <w:sz w:val="24"/>
          <w:szCs w:val="24"/>
          <w:color w:val="auto"/>
        </w:rPr>
      </w:pPr>
    </w:p>
    <w:p>
      <w:pPr>
        <w:jc w:val="both"/>
        <w:ind w:right="559" w:firstLine="272"/>
        <w:spacing w:after="0" w:line="255" w:lineRule="auto"/>
        <w:tabs>
          <w:tab w:leader="none" w:pos="473" w:val="left"/>
        </w:tabs>
        <w:numPr>
          <w:ilvl w:val="0"/>
          <w:numId w:val="1"/>
        </w:numPr>
        <w:rPr>
          <w:rFonts w:ascii="Arial" w:cs="Arial" w:eastAsia="Arial" w:hAnsi="Arial"/>
          <w:sz w:val="18"/>
          <w:szCs w:val="18"/>
          <w:color w:val="auto"/>
        </w:rPr>
      </w:pPr>
      <w:r>
        <w:rPr>
          <w:rFonts w:ascii="Arial" w:cs="Arial" w:eastAsia="Arial" w:hAnsi="Arial"/>
          <w:sz w:val="18"/>
          <w:szCs w:val="18"/>
          <w:i w:val="1"/>
          <w:iCs w:val="1"/>
          <w:color w:val="auto"/>
        </w:rPr>
        <w:t>We note your response to prior comment four from our letter dated December 29, 2009. You indicate that you will, in future filings, make it clearer that Viad does not use a set of identified comparator or peer companies in connection with your executive compensation decision-making process. Please also disclose, as you indicate in your response, that you review compensation data from general market surveys for companies that have annual revenues roughly similar to Viad’s annual revenues (recently, companies with annual revenues in the range of $500 to $1 billion), without regard to company name or the industry in which the entity operates.</w:t>
      </w:r>
    </w:p>
    <w:p>
      <w:pPr>
        <w:spacing w:after="0" w:line="153" w:lineRule="exact"/>
        <w:rPr>
          <w:sz w:val="24"/>
          <w:szCs w:val="24"/>
          <w:color w:val="auto"/>
        </w:rPr>
      </w:pPr>
    </w:p>
    <w:p>
      <w:pPr>
        <w:ind w:left="280"/>
        <w:spacing w:after="0"/>
        <w:rPr>
          <w:sz w:val="20"/>
          <w:szCs w:val="20"/>
          <w:color w:val="auto"/>
        </w:rPr>
      </w:pPr>
      <w:r>
        <w:rPr>
          <w:rFonts w:ascii="Arial" w:cs="Arial" w:eastAsia="Arial" w:hAnsi="Arial"/>
          <w:sz w:val="18"/>
          <w:szCs w:val="18"/>
          <w:color w:val="auto"/>
        </w:rPr>
        <w:t>Response:</w:t>
      </w:r>
    </w:p>
    <w:p>
      <w:pPr>
        <w:spacing w:after="0" w:line="185" w:lineRule="exact"/>
        <w:rPr>
          <w:sz w:val="24"/>
          <w:szCs w:val="24"/>
          <w:color w:val="auto"/>
        </w:rPr>
      </w:pPr>
    </w:p>
    <w:p>
      <w:pPr>
        <w:ind w:right="559" w:firstLine="280"/>
        <w:spacing w:after="0" w:line="277" w:lineRule="auto"/>
        <w:rPr>
          <w:sz w:val="20"/>
          <w:szCs w:val="20"/>
          <w:color w:val="auto"/>
        </w:rPr>
      </w:pPr>
      <w:r>
        <w:rPr>
          <w:rFonts w:ascii="Arial" w:cs="Arial" w:eastAsia="Arial" w:hAnsi="Arial"/>
          <w:sz w:val="18"/>
          <w:szCs w:val="18"/>
          <w:color w:val="auto"/>
        </w:rPr>
        <w:t>Viad acknowledges that it will comply with the Staff’s comments in comment one in future filings to make clearer in such filings the data used in the process.</w:t>
      </w:r>
    </w:p>
    <w:p>
      <w:pPr>
        <w:spacing w:after="0" w:line="143" w:lineRule="exact"/>
        <w:rPr>
          <w:sz w:val="24"/>
          <w:szCs w:val="24"/>
          <w:color w:val="auto"/>
        </w:rPr>
      </w:pPr>
    </w:p>
    <w:p>
      <w:pPr>
        <w:jc w:val="both"/>
        <w:ind w:right="559" w:firstLine="272"/>
        <w:spacing w:after="0" w:line="255" w:lineRule="auto"/>
        <w:tabs>
          <w:tab w:leader="none" w:pos="460" w:val="left"/>
        </w:tabs>
        <w:numPr>
          <w:ilvl w:val="0"/>
          <w:numId w:val="2"/>
        </w:numPr>
        <w:rPr>
          <w:rFonts w:ascii="Arial" w:cs="Arial" w:eastAsia="Arial" w:hAnsi="Arial"/>
          <w:sz w:val="18"/>
          <w:szCs w:val="18"/>
          <w:color w:val="auto"/>
        </w:rPr>
      </w:pPr>
      <w:r>
        <w:rPr>
          <w:rFonts w:ascii="Arial" w:cs="Arial" w:eastAsia="Arial" w:hAnsi="Arial"/>
          <w:sz w:val="18"/>
          <w:szCs w:val="18"/>
          <w:i w:val="1"/>
          <w:iCs w:val="1"/>
          <w:color w:val="auto"/>
        </w:rPr>
        <w:t xml:space="preserve">We note your response to prior comment five from our letter dated December 29, 2009 and your indication that you do not believe that disclosure of specific targets is material to an investor’s understanding of the plans, the Company’s compensation policies and decisions, or the named executive officers’ compensation. Please tell us why you believe that disclosing such amounts is not material to an investor’s understanding. We may have further comment. Refer to Instruction 2 to Item 402(b) of Regulation S-K Compliance and Question 118.02 and Response 217.11 of our Regulation S-K Compliance and Disclosure Interpretations located at our web-site, </w:t>
      </w:r>
      <w:r>
        <w:rPr>
          <w:rFonts w:ascii="Arial" w:cs="Arial" w:eastAsia="Arial" w:hAnsi="Arial"/>
          <w:sz w:val="18"/>
          <w:szCs w:val="18"/>
          <w:i w:val="1"/>
          <w:iCs w:val="1"/>
          <w:u w:val="single" w:color="auto"/>
          <w:color w:val="auto"/>
        </w:rPr>
        <w:t>www.sec.gov</w:t>
      </w:r>
      <w:r>
        <w:rPr>
          <w:rFonts w:ascii="Arial" w:cs="Arial" w:eastAsia="Arial" w:hAnsi="Arial"/>
          <w:sz w:val="18"/>
          <w:szCs w:val="18"/>
          <w:i w:val="1"/>
          <w:iCs w:val="1"/>
          <w:color w:val="auto"/>
        </w:rPr>
        <w:t>. In any event, please provide us with a sample of what your proposed disclosure will look like as revised.</w:t>
      </w:r>
    </w:p>
    <w:p>
      <w:pPr>
        <w:spacing w:after="0" w:line="149" w:lineRule="exact"/>
        <w:rPr>
          <w:sz w:val="24"/>
          <w:szCs w:val="24"/>
          <w:color w:val="auto"/>
        </w:rPr>
      </w:pPr>
    </w:p>
    <w:p>
      <w:pPr>
        <w:ind w:left="280"/>
        <w:spacing w:after="0"/>
        <w:rPr>
          <w:sz w:val="20"/>
          <w:szCs w:val="20"/>
          <w:color w:val="auto"/>
        </w:rPr>
      </w:pPr>
      <w:r>
        <w:rPr>
          <w:rFonts w:ascii="Arial" w:cs="Arial" w:eastAsia="Arial" w:hAnsi="Arial"/>
          <w:sz w:val="18"/>
          <w:szCs w:val="18"/>
          <w:color w:val="auto"/>
        </w:rPr>
        <w:t>Response:</w:t>
      </w:r>
    </w:p>
    <w:p>
      <w:pPr>
        <w:spacing w:after="0" w:line="185" w:lineRule="exact"/>
        <w:rPr>
          <w:sz w:val="24"/>
          <w:szCs w:val="24"/>
          <w:color w:val="auto"/>
        </w:rPr>
      </w:pPr>
    </w:p>
    <w:p>
      <w:pPr>
        <w:jc w:val="both"/>
        <w:ind w:right="559" w:firstLine="280"/>
        <w:spacing w:after="0" w:line="270" w:lineRule="auto"/>
        <w:rPr>
          <w:sz w:val="20"/>
          <w:szCs w:val="20"/>
          <w:color w:val="auto"/>
        </w:rPr>
      </w:pPr>
      <w:r>
        <w:rPr>
          <w:rFonts w:ascii="Arial" w:cs="Arial" w:eastAsia="Arial" w:hAnsi="Arial"/>
          <w:sz w:val="17"/>
          <w:szCs w:val="17"/>
          <w:color w:val="auto"/>
        </w:rPr>
        <w:t>We continue to believe that disclosure of specific targets is not material to an investor’s understanding of the compensation plans, the Company’s compensation policies and decisions, or the named executive officers’ compensation. We believe that disclosure of the frequency of payouts at various levels (together with payout amounts and percentage of achievement of target performance) is more indicative of the extent to which the plans actually serve a meaningful incentive purpose. We understand, however, that the SEC has taken a fairly firm position on the disclosure of performance targets. Consequently, in future filings Viad will disclose, in connection with its disclosure regarding the incentive compensation payout to a named executive officer of Viad, the historical financial target(s) of the performance goal(s) established for such incentive compensation plan. For illustrative purposes, the following table provides the specific targets for Viad’s annual, cash-based, pay-for-performance program, as discussed in the narrative of the Compensation Discussion &amp; Analysis (“CD&amp;A”) in the 2009 Proxy Statement on pages 14 — 15.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-212090</wp:posOffset>
            </wp:positionH>
            <wp:positionV relativeFrom="paragraph">
              <wp:posOffset>377190</wp:posOffset>
            </wp:positionV>
            <wp:extent cx="7250430" cy="215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879"/>
          </w:cols>
          <w:pgMar w:left="580" w:top="233" w:right="1440" w:bottom="1440" w:gutter="0" w:footer="0" w:header="0"/>
        </w:sectPr>
      </w:pPr>
    </w:p>
    <w:bookmarkStart w:id="1" w:name="page2"/>
    <w:bookmarkEnd w:id="1"/>
    <w:p>
      <w:pPr>
        <w:ind w:left="8"/>
        <w:spacing w:after="0"/>
        <w:rPr>
          <w:sz w:val="20"/>
          <w:szCs w:val="20"/>
          <w:color w:val="auto"/>
        </w:rPr>
      </w:pPr>
      <w:r>
        <w:rPr>
          <w:rFonts w:ascii="Arial" w:cs="Arial" w:eastAsia="Arial" w:hAnsi="Arial"/>
          <w:sz w:val="18"/>
          <w:szCs w:val="18"/>
          <w:color w:val="auto"/>
        </w:rPr>
        <w:t>Securities and Exchange Commission</w:t>
      </w:r>
    </w:p>
    <w:p>
      <w:pPr>
        <w:spacing w:after="0" w:line="23" w:lineRule="exact"/>
        <w:rPr>
          <w:sz w:val="20"/>
          <w:szCs w:val="20"/>
          <w:color w:val="auto"/>
        </w:rPr>
      </w:pPr>
    </w:p>
    <w:p>
      <w:pPr>
        <w:ind w:left="8"/>
        <w:spacing w:after="0"/>
        <w:rPr>
          <w:sz w:val="20"/>
          <w:szCs w:val="20"/>
          <w:color w:val="auto"/>
        </w:rPr>
      </w:pPr>
      <w:r>
        <w:rPr>
          <w:rFonts w:ascii="Arial" w:cs="Arial" w:eastAsia="Arial" w:hAnsi="Arial"/>
          <w:sz w:val="18"/>
          <w:szCs w:val="18"/>
          <w:color w:val="auto"/>
        </w:rPr>
        <w:t>2008 Form 10-K and 2009 Proxy Statement</w:t>
      </w:r>
    </w:p>
    <w:p>
      <w:pPr>
        <w:spacing w:after="0" w:line="9" w:lineRule="exact"/>
        <w:rPr>
          <w:sz w:val="20"/>
          <w:szCs w:val="20"/>
          <w:color w:val="auto"/>
        </w:rPr>
      </w:pPr>
    </w:p>
    <w:p>
      <w:pPr>
        <w:ind w:left="8"/>
        <w:spacing w:after="0"/>
        <w:rPr>
          <w:sz w:val="20"/>
          <w:szCs w:val="20"/>
          <w:color w:val="auto"/>
        </w:rPr>
      </w:pPr>
      <w:r>
        <w:rPr>
          <w:rFonts w:ascii="Arial" w:cs="Arial" w:eastAsia="Arial" w:hAnsi="Arial"/>
          <w:sz w:val="18"/>
          <w:szCs w:val="18"/>
          <w:color w:val="auto"/>
        </w:rPr>
        <w:t>February 4, 2010</w:t>
      </w:r>
    </w:p>
    <w:p>
      <w:pPr>
        <w:spacing w:after="0" w:line="9" w:lineRule="exact"/>
        <w:rPr>
          <w:sz w:val="20"/>
          <w:szCs w:val="20"/>
          <w:color w:val="auto"/>
        </w:rPr>
      </w:pPr>
    </w:p>
    <w:p>
      <w:pPr>
        <w:ind w:left="8"/>
        <w:spacing w:after="0"/>
        <w:rPr>
          <w:sz w:val="20"/>
          <w:szCs w:val="20"/>
          <w:color w:val="auto"/>
        </w:rPr>
      </w:pPr>
      <w:r>
        <w:rPr>
          <w:rFonts w:ascii="Arial" w:cs="Arial" w:eastAsia="Arial" w:hAnsi="Arial"/>
          <w:sz w:val="18"/>
          <w:szCs w:val="18"/>
          <w:color w:val="auto"/>
        </w:rPr>
        <w:t>Page 2 of 2</w:t>
      </w:r>
    </w:p>
    <w:p>
      <w:pPr>
        <w:spacing w:after="0" w:line="180" w:lineRule="exact"/>
        <w:rPr>
          <w:sz w:val="20"/>
          <w:szCs w:val="20"/>
          <w:color w:val="auto"/>
        </w:rPr>
      </w:pPr>
    </w:p>
    <w:p>
      <w:pPr>
        <w:ind w:left="2128"/>
        <w:spacing w:after="0"/>
        <w:rPr>
          <w:sz w:val="20"/>
          <w:szCs w:val="20"/>
          <w:color w:val="auto"/>
        </w:rPr>
      </w:pPr>
      <w:r>
        <w:rPr>
          <w:rFonts w:ascii="Arial" w:cs="Arial" w:eastAsia="Arial" w:hAnsi="Arial"/>
          <w:sz w:val="18"/>
          <w:szCs w:val="18"/>
          <w:b w:val="1"/>
          <w:bCs w:val="1"/>
          <w:color w:val="auto"/>
        </w:rPr>
        <w:t>2008 Annual Incentive Performance Goals, Weighting and Targets</w:t>
      </w:r>
    </w:p>
    <w:p>
      <w:pPr>
        <w:spacing w:after="0" w:line="200" w:lineRule="exact"/>
        <w:rPr>
          <w:sz w:val="20"/>
          <w:szCs w:val="20"/>
          <w:color w:val="auto"/>
        </w:rPr>
      </w:pPr>
    </w:p>
    <w:p>
      <w:pPr>
        <w:spacing w:after="0" w:line="201" w:lineRule="exact"/>
        <w:rPr>
          <w:sz w:val="20"/>
          <w:szCs w:val="20"/>
          <w:color w:val="auto"/>
        </w:rPr>
      </w:pPr>
    </w:p>
    <w:tbl>
      <w:tblPr>
        <w:tblLayout w:type="fixed"/>
        <w:tblInd w:w="8" w:type="dxa"/>
        <w:tblCellMar>
          <w:top w:w="0" w:type="dxa"/>
          <w:left w:w="0" w:type="dxa"/>
          <w:bottom w:w="0" w:type="dxa"/>
          <w:right w:w="0" w:type="dxa"/>
        </w:tblCellMar>
      </w:tblPr>
      <w:tr>
        <w:trPr>
          <w:trHeight w:val="216"/>
        </w:trPr>
        <w:tc>
          <w:tcPr>
            <w:tcW w:w="4380" w:type="dxa"/>
            <w:vAlign w:val="bottom"/>
          </w:tcPr>
          <w:p>
            <w:pPr>
              <w:spacing w:after="0"/>
              <w:rPr>
                <w:sz w:val="18"/>
                <w:szCs w:val="18"/>
                <w:color w:val="auto"/>
              </w:rPr>
            </w:pPr>
          </w:p>
        </w:tc>
        <w:tc>
          <w:tcPr>
            <w:tcW w:w="2280" w:type="dxa"/>
            <w:vAlign w:val="bottom"/>
          </w:tcPr>
          <w:p>
            <w:pPr>
              <w:ind w:left="640"/>
              <w:spacing w:after="0"/>
              <w:rPr>
                <w:sz w:val="20"/>
                <w:szCs w:val="20"/>
                <w:color w:val="auto"/>
              </w:rPr>
            </w:pPr>
            <w:r>
              <w:rPr>
                <w:rFonts w:ascii="Arial" w:cs="Arial" w:eastAsia="Arial" w:hAnsi="Arial"/>
                <w:sz w:val="18"/>
                <w:szCs w:val="18"/>
                <w:b w:val="1"/>
                <w:bCs w:val="1"/>
                <w:color w:val="auto"/>
              </w:rPr>
              <w:t>Performance</w:t>
            </w:r>
          </w:p>
        </w:tc>
        <w:tc>
          <w:tcPr>
            <w:tcW w:w="1420" w:type="dxa"/>
            <w:vAlign w:val="bottom"/>
            <w:gridSpan w:val="3"/>
          </w:tcPr>
          <w:p>
            <w:pPr>
              <w:jc w:val="right"/>
              <w:ind w:right="360"/>
              <w:spacing w:after="0"/>
              <w:rPr>
                <w:sz w:val="20"/>
                <w:szCs w:val="20"/>
                <w:color w:val="auto"/>
              </w:rPr>
            </w:pPr>
            <w:r>
              <w:rPr>
                <w:rFonts w:ascii="Arial" w:cs="Arial" w:eastAsia="Arial" w:hAnsi="Arial"/>
                <w:sz w:val="18"/>
                <w:szCs w:val="18"/>
                <w:b w:val="1"/>
                <w:bCs w:val="1"/>
                <w:color w:val="auto"/>
              </w:rPr>
              <w:t>Weighting</w:t>
            </w:r>
          </w:p>
        </w:tc>
        <w:tc>
          <w:tcPr>
            <w:tcW w:w="124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0"/>
              </w:rPr>
              <w:t>Target</w:t>
            </w:r>
          </w:p>
        </w:tc>
      </w:tr>
      <w:tr>
        <w:trPr>
          <w:trHeight w:val="234"/>
        </w:trPr>
        <w:tc>
          <w:tcPr>
            <w:tcW w:w="4380" w:type="dxa"/>
            <w:vAlign w:val="bottom"/>
          </w:tcPr>
          <w:p>
            <w:pPr>
              <w:spacing w:after="0"/>
              <w:rPr>
                <w:sz w:val="20"/>
                <w:szCs w:val="20"/>
                <w:color w:val="auto"/>
              </w:rPr>
            </w:pPr>
          </w:p>
        </w:tc>
        <w:tc>
          <w:tcPr>
            <w:tcW w:w="2280" w:type="dxa"/>
            <w:vAlign w:val="bottom"/>
            <w:tcBorders>
              <w:bottom w:val="single" w:sz="8" w:color="auto"/>
            </w:tcBorders>
          </w:tcPr>
          <w:p>
            <w:pPr>
              <w:ind w:left="960"/>
              <w:spacing w:after="0"/>
              <w:rPr>
                <w:sz w:val="20"/>
                <w:szCs w:val="20"/>
                <w:color w:val="auto"/>
              </w:rPr>
            </w:pPr>
            <w:r>
              <w:rPr>
                <w:rFonts w:ascii="Arial" w:cs="Arial" w:eastAsia="Arial" w:hAnsi="Arial"/>
                <w:sz w:val="18"/>
                <w:szCs w:val="18"/>
                <w:b w:val="1"/>
                <w:bCs w:val="1"/>
                <w:color w:val="auto"/>
              </w:rPr>
              <w:t>Goal</w:t>
            </w:r>
          </w:p>
        </w:tc>
        <w:tc>
          <w:tcPr>
            <w:tcW w:w="320" w:type="dxa"/>
            <w:vAlign w:val="bottom"/>
          </w:tcPr>
          <w:p>
            <w:pPr>
              <w:spacing w:after="0"/>
              <w:rPr>
                <w:sz w:val="20"/>
                <w:szCs w:val="20"/>
                <w:color w:val="auto"/>
              </w:rPr>
            </w:pPr>
          </w:p>
        </w:tc>
        <w:tc>
          <w:tcPr>
            <w:tcW w:w="62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b w:val="1"/>
                <w:bCs w:val="1"/>
                <w:color w:val="auto"/>
              </w:rPr>
              <w:t>(%)</w:t>
            </w:r>
          </w:p>
        </w:tc>
        <w:tc>
          <w:tcPr>
            <w:tcW w:w="480" w:type="dxa"/>
            <w:vAlign w:val="bottom"/>
          </w:tcPr>
          <w:p>
            <w:pPr>
              <w:spacing w:after="0"/>
              <w:rPr>
                <w:sz w:val="20"/>
                <w:szCs w:val="20"/>
                <w:color w:val="auto"/>
              </w:rPr>
            </w:pPr>
          </w:p>
        </w:tc>
        <w:tc>
          <w:tcPr>
            <w:tcW w:w="114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($)(1)</w:t>
            </w:r>
          </w:p>
        </w:tc>
        <w:tc>
          <w:tcPr>
            <w:tcW w:w="100" w:type="dxa"/>
            <w:vAlign w:val="bottom"/>
          </w:tcPr>
          <w:p>
            <w:pPr>
              <w:spacing w:after="0"/>
              <w:rPr>
                <w:sz w:val="20"/>
                <w:szCs w:val="20"/>
                <w:color w:val="auto"/>
              </w:rPr>
            </w:pPr>
          </w:p>
        </w:tc>
      </w:tr>
      <w:tr>
        <w:trPr>
          <w:trHeight w:val="210"/>
        </w:trPr>
        <w:tc>
          <w:tcPr>
            <w:tcW w:w="438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Viad Corp — Corporate Level Executives:</w:t>
            </w:r>
          </w:p>
        </w:tc>
        <w:tc>
          <w:tcPr>
            <w:tcW w:w="2280" w:type="dxa"/>
            <w:vAlign w:val="bottom"/>
            <w:shd w:val="clear" w:color="auto" w:fill="CCEEFF"/>
          </w:tcPr>
          <w:p>
            <w:pPr>
              <w:spacing w:after="0"/>
              <w:rPr>
                <w:sz w:val="20"/>
                <w:szCs w:val="20"/>
                <w:color w:val="auto"/>
              </w:rPr>
            </w:pPr>
            <w:r>
              <w:rPr>
                <w:rFonts w:ascii="Arial" w:cs="Arial" w:eastAsia="Arial" w:hAnsi="Arial"/>
                <w:sz w:val="18"/>
                <w:szCs w:val="18"/>
                <w:color w:val="auto"/>
              </w:rPr>
              <w:t>Income Per Share (2)</w:t>
            </w:r>
          </w:p>
        </w:tc>
        <w:tc>
          <w:tcPr>
            <w:tcW w:w="142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65%</w:t>
            </w:r>
          </w:p>
        </w:tc>
        <w:tc>
          <w:tcPr>
            <w:tcW w:w="12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2.25</w:t>
            </w:r>
          </w:p>
        </w:tc>
      </w:tr>
      <w:tr>
        <w:trPr>
          <w:trHeight w:val="216"/>
        </w:trPr>
        <w:tc>
          <w:tcPr>
            <w:tcW w:w="4380" w:type="dxa"/>
            <w:vAlign w:val="bottom"/>
          </w:tcPr>
          <w:p>
            <w:pPr>
              <w:jc w:val="right"/>
              <w:ind w:right="90"/>
              <w:spacing w:after="0"/>
              <w:rPr>
                <w:sz w:val="20"/>
                <w:szCs w:val="20"/>
                <w:color w:val="auto"/>
              </w:rPr>
            </w:pPr>
            <w:r>
              <w:rPr>
                <w:rFonts w:ascii="Arial" w:cs="Arial" w:eastAsia="Arial" w:hAnsi="Arial"/>
                <w:sz w:val="18"/>
                <w:szCs w:val="18"/>
                <w:color w:val="auto"/>
              </w:rPr>
              <w:t>(includes P. Dykstra, E. Ingersoll, S. Sayre)</w:t>
            </w:r>
          </w:p>
        </w:tc>
        <w:tc>
          <w:tcPr>
            <w:tcW w:w="2280" w:type="dxa"/>
            <w:vAlign w:val="bottom"/>
          </w:tcPr>
          <w:p>
            <w:pPr>
              <w:spacing w:after="0"/>
              <w:rPr>
                <w:sz w:val="20"/>
                <w:szCs w:val="20"/>
                <w:color w:val="auto"/>
              </w:rPr>
            </w:pPr>
            <w:r>
              <w:rPr>
                <w:rFonts w:ascii="Arial" w:cs="Arial" w:eastAsia="Arial" w:hAnsi="Arial"/>
                <w:sz w:val="18"/>
                <w:szCs w:val="18"/>
                <w:color w:val="auto"/>
              </w:rPr>
              <w:t>Operating Cash Flow (2)</w:t>
            </w:r>
          </w:p>
        </w:tc>
        <w:tc>
          <w:tcPr>
            <w:tcW w:w="1420" w:type="dxa"/>
            <w:vAlign w:val="bottom"/>
            <w:gridSpan w:val="3"/>
          </w:tcPr>
          <w:p>
            <w:pPr>
              <w:jc w:val="right"/>
              <w:ind w:right="320"/>
              <w:spacing w:after="0"/>
              <w:rPr>
                <w:sz w:val="20"/>
                <w:szCs w:val="20"/>
                <w:color w:val="auto"/>
              </w:rPr>
            </w:pPr>
            <w:r>
              <w:rPr>
                <w:rFonts w:ascii="Arial" w:cs="Arial" w:eastAsia="Arial" w:hAnsi="Arial"/>
                <w:sz w:val="18"/>
                <w:szCs w:val="18"/>
                <w:color w:val="auto"/>
              </w:rPr>
              <w:t>25%</w:t>
            </w:r>
          </w:p>
        </w:tc>
        <w:tc>
          <w:tcPr>
            <w:tcW w:w="1240" w:type="dxa"/>
            <w:vAlign w:val="bottom"/>
            <w:gridSpan w:val="2"/>
          </w:tcPr>
          <w:p>
            <w:pPr>
              <w:jc w:val="right"/>
              <w:ind w:right="80"/>
              <w:spacing w:after="0"/>
              <w:rPr>
                <w:sz w:val="20"/>
                <w:szCs w:val="20"/>
                <w:color w:val="auto"/>
              </w:rPr>
            </w:pPr>
            <w:r>
              <w:rPr>
                <w:rFonts w:ascii="Arial" w:cs="Arial" w:eastAsia="Arial" w:hAnsi="Arial"/>
                <w:sz w:val="18"/>
                <w:szCs w:val="18"/>
                <w:color w:val="auto"/>
              </w:rPr>
              <w:t>64,100,000</w:t>
            </w:r>
          </w:p>
        </w:tc>
      </w:tr>
      <w:tr>
        <w:trPr>
          <w:trHeight w:val="216"/>
        </w:trPr>
        <w:tc>
          <w:tcPr>
            <w:tcW w:w="4380" w:type="dxa"/>
            <w:vAlign w:val="bottom"/>
            <w:shd w:val="clear" w:color="auto" w:fill="CCEEFF"/>
          </w:tcPr>
          <w:p>
            <w:pPr>
              <w:spacing w:after="0"/>
              <w:rPr>
                <w:sz w:val="18"/>
                <w:szCs w:val="18"/>
                <w:color w:val="auto"/>
              </w:rPr>
            </w:pPr>
          </w:p>
        </w:tc>
        <w:tc>
          <w:tcPr>
            <w:tcW w:w="2280" w:type="dxa"/>
            <w:vAlign w:val="bottom"/>
            <w:shd w:val="clear" w:color="auto" w:fill="CCEEFF"/>
          </w:tcPr>
          <w:p>
            <w:pPr>
              <w:spacing w:after="0"/>
              <w:rPr>
                <w:sz w:val="20"/>
                <w:szCs w:val="20"/>
                <w:color w:val="auto"/>
              </w:rPr>
            </w:pPr>
            <w:r>
              <w:rPr>
                <w:rFonts w:ascii="Arial" w:cs="Arial" w:eastAsia="Arial" w:hAnsi="Arial"/>
                <w:sz w:val="18"/>
                <w:szCs w:val="18"/>
                <w:color w:val="auto"/>
              </w:rPr>
              <w:t>Revenue</w:t>
            </w:r>
          </w:p>
        </w:tc>
        <w:tc>
          <w:tcPr>
            <w:tcW w:w="142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10%</w:t>
            </w:r>
          </w:p>
        </w:tc>
        <w:tc>
          <w:tcPr>
            <w:tcW w:w="12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99"/>
              </w:rPr>
              <w:t>1,127,000,000</w:t>
            </w:r>
          </w:p>
        </w:tc>
      </w:tr>
      <w:tr>
        <w:trPr>
          <w:trHeight w:val="432"/>
        </w:trPr>
        <w:tc>
          <w:tcPr>
            <w:tcW w:w="4380" w:type="dxa"/>
            <w:vAlign w:val="bottom"/>
          </w:tcPr>
          <w:p>
            <w:pPr>
              <w:jc w:val="right"/>
              <w:ind w:right="90"/>
              <w:spacing w:after="0"/>
              <w:rPr>
                <w:sz w:val="20"/>
                <w:szCs w:val="20"/>
                <w:color w:val="auto"/>
              </w:rPr>
            </w:pPr>
            <w:r>
              <w:rPr>
                <w:rFonts w:ascii="Arial" w:cs="Arial" w:eastAsia="Arial" w:hAnsi="Arial"/>
                <w:sz w:val="18"/>
                <w:szCs w:val="18"/>
                <w:color w:val="auto"/>
              </w:rPr>
              <w:t>Operating Company Executives — GES:</w:t>
            </w:r>
          </w:p>
        </w:tc>
        <w:tc>
          <w:tcPr>
            <w:tcW w:w="2280" w:type="dxa"/>
            <w:vAlign w:val="bottom"/>
          </w:tcPr>
          <w:p>
            <w:pPr>
              <w:spacing w:after="0"/>
              <w:rPr>
                <w:sz w:val="20"/>
                <w:szCs w:val="20"/>
                <w:color w:val="auto"/>
              </w:rPr>
            </w:pPr>
            <w:r>
              <w:rPr>
                <w:rFonts w:ascii="Arial" w:cs="Arial" w:eastAsia="Arial" w:hAnsi="Arial"/>
                <w:sz w:val="18"/>
                <w:szCs w:val="18"/>
                <w:color w:val="auto"/>
              </w:rPr>
              <w:t>Operating Income (2)</w:t>
            </w:r>
          </w:p>
        </w:tc>
        <w:tc>
          <w:tcPr>
            <w:tcW w:w="1420" w:type="dxa"/>
            <w:vAlign w:val="bottom"/>
            <w:gridSpan w:val="3"/>
          </w:tcPr>
          <w:p>
            <w:pPr>
              <w:jc w:val="right"/>
              <w:ind w:right="320"/>
              <w:spacing w:after="0"/>
              <w:rPr>
                <w:sz w:val="20"/>
                <w:szCs w:val="20"/>
                <w:color w:val="auto"/>
              </w:rPr>
            </w:pPr>
            <w:r>
              <w:rPr>
                <w:rFonts w:ascii="Arial" w:cs="Arial" w:eastAsia="Arial" w:hAnsi="Arial"/>
                <w:sz w:val="18"/>
                <w:szCs w:val="18"/>
                <w:color w:val="auto"/>
              </w:rPr>
              <w:t>65%</w:t>
            </w:r>
          </w:p>
        </w:tc>
        <w:tc>
          <w:tcPr>
            <w:tcW w:w="1240" w:type="dxa"/>
            <w:vAlign w:val="bottom"/>
            <w:gridSpan w:val="2"/>
          </w:tcPr>
          <w:p>
            <w:pPr>
              <w:jc w:val="right"/>
              <w:ind w:right="80"/>
              <w:spacing w:after="0"/>
              <w:rPr>
                <w:sz w:val="20"/>
                <w:szCs w:val="20"/>
                <w:color w:val="auto"/>
              </w:rPr>
            </w:pPr>
            <w:r>
              <w:rPr>
                <w:rFonts w:ascii="Arial" w:cs="Arial" w:eastAsia="Arial" w:hAnsi="Arial"/>
                <w:sz w:val="18"/>
                <w:szCs w:val="18"/>
                <w:color w:val="auto"/>
              </w:rPr>
              <w:t>58,000,000</w:t>
            </w:r>
          </w:p>
        </w:tc>
      </w:tr>
      <w:tr>
        <w:trPr>
          <w:trHeight w:val="216"/>
        </w:trPr>
        <w:tc>
          <w:tcPr>
            <w:tcW w:w="438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(includes K. Rabbitt)</w:t>
            </w:r>
          </w:p>
        </w:tc>
        <w:tc>
          <w:tcPr>
            <w:tcW w:w="2280" w:type="dxa"/>
            <w:vAlign w:val="bottom"/>
            <w:shd w:val="clear" w:color="auto" w:fill="CCEEFF"/>
          </w:tcPr>
          <w:p>
            <w:pPr>
              <w:spacing w:after="0"/>
              <w:rPr>
                <w:sz w:val="20"/>
                <w:szCs w:val="20"/>
                <w:color w:val="auto"/>
              </w:rPr>
            </w:pPr>
            <w:r>
              <w:rPr>
                <w:rFonts w:ascii="Arial" w:cs="Arial" w:eastAsia="Arial" w:hAnsi="Arial"/>
                <w:sz w:val="18"/>
                <w:szCs w:val="18"/>
                <w:color w:val="auto"/>
              </w:rPr>
              <w:t>Operating Cash Flow (2)</w:t>
            </w:r>
          </w:p>
        </w:tc>
        <w:tc>
          <w:tcPr>
            <w:tcW w:w="142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25%</w:t>
            </w:r>
          </w:p>
        </w:tc>
        <w:tc>
          <w:tcPr>
            <w:tcW w:w="12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52,400,000</w:t>
            </w:r>
          </w:p>
        </w:tc>
      </w:tr>
      <w:tr>
        <w:trPr>
          <w:trHeight w:val="230"/>
        </w:trPr>
        <w:tc>
          <w:tcPr>
            <w:tcW w:w="4380" w:type="dxa"/>
            <w:vAlign w:val="bottom"/>
          </w:tcPr>
          <w:p>
            <w:pPr>
              <w:spacing w:after="0"/>
              <w:rPr>
                <w:sz w:val="20"/>
                <w:szCs w:val="20"/>
                <w:color w:val="auto"/>
              </w:rPr>
            </w:pPr>
          </w:p>
        </w:tc>
        <w:tc>
          <w:tcPr>
            <w:tcW w:w="2280" w:type="dxa"/>
            <w:vAlign w:val="bottom"/>
          </w:tcPr>
          <w:p>
            <w:pPr>
              <w:spacing w:after="0"/>
              <w:rPr>
                <w:sz w:val="20"/>
                <w:szCs w:val="20"/>
                <w:color w:val="auto"/>
              </w:rPr>
            </w:pPr>
            <w:r>
              <w:rPr>
                <w:rFonts w:ascii="Arial" w:cs="Arial" w:eastAsia="Arial" w:hAnsi="Arial"/>
                <w:sz w:val="18"/>
                <w:szCs w:val="18"/>
                <w:color w:val="auto"/>
              </w:rPr>
              <w:t>Revenue</w:t>
            </w:r>
          </w:p>
        </w:tc>
        <w:tc>
          <w:tcPr>
            <w:tcW w:w="1420" w:type="dxa"/>
            <w:vAlign w:val="bottom"/>
            <w:gridSpan w:val="3"/>
          </w:tcPr>
          <w:p>
            <w:pPr>
              <w:jc w:val="right"/>
              <w:ind w:right="320"/>
              <w:spacing w:after="0"/>
              <w:rPr>
                <w:sz w:val="20"/>
                <w:szCs w:val="20"/>
                <w:color w:val="auto"/>
              </w:rPr>
            </w:pPr>
            <w:r>
              <w:rPr>
                <w:rFonts w:ascii="Arial" w:cs="Arial" w:eastAsia="Arial" w:hAnsi="Arial"/>
                <w:sz w:val="18"/>
                <w:szCs w:val="18"/>
                <w:color w:val="auto"/>
              </w:rPr>
              <w:t>10%</w:t>
            </w:r>
          </w:p>
        </w:tc>
        <w:tc>
          <w:tcPr>
            <w:tcW w:w="1240" w:type="dxa"/>
            <w:vAlign w:val="bottom"/>
            <w:gridSpan w:val="2"/>
          </w:tcPr>
          <w:p>
            <w:pPr>
              <w:jc w:val="right"/>
              <w:ind w:right="80"/>
              <w:spacing w:after="0"/>
              <w:rPr>
                <w:sz w:val="20"/>
                <w:szCs w:val="20"/>
                <w:color w:val="auto"/>
              </w:rPr>
            </w:pPr>
            <w:r>
              <w:rPr>
                <w:rFonts w:ascii="Arial" w:cs="Arial" w:eastAsia="Arial" w:hAnsi="Arial"/>
                <w:sz w:val="18"/>
                <w:szCs w:val="18"/>
                <w:color w:val="auto"/>
              </w:rPr>
              <w:t>829,000,000</w:t>
            </w:r>
          </w:p>
        </w:tc>
      </w:tr>
      <w:tr>
        <w:trPr>
          <w:trHeight w:val="202"/>
        </w:trPr>
        <w:tc>
          <w:tcPr>
            <w:tcW w:w="4380" w:type="dxa"/>
            <w:vAlign w:val="bottom"/>
          </w:tcPr>
          <w:p>
            <w:pPr>
              <w:spacing w:after="0"/>
              <w:rPr>
                <w:sz w:val="17"/>
                <w:szCs w:val="17"/>
                <w:color w:val="auto"/>
              </w:rPr>
            </w:pPr>
          </w:p>
        </w:tc>
        <w:tc>
          <w:tcPr>
            <w:tcW w:w="22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16"/>
        </w:trPr>
        <w:tc>
          <w:tcPr>
            <w:tcW w:w="438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94"/>
              </w:rPr>
              <w:t>Operating Company Executives - Exhibitgroup/Giltspur:</w:t>
            </w:r>
          </w:p>
        </w:tc>
        <w:tc>
          <w:tcPr>
            <w:tcW w:w="2280" w:type="dxa"/>
            <w:vAlign w:val="bottom"/>
            <w:shd w:val="clear" w:color="auto" w:fill="CCEEFF"/>
          </w:tcPr>
          <w:p>
            <w:pPr>
              <w:spacing w:after="0"/>
              <w:rPr>
                <w:sz w:val="20"/>
                <w:szCs w:val="20"/>
                <w:color w:val="auto"/>
              </w:rPr>
            </w:pPr>
            <w:r>
              <w:rPr>
                <w:rFonts w:ascii="Arial" w:cs="Arial" w:eastAsia="Arial" w:hAnsi="Arial"/>
                <w:sz w:val="18"/>
                <w:szCs w:val="18"/>
                <w:color w:val="auto"/>
              </w:rPr>
              <w:t>Operating Income (2)</w:t>
            </w:r>
          </w:p>
        </w:tc>
        <w:tc>
          <w:tcPr>
            <w:tcW w:w="142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65%</w:t>
            </w:r>
          </w:p>
        </w:tc>
        <w:tc>
          <w:tcPr>
            <w:tcW w:w="12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(1,000,000)</w:t>
            </w:r>
          </w:p>
        </w:tc>
      </w:tr>
      <w:tr>
        <w:trPr>
          <w:trHeight w:val="216"/>
        </w:trPr>
        <w:tc>
          <w:tcPr>
            <w:tcW w:w="4380" w:type="dxa"/>
            <w:vAlign w:val="bottom"/>
          </w:tcPr>
          <w:p>
            <w:pPr>
              <w:jc w:val="right"/>
              <w:ind w:right="90"/>
              <w:spacing w:after="0"/>
              <w:rPr>
                <w:sz w:val="20"/>
                <w:szCs w:val="20"/>
                <w:color w:val="auto"/>
              </w:rPr>
            </w:pPr>
            <w:r>
              <w:rPr>
                <w:rFonts w:ascii="Arial" w:cs="Arial" w:eastAsia="Arial" w:hAnsi="Arial"/>
                <w:sz w:val="18"/>
                <w:szCs w:val="18"/>
                <w:color w:val="auto"/>
              </w:rPr>
              <w:t>(includes J. Jastrem)</w:t>
            </w:r>
          </w:p>
        </w:tc>
        <w:tc>
          <w:tcPr>
            <w:tcW w:w="2280" w:type="dxa"/>
            <w:vAlign w:val="bottom"/>
          </w:tcPr>
          <w:p>
            <w:pPr>
              <w:spacing w:after="0"/>
              <w:rPr>
                <w:sz w:val="20"/>
                <w:szCs w:val="20"/>
                <w:color w:val="auto"/>
              </w:rPr>
            </w:pPr>
            <w:r>
              <w:rPr>
                <w:rFonts w:ascii="Arial" w:cs="Arial" w:eastAsia="Arial" w:hAnsi="Arial"/>
                <w:sz w:val="18"/>
                <w:szCs w:val="18"/>
                <w:color w:val="auto"/>
              </w:rPr>
              <w:t>Operating Cash Flow (2)</w:t>
            </w:r>
          </w:p>
        </w:tc>
        <w:tc>
          <w:tcPr>
            <w:tcW w:w="1420" w:type="dxa"/>
            <w:vAlign w:val="bottom"/>
            <w:gridSpan w:val="3"/>
          </w:tcPr>
          <w:p>
            <w:pPr>
              <w:jc w:val="right"/>
              <w:ind w:right="320"/>
              <w:spacing w:after="0"/>
              <w:rPr>
                <w:sz w:val="20"/>
                <w:szCs w:val="20"/>
                <w:color w:val="auto"/>
              </w:rPr>
            </w:pPr>
            <w:r>
              <w:rPr>
                <w:rFonts w:ascii="Arial" w:cs="Arial" w:eastAsia="Arial" w:hAnsi="Arial"/>
                <w:sz w:val="18"/>
                <w:szCs w:val="18"/>
                <w:color w:val="auto"/>
              </w:rPr>
              <w:t>25%</w:t>
            </w:r>
          </w:p>
        </w:tc>
        <w:tc>
          <w:tcPr>
            <w:tcW w:w="1240" w:type="dxa"/>
            <w:vAlign w:val="bottom"/>
            <w:gridSpan w:val="2"/>
          </w:tcPr>
          <w:p>
            <w:pPr>
              <w:jc w:val="right"/>
              <w:ind w:right="80"/>
              <w:spacing w:after="0"/>
              <w:rPr>
                <w:sz w:val="20"/>
                <w:szCs w:val="20"/>
                <w:color w:val="auto"/>
              </w:rPr>
            </w:pPr>
            <w:r>
              <w:rPr>
                <w:rFonts w:ascii="Arial" w:cs="Arial" w:eastAsia="Arial" w:hAnsi="Arial"/>
                <w:sz w:val="18"/>
                <w:szCs w:val="18"/>
                <w:color w:val="auto"/>
              </w:rPr>
              <w:t>1,500,000</w:t>
            </w:r>
          </w:p>
        </w:tc>
      </w:tr>
      <w:tr>
        <w:trPr>
          <w:trHeight w:val="216"/>
        </w:trPr>
        <w:tc>
          <w:tcPr>
            <w:tcW w:w="4380" w:type="dxa"/>
            <w:vAlign w:val="bottom"/>
            <w:shd w:val="clear" w:color="auto" w:fill="CCEEFF"/>
          </w:tcPr>
          <w:p>
            <w:pPr>
              <w:spacing w:after="0"/>
              <w:rPr>
                <w:sz w:val="18"/>
                <w:szCs w:val="18"/>
                <w:color w:val="auto"/>
              </w:rPr>
            </w:pPr>
          </w:p>
        </w:tc>
        <w:tc>
          <w:tcPr>
            <w:tcW w:w="2280" w:type="dxa"/>
            <w:vAlign w:val="bottom"/>
            <w:shd w:val="clear" w:color="auto" w:fill="CCEEFF"/>
          </w:tcPr>
          <w:p>
            <w:pPr>
              <w:spacing w:after="0"/>
              <w:rPr>
                <w:sz w:val="20"/>
                <w:szCs w:val="20"/>
                <w:color w:val="auto"/>
              </w:rPr>
            </w:pPr>
            <w:r>
              <w:rPr>
                <w:rFonts w:ascii="Arial" w:cs="Arial" w:eastAsia="Arial" w:hAnsi="Arial"/>
                <w:sz w:val="18"/>
                <w:szCs w:val="18"/>
                <w:color w:val="auto"/>
              </w:rPr>
              <w:t>Revenue</w:t>
            </w:r>
          </w:p>
        </w:tc>
        <w:tc>
          <w:tcPr>
            <w:tcW w:w="142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10%</w:t>
            </w:r>
          </w:p>
        </w:tc>
        <w:tc>
          <w:tcPr>
            <w:tcW w:w="12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179,000,000</w:t>
            </w:r>
          </w:p>
        </w:tc>
      </w:tr>
    </w:tbl>
    <w:p>
      <w:pPr>
        <w:spacing w:after="0" w:line="202" w:lineRule="exact"/>
        <w:rPr>
          <w:sz w:val="20"/>
          <w:szCs w:val="20"/>
          <w:color w:val="auto"/>
        </w:rPr>
      </w:pPr>
    </w:p>
    <w:p>
      <w:pPr>
        <w:ind w:left="348" w:hanging="348"/>
        <w:spacing w:after="0"/>
        <w:tabs>
          <w:tab w:leader="none" w:pos="348" w:val="left"/>
        </w:tabs>
        <w:numPr>
          <w:ilvl w:val="0"/>
          <w:numId w:val="3"/>
        </w:numPr>
        <w:rPr>
          <w:rFonts w:ascii="Arial" w:cs="Arial" w:eastAsia="Arial" w:hAnsi="Arial"/>
          <w:sz w:val="18"/>
          <w:szCs w:val="18"/>
          <w:color w:val="auto"/>
        </w:rPr>
      </w:pPr>
      <w:r>
        <w:rPr>
          <w:rFonts w:ascii="Arial" w:cs="Arial" w:eastAsia="Arial" w:hAnsi="Arial"/>
          <w:sz w:val="18"/>
          <w:szCs w:val="18"/>
          <w:color w:val="auto"/>
        </w:rPr>
        <w:t>Targets are in U.S dollars.</w:t>
      </w:r>
    </w:p>
    <w:p>
      <w:pPr>
        <w:spacing w:after="0" w:line="225" w:lineRule="exact"/>
        <w:rPr>
          <w:rFonts w:ascii="Arial" w:cs="Arial" w:eastAsia="Arial" w:hAnsi="Arial"/>
          <w:sz w:val="18"/>
          <w:szCs w:val="18"/>
          <w:color w:val="auto"/>
        </w:rPr>
      </w:pPr>
    </w:p>
    <w:p>
      <w:pPr>
        <w:jc w:val="both"/>
        <w:ind w:left="348" w:right="1019" w:hanging="348"/>
        <w:spacing w:after="0" w:line="272" w:lineRule="auto"/>
        <w:tabs>
          <w:tab w:leader="none" w:pos="348" w:val="left"/>
        </w:tabs>
        <w:numPr>
          <w:ilvl w:val="0"/>
          <w:numId w:val="3"/>
        </w:numPr>
        <w:rPr>
          <w:rFonts w:ascii="Arial" w:cs="Arial" w:eastAsia="Arial" w:hAnsi="Arial"/>
          <w:sz w:val="17"/>
          <w:szCs w:val="17"/>
          <w:color w:val="auto"/>
        </w:rPr>
      </w:pPr>
      <w:r>
        <w:rPr>
          <w:rFonts w:ascii="Arial" w:cs="Arial" w:eastAsia="Arial" w:hAnsi="Arial"/>
          <w:sz w:val="17"/>
          <w:szCs w:val="17"/>
          <w:color w:val="auto"/>
        </w:rPr>
        <w:t>Income Per Share, Operating Cash Flow and Operating Income exclude unusual charges (such as impairment losses and restructuring charges), changes in accounting principles and effects of enacted tax laws resulting from major corporate tax reform legislation that were not contemplated, as well as unplanned acquisition activity (including deal costs, results of acquired companies and the related impact on interest income and/or interest expense) and special, one-time cash dividends. Operating Cash Flow is adjusted to exclude the effect of excess tax benefits on share-based compensation, restructuring payments and payments on any other Income Per Share achievement adjustments (after-tax) that impact cash flow.</w:t>
      </w:r>
    </w:p>
    <w:p>
      <w:pPr>
        <w:spacing w:after="0" w:line="178" w:lineRule="exact"/>
        <w:rPr>
          <w:sz w:val="20"/>
          <w:szCs w:val="20"/>
          <w:color w:val="auto"/>
        </w:rPr>
      </w:pPr>
    </w:p>
    <w:p>
      <w:pPr>
        <w:jc w:val="both"/>
        <w:ind w:left="8" w:right="559" w:firstLine="280"/>
        <w:spacing w:after="0" w:line="259" w:lineRule="auto"/>
        <w:rPr>
          <w:sz w:val="20"/>
          <w:szCs w:val="20"/>
          <w:color w:val="auto"/>
        </w:rPr>
      </w:pPr>
      <w:r>
        <w:rPr>
          <w:rFonts w:ascii="Arial" w:cs="Arial" w:eastAsia="Arial" w:hAnsi="Arial"/>
          <w:sz w:val="18"/>
          <w:szCs w:val="18"/>
          <w:color w:val="auto"/>
        </w:rPr>
        <w:t>In future filings, Viad will provide similar relevant types of information regarding the performance goals and targets for Viad’s long-term incentive plans. As explained in the CD&amp;A in the 2009 Proxy Statement, the 2008 performance goals and targets used for grants of performance-based restricted stock were the same performance goals and targets as the 2008 annual incentive plan, as described in the table above.</w:t>
      </w:r>
    </w:p>
    <w:p>
      <w:pPr>
        <w:spacing w:after="0" w:line="146" w:lineRule="exact"/>
        <w:rPr>
          <w:sz w:val="20"/>
          <w:szCs w:val="20"/>
          <w:color w:val="auto"/>
        </w:rPr>
      </w:pPr>
    </w:p>
    <w:p>
      <w:pPr>
        <w:jc w:val="both"/>
        <w:ind w:left="8" w:right="559" w:firstLine="280"/>
        <w:spacing w:after="0" w:line="342" w:lineRule="auto"/>
        <w:rPr>
          <w:sz w:val="20"/>
          <w:szCs w:val="20"/>
          <w:color w:val="auto"/>
        </w:rPr>
      </w:pPr>
      <w:r>
        <w:rPr>
          <w:rFonts w:ascii="Arial" w:cs="Arial" w:eastAsia="Arial" w:hAnsi="Arial"/>
          <w:sz w:val="16"/>
          <w:szCs w:val="16"/>
          <w:color w:val="auto"/>
        </w:rPr>
        <w:t>As requested in the Staff’s comment letter dated January 21, 2010, the Company hereby acknowledges that it will comply with the Staff’s comments in its letters dated December 29, 2009 and January 21, 2010, in all future filings, as applicable.</w:t>
      </w:r>
    </w:p>
    <w:p>
      <w:pPr>
        <w:spacing w:after="0" w:line="97" w:lineRule="exact"/>
        <w:rPr>
          <w:sz w:val="20"/>
          <w:szCs w:val="20"/>
          <w:color w:val="auto"/>
        </w:rPr>
      </w:pPr>
    </w:p>
    <w:p>
      <w:pPr>
        <w:jc w:val="both"/>
        <w:ind w:left="8" w:right="559" w:firstLine="280"/>
        <w:spacing w:after="0" w:line="277" w:lineRule="auto"/>
        <w:rPr>
          <w:sz w:val="20"/>
          <w:szCs w:val="20"/>
          <w:color w:val="auto"/>
        </w:rPr>
      </w:pPr>
      <w:r>
        <w:rPr>
          <w:rFonts w:ascii="Arial" w:cs="Arial" w:eastAsia="Arial" w:hAnsi="Arial"/>
          <w:sz w:val="18"/>
          <w:szCs w:val="18"/>
          <w:color w:val="auto"/>
        </w:rPr>
        <w:t>The Company believes the foregoing is responsive to the Staff’s comments and hopes that the Company has resolved the comments to the Staff’s satisfaction. Your prompt attention to this response will be appreciated.</w:t>
      </w:r>
    </w:p>
    <w:p>
      <w:pPr>
        <w:spacing w:after="0" w:line="130" w:lineRule="exact"/>
        <w:rPr>
          <w:sz w:val="20"/>
          <w:szCs w:val="20"/>
          <w:color w:val="auto"/>
        </w:rPr>
      </w:pPr>
    </w:p>
    <w:p>
      <w:pPr>
        <w:jc w:val="both"/>
        <w:ind w:left="8" w:right="559" w:firstLine="280"/>
        <w:spacing w:after="0" w:line="264" w:lineRule="auto"/>
        <w:rPr>
          <w:sz w:val="20"/>
          <w:szCs w:val="20"/>
          <w:color w:val="auto"/>
        </w:rPr>
      </w:pPr>
      <w:r>
        <w:rPr>
          <w:rFonts w:ascii="Arial" w:cs="Arial" w:eastAsia="Arial" w:hAnsi="Arial"/>
          <w:sz w:val="18"/>
          <w:szCs w:val="18"/>
          <w:color w:val="auto"/>
        </w:rPr>
        <w:t>If you have any questions regarding the foregoing responses or if any additional information is needed, please contact the undersigned Scott Sayre at telephone number (602) 207-5626 and fax number (602) 207-5602, or the undersigned Ellen Ingersoll at telephone number (602) 207-1051 and fax number (602) 207-2832.</w:t>
      </w:r>
    </w:p>
    <w:p>
      <w:pPr>
        <w:spacing w:after="0" w:line="141" w:lineRule="exact"/>
        <w:rPr>
          <w:sz w:val="20"/>
          <w:szCs w:val="20"/>
          <w:color w:val="auto"/>
        </w:rPr>
      </w:pPr>
    </w:p>
    <w:p>
      <w:pPr>
        <w:ind w:left="4288"/>
        <w:spacing w:after="0"/>
        <w:rPr>
          <w:sz w:val="20"/>
          <w:szCs w:val="20"/>
          <w:color w:val="auto"/>
        </w:rPr>
      </w:pPr>
      <w:r>
        <w:rPr>
          <w:rFonts w:ascii="Arial" w:cs="Arial" w:eastAsia="Arial" w:hAnsi="Arial"/>
          <w:sz w:val="18"/>
          <w:szCs w:val="18"/>
          <w:color w:val="auto"/>
        </w:rPr>
        <w:t>Sincerely,</w:t>
      </w:r>
    </w:p>
    <w:p>
      <w:pPr>
        <w:spacing w:after="0" w:line="198" w:lineRule="exact"/>
        <w:rPr>
          <w:sz w:val="20"/>
          <w:szCs w:val="20"/>
          <w:color w:val="auto"/>
        </w:rPr>
      </w:pPr>
    </w:p>
    <w:p>
      <w:pPr>
        <w:ind w:left="4288"/>
        <w:spacing w:after="0"/>
        <w:rPr>
          <w:sz w:val="20"/>
          <w:szCs w:val="20"/>
          <w:color w:val="auto"/>
        </w:rPr>
      </w:pPr>
      <w:r>
        <w:rPr>
          <w:rFonts w:ascii="Arial" w:cs="Arial" w:eastAsia="Arial" w:hAnsi="Arial"/>
          <w:sz w:val="18"/>
          <w:szCs w:val="18"/>
          <w:color w:val="auto"/>
        </w:rPr>
        <w:t>/s/ Scott E. Sayre</w:t>
      </w:r>
    </w:p>
    <w:p>
      <w:pPr>
        <w:spacing w:after="0" w:line="23" w:lineRule="exact"/>
        <w:rPr>
          <w:sz w:val="20"/>
          <w:szCs w:val="20"/>
          <w:color w:val="auto"/>
        </w:rPr>
      </w:pPr>
    </w:p>
    <w:p>
      <w:pPr>
        <w:ind w:left="4288"/>
        <w:spacing w:after="0"/>
        <w:rPr>
          <w:sz w:val="20"/>
          <w:szCs w:val="20"/>
          <w:color w:val="auto"/>
        </w:rPr>
      </w:pPr>
      <w:r>
        <w:rPr>
          <w:rFonts w:ascii="Arial" w:cs="Arial" w:eastAsia="Arial" w:hAnsi="Arial"/>
          <w:sz w:val="18"/>
          <w:szCs w:val="18"/>
          <w:color w:val="auto"/>
        </w:rPr>
        <w:t>Scott E. Sayre</w:t>
      </w:r>
    </w:p>
    <w:p>
      <w:pPr>
        <w:spacing w:after="0" w:line="9" w:lineRule="exact"/>
        <w:rPr>
          <w:sz w:val="20"/>
          <w:szCs w:val="20"/>
          <w:color w:val="auto"/>
        </w:rPr>
      </w:pPr>
    </w:p>
    <w:p>
      <w:pPr>
        <w:ind w:left="4288"/>
        <w:spacing w:after="0"/>
        <w:rPr>
          <w:sz w:val="20"/>
          <w:szCs w:val="20"/>
          <w:color w:val="auto"/>
        </w:rPr>
      </w:pPr>
      <w:r>
        <w:rPr>
          <w:rFonts w:ascii="Arial" w:cs="Arial" w:eastAsia="Arial" w:hAnsi="Arial"/>
          <w:sz w:val="18"/>
          <w:szCs w:val="18"/>
          <w:color w:val="auto"/>
        </w:rPr>
        <w:t>Vice President-General Counsel &amp; Secretary</w:t>
      </w:r>
    </w:p>
    <w:p>
      <w:pPr>
        <w:spacing w:after="0" w:line="170" w:lineRule="exact"/>
        <w:rPr>
          <w:sz w:val="20"/>
          <w:szCs w:val="20"/>
          <w:color w:val="auto"/>
        </w:rPr>
      </w:pPr>
    </w:p>
    <w:p>
      <w:pPr>
        <w:ind w:left="4288"/>
        <w:spacing w:after="0"/>
        <w:rPr>
          <w:sz w:val="20"/>
          <w:szCs w:val="20"/>
          <w:color w:val="auto"/>
        </w:rPr>
      </w:pPr>
      <w:r>
        <w:rPr>
          <w:rFonts w:ascii="Arial" w:cs="Arial" w:eastAsia="Arial" w:hAnsi="Arial"/>
          <w:sz w:val="18"/>
          <w:szCs w:val="18"/>
          <w:color w:val="auto"/>
        </w:rPr>
        <w:t>/s/ Ellen M. Ingersoll</w:t>
      </w:r>
    </w:p>
    <w:p>
      <w:pPr>
        <w:spacing w:after="0" w:line="23" w:lineRule="exact"/>
        <w:rPr>
          <w:sz w:val="20"/>
          <w:szCs w:val="20"/>
          <w:color w:val="auto"/>
        </w:rPr>
      </w:pPr>
    </w:p>
    <w:p>
      <w:pPr>
        <w:ind w:left="4288"/>
        <w:spacing w:after="0"/>
        <w:rPr>
          <w:sz w:val="20"/>
          <w:szCs w:val="20"/>
          <w:color w:val="auto"/>
        </w:rPr>
      </w:pPr>
      <w:r>
        <w:rPr>
          <w:rFonts w:ascii="Arial" w:cs="Arial" w:eastAsia="Arial" w:hAnsi="Arial"/>
          <w:sz w:val="18"/>
          <w:szCs w:val="18"/>
          <w:color w:val="auto"/>
        </w:rPr>
        <w:t>Ellen M. Ingersoll</w:t>
      </w:r>
    </w:p>
    <w:p>
      <w:pPr>
        <w:spacing w:after="0" w:line="9" w:lineRule="exact"/>
        <w:rPr>
          <w:sz w:val="20"/>
          <w:szCs w:val="20"/>
          <w:color w:val="auto"/>
        </w:rPr>
      </w:pPr>
    </w:p>
    <w:p>
      <w:pPr>
        <w:ind w:left="4288"/>
        <w:spacing w:after="0"/>
        <w:rPr>
          <w:sz w:val="20"/>
          <w:szCs w:val="20"/>
          <w:color w:val="auto"/>
        </w:rPr>
      </w:pPr>
      <w:r>
        <w:rPr>
          <w:rFonts w:ascii="Arial" w:cs="Arial" w:eastAsia="Arial" w:hAnsi="Arial"/>
          <w:sz w:val="18"/>
          <w:szCs w:val="18"/>
          <w:color w:val="auto"/>
        </w:rPr>
        <w:t>Chief Financial Officer</w:t>
      </w:r>
    </w:p>
    <w:p>
      <w:pPr>
        <w:spacing w:after="0" w:line="211" w:lineRule="exact"/>
        <w:rPr>
          <w:sz w:val="20"/>
          <w:szCs w:val="20"/>
          <w:color w:val="auto"/>
        </w:rPr>
      </w:pPr>
    </w:p>
    <w:p>
      <w:pPr>
        <w:ind w:left="348" w:right="8139" w:hanging="348"/>
        <w:spacing w:after="0" w:line="288" w:lineRule="auto"/>
        <w:tabs>
          <w:tab w:leader="none" w:pos="348" w:val="left"/>
        </w:tabs>
        <w:numPr>
          <w:ilvl w:val="0"/>
          <w:numId w:val="4"/>
        </w:numPr>
        <w:rPr>
          <w:rFonts w:ascii="Arial" w:cs="Arial" w:eastAsia="Arial" w:hAnsi="Arial"/>
          <w:sz w:val="16"/>
          <w:szCs w:val="16"/>
          <w:color w:val="auto"/>
        </w:rPr>
      </w:pPr>
      <w:r>
        <w:rPr>
          <w:rFonts w:ascii="Arial" w:cs="Arial" w:eastAsia="Arial" w:hAnsi="Arial"/>
          <w:sz w:val="16"/>
          <w:szCs w:val="16"/>
          <w:color w:val="auto"/>
        </w:rPr>
        <w:t>Paul B. Dykstra G. Michael Latta Deborah J. DePaoli</w:t>
      </w:r>
    </w:p>
    <w:p>
      <w:pPr>
        <w:ind w:left="348" w:right="5399"/>
        <w:spacing w:after="0" w:line="261" w:lineRule="auto"/>
        <w:rPr>
          <w:rFonts w:ascii="Arial" w:cs="Arial" w:eastAsia="Arial" w:hAnsi="Arial"/>
          <w:sz w:val="16"/>
          <w:szCs w:val="16"/>
          <w:color w:val="auto"/>
        </w:rPr>
      </w:pPr>
      <w:r>
        <w:rPr>
          <w:rFonts w:ascii="Arial" w:cs="Arial" w:eastAsia="Arial" w:hAnsi="Arial"/>
          <w:sz w:val="18"/>
          <w:szCs w:val="18"/>
          <w:color w:val="auto"/>
        </w:rPr>
        <w:t>Joseph P. Richardson, Squire, Sanders &amp; Dempsey L.L.P. John C. Sizer, Deloitte &amp; Touche LLP</w:t>
      </w:r>
    </w:p>
    <w:sectPr>
      <w:pgSz w:w="11900" w:h="16838" w:orient="portrait"/>
      <w:cols w:equalWidth="0" w:num="1">
        <w:col w:w="9887"/>
      </w:cols>
      <w:pgMar w:left="572" w:top="935"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1"/>
    </w:lvl>
  </w:abstractNum>
  <w:abstractNum w:abstractNumId="1">
    <w:nsid w:val="19495CFF"/>
    <w:multiLevelType w:val="hybridMultilevel"/>
    <w:lvl w:ilvl="0">
      <w:lvlJc w:val="left"/>
      <w:lvlText w:val="%1."/>
      <w:numFmt w:val="decimal"/>
      <w:start w:val="2"/>
    </w:lvl>
  </w:abstractNum>
  <w:abstractNum w:abstractNumId="2">
    <w:nsid w:val="2AE8944A"/>
    <w:multiLevelType w:val="hybridMultilevel"/>
    <w:lvl w:ilvl="0">
      <w:lvlJc w:val="left"/>
      <w:lvlText w:val="(%1)"/>
      <w:numFmt w:val="decimal"/>
      <w:start w:val="1"/>
    </w:lvl>
  </w:abstractNum>
  <w:abstractNum w:abstractNumId="3">
    <w:nsid w:val="625558EC"/>
    <w:multiLevelType w:val="hybridMultilevel"/>
    <w:lvl w:ilvl="0">
      <w:lvlJc w:val="left"/>
      <w:lvlText w:val="%1:"/>
      <w:numFmt w:val="lowerLetter"/>
      <w:start w:val="29"/>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2020-01-30T13:36:19Z</dcterms:created>
  <dcterms:modified xsi:type="dcterms:W3CDTF">2020-01-30T13:36:19Z</dcterms:modified>
</cp:coreProperties>
</file>