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19"/>
        <w:spacing w:after="0"/>
        <w:rPr>
          <w:sz w:val="20"/>
          <w:szCs w:val="20"/>
          <w:color w:val="auto"/>
        </w:rPr>
      </w:pPr>
      <w:r>
        <w:rPr>
          <w:rFonts w:ascii="Arial" w:cs="Arial" w:eastAsia="Arial" w:hAnsi="Arial"/>
          <w:sz w:val="25"/>
          <w:szCs w:val="25"/>
          <w:b w:val="1"/>
          <w:bCs w:val="1"/>
          <w:color w:val="auto"/>
        </w:rPr>
        <w:t>UNITED STATES</w:t>
      </w:r>
    </w:p>
    <w:p>
      <w:pPr>
        <w:spacing w:after="0" w:line="38" w:lineRule="exact"/>
        <w:rPr>
          <w:sz w:val="24"/>
          <w:szCs w:val="24"/>
          <w:color w:val="auto"/>
        </w:rPr>
      </w:pPr>
    </w:p>
    <w:p>
      <w:pPr>
        <w:jc w:val="center"/>
        <w:ind w:right="-119"/>
        <w:spacing w:after="0"/>
        <w:rPr>
          <w:sz w:val="20"/>
          <w:szCs w:val="20"/>
          <w:color w:val="auto"/>
        </w:rPr>
      </w:pPr>
      <w:r>
        <w:rPr>
          <w:rFonts w:ascii="Arial" w:cs="Arial" w:eastAsia="Arial" w:hAnsi="Arial"/>
          <w:sz w:val="25"/>
          <w:szCs w:val="25"/>
          <w:b w:val="1"/>
          <w:bCs w:val="1"/>
          <w:color w:val="auto"/>
        </w:rPr>
        <w:t>SECURITIES AND EXCHANGE COMMISSION</w:t>
      </w:r>
    </w:p>
    <w:p>
      <w:pPr>
        <w:spacing w:after="0" w:line="6"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Washington, D.C. 20549</w:t>
      </w:r>
    </w:p>
    <w:p>
      <w:pPr>
        <w:spacing w:after="0" w:line="200" w:lineRule="exact"/>
        <w:rPr>
          <w:sz w:val="24"/>
          <w:szCs w:val="24"/>
          <w:color w:val="auto"/>
        </w:rPr>
      </w:pPr>
    </w:p>
    <w:p>
      <w:pPr>
        <w:spacing w:after="0" w:line="271" w:lineRule="exact"/>
        <w:rPr>
          <w:sz w:val="24"/>
          <w:szCs w:val="24"/>
          <w:color w:val="auto"/>
        </w:rPr>
      </w:pPr>
    </w:p>
    <w:p>
      <w:pPr>
        <w:jc w:val="center"/>
        <w:ind w:right="-119"/>
        <w:spacing w:after="0"/>
        <w:rPr>
          <w:sz w:val="20"/>
          <w:szCs w:val="20"/>
          <w:color w:val="auto"/>
        </w:rPr>
      </w:pPr>
      <w:r>
        <w:rPr>
          <w:rFonts w:ascii="Arial" w:cs="Arial" w:eastAsia="Arial" w:hAnsi="Arial"/>
          <w:sz w:val="25"/>
          <w:szCs w:val="25"/>
          <w:b w:val="1"/>
          <w:bCs w:val="1"/>
          <w:color w:val="auto"/>
        </w:rPr>
        <w:t>FORM 8-K</w:t>
      </w:r>
    </w:p>
    <w:p>
      <w:pPr>
        <w:spacing w:after="0" w:line="200" w:lineRule="exact"/>
        <w:rPr>
          <w:sz w:val="24"/>
          <w:szCs w:val="24"/>
          <w:color w:val="auto"/>
        </w:rPr>
      </w:pPr>
    </w:p>
    <w:p>
      <w:pPr>
        <w:spacing w:after="0" w:line="291"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CURRENT REPORT</w:t>
      </w:r>
    </w:p>
    <w:p>
      <w:pPr>
        <w:spacing w:after="0" w:line="17" w:lineRule="exact"/>
        <w:rPr>
          <w:sz w:val="24"/>
          <w:szCs w:val="24"/>
          <w:color w:val="auto"/>
        </w:rPr>
      </w:pPr>
    </w:p>
    <w:p>
      <w:pPr>
        <w:jc w:val="center"/>
        <w:ind w:right="-119"/>
        <w:spacing w:after="0"/>
        <w:rPr>
          <w:sz w:val="20"/>
          <w:szCs w:val="20"/>
          <w:color w:val="auto"/>
        </w:rPr>
      </w:pPr>
      <w:r>
        <w:rPr>
          <w:rFonts w:ascii="Arial" w:cs="Arial" w:eastAsia="Arial" w:hAnsi="Arial"/>
          <w:sz w:val="16"/>
          <w:szCs w:val="16"/>
          <w:b w:val="1"/>
          <w:bCs w:val="1"/>
          <w:color w:val="auto"/>
        </w:rPr>
        <w:t>Pursuant to Section 13 OR 15(d) of The Securities Exchange Act of 1934</w:t>
      </w:r>
    </w:p>
    <w:p>
      <w:pPr>
        <w:spacing w:after="0" w:line="200" w:lineRule="exact"/>
        <w:rPr>
          <w:sz w:val="24"/>
          <w:szCs w:val="24"/>
          <w:color w:val="auto"/>
        </w:rPr>
      </w:pPr>
    </w:p>
    <w:p>
      <w:pPr>
        <w:spacing w:after="0" w:line="314"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May 1, 2009</w:t>
      </w:r>
    </w:p>
    <w:p>
      <w:pPr>
        <w:spacing w:after="0" w:line="24" w:lineRule="exact"/>
        <w:rPr>
          <w:sz w:val="24"/>
          <w:szCs w:val="24"/>
          <w:color w:val="auto"/>
        </w:rPr>
      </w:pPr>
    </w:p>
    <w:p>
      <w:pPr>
        <w:jc w:val="center"/>
        <w:ind w:right="-119"/>
        <w:spacing w:after="0"/>
        <w:rPr>
          <w:sz w:val="20"/>
          <w:szCs w:val="20"/>
          <w:color w:val="auto"/>
        </w:rPr>
      </w:pPr>
      <w:r>
        <w:rPr>
          <w:rFonts w:ascii="Arial" w:cs="Arial" w:eastAsia="Arial" w:hAnsi="Arial"/>
          <w:sz w:val="22"/>
          <w:szCs w:val="22"/>
          <w:color w:val="auto"/>
        </w:rPr>
        <w:t>Date of Report (Date of earliest event reported)</w:t>
      </w:r>
    </w:p>
    <w:p>
      <w:pPr>
        <w:spacing w:after="0" w:line="200" w:lineRule="exact"/>
        <w:rPr>
          <w:sz w:val="24"/>
          <w:szCs w:val="24"/>
          <w:color w:val="auto"/>
        </w:rPr>
      </w:pPr>
    </w:p>
    <w:p>
      <w:pPr>
        <w:spacing w:after="0" w:line="257" w:lineRule="exact"/>
        <w:rPr>
          <w:sz w:val="24"/>
          <w:szCs w:val="24"/>
          <w:color w:val="auto"/>
        </w:rPr>
      </w:pPr>
    </w:p>
    <w:p>
      <w:pPr>
        <w:jc w:val="center"/>
        <w:ind w:right="-119"/>
        <w:spacing w:after="0"/>
        <w:rPr>
          <w:sz w:val="20"/>
          <w:szCs w:val="20"/>
          <w:color w:val="auto"/>
        </w:rPr>
      </w:pPr>
      <w:r>
        <w:rPr>
          <w:rFonts w:ascii="Arial" w:cs="Arial" w:eastAsia="Arial" w:hAnsi="Arial"/>
          <w:sz w:val="25"/>
          <w:szCs w:val="25"/>
          <w:b w:val="1"/>
          <w:bCs w:val="1"/>
          <w:color w:val="auto"/>
        </w:rPr>
        <w:t>VIAD CORP</w:t>
      </w:r>
    </w:p>
    <w:p>
      <w:pPr>
        <w:spacing w:after="0" w:line="34" w:lineRule="exact"/>
        <w:rPr>
          <w:sz w:val="24"/>
          <w:szCs w:val="24"/>
          <w:color w:val="auto"/>
        </w:rPr>
      </w:pPr>
    </w:p>
    <w:p>
      <w:pPr>
        <w:jc w:val="center"/>
        <w:ind w:right="-119"/>
        <w:spacing w:after="0"/>
        <w:rPr>
          <w:sz w:val="20"/>
          <w:szCs w:val="20"/>
          <w:color w:val="auto"/>
        </w:rPr>
      </w:pPr>
      <w:r>
        <w:rPr>
          <w:rFonts w:ascii="Arial" w:cs="Arial" w:eastAsia="Arial" w:hAnsi="Arial"/>
          <w:sz w:val="18"/>
          <w:szCs w:val="18"/>
          <w:color w:val="auto"/>
        </w:rPr>
        <w:t>(Exact name of registrant as specified in its charter)</w:t>
      </w:r>
    </w:p>
    <w:p>
      <w:pPr>
        <w:sectPr>
          <w:pgSz w:w="11900" w:h="16838" w:orient="portrait"/>
          <w:cols w:equalWidth="0" w:num="1">
            <w:col w:w="11300"/>
          </w:cols>
          <w:pgMar w:left="240" w:top="225" w:right="359" w:bottom="1440"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305" w:lineRule="exact"/>
        <w:rPr>
          <w:sz w:val="24"/>
          <w:szCs w:val="24"/>
          <w:color w:val="auto"/>
        </w:rPr>
      </w:pPr>
    </w:p>
    <w:p>
      <w:pPr>
        <w:ind w:left="1520"/>
        <w:spacing w:after="0"/>
        <w:rPr>
          <w:sz w:val="20"/>
          <w:szCs w:val="20"/>
          <w:color w:val="auto"/>
        </w:rPr>
      </w:pPr>
      <w:r>
        <w:rPr>
          <w:rFonts w:ascii="Arial" w:cs="Arial" w:eastAsia="Arial" w:hAnsi="Arial"/>
          <w:sz w:val="18"/>
          <w:szCs w:val="18"/>
          <w:b w:val="1"/>
          <w:bCs w:val="1"/>
          <w:color w:val="auto"/>
        </w:rPr>
        <w:t>Delaware</w:t>
      </w:r>
    </w:p>
    <w:p>
      <w:pPr>
        <w:spacing w:after="0" w:line="40" w:lineRule="exact"/>
        <w:rPr>
          <w:sz w:val="24"/>
          <w:szCs w:val="24"/>
          <w:color w:val="auto"/>
        </w:rPr>
      </w:pPr>
    </w:p>
    <w:p>
      <w:pPr>
        <w:ind w:left="940"/>
        <w:spacing w:after="0"/>
        <w:rPr>
          <w:sz w:val="20"/>
          <w:szCs w:val="20"/>
          <w:color w:val="auto"/>
        </w:rPr>
      </w:pPr>
      <w:r>
        <w:rPr>
          <w:rFonts w:ascii="Arial" w:cs="Arial" w:eastAsia="Arial" w:hAnsi="Arial"/>
          <w:sz w:val="16"/>
          <w:szCs w:val="16"/>
          <w:color w:val="auto"/>
        </w:rPr>
        <w:t>(State or other jurisdiction</w:t>
      </w:r>
    </w:p>
    <w:p>
      <w:pPr>
        <w:spacing w:after="0" w:line="46" w:lineRule="exact"/>
        <w:rPr>
          <w:sz w:val="24"/>
          <w:szCs w:val="24"/>
          <w:color w:val="auto"/>
        </w:rPr>
      </w:pPr>
    </w:p>
    <w:p>
      <w:pPr>
        <w:ind w:left="1280"/>
        <w:spacing w:after="0"/>
        <w:rPr>
          <w:sz w:val="20"/>
          <w:szCs w:val="20"/>
          <w:color w:val="auto"/>
        </w:rPr>
      </w:pPr>
      <w:r>
        <w:rPr>
          <w:rFonts w:ascii="Arial" w:cs="Arial" w:eastAsia="Arial" w:hAnsi="Arial"/>
          <w:sz w:val="18"/>
          <w:szCs w:val="18"/>
          <w:color w:val="auto"/>
        </w:rPr>
        <w:t>of incorporation)</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85" w:lineRule="exact"/>
        <w:rPr>
          <w:sz w:val="24"/>
          <w:szCs w:val="24"/>
          <w:color w:val="auto"/>
        </w:rPr>
      </w:pPr>
    </w:p>
    <w:p>
      <w:pPr>
        <w:ind w:left="120"/>
        <w:spacing w:after="0"/>
        <w:rPr>
          <w:sz w:val="20"/>
          <w:szCs w:val="20"/>
          <w:color w:val="auto"/>
        </w:rPr>
      </w:pPr>
      <w:r>
        <w:rPr>
          <w:rFonts w:ascii="Arial" w:cs="Arial" w:eastAsia="Arial" w:hAnsi="Arial"/>
          <w:sz w:val="17"/>
          <w:szCs w:val="17"/>
          <w:b w:val="1"/>
          <w:bCs w:val="1"/>
          <w:color w:val="auto"/>
        </w:rPr>
        <w:t>001-11015</w:t>
      </w:r>
    </w:p>
    <w:p>
      <w:pPr>
        <w:spacing w:after="0" w:line="52" w:lineRule="exact"/>
        <w:rPr>
          <w:sz w:val="24"/>
          <w:szCs w:val="24"/>
          <w:color w:val="auto"/>
        </w:rPr>
      </w:pPr>
    </w:p>
    <w:p>
      <w:pPr>
        <w:spacing w:after="0"/>
        <w:rPr>
          <w:sz w:val="20"/>
          <w:szCs w:val="20"/>
          <w:color w:val="auto"/>
        </w:rPr>
      </w:pPr>
      <w:r>
        <w:rPr>
          <w:rFonts w:ascii="Arial" w:cs="Arial" w:eastAsia="Arial" w:hAnsi="Arial"/>
          <w:sz w:val="16"/>
          <w:szCs w:val="16"/>
          <w:color w:val="auto"/>
        </w:rPr>
        <w:t>(Commission</w:t>
      </w:r>
    </w:p>
    <w:p>
      <w:pPr>
        <w:spacing w:after="0" w:line="46" w:lineRule="exact"/>
        <w:rPr>
          <w:sz w:val="24"/>
          <w:szCs w:val="24"/>
          <w:color w:val="auto"/>
        </w:rPr>
      </w:pPr>
    </w:p>
    <w:p>
      <w:pPr>
        <w:spacing w:after="0"/>
        <w:rPr>
          <w:sz w:val="20"/>
          <w:szCs w:val="20"/>
          <w:color w:val="auto"/>
        </w:rPr>
      </w:pPr>
      <w:r>
        <w:rPr>
          <w:rFonts w:ascii="Arial" w:cs="Arial" w:eastAsia="Arial" w:hAnsi="Arial"/>
          <w:sz w:val="16"/>
          <w:szCs w:val="16"/>
          <w:color w:val="auto"/>
        </w:rPr>
        <w:t>File Number)</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85" w:lineRule="exact"/>
        <w:rPr>
          <w:sz w:val="24"/>
          <w:szCs w:val="24"/>
          <w:color w:val="auto"/>
        </w:rPr>
      </w:pPr>
    </w:p>
    <w:p>
      <w:pPr>
        <w:ind w:left="260"/>
        <w:spacing w:after="0"/>
        <w:rPr>
          <w:sz w:val="20"/>
          <w:szCs w:val="20"/>
          <w:color w:val="auto"/>
        </w:rPr>
      </w:pPr>
      <w:r>
        <w:rPr>
          <w:rFonts w:ascii="Arial" w:cs="Arial" w:eastAsia="Arial" w:hAnsi="Arial"/>
          <w:sz w:val="18"/>
          <w:szCs w:val="18"/>
          <w:b w:val="1"/>
          <w:bCs w:val="1"/>
          <w:color w:val="auto"/>
        </w:rPr>
        <w:t>36-1169950</w:t>
      </w:r>
    </w:p>
    <w:p>
      <w:pPr>
        <w:spacing w:after="0" w:line="40" w:lineRule="exact"/>
        <w:rPr>
          <w:sz w:val="24"/>
          <w:szCs w:val="24"/>
          <w:color w:val="auto"/>
        </w:rPr>
      </w:pPr>
    </w:p>
    <w:p>
      <w:pPr>
        <w:ind w:left="120"/>
        <w:spacing w:after="0"/>
        <w:rPr>
          <w:sz w:val="20"/>
          <w:szCs w:val="20"/>
          <w:color w:val="auto"/>
        </w:rPr>
      </w:pPr>
      <w:r>
        <w:rPr>
          <w:rFonts w:ascii="Arial" w:cs="Arial" w:eastAsia="Arial" w:hAnsi="Arial"/>
          <w:sz w:val="18"/>
          <w:szCs w:val="18"/>
          <w:color w:val="auto"/>
        </w:rPr>
        <w:t>(IRS Employer</w:t>
      </w:r>
    </w:p>
    <w:p>
      <w:pPr>
        <w:spacing w:after="0" w:line="23" w:lineRule="exact"/>
        <w:rPr>
          <w:sz w:val="24"/>
          <w:szCs w:val="24"/>
          <w:color w:val="auto"/>
        </w:rPr>
      </w:pPr>
    </w:p>
    <w:p>
      <w:pPr>
        <w:spacing w:after="0"/>
        <w:rPr>
          <w:sz w:val="20"/>
          <w:szCs w:val="20"/>
          <w:color w:val="auto"/>
        </w:rPr>
      </w:pPr>
      <w:r>
        <w:rPr>
          <w:rFonts w:ascii="Arial" w:cs="Arial" w:eastAsia="Arial" w:hAnsi="Arial"/>
          <w:sz w:val="17"/>
          <w:szCs w:val="17"/>
          <w:color w:val="auto"/>
        </w:rPr>
        <w:t>Identification No.)</w:t>
      </w:r>
    </w:p>
    <w:p>
      <w:pPr>
        <w:spacing w:after="0" w:line="211" w:lineRule="exact"/>
        <w:rPr>
          <w:sz w:val="24"/>
          <w:szCs w:val="24"/>
          <w:color w:val="auto"/>
        </w:rPr>
      </w:pPr>
    </w:p>
    <w:p>
      <w:pPr>
        <w:sectPr>
          <w:pgSz w:w="11900" w:h="16838" w:orient="portrait"/>
          <w:cols w:equalWidth="0" w:num="3">
            <w:col w:w="4500" w:space="720"/>
            <w:col w:w="2920" w:space="720"/>
            <w:col w:w="2440"/>
          </w:cols>
          <w:pgMar w:left="240" w:top="225" w:right="359" w:bottom="1440" w:gutter="0" w:footer="0" w:header="0"/>
          <w:type w:val="continuous"/>
        </w:sectPr>
      </w:pPr>
    </w:p>
    <w:p>
      <w:pPr>
        <w:spacing w:after="0" w:line="200" w:lineRule="exact"/>
        <w:rPr>
          <w:sz w:val="24"/>
          <w:szCs w:val="24"/>
          <w:color w:val="auto"/>
        </w:rPr>
      </w:pPr>
    </w:p>
    <w:p>
      <w:pPr>
        <w:spacing w:after="0" w:line="293" w:lineRule="exact"/>
        <w:rPr>
          <w:sz w:val="24"/>
          <w:szCs w:val="24"/>
          <w:color w:val="auto"/>
        </w:rPr>
      </w:pPr>
    </w:p>
    <w:p>
      <w:pPr>
        <w:jc w:val="center"/>
        <w:ind w:right="2840"/>
        <w:spacing w:after="0"/>
        <w:rPr>
          <w:sz w:val="20"/>
          <w:szCs w:val="20"/>
          <w:color w:val="auto"/>
        </w:rPr>
      </w:pPr>
      <w:r>
        <w:rPr>
          <w:rFonts w:ascii="Arial" w:cs="Arial" w:eastAsia="Arial" w:hAnsi="Arial"/>
          <w:sz w:val="16"/>
          <w:szCs w:val="16"/>
          <w:b w:val="1"/>
          <w:bCs w:val="1"/>
          <w:color w:val="auto"/>
        </w:rPr>
        <w:t>1850 North Central Avenue, Suite 800, Phoenix, Arizona</w:t>
      </w:r>
    </w:p>
    <w:p>
      <w:pPr>
        <w:spacing w:after="0" w:line="63" w:lineRule="exact"/>
        <w:rPr>
          <w:sz w:val="24"/>
          <w:szCs w:val="24"/>
          <w:color w:val="auto"/>
        </w:rPr>
      </w:pPr>
    </w:p>
    <w:p>
      <w:pPr>
        <w:jc w:val="center"/>
        <w:ind w:right="2840"/>
        <w:spacing w:after="0"/>
        <w:rPr>
          <w:sz w:val="20"/>
          <w:szCs w:val="20"/>
          <w:color w:val="auto"/>
        </w:rPr>
      </w:pPr>
      <w:r>
        <w:rPr>
          <w:rFonts w:ascii="Arial" w:cs="Arial" w:eastAsia="Arial" w:hAnsi="Arial"/>
          <w:sz w:val="18"/>
          <w:szCs w:val="18"/>
          <w:color w:val="auto"/>
        </w:rPr>
        <w:t>(Address of principal executive offices)</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73" w:lineRule="exact"/>
        <w:rPr>
          <w:sz w:val="24"/>
          <w:szCs w:val="24"/>
          <w:color w:val="auto"/>
        </w:rPr>
      </w:pPr>
    </w:p>
    <w:p>
      <w:pPr>
        <w:spacing w:after="0"/>
        <w:rPr>
          <w:sz w:val="20"/>
          <w:szCs w:val="20"/>
          <w:color w:val="auto"/>
        </w:rPr>
      </w:pPr>
      <w:r>
        <w:rPr>
          <w:rFonts w:ascii="Arial" w:cs="Arial" w:eastAsia="Arial" w:hAnsi="Arial"/>
          <w:sz w:val="16"/>
          <w:szCs w:val="16"/>
          <w:b w:val="1"/>
          <w:bCs w:val="1"/>
          <w:color w:val="auto"/>
        </w:rPr>
        <w:t>85004-4545</w:t>
      </w:r>
    </w:p>
    <w:p>
      <w:pPr>
        <w:spacing w:after="0" w:line="63" w:lineRule="exact"/>
        <w:rPr>
          <w:sz w:val="24"/>
          <w:szCs w:val="24"/>
          <w:color w:val="auto"/>
        </w:rPr>
      </w:pPr>
    </w:p>
    <w:p>
      <w:pPr>
        <w:ind w:left="20"/>
        <w:spacing w:after="0"/>
        <w:rPr>
          <w:sz w:val="20"/>
          <w:szCs w:val="20"/>
          <w:color w:val="auto"/>
        </w:rPr>
      </w:pPr>
      <w:r>
        <w:rPr>
          <w:rFonts w:ascii="Arial" w:cs="Arial" w:eastAsia="Arial" w:hAnsi="Arial"/>
          <w:sz w:val="17"/>
          <w:szCs w:val="17"/>
          <w:color w:val="auto"/>
        </w:rPr>
        <w:t>(Zip Code)</w:t>
      </w:r>
    </w:p>
    <w:p>
      <w:pPr>
        <w:spacing w:after="0" w:line="211" w:lineRule="exact"/>
        <w:rPr>
          <w:sz w:val="24"/>
          <w:szCs w:val="24"/>
          <w:color w:val="auto"/>
        </w:rPr>
      </w:pPr>
    </w:p>
    <w:p>
      <w:pPr>
        <w:sectPr>
          <w:pgSz w:w="11900" w:h="16838" w:orient="portrait"/>
          <w:cols w:equalWidth="0" w:num="2">
            <w:col w:w="8560" w:space="720"/>
            <w:col w:w="2020"/>
          </w:cols>
          <w:pgMar w:left="240" w:top="225" w:right="359" w:bottom="1440" w:gutter="0" w:footer="0" w:header="0"/>
          <w:type w:val="continuous"/>
        </w:sectPr>
      </w:pPr>
    </w:p>
    <w:p>
      <w:pPr>
        <w:spacing w:after="0" w:line="282" w:lineRule="exact"/>
        <w:rPr>
          <w:sz w:val="24"/>
          <w:szCs w:val="24"/>
          <w:color w:val="auto"/>
        </w:rPr>
      </w:pPr>
    </w:p>
    <w:p>
      <w:pPr>
        <w:spacing w:after="0"/>
        <w:rPr>
          <w:sz w:val="20"/>
          <w:szCs w:val="20"/>
          <w:color w:val="auto"/>
        </w:rPr>
      </w:pPr>
      <w:r>
        <w:rPr>
          <w:rFonts w:ascii="Arial" w:cs="Arial" w:eastAsia="Arial" w:hAnsi="Arial"/>
          <w:sz w:val="18"/>
          <w:szCs w:val="18"/>
          <w:color w:val="auto"/>
        </w:rPr>
        <w:t>Registrant’s telephone number, including area code: (602) 207-4000</w:t>
      </w:r>
    </w:p>
    <w:p>
      <w:pPr>
        <w:spacing w:after="0" w:line="225" w:lineRule="exact"/>
        <w:rPr>
          <w:sz w:val="24"/>
          <w:szCs w:val="24"/>
          <w:color w:val="auto"/>
        </w:rPr>
      </w:pPr>
    </w:p>
    <w:p>
      <w:pPr>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 (see General Instruction A.2. below):</w:t>
      </w:r>
    </w:p>
    <w:p>
      <w:pPr>
        <w:spacing w:after="0" w:line="197" w:lineRule="exact"/>
        <w:rPr>
          <w:sz w:val="24"/>
          <w:szCs w:val="24"/>
          <w:color w:val="auto"/>
        </w:rPr>
      </w:pPr>
    </w:p>
    <w:p>
      <w:pPr>
        <w:ind w:left="180"/>
        <w:spacing w:after="0"/>
        <w:rPr>
          <w:sz w:val="20"/>
          <w:szCs w:val="20"/>
          <w:color w:val="auto"/>
        </w:rPr>
      </w:pPr>
      <w:r>
        <w:rPr>
          <w:rFonts w:ascii="Arial" w:cs="Arial" w:eastAsia="Arial" w:hAnsi="Arial"/>
          <w:sz w:val="18"/>
          <w:szCs w:val="18"/>
          <w:color w:val="auto"/>
        </w:rPr>
        <w:t>Written communications pursuant to Rule 425 under the Securities Act (17 CFR 230.425)</w:t>
      </w:r>
    </w:p>
    <w:p>
      <w:pPr>
        <w:spacing w:after="0" w:line="252" w:lineRule="exact"/>
        <w:rPr>
          <w:sz w:val="24"/>
          <w:szCs w:val="24"/>
          <w:color w:val="auto"/>
        </w:rPr>
      </w:pPr>
    </w:p>
    <w:p>
      <w:pPr>
        <w:ind w:left="180"/>
        <w:spacing w:after="0"/>
        <w:rPr>
          <w:sz w:val="20"/>
          <w:szCs w:val="20"/>
          <w:color w:val="auto"/>
        </w:rPr>
      </w:pPr>
      <w:r>
        <w:rPr>
          <w:rFonts w:ascii="Arial" w:cs="Arial" w:eastAsia="Arial" w:hAnsi="Arial"/>
          <w:sz w:val="18"/>
          <w:szCs w:val="18"/>
          <w:color w:val="auto"/>
        </w:rPr>
        <w:t>Soliciting material pursuant to Rule 14a-12 under the Exchange Act (17 CFR 240.14a-12)</w:t>
      </w:r>
    </w:p>
    <w:p>
      <w:pPr>
        <w:spacing w:after="0" w:line="252" w:lineRule="exact"/>
        <w:rPr>
          <w:sz w:val="24"/>
          <w:szCs w:val="24"/>
          <w:color w:val="auto"/>
        </w:rPr>
      </w:pPr>
    </w:p>
    <w:p>
      <w:pPr>
        <w:ind w:left="180"/>
        <w:spacing w:after="0"/>
        <w:rPr>
          <w:sz w:val="20"/>
          <w:szCs w:val="20"/>
          <w:color w:val="auto"/>
        </w:rPr>
      </w:pPr>
      <w:r>
        <w:rPr>
          <w:rFonts w:ascii="Arial" w:cs="Arial" w:eastAsia="Arial" w:hAnsi="Arial"/>
          <w:sz w:val="18"/>
          <w:szCs w:val="18"/>
          <w:color w:val="auto"/>
        </w:rPr>
        <w:t>Pre-commencement communications pursuant to Rule 14d-2(b) under the Exchange Act (17 CFR 240.14d-2(b))</w:t>
      </w:r>
    </w:p>
    <w:p>
      <w:pPr>
        <w:spacing w:after="0" w:line="252" w:lineRule="exact"/>
        <w:rPr>
          <w:sz w:val="24"/>
          <w:szCs w:val="24"/>
          <w:color w:val="auto"/>
        </w:rPr>
      </w:pPr>
    </w:p>
    <w:p>
      <w:pPr>
        <w:ind w:left="180"/>
        <w:spacing w:after="0"/>
        <w:rPr>
          <w:sz w:val="20"/>
          <w:szCs w:val="20"/>
          <w:color w:val="auto"/>
        </w:rPr>
      </w:pPr>
      <w:r>
        <w:rPr>
          <w:rFonts w:ascii="Arial" w:cs="Arial" w:eastAsia="Arial" w:hAnsi="Arial"/>
          <w:sz w:val="18"/>
          <w:szCs w:val="18"/>
          <w:color w:val="auto"/>
        </w:rPr>
        <w:t>Pre-commencement communications pursuant to Rule 13e-4(c) under the Exchange Act (17 CFR 240.13e-4(c))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139700</wp:posOffset>
            </wp:positionV>
            <wp:extent cx="7272020" cy="596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72020" cy="59690"/>
                    </a:xfrm>
                    <a:prstGeom prst="rect">
                      <a:avLst/>
                    </a:prstGeom>
                    <a:noFill/>
                  </pic:spPr>
                </pic:pic>
              </a:graphicData>
            </a:graphic>
          </wp:anchor>
        </w:drawing>
      </w:r>
    </w:p>
    <w:p>
      <w:pPr>
        <w:sectPr>
          <w:pgSz w:w="11900" w:h="16838" w:orient="portrait"/>
          <w:cols w:equalWidth="0" w:num="1">
            <w:col w:w="11300"/>
          </w:cols>
          <w:pgMar w:left="240" w:top="225" w:right="359" w:bottom="1440" w:gutter="0" w:footer="0" w:header="0"/>
          <w:type w:val="continuous"/>
        </w:sectPr>
      </w:pPr>
    </w:p>
    <w:bookmarkStart w:id="1" w:name="page2"/>
    <w:bookmarkEnd w:id="1"/>
    <w:p>
      <w:pPr>
        <w:spacing w:after="0"/>
        <w:tabs>
          <w:tab w:leader="none" w:pos="1060" w:val="left"/>
        </w:tabs>
        <w:rPr>
          <w:sz w:val="20"/>
          <w:szCs w:val="20"/>
          <w:color w:val="auto"/>
        </w:rPr>
      </w:pPr>
      <w:r>
        <w:rPr>
          <w:rFonts w:ascii="Arial" w:cs="Arial" w:eastAsia="Arial" w:hAnsi="Arial"/>
          <w:sz w:val="22"/>
          <w:szCs w:val="22"/>
          <w:b w:val="1"/>
          <w:bCs w:val="1"/>
          <w:color w:val="auto"/>
        </w:rPr>
        <w:t>Item 2.02</w:t>
      </w:r>
      <w:r>
        <w:rPr>
          <w:sz w:val="20"/>
          <w:szCs w:val="20"/>
          <w:color w:val="auto"/>
        </w:rPr>
        <w:tab/>
      </w:r>
      <w:r>
        <w:rPr>
          <w:rFonts w:ascii="Arial" w:cs="Arial" w:eastAsia="Arial" w:hAnsi="Arial"/>
          <w:sz w:val="21"/>
          <w:szCs w:val="21"/>
          <w:b w:val="1"/>
          <w:bCs w:val="1"/>
          <w:color w:val="auto"/>
        </w:rPr>
        <w:t>RESULTS OF OPERATIONS AND FINANCIAL CONDITION</w:t>
      </w:r>
    </w:p>
    <w:p>
      <w:pPr>
        <w:spacing w:after="0" w:line="213" w:lineRule="exact"/>
        <w:rPr>
          <w:sz w:val="20"/>
          <w:szCs w:val="20"/>
          <w:color w:val="auto"/>
        </w:rPr>
      </w:pPr>
    </w:p>
    <w:p>
      <w:pPr>
        <w:jc w:val="both"/>
        <w:spacing w:after="0" w:line="328" w:lineRule="auto"/>
        <w:rPr>
          <w:sz w:val="20"/>
          <w:szCs w:val="20"/>
          <w:color w:val="auto"/>
        </w:rPr>
      </w:pPr>
      <w:r>
        <w:rPr>
          <w:rFonts w:ascii="Arial" w:cs="Arial" w:eastAsia="Arial" w:hAnsi="Arial"/>
          <w:sz w:val="19"/>
          <w:szCs w:val="19"/>
          <w:color w:val="auto"/>
        </w:rPr>
        <w:t>On May 1, 2009, Viad Corp (the “Company”) issued a press release announcing its unaudited financial results for the first quarter of 2009. A copy of the Company’s press release is furnished herewith as Exhibit 99 and is incorporated by reference herein.</w:t>
      </w:r>
    </w:p>
    <w:p>
      <w:pPr>
        <w:spacing w:after="0" w:line="105" w:lineRule="exact"/>
        <w:rPr>
          <w:sz w:val="20"/>
          <w:szCs w:val="20"/>
          <w:color w:val="auto"/>
        </w:rPr>
      </w:pPr>
    </w:p>
    <w:p>
      <w:pPr>
        <w:jc w:val="both"/>
        <w:spacing w:after="0" w:line="238" w:lineRule="auto"/>
        <w:rPr>
          <w:sz w:val="20"/>
          <w:szCs w:val="20"/>
          <w:color w:val="auto"/>
        </w:rPr>
      </w:pPr>
      <w:r>
        <w:rPr>
          <w:rFonts w:ascii="Arial" w:cs="Arial" w:eastAsia="Arial" w:hAnsi="Arial"/>
          <w:sz w:val="22"/>
          <w:szCs w:val="22"/>
          <w:color w:val="auto"/>
        </w:rPr>
        <w:t>The information in Item 2.02 of this current report on Form 8-K is being furnished and shall not be deemed “filed” for the purposes of Section 18 of the Securities Exchange Act of 1934, as amended, or otherwise subject to the liabilities of that Section. The information in Item 2.02 of this current report shall not be incorporated by reference into any registration statement or other document pursuant to the Securities Act of 1933, as amended.</w:t>
      </w:r>
    </w:p>
    <w:p>
      <w:pPr>
        <w:spacing w:after="0" w:line="179" w:lineRule="exact"/>
        <w:rPr>
          <w:sz w:val="20"/>
          <w:szCs w:val="20"/>
          <w:color w:val="auto"/>
        </w:rPr>
      </w:pPr>
    </w:p>
    <w:p>
      <w:pPr>
        <w:spacing w:after="0"/>
        <w:tabs>
          <w:tab w:leader="none" w:pos="1060" w:val="left"/>
        </w:tabs>
        <w:rPr>
          <w:sz w:val="20"/>
          <w:szCs w:val="20"/>
          <w:color w:val="auto"/>
        </w:rPr>
      </w:pPr>
      <w:r>
        <w:rPr>
          <w:rFonts w:ascii="Arial" w:cs="Arial" w:eastAsia="Arial" w:hAnsi="Arial"/>
          <w:sz w:val="22"/>
          <w:szCs w:val="22"/>
          <w:b w:val="1"/>
          <w:bCs w:val="1"/>
          <w:color w:val="auto"/>
        </w:rPr>
        <w:t>Item 9.01</w:t>
        <w:tab/>
        <w:t>FINANCIAL STATEMENTS AND EXHIBITS</w:t>
      </w:r>
    </w:p>
    <w:p>
      <w:pPr>
        <w:spacing w:after="0" w:line="212" w:lineRule="exact"/>
        <w:rPr>
          <w:sz w:val="20"/>
          <w:szCs w:val="20"/>
          <w:color w:val="auto"/>
        </w:rPr>
      </w:pPr>
    </w:p>
    <w:p>
      <w:pPr>
        <w:ind w:left="1060" w:hanging="566"/>
        <w:spacing w:after="0"/>
        <w:tabs>
          <w:tab w:leader="none" w:pos="1060" w:val="left"/>
        </w:tabs>
        <w:numPr>
          <w:ilvl w:val="0"/>
          <w:numId w:val="1"/>
        </w:numPr>
        <w:rPr>
          <w:rFonts w:ascii="Arial" w:cs="Arial" w:eastAsia="Arial" w:hAnsi="Arial"/>
          <w:sz w:val="22"/>
          <w:szCs w:val="22"/>
          <w:color w:val="auto"/>
        </w:rPr>
      </w:pPr>
      <w:r>
        <w:rPr>
          <w:rFonts w:ascii="Arial" w:cs="Arial" w:eastAsia="Arial" w:hAnsi="Arial"/>
          <w:sz w:val="22"/>
          <w:szCs w:val="22"/>
          <w:color w:val="auto"/>
        </w:rPr>
        <w:t>Exhibits</w:t>
      </w:r>
    </w:p>
    <w:p>
      <w:pPr>
        <w:spacing w:after="0" w:line="206" w:lineRule="exact"/>
        <w:rPr>
          <w:sz w:val="20"/>
          <w:szCs w:val="20"/>
          <w:color w:val="auto"/>
        </w:rPr>
      </w:pPr>
    </w:p>
    <w:p>
      <w:pPr>
        <w:ind w:left="820"/>
        <w:spacing w:after="0"/>
        <w:rPr>
          <w:sz w:val="20"/>
          <w:szCs w:val="20"/>
          <w:color w:val="auto"/>
        </w:rPr>
      </w:pPr>
      <w:r>
        <w:rPr>
          <w:rFonts w:ascii="Arial" w:cs="Arial" w:eastAsia="Arial" w:hAnsi="Arial"/>
          <w:sz w:val="22"/>
          <w:szCs w:val="22"/>
          <w:color w:val="auto"/>
        </w:rPr>
        <w:t>99 – Press Release dated May 1, 2009.</w:t>
      </w:r>
    </w:p>
    <w:p>
      <w:pPr>
        <w:spacing w:after="0" w:line="20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right="220"/>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ind w:left="6280"/>
        <w:spacing w:after="0"/>
        <w:rPr>
          <w:sz w:val="20"/>
          <w:szCs w:val="20"/>
          <w:color w:val="auto"/>
        </w:rPr>
      </w:pPr>
      <w:r>
        <w:rPr>
          <w:rFonts w:ascii="Arial" w:cs="Arial" w:eastAsia="Arial" w:hAnsi="Arial"/>
          <w:sz w:val="18"/>
          <w:szCs w:val="18"/>
          <w:b w:val="1"/>
          <w:bCs w:val="1"/>
          <w:color w:val="auto"/>
        </w:rPr>
        <w:t>VIAD CORP</w:t>
      </w:r>
    </w:p>
    <w:p>
      <w:pPr>
        <w:spacing w:after="0" w:line="40" w:lineRule="exact"/>
        <w:rPr>
          <w:sz w:val="20"/>
          <w:szCs w:val="20"/>
          <w:color w:val="auto"/>
        </w:rPr>
      </w:pPr>
    </w:p>
    <w:p>
      <w:pPr>
        <w:ind w:left="6280"/>
        <w:spacing w:after="0"/>
        <w:rPr>
          <w:sz w:val="20"/>
          <w:szCs w:val="20"/>
          <w:color w:val="auto"/>
        </w:rPr>
      </w:pPr>
      <w:r>
        <w:rPr>
          <w:rFonts w:ascii="Arial" w:cs="Arial" w:eastAsia="Arial" w:hAnsi="Arial"/>
          <w:sz w:val="18"/>
          <w:szCs w:val="18"/>
          <w:color w:val="auto"/>
        </w:rPr>
        <w:t>(Registrant)</w:t>
      </w:r>
    </w:p>
    <w:p>
      <w:pPr>
        <w:spacing w:after="0" w:line="200" w:lineRule="exact"/>
        <w:rPr>
          <w:sz w:val="20"/>
          <w:szCs w:val="20"/>
          <w:color w:val="auto"/>
        </w:rPr>
      </w:pPr>
    </w:p>
    <w:p>
      <w:pPr>
        <w:spacing w:after="0" w:line="322" w:lineRule="exact"/>
        <w:rPr>
          <w:sz w:val="20"/>
          <w:szCs w:val="20"/>
          <w:color w:val="auto"/>
        </w:rPr>
      </w:pPr>
    </w:p>
    <w:p>
      <w:pPr>
        <w:spacing w:after="0"/>
        <w:tabs>
          <w:tab w:leader="none" w:pos="5700" w:val="left"/>
          <w:tab w:leader="none" w:pos="6260" w:val="left"/>
        </w:tabs>
        <w:rPr>
          <w:sz w:val="20"/>
          <w:szCs w:val="20"/>
          <w:color w:val="auto"/>
        </w:rPr>
      </w:pPr>
      <w:r>
        <w:rPr>
          <w:rFonts w:ascii="Arial" w:cs="Arial" w:eastAsia="Arial" w:hAnsi="Arial"/>
          <w:sz w:val="18"/>
          <w:szCs w:val="18"/>
          <w:color w:val="auto"/>
        </w:rPr>
        <w:t>May 1, 2009</w:t>
      </w:r>
      <w:r>
        <w:rPr>
          <w:sz w:val="20"/>
          <w:szCs w:val="20"/>
          <w:color w:val="auto"/>
        </w:rPr>
        <w:tab/>
      </w: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/s/ G. Michael Latta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3924300</wp:posOffset>
            </wp:positionH>
            <wp:positionV relativeFrom="paragraph">
              <wp:posOffset>23495</wp:posOffset>
            </wp:positionV>
            <wp:extent cx="332740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3327400" cy="8890"/>
                    </a:xfrm>
                    <a:prstGeom prst="rect">
                      <a:avLst/>
                    </a:prstGeom>
                    <a:noFill/>
                  </pic:spPr>
                </pic:pic>
              </a:graphicData>
            </a:graphic>
          </wp:anchor>
        </w:drawing>
      </w:r>
    </w:p>
    <w:p>
      <w:pPr>
        <w:spacing w:after="0" w:line="30" w:lineRule="exact"/>
        <w:rPr>
          <w:sz w:val="20"/>
          <w:szCs w:val="20"/>
          <w:color w:val="auto"/>
        </w:rPr>
      </w:pPr>
    </w:p>
    <w:p>
      <w:pPr>
        <w:ind w:left="6280"/>
        <w:spacing w:after="0"/>
        <w:rPr>
          <w:sz w:val="20"/>
          <w:szCs w:val="20"/>
          <w:color w:val="auto"/>
        </w:rPr>
      </w:pPr>
      <w:r>
        <w:rPr>
          <w:rFonts w:ascii="Arial" w:cs="Arial" w:eastAsia="Arial" w:hAnsi="Arial"/>
          <w:sz w:val="18"/>
          <w:szCs w:val="18"/>
          <w:color w:val="auto"/>
        </w:rPr>
        <w:t>G. Michael Latta</w:t>
      </w:r>
    </w:p>
    <w:p>
      <w:pPr>
        <w:spacing w:after="0" w:line="36" w:lineRule="exact"/>
        <w:rPr>
          <w:sz w:val="20"/>
          <w:szCs w:val="20"/>
          <w:color w:val="auto"/>
        </w:rPr>
      </w:pPr>
    </w:p>
    <w:p>
      <w:pPr>
        <w:ind w:left="6280"/>
        <w:spacing w:after="0"/>
        <w:rPr>
          <w:sz w:val="20"/>
          <w:szCs w:val="20"/>
          <w:color w:val="auto"/>
        </w:rPr>
      </w:pPr>
      <w:r>
        <w:rPr>
          <w:rFonts w:ascii="Arial" w:cs="Arial" w:eastAsia="Arial" w:hAnsi="Arial"/>
          <w:sz w:val="18"/>
          <w:szCs w:val="18"/>
          <w:color w:val="auto"/>
        </w:rPr>
        <w:t>Vice President – Controller</w:t>
      </w:r>
    </w:p>
    <w:p>
      <w:pPr>
        <w:spacing w:after="0" w:line="23" w:lineRule="exact"/>
        <w:rPr>
          <w:sz w:val="20"/>
          <w:szCs w:val="20"/>
          <w:color w:val="auto"/>
        </w:rPr>
      </w:pPr>
    </w:p>
    <w:p>
      <w:pPr>
        <w:ind w:left="6280"/>
        <w:spacing w:after="0"/>
        <w:rPr>
          <w:sz w:val="20"/>
          <w:szCs w:val="20"/>
          <w:color w:val="auto"/>
        </w:rPr>
      </w:pPr>
      <w:r>
        <w:rPr>
          <w:rFonts w:ascii="Arial" w:cs="Arial" w:eastAsia="Arial" w:hAnsi="Arial"/>
          <w:sz w:val="18"/>
          <w:szCs w:val="18"/>
          <w:color w:val="auto"/>
        </w:rPr>
        <w:t>(Chief Accounting Officer and</w:t>
      </w:r>
    </w:p>
    <w:p>
      <w:pPr>
        <w:spacing w:after="0" w:line="9" w:lineRule="exact"/>
        <w:rPr>
          <w:sz w:val="20"/>
          <w:szCs w:val="20"/>
          <w:color w:val="auto"/>
        </w:rPr>
      </w:pPr>
    </w:p>
    <w:p>
      <w:pPr>
        <w:ind w:left="6280"/>
        <w:spacing w:after="0"/>
        <w:rPr>
          <w:sz w:val="20"/>
          <w:szCs w:val="20"/>
          <w:color w:val="auto"/>
        </w:rPr>
      </w:pPr>
      <w:r>
        <w:rPr>
          <w:rFonts w:ascii="Arial" w:cs="Arial" w:eastAsia="Arial" w:hAnsi="Arial"/>
          <w:sz w:val="18"/>
          <w:szCs w:val="18"/>
          <w:color w:val="auto"/>
        </w:rPr>
        <w:t>Authorized Signer)</w:t>
      </w:r>
    </w:p>
    <w:p>
      <w:pPr>
        <w:sectPr>
          <w:pgSz w:w="11900" w:h="16838" w:orient="portrait"/>
          <w:cols w:equalWidth="0" w:num="1">
            <w:col w:w="11420"/>
          </w:cols>
          <w:pgMar w:left="240" w:top="111" w:right="239" w:bottom="1440" w:gutter="0" w:footer="0" w:header="0"/>
        </w:sectPr>
      </w:pPr>
    </w:p>
    <w:bookmarkStart w:id="2" w:name="page3"/>
    <w:bookmarkEnd w:id="2"/>
    <w:p>
      <w:pPr>
        <w:jc w:val="right"/>
        <w:spacing w:after="0"/>
        <w:rPr>
          <w:sz w:val="20"/>
          <w:szCs w:val="20"/>
          <w:color w:val="auto"/>
        </w:rPr>
      </w:pPr>
      <w:r>
        <w:rPr>
          <w:rFonts w:ascii="Arial" w:cs="Arial" w:eastAsia="Arial" w:hAnsi="Arial"/>
          <w:sz w:val="22"/>
          <w:szCs w:val="22"/>
          <w:b w:val="1"/>
          <w:bCs w:val="1"/>
          <w:color w:val="auto"/>
        </w:rPr>
        <w:t>Exhibit 99</w:t>
      </w:r>
    </w:p>
    <w:p>
      <w:pPr>
        <w:spacing w:after="0" w:line="207"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Viad Corp Announces 2009 First Quarter Results</w:t>
      </w:r>
    </w:p>
    <w:p>
      <w:pPr>
        <w:spacing w:after="0" w:line="212" w:lineRule="exact"/>
        <w:rPr>
          <w:sz w:val="20"/>
          <w:szCs w:val="20"/>
          <w:color w:val="auto"/>
        </w:rPr>
      </w:pPr>
    </w:p>
    <w:p>
      <w:pPr>
        <w:jc w:val="center"/>
        <w:spacing w:after="0"/>
        <w:rPr>
          <w:sz w:val="20"/>
          <w:szCs w:val="20"/>
          <w:color w:val="auto"/>
        </w:rPr>
      </w:pPr>
      <w:r>
        <w:rPr>
          <w:rFonts w:ascii="Arial" w:cs="Arial" w:eastAsia="Arial" w:hAnsi="Arial"/>
          <w:sz w:val="22"/>
          <w:szCs w:val="22"/>
          <w:b w:val="1"/>
          <w:bCs w:val="1"/>
          <w:i w:val="1"/>
          <w:iCs w:val="1"/>
          <w:color w:val="auto"/>
        </w:rPr>
        <w:t>Income of $0.07 Per Share</w:t>
      </w:r>
    </w:p>
    <w:p>
      <w:pPr>
        <w:spacing w:after="0" w:line="206" w:lineRule="exact"/>
        <w:rPr>
          <w:sz w:val="20"/>
          <w:szCs w:val="20"/>
          <w:color w:val="auto"/>
        </w:rPr>
      </w:pPr>
    </w:p>
    <w:p>
      <w:pPr>
        <w:ind w:right="200"/>
        <w:spacing w:after="0" w:line="249" w:lineRule="auto"/>
        <w:rPr>
          <w:sz w:val="20"/>
          <w:szCs w:val="20"/>
          <w:color w:val="auto"/>
        </w:rPr>
      </w:pPr>
      <w:r>
        <w:rPr>
          <w:rFonts w:ascii="Arial" w:cs="Arial" w:eastAsia="Arial" w:hAnsi="Arial"/>
          <w:sz w:val="21"/>
          <w:szCs w:val="21"/>
          <w:color w:val="auto"/>
        </w:rPr>
        <w:t>PHOENIX--(BUSINESS WIRE)--May 1, 2009--Viad Corp (NYSE:VVI) today announced first quarter 2009 revenue of $240.9 million, segment operating income of $6.7 million, and income of $1.5 million, or $0.07 per diluted share. This compares to 2008 first quarter income of $16.7 million, or $0.81 per share, and the company’s prior guidance of $0.18 to $0.33 per share. The shortfall from guidance was driven mainly by larger than expected declines in same-show revenues at GES resulting from the downturn in the trade show industry, as well as additional restructuring charges.</w:t>
      </w:r>
    </w:p>
    <w:p>
      <w:pPr>
        <w:spacing w:after="0" w:line="179" w:lineRule="exact"/>
        <w:rPr>
          <w:sz w:val="20"/>
          <w:szCs w:val="20"/>
          <w:color w:val="auto"/>
        </w:rPr>
      </w:pPr>
    </w:p>
    <w:p>
      <w:pPr>
        <w:ind w:right="20"/>
        <w:spacing w:after="0" w:line="245" w:lineRule="auto"/>
        <w:rPr>
          <w:sz w:val="20"/>
          <w:szCs w:val="20"/>
          <w:color w:val="auto"/>
        </w:rPr>
      </w:pPr>
      <w:r>
        <w:rPr>
          <w:rFonts w:ascii="Arial" w:cs="Arial" w:eastAsia="Arial" w:hAnsi="Arial"/>
          <w:sz w:val="21"/>
          <w:szCs w:val="21"/>
          <w:color w:val="auto"/>
        </w:rPr>
        <w:t>Paul B. Dykstra, chairman, president and chief executive officer, said, “We faced considerable headwinds during the first quarter. A significant and abrupt pull back in trade show spending led to a larger than expected same-show revenue decline at GES, and our first quarter results fell short of guidance. We had assumed a same-show revenue decline of about 10 percent in our prior guidance, but actual 2009 first quarter same-show revenues dropped 20 percent, a much greater magnitude than in past recessions. The combination of the broader economic recession, negative show rotation of $31 million in revenue, and unfavorable currency translation of roughly $15 million resulted in a revenue decline of $94.5 million, or 28.2 percent, versus the 2008 first quarter. We have taken proactive and aggressive actions at every level of the company to significantly reduce costs in anticipation of revenue pressures. And we will continue to improve our cost structure, increase productivity, deliver high-quality customer service and capture market share during 2009.”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118745</wp:posOffset>
            </wp:positionV>
            <wp:extent cx="7272020" cy="596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72020" cy="59690"/>
                    </a:xfrm>
                    <a:prstGeom prst="rect">
                      <a:avLst/>
                    </a:prstGeom>
                    <a:noFill/>
                  </pic:spPr>
                </pic:pic>
              </a:graphicData>
            </a:graphic>
          </wp:anchor>
        </w:drawing>
      </w:r>
    </w:p>
    <w:p>
      <w:pPr>
        <w:sectPr>
          <w:pgSz w:w="11900" w:h="16838" w:orient="portrait"/>
          <w:cols w:equalWidth="0" w:num="1">
            <w:col w:w="11420"/>
          </w:cols>
          <w:pgMar w:left="240" w:top="111" w:right="239" w:bottom="1440" w:gutter="0" w:footer="0" w:header="0"/>
        </w:sectPr>
      </w:pPr>
    </w:p>
    <w:bookmarkStart w:id="3" w:name="page4"/>
    <w:bookmarkEnd w:id="3"/>
    <w:p>
      <w:pPr>
        <w:spacing w:after="0"/>
        <w:rPr>
          <w:sz w:val="20"/>
          <w:szCs w:val="20"/>
          <w:color w:val="auto"/>
        </w:rPr>
      </w:pPr>
      <w:r>
        <w:rPr>
          <w:rFonts w:ascii="Arial" w:cs="Arial" w:eastAsia="Arial" w:hAnsi="Arial"/>
          <w:sz w:val="22"/>
          <w:szCs w:val="22"/>
          <w:b w:val="1"/>
          <w:bCs w:val="1"/>
          <w:color w:val="auto"/>
        </w:rPr>
        <w:t>First Quarter 2009 Financial Highlights</w:t>
      </w:r>
    </w:p>
    <w:p>
      <w:pPr>
        <w:spacing w:after="0" w:line="213" w:lineRule="exact"/>
        <w:rPr>
          <w:sz w:val="20"/>
          <w:szCs w:val="20"/>
          <w:color w:val="auto"/>
        </w:rPr>
      </w:pPr>
    </w:p>
    <w:p>
      <w:pPr>
        <w:spacing w:after="0"/>
        <w:rPr>
          <w:sz w:val="20"/>
          <w:szCs w:val="20"/>
          <w:color w:val="auto"/>
        </w:rPr>
      </w:pPr>
      <w:r>
        <w:rPr>
          <w:rFonts w:ascii="Arial" w:cs="Arial" w:eastAsia="Arial" w:hAnsi="Arial"/>
          <w:sz w:val="22"/>
          <w:szCs w:val="22"/>
          <w:color w:val="auto"/>
        </w:rPr>
        <w:t>Highlights of the 2009 first quarter, compared to first quarter 2008 results, are presented below.</w:t>
      </w:r>
    </w:p>
    <w:p>
      <w:pPr>
        <w:spacing w:after="0" w:line="218" w:lineRule="exact"/>
        <w:rPr>
          <w:sz w:val="20"/>
          <w:szCs w:val="20"/>
          <w:color w:val="auto"/>
        </w:rPr>
      </w:pPr>
    </w:p>
    <w:tbl>
      <w:tblPr>
        <w:tblLayout w:type="fixed"/>
        <w:tblInd w:w="0" w:type="dxa"/>
        <w:tblCellMar>
          <w:top w:w="0" w:type="dxa"/>
          <w:left w:w="0" w:type="dxa"/>
          <w:bottom w:w="0" w:type="dxa"/>
          <w:right w:w="0" w:type="dxa"/>
        </w:tblCellMar>
      </w:tblPr>
      <w:tr>
        <w:trPr>
          <w:trHeight w:val="185"/>
        </w:trPr>
        <w:tc>
          <w:tcPr>
            <w:tcW w:w="6580" w:type="dxa"/>
            <w:vAlign w:val="bottom"/>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b w:val="1"/>
                <w:bCs w:val="1"/>
                <w:color w:val="auto"/>
              </w:rPr>
              <w:t>Q1 2009</w:t>
            </w:r>
          </w:p>
        </w:tc>
        <w:tc>
          <w:tcPr>
            <w:tcW w:w="240" w:type="dxa"/>
            <w:vAlign w:val="bottom"/>
            <w:tcBorders>
              <w:bottom w:val="single" w:sz="8" w:color="auto"/>
            </w:tcBorders>
          </w:tcPr>
          <w:p>
            <w:pPr>
              <w:spacing w:after="0"/>
              <w:rPr>
                <w:sz w:val="16"/>
                <w:szCs w:val="16"/>
                <w:color w:val="auto"/>
              </w:rPr>
            </w:pPr>
          </w:p>
        </w:tc>
        <w:tc>
          <w:tcPr>
            <w:tcW w:w="360" w:type="dxa"/>
            <w:vAlign w:val="bottom"/>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jc w:val="right"/>
              <w:ind w:right="388"/>
              <w:spacing w:after="0"/>
              <w:rPr>
                <w:sz w:val="20"/>
                <w:szCs w:val="20"/>
                <w:color w:val="auto"/>
              </w:rPr>
            </w:pPr>
            <w:r>
              <w:rPr>
                <w:rFonts w:ascii="Arial" w:cs="Arial" w:eastAsia="Arial" w:hAnsi="Arial"/>
                <w:sz w:val="14"/>
                <w:szCs w:val="14"/>
                <w:b w:val="1"/>
                <w:bCs w:val="1"/>
                <w:color w:val="auto"/>
              </w:rPr>
              <w:t>Q1 2008</w:t>
            </w:r>
          </w:p>
        </w:tc>
        <w:tc>
          <w:tcPr>
            <w:tcW w:w="340" w:type="dxa"/>
            <w:vAlign w:val="bottom"/>
          </w:tcPr>
          <w:p>
            <w:pPr>
              <w:spacing w:after="0"/>
              <w:rPr>
                <w:sz w:val="16"/>
                <w:szCs w:val="16"/>
                <w:color w:val="auto"/>
              </w:rPr>
            </w:pPr>
          </w:p>
        </w:tc>
        <w:tc>
          <w:tcPr>
            <w:tcW w:w="1380" w:type="dxa"/>
            <w:vAlign w:val="bottom"/>
            <w:tcBorders>
              <w:bottom w:val="single" w:sz="8" w:color="auto"/>
            </w:tcBorders>
          </w:tcPr>
          <w:p>
            <w:pPr>
              <w:jc w:val="right"/>
              <w:ind w:right="388"/>
              <w:spacing w:after="0"/>
              <w:rPr>
                <w:sz w:val="20"/>
                <w:szCs w:val="20"/>
                <w:color w:val="auto"/>
              </w:rPr>
            </w:pPr>
            <w:r>
              <w:rPr>
                <w:rFonts w:ascii="Arial" w:cs="Arial" w:eastAsia="Arial" w:hAnsi="Arial"/>
                <w:sz w:val="14"/>
                <w:szCs w:val="14"/>
                <w:b w:val="1"/>
                <w:bCs w:val="1"/>
                <w:color w:val="auto"/>
              </w:rPr>
              <w:t>Change</w:t>
            </w:r>
          </w:p>
        </w:tc>
      </w:tr>
      <w:tr>
        <w:trPr>
          <w:trHeight w:val="164"/>
        </w:trPr>
        <w:tc>
          <w:tcPr>
            <w:tcW w:w="658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940" w:type="dxa"/>
            <w:vAlign w:val="bottom"/>
            <w:gridSpan w:val="3"/>
          </w:tcPr>
          <w:p>
            <w:pPr>
              <w:jc w:val="right"/>
              <w:ind w:right="100"/>
              <w:spacing w:after="0"/>
              <w:rPr>
                <w:sz w:val="20"/>
                <w:szCs w:val="20"/>
                <w:color w:val="auto"/>
              </w:rPr>
            </w:pPr>
            <w:r>
              <w:rPr>
                <w:rFonts w:ascii="Arial" w:cs="Arial" w:eastAsia="Arial" w:hAnsi="Arial"/>
                <w:sz w:val="14"/>
                <w:szCs w:val="14"/>
                <w:i w:val="1"/>
                <w:iCs w:val="1"/>
                <w:color w:val="auto"/>
                <w:w w:val="99"/>
              </w:rPr>
              <w:t>($ in millions)</w:t>
            </w:r>
          </w:p>
        </w:tc>
        <w:tc>
          <w:tcPr>
            <w:tcW w:w="10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380" w:type="dxa"/>
            <w:vAlign w:val="bottom"/>
          </w:tcPr>
          <w:p>
            <w:pPr>
              <w:spacing w:after="0"/>
              <w:rPr>
                <w:sz w:val="14"/>
                <w:szCs w:val="14"/>
                <w:color w:val="auto"/>
              </w:rPr>
            </w:pPr>
          </w:p>
        </w:tc>
      </w:tr>
      <w:tr>
        <w:trPr>
          <w:trHeight w:val="176"/>
        </w:trPr>
        <w:tc>
          <w:tcPr>
            <w:tcW w:w="6580" w:type="dxa"/>
            <w:vAlign w:val="bottom"/>
          </w:tcPr>
          <w:p>
            <w:pPr>
              <w:spacing w:after="0"/>
              <w:rPr>
                <w:sz w:val="20"/>
                <w:szCs w:val="20"/>
                <w:color w:val="auto"/>
              </w:rPr>
            </w:pPr>
            <w:r>
              <w:rPr>
                <w:rFonts w:ascii="Arial" w:cs="Arial" w:eastAsia="Arial" w:hAnsi="Arial"/>
                <w:sz w:val="14"/>
                <w:szCs w:val="14"/>
                <w:color w:val="auto"/>
              </w:rPr>
              <w:t>Revenue</w:t>
            </w:r>
          </w:p>
        </w:tc>
        <w:tc>
          <w:tcPr>
            <w:tcW w:w="3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800" w:type="dxa"/>
            <w:vAlign w:val="bottom"/>
          </w:tcPr>
          <w:p>
            <w:pPr>
              <w:jc w:val="right"/>
              <w:spacing w:after="0"/>
              <w:rPr>
                <w:sz w:val="20"/>
                <w:szCs w:val="20"/>
                <w:color w:val="auto"/>
              </w:rPr>
            </w:pPr>
            <w:r>
              <w:rPr>
                <w:rFonts w:ascii="Arial" w:cs="Arial" w:eastAsia="Arial" w:hAnsi="Arial"/>
                <w:sz w:val="14"/>
                <w:szCs w:val="14"/>
                <w:color w:val="auto"/>
              </w:rPr>
              <w:t>240.9</w:t>
            </w:r>
          </w:p>
        </w:tc>
        <w:tc>
          <w:tcPr>
            <w:tcW w:w="940" w:type="dxa"/>
            <w:vAlign w:val="bottom"/>
            <w:gridSpan w:val="3"/>
          </w:tcPr>
          <w:p>
            <w:pPr>
              <w:jc w:val="right"/>
              <w:ind w:right="140"/>
              <w:spacing w:after="0"/>
              <w:rPr>
                <w:sz w:val="20"/>
                <w:szCs w:val="20"/>
                <w:color w:val="auto"/>
              </w:rPr>
            </w:pPr>
            <w:r>
              <w:rPr>
                <w:rFonts w:ascii="Arial" w:cs="Arial" w:eastAsia="Arial" w:hAnsi="Arial"/>
                <w:sz w:val="14"/>
                <w:szCs w:val="14"/>
                <w:color w:val="auto"/>
              </w:rPr>
              <w:t>$</w:t>
            </w:r>
          </w:p>
        </w:tc>
        <w:tc>
          <w:tcPr>
            <w:tcW w:w="1060" w:type="dxa"/>
            <w:vAlign w:val="bottom"/>
          </w:tcPr>
          <w:p>
            <w:pPr>
              <w:jc w:val="right"/>
              <w:ind w:right="268"/>
              <w:spacing w:after="0"/>
              <w:rPr>
                <w:sz w:val="20"/>
                <w:szCs w:val="20"/>
                <w:color w:val="auto"/>
              </w:rPr>
            </w:pPr>
            <w:r>
              <w:rPr>
                <w:rFonts w:ascii="Arial" w:cs="Arial" w:eastAsia="Arial" w:hAnsi="Arial"/>
                <w:sz w:val="14"/>
                <w:szCs w:val="14"/>
                <w:color w:val="auto"/>
              </w:rPr>
              <w:t>335.4</w:t>
            </w:r>
          </w:p>
        </w:tc>
        <w:tc>
          <w:tcPr>
            <w:tcW w:w="1720" w:type="dxa"/>
            <w:vAlign w:val="bottom"/>
            <w:gridSpan w:val="2"/>
          </w:tcPr>
          <w:p>
            <w:pPr>
              <w:jc w:val="right"/>
              <w:ind w:right="208"/>
              <w:spacing w:after="0"/>
              <w:rPr>
                <w:sz w:val="20"/>
                <w:szCs w:val="20"/>
                <w:color w:val="auto"/>
              </w:rPr>
            </w:pPr>
            <w:r>
              <w:rPr>
                <w:rFonts w:ascii="Arial" w:cs="Arial" w:eastAsia="Arial" w:hAnsi="Arial"/>
                <w:sz w:val="14"/>
                <w:szCs w:val="14"/>
                <w:color w:val="auto"/>
              </w:rPr>
              <w:t>-28.2%</w:t>
            </w:r>
          </w:p>
        </w:tc>
      </w:tr>
      <w:tr>
        <w:trPr>
          <w:trHeight w:val="176"/>
        </w:trPr>
        <w:tc>
          <w:tcPr>
            <w:tcW w:w="6580" w:type="dxa"/>
            <w:vAlign w:val="bottom"/>
          </w:tcPr>
          <w:p>
            <w:pPr>
              <w:spacing w:after="0"/>
              <w:rPr>
                <w:sz w:val="20"/>
                <w:szCs w:val="20"/>
                <w:color w:val="auto"/>
              </w:rPr>
            </w:pPr>
            <w:r>
              <w:rPr>
                <w:rFonts w:ascii="Arial" w:cs="Arial" w:eastAsia="Arial" w:hAnsi="Arial"/>
                <w:sz w:val="14"/>
                <w:szCs w:val="14"/>
                <w:color w:val="auto"/>
              </w:rPr>
              <w:t>Segment operating income</w:t>
            </w:r>
          </w:p>
        </w:tc>
        <w:tc>
          <w:tcPr>
            <w:tcW w:w="3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800" w:type="dxa"/>
            <w:vAlign w:val="bottom"/>
          </w:tcPr>
          <w:p>
            <w:pPr>
              <w:jc w:val="right"/>
              <w:spacing w:after="0"/>
              <w:rPr>
                <w:sz w:val="20"/>
                <w:szCs w:val="20"/>
                <w:color w:val="auto"/>
              </w:rPr>
            </w:pPr>
            <w:r>
              <w:rPr>
                <w:rFonts w:ascii="Arial" w:cs="Arial" w:eastAsia="Arial" w:hAnsi="Arial"/>
                <w:sz w:val="14"/>
                <w:szCs w:val="14"/>
                <w:color w:val="auto"/>
              </w:rPr>
              <w:t>6.7</w:t>
            </w:r>
          </w:p>
        </w:tc>
        <w:tc>
          <w:tcPr>
            <w:tcW w:w="940" w:type="dxa"/>
            <w:vAlign w:val="bottom"/>
            <w:gridSpan w:val="3"/>
          </w:tcPr>
          <w:p>
            <w:pPr>
              <w:jc w:val="right"/>
              <w:ind w:right="140"/>
              <w:spacing w:after="0"/>
              <w:rPr>
                <w:sz w:val="20"/>
                <w:szCs w:val="20"/>
                <w:color w:val="auto"/>
              </w:rPr>
            </w:pPr>
            <w:r>
              <w:rPr>
                <w:rFonts w:ascii="Arial" w:cs="Arial" w:eastAsia="Arial" w:hAnsi="Arial"/>
                <w:sz w:val="14"/>
                <w:szCs w:val="14"/>
                <w:color w:val="auto"/>
              </w:rPr>
              <w:t>$</w:t>
            </w:r>
          </w:p>
        </w:tc>
        <w:tc>
          <w:tcPr>
            <w:tcW w:w="1060" w:type="dxa"/>
            <w:vAlign w:val="bottom"/>
          </w:tcPr>
          <w:p>
            <w:pPr>
              <w:jc w:val="right"/>
              <w:ind w:right="268"/>
              <w:spacing w:after="0"/>
              <w:rPr>
                <w:sz w:val="20"/>
                <w:szCs w:val="20"/>
                <w:color w:val="auto"/>
              </w:rPr>
            </w:pPr>
            <w:r>
              <w:rPr>
                <w:rFonts w:ascii="Arial" w:cs="Arial" w:eastAsia="Arial" w:hAnsi="Arial"/>
                <w:sz w:val="14"/>
                <w:szCs w:val="14"/>
                <w:color w:val="auto"/>
              </w:rPr>
              <w:t>28.6</w:t>
            </w:r>
          </w:p>
        </w:tc>
        <w:tc>
          <w:tcPr>
            <w:tcW w:w="1720" w:type="dxa"/>
            <w:vAlign w:val="bottom"/>
            <w:gridSpan w:val="2"/>
          </w:tcPr>
          <w:p>
            <w:pPr>
              <w:jc w:val="right"/>
              <w:ind w:right="208"/>
              <w:spacing w:after="0"/>
              <w:rPr>
                <w:sz w:val="20"/>
                <w:szCs w:val="20"/>
                <w:color w:val="auto"/>
              </w:rPr>
            </w:pPr>
            <w:r>
              <w:rPr>
                <w:rFonts w:ascii="Arial" w:cs="Arial" w:eastAsia="Arial" w:hAnsi="Arial"/>
                <w:sz w:val="14"/>
                <w:szCs w:val="14"/>
                <w:color w:val="auto"/>
              </w:rPr>
              <w:t>-76.7%</w:t>
            </w:r>
          </w:p>
        </w:tc>
      </w:tr>
      <w:tr>
        <w:trPr>
          <w:trHeight w:val="176"/>
        </w:trPr>
        <w:tc>
          <w:tcPr>
            <w:tcW w:w="6580" w:type="dxa"/>
            <w:vAlign w:val="bottom"/>
          </w:tcPr>
          <w:p>
            <w:pPr>
              <w:spacing w:after="0"/>
              <w:rPr>
                <w:sz w:val="20"/>
                <w:szCs w:val="20"/>
                <w:color w:val="auto"/>
              </w:rPr>
            </w:pPr>
            <w:r>
              <w:rPr>
                <w:rFonts w:ascii="Arial" w:cs="Arial" w:eastAsia="Arial" w:hAnsi="Arial"/>
                <w:sz w:val="14"/>
                <w:szCs w:val="14"/>
                <w:color w:val="auto"/>
              </w:rPr>
              <w:t>Operating margins (Note A)</w:t>
            </w:r>
          </w:p>
        </w:tc>
        <w:tc>
          <w:tcPr>
            <w:tcW w:w="320" w:type="dxa"/>
            <w:vAlign w:val="bottom"/>
          </w:tcPr>
          <w:p>
            <w:pPr>
              <w:spacing w:after="0"/>
              <w:rPr>
                <w:sz w:val="15"/>
                <w:szCs w:val="15"/>
                <w:color w:val="auto"/>
              </w:rPr>
            </w:pPr>
          </w:p>
        </w:tc>
        <w:tc>
          <w:tcPr>
            <w:tcW w:w="1040" w:type="dxa"/>
            <w:vAlign w:val="bottom"/>
            <w:gridSpan w:val="2"/>
          </w:tcPr>
          <w:p>
            <w:pPr>
              <w:jc w:val="right"/>
              <w:ind w:right="108"/>
              <w:spacing w:after="0"/>
              <w:rPr>
                <w:sz w:val="20"/>
                <w:szCs w:val="20"/>
                <w:color w:val="auto"/>
              </w:rPr>
            </w:pPr>
            <w:r>
              <w:rPr>
                <w:rFonts w:ascii="Arial" w:cs="Arial" w:eastAsia="Arial" w:hAnsi="Arial"/>
                <w:sz w:val="14"/>
                <w:szCs w:val="14"/>
                <w:color w:val="auto"/>
              </w:rPr>
              <w:t>2.8%</w:t>
            </w:r>
          </w:p>
        </w:tc>
        <w:tc>
          <w:tcPr>
            <w:tcW w:w="36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060" w:type="dxa"/>
            <w:vAlign w:val="bottom"/>
          </w:tcPr>
          <w:p>
            <w:pPr>
              <w:jc w:val="right"/>
              <w:ind w:right="148"/>
              <w:spacing w:after="0"/>
              <w:rPr>
                <w:sz w:val="20"/>
                <w:szCs w:val="20"/>
                <w:color w:val="auto"/>
              </w:rPr>
            </w:pPr>
            <w:r>
              <w:rPr>
                <w:rFonts w:ascii="Arial" w:cs="Arial" w:eastAsia="Arial" w:hAnsi="Arial"/>
                <w:sz w:val="14"/>
                <w:szCs w:val="14"/>
                <w:color w:val="auto"/>
              </w:rPr>
              <w:t>8.5%</w:t>
            </w:r>
          </w:p>
        </w:tc>
        <w:tc>
          <w:tcPr>
            <w:tcW w:w="340" w:type="dxa"/>
            <w:vAlign w:val="bottom"/>
          </w:tcPr>
          <w:p>
            <w:pPr>
              <w:spacing w:after="0"/>
              <w:rPr>
                <w:sz w:val="15"/>
                <w:szCs w:val="15"/>
                <w:color w:val="auto"/>
              </w:rPr>
            </w:pPr>
          </w:p>
        </w:tc>
        <w:tc>
          <w:tcPr>
            <w:tcW w:w="1380" w:type="dxa"/>
            <w:vAlign w:val="bottom"/>
          </w:tcPr>
          <w:p>
            <w:pPr>
              <w:jc w:val="right"/>
              <w:spacing w:after="0"/>
              <w:rPr>
                <w:sz w:val="20"/>
                <w:szCs w:val="20"/>
                <w:color w:val="auto"/>
              </w:rPr>
            </w:pPr>
            <w:r>
              <w:rPr>
                <w:rFonts w:ascii="Arial" w:cs="Arial" w:eastAsia="Arial" w:hAnsi="Arial"/>
                <w:sz w:val="14"/>
                <w:szCs w:val="14"/>
                <w:color w:val="auto"/>
              </w:rPr>
              <w:t>-570 bps</w:t>
            </w:r>
          </w:p>
        </w:tc>
      </w:tr>
      <w:tr>
        <w:trPr>
          <w:trHeight w:val="176"/>
        </w:trPr>
        <w:tc>
          <w:tcPr>
            <w:tcW w:w="6580" w:type="dxa"/>
            <w:vAlign w:val="bottom"/>
          </w:tcPr>
          <w:p>
            <w:pPr>
              <w:spacing w:after="0"/>
              <w:rPr>
                <w:sz w:val="20"/>
                <w:szCs w:val="20"/>
                <w:color w:val="auto"/>
              </w:rPr>
            </w:pPr>
            <w:r>
              <w:rPr>
                <w:rFonts w:ascii="Arial" w:cs="Arial" w:eastAsia="Arial" w:hAnsi="Arial"/>
                <w:sz w:val="14"/>
                <w:szCs w:val="14"/>
                <w:color w:val="auto"/>
              </w:rPr>
              <w:t>Net income</w:t>
            </w:r>
          </w:p>
        </w:tc>
        <w:tc>
          <w:tcPr>
            <w:tcW w:w="3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800" w:type="dxa"/>
            <w:vAlign w:val="bottom"/>
          </w:tcPr>
          <w:p>
            <w:pPr>
              <w:jc w:val="right"/>
              <w:spacing w:after="0"/>
              <w:rPr>
                <w:sz w:val="20"/>
                <w:szCs w:val="20"/>
                <w:color w:val="auto"/>
              </w:rPr>
            </w:pPr>
            <w:r>
              <w:rPr>
                <w:rFonts w:ascii="Arial" w:cs="Arial" w:eastAsia="Arial" w:hAnsi="Arial"/>
                <w:sz w:val="14"/>
                <w:szCs w:val="14"/>
                <w:color w:val="auto"/>
              </w:rPr>
              <w:t>1.4</w:t>
            </w:r>
          </w:p>
        </w:tc>
        <w:tc>
          <w:tcPr>
            <w:tcW w:w="940" w:type="dxa"/>
            <w:vAlign w:val="bottom"/>
            <w:gridSpan w:val="3"/>
          </w:tcPr>
          <w:p>
            <w:pPr>
              <w:jc w:val="right"/>
              <w:ind w:right="140"/>
              <w:spacing w:after="0"/>
              <w:rPr>
                <w:sz w:val="20"/>
                <w:szCs w:val="20"/>
                <w:color w:val="auto"/>
              </w:rPr>
            </w:pPr>
            <w:r>
              <w:rPr>
                <w:rFonts w:ascii="Arial" w:cs="Arial" w:eastAsia="Arial" w:hAnsi="Arial"/>
                <w:sz w:val="14"/>
                <w:szCs w:val="14"/>
                <w:color w:val="auto"/>
              </w:rPr>
              <w:t>$</w:t>
            </w:r>
          </w:p>
        </w:tc>
        <w:tc>
          <w:tcPr>
            <w:tcW w:w="1060" w:type="dxa"/>
            <w:vAlign w:val="bottom"/>
          </w:tcPr>
          <w:p>
            <w:pPr>
              <w:jc w:val="right"/>
              <w:ind w:right="268"/>
              <w:spacing w:after="0"/>
              <w:rPr>
                <w:sz w:val="20"/>
                <w:szCs w:val="20"/>
                <w:color w:val="auto"/>
              </w:rPr>
            </w:pPr>
            <w:r>
              <w:rPr>
                <w:rFonts w:ascii="Arial" w:cs="Arial" w:eastAsia="Arial" w:hAnsi="Arial"/>
                <w:sz w:val="14"/>
                <w:szCs w:val="14"/>
                <w:color w:val="auto"/>
              </w:rPr>
              <w:t>16.6</w:t>
            </w:r>
          </w:p>
        </w:tc>
        <w:tc>
          <w:tcPr>
            <w:tcW w:w="1720" w:type="dxa"/>
            <w:vAlign w:val="bottom"/>
            <w:gridSpan w:val="2"/>
          </w:tcPr>
          <w:p>
            <w:pPr>
              <w:jc w:val="right"/>
              <w:ind w:right="208"/>
              <w:spacing w:after="0"/>
              <w:rPr>
                <w:sz w:val="20"/>
                <w:szCs w:val="20"/>
                <w:color w:val="auto"/>
              </w:rPr>
            </w:pPr>
            <w:r>
              <w:rPr>
                <w:rFonts w:ascii="Arial" w:cs="Arial" w:eastAsia="Arial" w:hAnsi="Arial"/>
                <w:sz w:val="14"/>
                <w:szCs w:val="14"/>
                <w:color w:val="auto"/>
              </w:rPr>
              <w:t>-91.7%</w:t>
            </w:r>
          </w:p>
        </w:tc>
      </w:tr>
      <w:tr>
        <w:trPr>
          <w:trHeight w:val="176"/>
        </w:trPr>
        <w:tc>
          <w:tcPr>
            <w:tcW w:w="6580" w:type="dxa"/>
            <w:vAlign w:val="bottom"/>
          </w:tcPr>
          <w:p>
            <w:pPr>
              <w:spacing w:after="0"/>
              <w:rPr>
                <w:sz w:val="20"/>
                <w:szCs w:val="20"/>
                <w:color w:val="auto"/>
              </w:rPr>
            </w:pPr>
            <w:r>
              <w:rPr>
                <w:rFonts w:ascii="Arial" w:cs="Arial" w:eastAsia="Arial" w:hAnsi="Arial"/>
                <w:sz w:val="14"/>
                <w:szCs w:val="14"/>
                <w:color w:val="auto"/>
              </w:rPr>
              <w:t>Net income attributable to Viad (Note B)</w:t>
            </w:r>
          </w:p>
        </w:tc>
        <w:tc>
          <w:tcPr>
            <w:tcW w:w="3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800" w:type="dxa"/>
            <w:vAlign w:val="bottom"/>
          </w:tcPr>
          <w:p>
            <w:pPr>
              <w:jc w:val="right"/>
              <w:spacing w:after="0"/>
              <w:rPr>
                <w:sz w:val="20"/>
                <w:szCs w:val="20"/>
                <w:color w:val="auto"/>
              </w:rPr>
            </w:pPr>
            <w:r>
              <w:rPr>
                <w:rFonts w:ascii="Arial" w:cs="Arial" w:eastAsia="Arial" w:hAnsi="Arial"/>
                <w:sz w:val="14"/>
                <w:szCs w:val="14"/>
                <w:color w:val="auto"/>
              </w:rPr>
              <w:t>1.5</w:t>
            </w:r>
          </w:p>
        </w:tc>
        <w:tc>
          <w:tcPr>
            <w:tcW w:w="940" w:type="dxa"/>
            <w:vAlign w:val="bottom"/>
            <w:gridSpan w:val="3"/>
          </w:tcPr>
          <w:p>
            <w:pPr>
              <w:jc w:val="right"/>
              <w:ind w:right="140"/>
              <w:spacing w:after="0"/>
              <w:rPr>
                <w:sz w:val="20"/>
                <w:szCs w:val="20"/>
                <w:color w:val="auto"/>
              </w:rPr>
            </w:pPr>
            <w:r>
              <w:rPr>
                <w:rFonts w:ascii="Arial" w:cs="Arial" w:eastAsia="Arial" w:hAnsi="Arial"/>
                <w:sz w:val="14"/>
                <w:szCs w:val="14"/>
                <w:color w:val="auto"/>
              </w:rPr>
              <w:t>$</w:t>
            </w:r>
          </w:p>
        </w:tc>
        <w:tc>
          <w:tcPr>
            <w:tcW w:w="1060" w:type="dxa"/>
            <w:vAlign w:val="bottom"/>
          </w:tcPr>
          <w:p>
            <w:pPr>
              <w:jc w:val="right"/>
              <w:ind w:right="268"/>
              <w:spacing w:after="0"/>
              <w:rPr>
                <w:sz w:val="20"/>
                <w:szCs w:val="20"/>
                <w:color w:val="auto"/>
              </w:rPr>
            </w:pPr>
            <w:r>
              <w:rPr>
                <w:rFonts w:ascii="Arial" w:cs="Arial" w:eastAsia="Arial" w:hAnsi="Arial"/>
                <w:sz w:val="14"/>
                <w:szCs w:val="14"/>
                <w:color w:val="auto"/>
              </w:rPr>
              <w:t>16.7</w:t>
            </w:r>
          </w:p>
        </w:tc>
        <w:tc>
          <w:tcPr>
            <w:tcW w:w="1720" w:type="dxa"/>
            <w:vAlign w:val="bottom"/>
            <w:gridSpan w:val="2"/>
          </w:tcPr>
          <w:p>
            <w:pPr>
              <w:jc w:val="right"/>
              <w:ind w:right="208"/>
              <w:spacing w:after="0"/>
              <w:rPr>
                <w:sz w:val="20"/>
                <w:szCs w:val="20"/>
                <w:color w:val="auto"/>
              </w:rPr>
            </w:pPr>
            <w:r>
              <w:rPr>
                <w:rFonts w:ascii="Arial" w:cs="Arial" w:eastAsia="Arial" w:hAnsi="Arial"/>
                <w:sz w:val="14"/>
                <w:szCs w:val="14"/>
                <w:color w:val="auto"/>
              </w:rPr>
              <w:t>-91.0%</w:t>
            </w:r>
          </w:p>
        </w:tc>
      </w:tr>
      <w:tr>
        <w:trPr>
          <w:trHeight w:val="176"/>
        </w:trPr>
        <w:tc>
          <w:tcPr>
            <w:tcW w:w="6580" w:type="dxa"/>
            <w:vAlign w:val="bottom"/>
          </w:tcPr>
          <w:p>
            <w:pPr>
              <w:spacing w:after="0"/>
              <w:rPr>
                <w:sz w:val="20"/>
                <w:szCs w:val="20"/>
                <w:color w:val="auto"/>
              </w:rPr>
            </w:pPr>
            <w:r>
              <w:rPr>
                <w:rFonts w:ascii="Arial" w:cs="Arial" w:eastAsia="Arial" w:hAnsi="Arial"/>
                <w:sz w:val="14"/>
                <w:szCs w:val="14"/>
                <w:color w:val="auto"/>
              </w:rPr>
              <w:t>Adjusted EBITDA (Note C)</w:t>
            </w:r>
          </w:p>
        </w:tc>
        <w:tc>
          <w:tcPr>
            <w:tcW w:w="3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800" w:type="dxa"/>
            <w:vAlign w:val="bottom"/>
          </w:tcPr>
          <w:p>
            <w:pPr>
              <w:jc w:val="right"/>
              <w:spacing w:after="0"/>
              <w:rPr>
                <w:sz w:val="20"/>
                <w:szCs w:val="20"/>
                <w:color w:val="auto"/>
              </w:rPr>
            </w:pPr>
            <w:r>
              <w:rPr>
                <w:rFonts w:ascii="Arial" w:cs="Arial" w:eastAsia="Arial" w:hAnsi="Arial"/>
                <w:sz w:val="14"/>
                <w:szCs w:val="14"/>
                <w:color w:val="auto"/>
              </w:rPr>
              <w:t>9.2</w:t>
            </w:r>
          </w:p>
        </w:tc>
        <w:tc>
          <w:tcPr>
            <w:tcW w:w="940" w:type="dxa"/>
            <w:vAlign w:val="bottom"/>
            <w:gridSpan w:val="3"/>
          </w:tcPr>
          <w:p>
            <w:pPr>
              <w:jc w:val="right"/>
              <w:ind w:right="140"/>
              <w:spacing w:after="0"/>
              <w:rPr>
                <w:sz w:val="20"/>
                <w:szCs w:val="20"/>
                <w:color w:val="auto"/>
              </w:rPr>
            </w:pPr>
            <w:r>
              <w:rPr>
                <w:rFonts w:ascii="Arial" w:cs="Arial" w:eastAsia="Arial" w:hAnsi="Arial"/>
                <w:sz w:val="14"/>
                <w:szCs w:val="14"/>
                <w:color w:val="auto"/>
              </w:rPr>
              <w:t>$</w:t>
            </w:r>
          </w:p>
        </w:tc>
        <w:tc>
          <w:tcPr>
            <w:tcW w:w="1060" w:type="dxa"/>
            <w:vAlign w:val="bottom"/>
          </w:tcPr>
          <w:p>
            <w:pPr>
              <w:jc w:val="right"/>
              <w:ind w:right="268"/>
              <w:spacing w:after="0"/>
              <w:rPr>
                <w:sz w:val="20"/>
                <w:szCs w:val="20"/>
                <w:color w:val="auto"/>
              </w:rPr>
            </w:pPr>
            <w:r>
              <w:rPr>
                <w:rFonts w:ascii="Arial" w:cs="Arial" w:eastAsia="Arial" w:hAnsi="Arial"/>
                <w:sz w:val="14"/>
                <w:szCs w:val="14"/>
                <w:color w:val="auto"/>
              </w:rPr>
              <w:t>34.0</w:t>
            </w:r>
          </w:p>
        </w:tc>
        <w:tc>
          <w:tcPr>
            <w:tcW w:w="1720" w:type="dxa"/>
            <w:vAlign w:val="bottom"/>
            <w:gridSpan w:val="2"/>
          </w:tcPr>
          <w:p>
            <w:pPr>
              <w:jc w:val="right"/>
              <w:ind w:right="208"/>
              <w:spacing w:after="0"/>
              <w:rPr>
                <w:sz w:val="20"/>
                <w:szCs w:val="20"/>
                <w:color w:val="auto"/>
              </w:rPr>
            </w:pPr>
            <w:r>
              <w:rPr>
                <w:rFonts w:ascii="Arial" w:cs="Arial" w:eastAsia="Arial" w:hAnsi="Arial"/>
                <w:sz w:val="14"/>
                <w:szCs w:val="14"/>
                <w:color w:val="auto"/>
              </w:rPr>
              <w:t>-73.0%</w:t>
            </w:r>
          </w:p>
        </w:tc>
      </w:tr>
      <w:tr>
        <w:trPr>
          <w:trHeight w:val="176"/>
        </w:trPr>
        <w:tc>
          <w:tcPr>
            <w:tcW w:w="6580" w:type="dxa"/>
            <w:vAlign w:val="bottom"/>
          </w:tcPr>
          <w:p>
            <w:pPr>
              <w:spacing w:after="0"/>
              <w:rPr>
                <w:sz w:val="20"/>
                <w:szCs w:val="20"/>
                <w:color w:val="auto"/>
              </w:rPr>
            </w:pPr>
            <w:r>
              <w:rPr>
                <w:rFonts w:ascii="Arial" w:cs="Arial" w:eastAsia="Arial" w:hAnsi="Arial"/>
                <w:sz w:val="14"/>
                <w:szCs w:val="14"/>
                <w:color w:val="auto"/>
              </w:rPr>
              <w:t>Cash outflow from operations</w:t>
            </w:r>
          </w:p>
        </w:tc>
        <w:tc>
          <w:tcPr>
            <w:tcW w:w="3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800" w:type="dxa"/>
            <w:vAlign w:val="bottom"/>
          </w:tcPr>
          <w:p>
            <w:pPr>
              <w:jc w:val="right"/>
              <w:spacing w:after="0"/>
              <w:rPr>
                <w:sz w:val="20"/>
                <w:szCs w:val="20"/>
                <w:color w:val="auto"/>
              </w:rPr>
            </w:pPr>
            <w:r>
              <w:rPr>
                <w:rFonts w:ascii="Arial" w:cs="Arial" w:eastAsia="Arial" w:hAnsi="Arial"/>
                <w:sz w:val="14"/>
                <w:szCs w:val="14"/>
                <w:color w:val="auto"/>
              </w:rPr>
              <w:t>(16.0)</w:t>
            </w:r>
          </w:p>
        </w:tc>
        <w:tc>
          <w:tcPr>
            <w:tcW w:w="940" w:type="dxa"/>
            <w:vAlign w:val="bottom"/>
            <w:gridSpan w:val="3"/>
          </w:tcPr>
          <w:p>
            <w:pPr>
              <w:jc w:val="right"/>
              <w:ind w:right="140"/>
              <w:spacing w:after="0"/>
              <w:rPr>
                <w:sz w:val="20"/>
                <w:szCs w:val="20"/>
                <w:color w:val="auto"/>
              </w:rPr>
            </w:pPr>
            <w:r>
              <w:rPr>
                <w:rFonts w:ascii="Arial" w:cs="Arial" w:eastAsia="Arial" w:hAnsi="Arial"/>
                <w:sz w:val="14"/>
                <w:szCs w:val="14"/>
                <w:color w:val="auto"/>
              </w:rPr>
              <w:t>$</w:t>
            </w:r>
          </w:p>
        </w:tc>
        <w:tc>
          <w:tcPr>
            <w:tcW w:w="1060" w:type="dxa"/>
            <w:vAlign w:val="bottom"/>
          </w:tcPr>
          <w:p>
            <w:pPr>
              <w:jc w:val="right"/>
              <w:ind w:right="208"/>
              <w:spacing w:after="0"/>
              <w:rPr>
                <w:sz w:val="20"/>
                <w:szCs w:val="20"/>
                <w:color w:val="auto"/>
              </w:rPr>
            </w:pPr>
            <w:r>
              <w:rPr>
                <w:rFonts w:ascii="Arial" w:cs="Arial" w:eastAsia="Arial" w:hAnsi="Arial"/>
                <w:sz w:val="14"/>
                <w:szCs w:val="14"/>
                <w:color w:val="auto"/>
              </w:rPr>
              <w:t>(21.1)</w:t>
            </w:r>
          </w:p>
        </w:tc>
        <w:tc>
          <w:tcPr>
            <w:tcW w:w="1720" w:type="dxa"/>
            <w:vAlign w:val="bottom"/>
            <w:gridSpan w:val="2"/>
          </w:tcPr>
          <w:p>
            <w:pPr>
              <w:jc w:val="right"/>
              <w:ind w:right="208"/>
              <w:spacing w:after="0"/>
              <w:rPr>
                <w:sz w:val="20"/>
                <w:szCs w:val="20"/>
                <w:color w:val="auto"/>
              </w:rPr>
            </w:pPr>
            <w:r>
              <w:rPr>
                <w:rFonts w:ascii="Arial" w:cs="Arial" w:eastAsia="Arial" w:hAnsi="Arial"/>
                <w:sz w:val="14"/>
                <w:szCs w:val="14"/>
                <w:color w:val="auto"/>
              </w:rPr>
              <w:t>24.1%</w:t>
            </w:r>
          </w:p>
        </w:tc>
      </w:tr>
      <w:tr>
        <w:trPr>
          <w:trHeight w:val="182"/>
        </w:trPr>
        <w:tc>
          <w:tcPr>
            <w:tcW w:w="6580" w:type="dxa"/>
            <w:vAlign w:val="bottom"/>
          </w:tcPr>
          <w:p>
            <w:pPr>
              <w:spacing w:after="0"/>
              <w:rPr>
                <w:sz w:val="20"/>
                <w:szCs w:val="20"/>
                <w:color w:val="auto"/>
              </w:rPr>
            </w:pPr>
            <w:r>
              <w:rPr>
                <w:rFonts w:ascii="Arial" w:cs="Arial" w:eastAsia="Arial" w:hAnsi="Arial"/>
                <w:sz w:val="14"/>
                <w:szCs w:val="14"/>
                <w:color w:val="auto"/>
              </w:rPr>
              <w:t>Free cash outflow (Note C)</w:t>
            </w:r>
          </w:p>
        </w:tc>
        <w:tc>
          <w:tcPr>
            <w:tcW w:w="3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800" w:type="dxa"/>
            <w:vAlign w:val="bottom"/>
          </w:tcPr>
          <w:p>
            <w:pPr>
              <w:jc w:val="right"/>
              <w:spacing w:after="0"/>
              <w:rPr>
                <w:sz w:val="20"/>
                <w:szCs w:val="20"/>
                <w:color w:val="auto"/>
              </w:rPr>
            </w:pPr>
            <w:r>
              <w:rPr>
                <w:rFonts w:ascii="Arial" w:cs="Arial" w:eastAsia="Arial" w:hAnsi="Arial"/>
                <w:sz w:val="14"/>
                <w:szCs w:val="14"/>
                <w:color w:val="auto"/>
              </w:rPr>
              <w:t>(27.5)</w:t>
            </w:r>
          </w:p>
        </w:tc>
        <w:tc>
          <w:tcPr>
            <w:tcW w:w="940" w:type="dxa"/>
            <w:vAlign w:val="bottom"/>
            <w:gridSpan w:val="3"/>
          </w:tcPr>
          <w:p>
            <w:pPr>
              <w:jc w:val="right"/>
              <w:ind w:right="140"/>
              <w:spacing w:after="0"/>
              <w:rPr>
                <w:sz w:val="20"/>
                <w:szCs w:val="20"/>
                <w:color w:val="auto"/>
              </w:rPr>
            </w:pPr>
            <w:r>
              <w:rPr>
                <w:rFonts w:ascii="Arial" w:cs="Arial" w:eastAsia="Arial" w:hAnsi="Arial"/>
                <w:sz w:val="14"/>
                <w:szCs w:val="14"/>
                <w:color w:val="auto"/>
              </w:rPr>
              <w:t>$</w:t>
            </w:r>
          </w:p>
        </w:tc>
        <w:tc>
          <w:tcPr>
            <w:tcW w:w="1060" w:type="dxa"/>
            <w:vAlign w:val="bottom"/>
          </w:tcPr>
          <w:p>
            <w:pPr>
              <w:jc w:val="right"/>
              <w:ind w:right="208"/>
              <w:spacing w:after="0"/>
              <w:rPr>
                <w:sz w:val="20"/>
                <w:szCs w:val="20"/>
                <w:color w:val="auto"/>
              </w:rPr>
            </w:pPr>
            <w:r>
              <w:rPr>
                <w:rFonts w:ascii="Arial" w:cs="Arial" w:eastAsia="Arial" w:hAnsi="Arial"/>
                <w:sz w:val="14"/>
                <w:szCs w:val="14"/>
                <w:color w:val="auto"/>
              </w:rPr>
              <w:t>(34.0)</w:t>
            </w:r>
          </w:p>
        </w:tc>
        <w:tc>
          <w:tcPr>
            <w:tcW w:w="1720" w:type="dxa"/>
            <w:vAlign w:val="bottom"/>
            <w:gridSpan w:val="2"/>
          </w:tcPr>
          <w:p>
            <w:pPr>
              <w:jc w:val="right"/>
              <w:ind w:right="208"/>
              <w:spacing w:after="0"/>
              <w:rPr>
                <w:sz w:val="20"/>
                <w:szCs w:val="20"/>
                <w:color w:val="auto"/>
              </w:rPr>
            </w:pPr>
            <w:r>
              <w:rPr>
                <w:rFonts w:ascii="Arial" w:cs="Arial" w:eastAsia="Arial" w:hAnsi="Arial"/>
                <w:sz w:val="14"/>
                <w:szCs w:val="14"/>
                <w:color w:val="auto"/>
              </w:rPr>
              <w:t>19.2%</w:t>
            </w:r>
          </w:p>
        </w:tc>
      </w:tr>
    </w:tbl>
    <w:p>
      <w:pPr>
        <w:spacing w:after="0" w:line="128" w:lineRule="exact"/>
        <w:rPr>
          <w:sz w:val="20"/>
          <w:szCs w:val="20"/>
          <w:color w:val="auto"/>
        </w:rPr>
      </w:pPr>
    </w:p>
    <w:p>
      <w:pPr>
        <w:ind w:left="300" w:hanging="292"/>
        <w:spacing w:after="0"/>
        <w:tabs>
          <w:tab w:leader="none" w:pos="300" w:val="left"/>
        </w:tabs>
        <w:numPr>
          <w:ilvl w:val="0"/>
          <w:numId w:val="2"/>
        </w:numPr>
        <w:rPr>
          <w:rFonts w:ascii="Arial" w:cs="Arial" w:eastAsia="Arial" w:hAnsi="Arial"/>
          <w:sz w:val="14"/>
          <w:szCs w:val="14"/>
          <w:i w:val="1"/>
          <w:iCs w:val="1"/>
          <w:color w:val="auto"/>
        </w:rPr>
      </w:pPr>
      <w:r>
        <w:rPr>
          <w:rFonts w:ascii="Arial" w:cs="Arial" w:eastAsia="Arial" w:hAnsi="Arial"/>
          <w:sz w:val="14"/>
          <w:szCs w:val="14"/>
          <w:i w:val="1"/>
          <w:iCs w:val="1"/>
          <w:color w:val="auto"/>
        </w:rPr>
        <w:t>For operating margins, the change from the prior year period is presented in basis points.</w:t>
      </w:r>
    </w:p>
    <w:p>
      <w:pPr>
        <w:spacing w:after="0" w:line="190" w:lineRule="exact"/>
        <w:rPr>
          <w:rFonts w:ascii="Arial" w:cs="Arial" w:eastAsia="Arial" w:hAnsi="Arial"/>
          <w:sz w:val="14"/>
          <w:szCs w:val="14"/>
          <w:i w:val="1"/>
          <w:iCs w:val="1"/>
          <w:color w:val="auto"/>
        </w:rPr>
      </w:pPr>
    </w:p>
    <w:p>
      <w:pPr>
        <w:ind w:left="300" w:hanging="292"/>
        <w:spacing w:after="0"/>
        <w:tabs>
          <w:tab w:leader="none" w:pos="300" w:val="left"/>
        </w:tabs>
        <w:numPr>
          <w:ilvl w:val="0"/>
          <w:numId w:val="2"/>
        </w:numPr>
        <w:rPr>
          <w:rFonts w:ascii="Arial" w:cs="Arial" w:eastAsia="Arial" w:hAnsi="Arial"/>
          <w:sz w:val="13"/>
          <w:szCs w:val="13"/>
          <w:i w:val="1"/>
          <w:iCs w:val="1"/>
          <w:color w:val="auto"/>
        </w:rPr>
      </w:pPr>
      <w:r>
        <w:rPr>
          <w:rFonts w:ascii="Arial" w:cs="Arial" w:eastAsia="Arial" w:hAnsi="Arial"/>
          <w:sz w:val="13"/>
          <w:szCs w:val="13"/>
          <w:i w:val="1"/>
          <w:iCs w:val="1"/>
          <w:color w:val="auto"/>
        </w:rPr>
        <w:t>Net income attributable to Viad represents the total consolidated net income adjusted for the portion of such income or loss related to a 20 percent non-controlling interest in Glacier Park, Inc.</w:t>
      </w:r>
    </w:p>
    <w:p>
      <w:pPr>
        <w:spacing w:after="0" w:line="201" w:lineRule="exact"/>
        <w:rPr>
          <w:rFonts w:ascii="Arial" w:cs="Arial" w:eastAsia="Arial" w:hAnsi="Arial"/>
          <w:sz w:val="13"/>
          <w:szCs w:val="13"/>
          <w:i w:val="1"/>
          <w:iCs w:val="1"/>
          <w:color w:val="auto"/>
        </w:rPr>
      </w:pPr>
    </w:p>
    <w:p>
      <w:pPr>
        <w:ind w:left="300" w:right="60" w:hanging="292"/>
        <w:spacing w:after="0" w:line="234" w:lineRule="auto"/>
        <w:tabs>
          <w:tab w:leader="none" w:pos="300" w:val="left"/>
        </w:tabs>
        <w:numPr>
          <w:ilvl w:val="0"/>
          <w:numId w:val="2"/>
        </w:numPr>
        <w:rPr>
          <w:rFonts w:ascii="Arial" w:cs="Arial" w:eastAsia="Arial" w:hAnsi="Arial"/>
          <w:sz w:val="14"/>
          <w:szCs w:val="14"/>
          <w:i w:val="1"/>
          <w:iCs w:val="1"/>
          <w:color w:val="auto"/>
        </w:rPr>
      </w:pPr>
      <w:r>
        <w:rPr>
          <w:rFonts w:ascii="Arial" w:cs="Arial" w:eastAsia="Arial" w:hAnsi="Arial"/>
          <w:sz w:val="14"/>
          <w:szCs w:val="14"/>
          <w:i w:val="1"/>
          <w:iCs w:val="1"/>
          <w:color w:val="auto"/>
        </w:rPr>
        <w:t>Adjusted EBITDA is defined by Viad as net income attributable to Viad before interest expense, income taxes, depreciation and amortization, impairment losses/recoveries, changes in accounting principles and the effects of discontinued operations. Free cash flow is defined by Viad as net cash provided by operating activities minus capital expenditures and dividends. Adjusted EBITDA and free cash flow are supplemental to results presented under accounting principles generally accepted in the United States of America (GAAP) and may not be comparable to similarly titled measures presented by other companies.</w:t>
      </w:r>
    </w:p>
    <w:p>
      <w:pPr>
        <w:spacing w:after="0" w:line="168" w:lineRule="exact"/>
        <w:rPr>
          <w:rFonts w:ascii="Arial" w:cs="Arial" w:eastAsia="Arial" w:hAnsi="Arial"/>
          <w:sz w:val="14"/>
          <w:szCs w:val="14"/>
          <w:i w:val="1"/>
          <w:iCs w:val="1"/>
          <w:color w:val="auto"/>
        </w:rPr>
      </w:pPr>
    </w:p>
    <w:p>
      <w:pPr>
        <w:ind w:left="300" w:right="140"/>
        <w:spacing w:after="0" w:line="284" w:lineRule="auto"/>
        <w:rPr>
          <w:rFonts w:ascii="Arial" w:cs="Arial" w:eastAsia="Arial" w:hAnsi="Arial"/>
          <w:sz w:val="14"/>
          <w:szCs w:val="14"/>
          <w:i w:val="1"/>
          <w:iCs w:val="1"/>
          <w:color w:val="auto"/>
        </w:rPr>
      </w:pPr>
      <w:r>
        <w:rPr>
          <w:rFonts w:ascii="Arial" w:cs="Arial" w:eastAsia="Arial" w:hAnsi="Arial"/>
          <w:sz w:val="12"/>
          <w:szCs w:val="12"/>
          <w:i w:val="1"/>
          <w:iCs w:val="1"/>
          <w:color w:val="auto"/>
        </w:rPr>
        <w:t>These non-GAAP measures are used by management to facilitate period-to-period comparisons and analysis of Viad’s operating performance and liquidity. Free cash flow is also used by management to assess the company’s ability to service debt, fund capital expenditures and finance growth. Management believes these non-GAAP measures are useful to investors in trending, analyzing and benchmarking the performance and value of Viad’s business. These non-GAAP measures should be considered in addition to, but not as a substitute for, other similar measures reported in accordance with GAAP. See Table Two for reconciliations of net income attributable to Viad to Adjusted EBITDA and of net cash used in operating activities to free cash outflow.</w:t>
      </w:r>
    </w:p>
    <w:p>
      <w:pPr>
        <w:spacing w:after="0" w:line="168" w:lineRule="exact"/>
        <w:rPr>
          <w:sz w:val="20"/>
          <w:szCs w:val="20"/>
          <w:color w:val="auto"/>
        </w:rPr>
      </w:pPr>
    </w:p>
    <w:p>
      <w:pPr>
        <w:spacing w:after="0"/>
        <w:rPr>
          <w:sz w:val="20"/>
          <w:szCs w:val="20"/>
          <w:color w:val="auto"/>
        </w:rPr>
      </w:pPr>
      <w:r>
        <w:rPr>
          <w:rFonts w:ascii="Arial" w:cs="Arial" w:eastAsia="Arial" w:hAnsi="Arial"/>
          <w:sz w:val="22"/>
          <w:szCs w:val="22"/>
          <w:color w:val="auto"/>
        </w:rPr>
        <w:t>At the end of the first quarter 2009:</w:t>
      </w:r>
    </w:p>
    <w:p>
      <w:pPr>
        <w:spacing w:after="0" w:line="206" w:lineRule="exact"/>
        <w:rPr>
          <w:sz w:val="20"/>
          <w:szCs w:val="20"/>
          <w:color w:val="auto"/>
        </w:rPr>
      </w:pPr>
    </w:p>
    <w:p>
      <w:pPr>
        <w:ind w:left="540"/>
        <w:spacing w:after="0"/>
        <w:rPr>
          <w:sz w:val="20"/>
          <w:szCs w:val="20"/>
          <w:color w:val="auto"/>
        </w:rPr>
      </w:pPr>
      <w:r>
        <w:rPr>
          <w:rFonts w:ascii="Arial" w:cs="Arial" w:eastAsia="Arial" w:hAnsi="Arial"/>
          <w:sz w:val="22"/>
          <w:szCs w:val="22"/>
          <w:color w:val="auto"/>
        </w:rPr>
        <w:t>Cash and cash equivalents were $118.2 million.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-99060</wp:posOffset>
            </wp:positionV>
            <wp:extent cx="68580" cy="685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105" w:lineRule="exact"/>
        <w:rPr>
          <w:sz w:val="20"/>
          <w:szCs w:val="20"/>
          <w:color w:val="auto"/>
        </w:rPr>
      </w:pPr>
    </w:p>
    <w:p>
      <w:pPr>
        <w:ind w:left="540"/>
        <w:spacing w:after="0"/>
        <w:rPr>
          <w:sz w:val="20"/>
          <w:szCs w:val="20"/>
          <w:color w:val="auto"/>
        </w:rPr>
      </w:pPr>
      <w:r>
        <w:rPr>
          <w:rFonts w:ascii="Arial" w:cs="Arial" w:eastAsia="Arial" w:hAnsi="Arial"/>
          <w:sz w:val="22"/>
          <w:szCs w:val="22"/>
          <w:color w:val="auto"/>
        </w:rPr>
        <w:t>Debt totaled $14.0 million, with a debt-to-capital ratio of 2.9 percent.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132080</wp:posOffset>
            </wp:positionV>
            <wp:extent cx="7272020" cy="596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72020" cy="59690"/>
                    </a:xfrm>
                    <a:prstGeom prst="rect">
                      <a:avLst/>
                    </a:prstGeom>
                    <a:noFill/>
                  </pic:spPr>
                </pic:pic>
              </a:graphicData>
            </a:graphic>
          </wp:anchor>
        </w:drawing>
        <w:drawing>
          <wp:anchor simplePos="0" relativeHeight="251657728" behindDoc="1" locked="0" layoutInCell="0" allowOverlap="1">
            <wp:simplePos x="0" y="0"/>
            <wp:positionH relativeFrom="column">
              <wp:posOffset>198120</wp:posOffset>
            </wp:positionH>
            <wp:positionV relativeFrom="paragraph">
              <wp:posOffset>-99060</wp:posOffset>
            </wp:positionV>
            <wp:extent cx="68580" cy="685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ectPr>
          <w:pgSz w:w="11900" w:h="16838" w:orient="portrait"/>
          <w:cols w:equalWidth="0" w:num="1">
            <w:col w:w="11420"/>
          </w:cols>
          <w:pgMar w:left="240" w:top="112" w:right="239" w:bottom="1440" w:gutter="0" w:footer="0" w:header="0"/>
        </w:sectPr>
      </w:pPr>
    </w:p>
    <w:bookmarkStart w:id="4" w:name="page5"/>
    <w:bookmarkEnd w:id="4"/>
    <w:p>
      <w:pPr>
        <w:spacing w:after="0"/>
        <w:rPr>
          <w:sz w:val="20"/>
          <w:szCs w:val="20"/>
          <w:color w:val="auto"/>
        </w:rPr>
      </w:pPr>
      <w:r>
        <w:rPr>
          <w:rFonts w:ascii="Arial" w:cs="Arial" w:eastAsia="Arial" w:hAnsi="Arial"/>
          <w:sz w:val="22"/>
          <w:szCs w:val="22"/>
          <w:color w:val="auto"/>
        </w:rPr>
        <w:t>Also relating to the first quarter 2009:</w:t>
      </w:r>
    </w:p>
    <w:p>
      <w:pPr>
        <w:spacing w:after="0" w:line="207" w:lineRule="exact"/>
        <w:rPr>
          <w:sz w:val="20"/>
          <w:szCs w:val="20"/>
          <w:color w:val="auto"/>
        </w:rPr>
      </w:pPr>
    </w:p>
    <w:p>
      <w:pPr>
        <w:ind w:left="540" w:right="380"/>
        <w:spacing w:after="0"/>
        <w:rPr>
          <w:sz w:val="20"/>
          <w:szCs w:val="20"/>
          <w:color w:val="auto"/>
        </w:rPr>
      </w:pPr>
      <w:r>
        <w:rPr>
          <w:rFonts w:ascii="Arial" w:cs="Arial" w:eastAsia="Arial" w:hAnsi="Arial"/>
          <w:sz w:val="22"/>
          <w:szCs w:val="22"/>
          <w:color w:val="auto"/>
        </w:rPr>
        <w:t>Viad recorded restructuring charges of $2.7 million ($1.7 million after-tax or $0.08 per diluted share) related to the rationalization of certain positions in connection with the integration of Becker Group and Exhibitgroup/Giltspur and the consolidation of certain leased office space.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-420370</wp:posOffset>
            </wp:positionV>
            <wp:extent cx="68580" cy="685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160"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GES Exposition Services (GES)</w:t>
      </w:r>
    </w:p>
    <w:p>
      <w:pPr>
        <w:spacing w:after="0" w:line="212" w:lineRule="exact"/>
        <w:rPr>
          <w:sz w:val="20"/>
          <w:szCs w:val="20"/>
          <w:color w:val="auto"/>
        </w:rPr>
      </w:pPr>
    </w:p>
    <w:p>
      <w:pPr>
        <w:ind w:right="140"/>
        <w:spacing w:after="0" w:line="248" w:lineRule="auto"/>
        <w:rPr>
          <w:sz w:val="20"/>
          <w:szCs w:val="20"/>
          <w:color w:val="auto"/>
        </w:rPr>
      </w:pPr>
      <w:r>
        <w:rPr>
          <w:rFonts w:ascii="Arial" w:cs="Arial" w:eastAsia="Arial" w:hAnsi="Arial"/>
          <w:sz w:val="21"/>
          <w:szCs w:val="21"/>
          <w:color w:val="auto"/>
        </w:rPr>
        <w:t>For the first quarter of 2009, GES’ revenue was $205.6 million with operating income of $16.4 million. As compared to the 2008 first quarter, operating income declined $19.5 million on a revenue decline of $80.0 million or 28.0 percent, which was driven primarily by contraction in the exhibition and event industry, negative show rotation of $31 million in revenue and unfavorable currency translation of approximately $12 million in revenue. GES’ revenue from base same-shows (shows that occur in the same city and same quarter every year) was down 20 percent for the 2009 first quarter as compared to negative 6 percent in the 2008 fourth quarter and Viad’s prior guidance for a decline of about 10 percent.</w:t>
      </w:r>
    </w:p>
    <w:p>
      <w:pPr>
        <w:spacing w:after="0" w:line="177" w:lineRule="exact"/>
        <w:rPr>
          <w:sz w:val="20"/>
          <w:szCs w:val="20"/>
          <w:color w:val="auto"/>
        </w:rPr>
      </w:pPr>
    </w:p>
    <w:p>
      <w:pPr>
        <w:spacing w:after="0" w:line="277" w:lineRule="auto"/>
        <w:rPr>
          <w:sz w:val="20"/>
          <w:szCs w:val="20"/>
          <w:color w:val="auto"/>
        </w:rPr>
      </w:pPr>
      <w:r>
        <w:rPr>
          <w:rFonts w:ascii="Arial" w:cs="Arial" w:eastAsia="Arial" w:hAnsi="Arial"/>
          <w:sz w:val="19"/>
          <w:szCs w:val="19"/>
          <w:color w:val="auto"/>
        </w:rPr>
        <w:t>Dykstra said, “The severity of the recession on the exhibition and event industry is greater than we had previously anticipated. Although GES has not been affected by the cancellation of any major industry shows, there has been a notable decrease in the number of opportunities to win short-term bookings of smaller shows, and exhibitor participation in shows has declined at a faster rate than previous downturns. We are seeing fewer exhibitors at the shows, and a general decrease in spending by exhibitors that do participate. In anticipation of revenue pressures, GES began taking actions to reduce overhead costs during early 2008. Through continued efforts in this area, we expect to reduce full year overhead costs by over $25 million from 2008 and we are aggressively pursuing opportunities to drive significant productivity improvements.”</w:t>
      </w:r>
    </w:p>
    <w:p>
      <w:pPr>
        <w:spacing w:after="0" w:line="153" w:lineRule="exact"/>
        <w:rPr>
          <w:sz w:val="20"/>
          <w:szCs w:val="20"/>
          <w:color w:val="auto"/>
        </w:rPr>
      </w:pPr>
    </w:p>
    <w:p>
      <w:pPr>
        <w:ind w:right="280"/>
        <w:spacing w:after="0" w:line="297" w:lineRule="auto"/>
        <w:rPr>
          <w:sz w:val="20"/>
          <w:szCs w:val="20"/>
          <w:color w:val="auto"/>
        </w:rPr>
      </w:pPr>
      <w:r>
        <w:rPr>
          <w:rFonts w:ascii="Arial" w:cs="Arial" w:eastAsia="Arial" w:hAnsi="Arial"/>
          <w:sz w:val="19"/>
          <w:szCs w:val="19"/>
          <w:color w:val="auto"/>
        </w:rPr>
        <w:t>The anticipated overhead savings of over $25 million reflects reductions in semi-variable costs including wages, performance-based incentives and discretionary spending. During early 2008, with signs of slowing in the industry, GES began implementing overhead reductions, including a reduction in force. To date, more than 200 positions have been eliminated.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86360</wp:posOffset>
            </wp:positionV>
            <wp:extent cx="7272020" cy="596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72020" cy="59690"/>
                    </a:xfrm>
                    <a:prstGeom prst="rect">
                      <a:avLst/>
                    </a:prstGeom>
                    <a:noFill/>
                  </pic:spPr>
                </pic:pic>
              </a:graphicData>
            </a:graphic>
          </wp:anchor>
        </w:drawing>
      </w:r>
    </w:p>
    <w:p>
      <w:pPr>
        <w:sectPr>
          <w:pgSz w:w="11900" w:h="16838" w:orient="portrait"/>
          <w:cols w:equalWidth="0" w:num="1">
            <w:col w:w="11380"/>
          </w:cols>
          <w:pgMar w:left="240" w:top="118" w:right="279" w:bottom="1440" w:gutter="0" w:footer="0" w:header="0"/>
        </w:sectPr>
      </w:pPr>
    </w:p>
    <w:bookmarkStart w:id="5" w:name="page6"/>
    <w:bookmarkEnd w:id="5"/>
    <w:p>
      <w:pPr>
        <w:spacing w:after="0" w:line="298" w:lineRule="auto"/>
        <w:rPr>
          <w:sz w:val="20"/>
          <w:szCs w:val="20"/>
          <w:color w:val="auto"/>
        </w:rPr>
      </w:pPr>
      <w:r>
        <w:rPr>
          <w:rFonts w:ascii="Arial" w:cs="Arial" w:eastAsia="Arial" w:hAnsi="Arial"/>
          <w:sz w:val="19"/>
          <w:szCs w:val="19"/>
          <w:color w:val="auto"/>
        </w:rPr>
        <w:t>Additionally, during the 2009 first quarter, GES completed a thorough examination of its service delivery processes that identified a number of opportunities to increase operating efficiencies and decrease costs. GES is in the process of implementing the changes identified by this review and expects to begin realizing meaningful cost savings in 2010 that are anticipated to exceed $10 million.</w:t>
      </w:r>
    </w:p>
    <w:p>
      <w:pPr>
        <w:spacing w:after="0" w:line="132" w:lineRule="exact"/>
        <w:rPr>
          <w:sz w:val="20"/>
          <w:szCs w:val="20"/>
          <w:color w:val="auto"/>
        </w:rPr>
      </w:pPr>
    </w:p>
    <w:p>
      <w:pPr>
        <w:spacing w:after="0" w:line="234" w:lineRule="auto"/>
        <w:rPr>
          <w:sz w:val="20"/>
          <w:szCs w:val="20"/>
          <w:color w:val="auto"/>
        </w:rPr>
      </w:pPr>
      <w:r>
        <w:rPr>
          <w:rFonts w:ascii="Arial" w:cs="Arial" w:eastAsia="Arial" w:hAnsi="Arial"/>
          <w:sz w:val="22"/>
          <w:szCs w:val="22"/>
          <w:color w:val="auto"/>
        </w:rPr>
        <w:t>Dykstra added, “While the exhibition and event industry is currently suffering from the economic downturn, we believe its long-term fundamentals are sound. Trade shows remain a vital and cost-effective means of transacting business, launching new products and connecting with customers. The industry has an established history of long-term growth. It has always emerged from recessions and resumed its upward trajectory. GES is focused on successfully managing through this recession to emerge even stronger by aggressively designing and implementing operating efficiencies throughout our operations that will result in significant cost savings while also pursuing every opportunity to achieve market share gains through new show wins and increased penetration into exhibitor discretionary spending.”</w:t>
      </w:r>
    </w:p>
    <w:p>
      <w:pPr>
        <w:spacing w:after="0" w:line="185"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Experiential Marketing Services</w:t>
      </w:r>
    </w:p>
    <w:p>
      <w:pPr>
        <w:spacing w:after="0" w:line="212" w:lineRule="exact"/>
        <w:rPr>
          <w:sz w:val="20"/>
          <w:szCs w:val="20"/>
          <w:color w:val="auto"/>
        </w:rPr>
      </w:pPr>
    </w:p>
    <w:p>
      <w:pPr>
        <w:ind w:right="160"/>
        <w:spacing w:after="0"/>
        <w:rPr>
          <w:sz w:val="20"/>
          <w:szCs w:val="20"/>
          <w:color w:val="auto"/>
        </w:rPr>
      </w:pPr>
      <w:r>
        <w:rPr>
          <w:rFonts w:ascii="Arial" w:cs="Arial" w:eastAsia="Arial" w:hAnsi="Arial"/>
          <w:sz w:val="22"/>
          <w:szCs w:val="22"/>
          <w:color w:val="auto"/>
        </w:rPr>
        <w:t>Experiential Marketing Services segment revenue for the 2009 first quarter was $30.4 million, down $13.5 million or 30.7 percent as compared to 2008 first quarter revenue of $43.9 million. Segment operating results declined by $3.2 million to a loss of $7.3 million, as compared to a loss of $4.1 million in the 2008 first quarter.</w:t>
      </w:r>
    </w:p>
    <w:p>
      <w:pPr>
        <w:spacing w:after="0" w:line="186" w:lineRule="exact"/>
        <w:rPr>
          <w:sz w:val="20"/>
          <w:szCs w:val="20"/>
          <w:color w:val="auto"/>
        </w:rPr>
      </w:pPr>
    </w:p>
    <w:p>
      <w:pPr>
        <w:ind w:right="100"/>
        <w:spacing w:after="0" w:line="236" w:lineRule="auto"/>
        <w:rPr>
          <w:sz w:val="20"/>
          <w:szCs w:val="20"/>
          <w:color w:val="auto"/>
        </w:rPr>
      </w:pPr>
      <w:r>
        <w:rPr>
          <w:rFonts w:ascii="Arial" w:cs="Arial" w:eastAsia="Arial" w:hAnsi="Arial"/>
          <w:sz w:val="22"/>
          <w:szCs w:val="22"/>
          <w:color w:val="auto"/>
        </w:rPr>
        <w:t>Dykstra said, “First quarter operating results for the Experiential Marketing Services segment were in line with our prior guidance. The expected declines from 2008 were driven primarily by non-recurring client spend in the 2008 first quarter, a general decline in trade show marketing budgets and a shifting of some revenues to later quarters. Although it has been a tough market and visibility over future revenues remains poor, the Experiential Marketing Services segment continues to win new business and gain market share.”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120015</wp:posOffset>
            </wp:positionV>
            <wp:extent cx="7272020" cy="596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72020" cy="59690"/>
                    </a:xfrm>
                    <a:prstGeom prst="rect">
                      <a:avLst/>
                    </a:prstGeom>
                    <a:noFill/>
                  </pic:spPr>
                </pic:pic>
              </a:graphicData>
            </a:graphic>
          </wp:anchor>
        </w:drawing>
      </w:r>
    </w:p>
    <w:p>
      <w:pPr>
        <w:sectPr>
          <w:pgSz w:w="11900" w:h="16838" w:orient="portrait"/>
          <w:cols w:equalWidth="0" w:num="1">
            <w:col w:w="11420"/>
          </w:cols>
          <w:pgMar w:left="240" w:top="118" w:right="239" w:bottom="1440" w:gutter="0" w:footer="0" w:header="0"/>
        </w:sectPr>
      </w:pPr>
    </w:p>
    <w:bookmarkStart w:id="6" w:name="page7"/>
    <w:bookmarkEnd w:id="6"/>
    <w:p>
      <w:pPr>
        <w:spacing w:after="0"/>
        <w:rPr>
          <w:sz w:val="20"/>
          <w:szCs w:val="20"/>
          <w:color w:val="auto"/>
        </w:rPr>
      </w:pPr>
      <w:r>
        <w:rPr>
          <w:rFonts w:ascii="Arial" w:cs="Arial" w:eastAsia="Arial" w:hAnsi="Arial"/>
          <w:sz w:val="22"/>
          <w:szCs w:val="22"/>
          <w:b w:val="1"/>
          <w:bCs w:val="1"/>
          <w:color w:val="auto"/>
        </w:rPr>
        <w:t>Travel and Recreation Services</w:t>
      </w:r>
    </w:p>
    <w:p>
      <w:pPr>
        <w:spacing w:after="0" w:line="213" w:lineRule="exact"/>
        <w:rPr>
          <w:sz w:val="20"/>
          <w:szCs w:val="20"/>
          <w:color w:val="auto"/>
        </w:rPr>
      </w:pPr>
    </w:p>
    <w:p>
      <w:pPr>
        <w:spacing w:after="0"/>
        <w:rPr>
          <w:sz w:val="20"/>
          <w:szCs w:val="20"/>
          <w:color w:val="auto"/>
        </w:rPr>
      </w:pPr>
      <w:r>
        <w:rPr>
          <w:rFonts w:ascii="Arial" w:cs="Arial" w:eastAsia="Arial" w:hAnsi="Arial"/>
          <w:sz w:val="22"/>
          <w:szCs w:val="22"/>
          <w:color w:val="auto"/>
        </w:rPr>
        <w:t>Travel and Recreation Services segment revenue for the 2009 first quarter was $4.9 million, as compared to $5.9 million in the first quarter of 2008. First quarter segment operating loss was $2.4 million, as compared to a loss of $3.1 million in the 2008 first quarter.</w:t>
      </w:r>
    </w:p>
    <w:p>
      <w:pPr>
        <w:spacing w:after="0" w:line="186" w:lineRule="exact"/>
        <w:rPr>
          <w:sz w:val="20"/>
          <w:szCs w:val="20"/>
          <w:color w:val="auto"/>
        </w:rPr>
      </w:pPr>
    </w:p>
    <w:p>
      <w:pPr>
        <w:jc w:val="both"/>
        <w:spacing w:after="0" w:line="297" w:lineRule="auto"/>
        <w:rPr>
          <w:sz w:val="20"/>
          <w:szCs w:val="20"/>
          <w:color w:val="auto"/>
        </w:rPr>
      </w:pPr>
      <w:r>
        <w:rPr>
          <w:rFonts w:ascii="Arial" w:cs="Arial" w:eastAsia="Arial" w:hAnsi="Arial"/>
          <w:sz w:val="19"/>
          <w:szCs w:val="19"/>
          <w:color w:val="auto"/>
        </w:rPr>
        <w:t>Dykstra said, “Due to its seasonal nature, the Travel and Recreation Services segment generates less than 10 percent of its full year revenues during the first quarter. Our main focus during this time is on preparing for the busy summer season and controlling costs. We look forward to this segment’s positive contributions to operating income during the second and third quarters.”</w:t>
      </w:r>
    </w:p>
    <w:p>
      <w:pPr>
        <w:spacing w:after="0" w:line="128"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2009 Outlook</w:t>
      </w:r>
    </w:p>
    <w:p>
      <w:pPr>
        <w:spacing w:after="0" w:line="212" w:lineRule="exact"/>
        <w:rPr>
          <w:sz w:val="20"/>
          <w:szCs w:val="20"/>
          <w:color w:val="auto"/>
        </w:rPr>
      </w:pPr>
    </w:p>
    <w:p>
      <w:pPr>
        <w:ind w:right="760"/>
        <w:spacing w:after="0" w:line="251" w:lineRule="auto"/>
        <w:rPr>
          <w:sz w:val="20"/>
          <w:szCs w:val="20"/>
          <w:color w:val="auto"/>
        </w:rPr>
      </w:pPr>
      <w:r>
        <w:rPr>
          <w:rFonts w:ascii="Arial" w:cs="Arial" w:eastAsia="Arial" w:hAnsi="Arial"/>
          <w:sz w:val="22"/>
          <w:szCs w:val="22"/>
          <w:color w:val="auto"/>
        </w:rPr>
        <w:t>Guidance provided by Viad is subject to change as a variety of factors can affect actual operating results. Those factors are identified in the safe harbor language at the end of this press release.</w:t>
      </w:r>
    </w:p>
    <w:p>
      <w:pPr>
        <w:spacing w:after="0" w:line="167"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Full Year 2009</w:t>
      </w:r>
    </w:p>
    <w:p>
      <w:pPr>
        <w:spacing w:after="0" w:line="212" w:lineRule="exact"/>
        <w:rPr>
          <w:sz w:val="20"/>
          <w:szCs w:val="20"/>
          <w:color w:val="auto"/>
        </w:rPr>
      </w:pPr>
    </w:p>
    <w:p>
      <w:pPr>
        <w:ind w:right="180"/>
        <w:spacing w:after="0" w:line="273" w:lineRule="auto"/>
        <w:rPr>
          <w:sz w:val="20"/>
          <w:szCs w:val="20"/>
          <w:color w:val="auto"/>
        </w:rPr>
      </w:pPr>
      <w:r>
        <w:rPr>
          <w:rFonts w:ascii="Arial" w:cs="Arial" w:eastAsia="Arial" w:hAnsi="Arial"/>
          <w:sz w:val="19"/>
          <w:szCs w:val="19"/>
          <w:color w:val="auto"/>
        </w:rPr>
        <w:t>2009 full year income is currently expected to be in the range of $0.60 to $0.85 per diluted share. The revision from Viad’s prior guidance of $1.15 to $1.35 per share reflects a reduced revenue outlook for GES as well as additional first quarter restructuring charges in the Experiential Marketing Services segment. The decrease from 2008 income before other items of $2.28 per share is expected to be driven mainly by lower trade show marketing spending and decreased tourism demand as a result of the broader economic recession, as well as negative annual show rotation revenue of about $85 million at GES. Additionally, Viad’s 2009 income per share is expected to be negatively impacted by approximately $0.18 per share due to unfavorable currency translation and approximately $0.06 per share related to lower net interest income as compared to 2008. Viad’s guidance also includes first quarter restructuring charges of $2.7 million ($1.7 million after-tax, or $0.08 per share) related to the rationalization of certain positions in connection with the integration of Becker Group and Exhibitgroup/Giltspur and the consolidation of certain leased office space. Additional charges may arise as the company continues to evaluate and adjust its cost structure.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103505</wp:posOffset>
            </wp:positionV>
            <wp:extent cx="7272020" cy="596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72020" cy="59690"/>
                    </a:xfrm>
                    <a:prstGeom prst="rect">
                      <a:avLst/>
                    </a:prstGeom>
                    <a:noFill/>
                  </pic:spPr>
                </pic:pic>
              </a:graphicData>
            </a:graphic>
          </wp:anchor>
        </w:drawing>
      </w:r>
    </w:p>
    <w:p>
      <w:pPr>
        <w:sectPr>
          <w:pgSz w:w="11900" w:h="16838" w:orient="portrait"/>
          <w:cols w:equalWidth="0" w:num="1">
            <w:col w:w="11360"/>
          </w:cols>
          <w:pgMar w:left="240" w:top="111" w:right="299" w:bottom="1440" w:gutter="0" w:footer="0" w:header="0"/>
        </w:sectPr>
      </w:pPr>
    </w:p>
    <w:bookmarkStart w:id="7" w:name="page8"/>
    <w:bookmarkEnd w:id="7"/>
    <w:p>
      <w:pPr>
        <w:spacing w:after="0"/>
        <w:rPr>
          <w:sz w:val="20"/>
          <w:szCs w:val="20"/>
          <w:color w:val="auto"/>
        </w:rPr>
      </w:pPr>
      <w:r>
        <w:rPr>
          <w:rFonts w:ascii="Arial" w:cs="Arial" w:eastAsia="Arial" w:hAnsi="Arial"/>
          <w:sz w:val="21"/>
          <w:szCs w:val="21"/>
          <w:color w:val="auto"/>
        </w:rPr>
        <w:t>Full year revenue is expected to decrease by 20 percent to 25 percent from 2008 revenues of $1.1 billion as a result of:</w:t>
      </w:r>
    </w:p>
    <w:p>
      <w:pPr>
        <w:spacing w:after="0" w:line="218" w:lineRule="exact"/>
        <w:rPr>
          <w:sz w:val="20"/>
          <w:szCs w:val="20"/>
          <w:color w:val="auto"/>
        </w:rPr>
      </w:pPr>
    </w:p>
    <w:p>
      <w:pPr>
        <w:ind w:left="540" w:right="40"/>
        <w:spacing w:after="0" w:line="251" w:lineRule="auto"/>
        <w:rPr>
          <w:sz w:val="20"/>
          <w:szCs w:val="20"/>
          <w:color w:val="auto"/>
        </w:rPr>
      </w:pPr>
      <w:r>
        <w:rPr>
          <w:rFonts w:ascii="Arial" w:cs="Arial" w:eastAsia="Arial" w:hAnsi="Arial"/>
          <w:sz w:val="22"/>
          <w:szCs w:val="22"/>
          <w:color w:val="auto"/>
        </w:rPr>
        <w:t>negative annual show rotation of about $85 million, including exhibitor discretionary revenue on the rotating shows (roughly 7.5 percent revenue decline);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-274320</wp:posOffset>
            </wp:positionV>
            <wp:extent cx="68580" cy="685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72" w:lineRule="exact"/>
        <w:rPr>
          <w:sz w:val="20"/>
          <w:szCs w:val="20"/>
          <w:color w:val="auto"/>
        </w:rPr>
      </w:pPr>
    </w:p>
    <w:p>
      <w:pPr>
        <w:ind w:left="540"/>
        <w:spacing w:after="0"/>
        <w:rPr>
          <w:sz w:val="20"/>
          <w:szCs w:val="20"/>
          <w:color w:val="auto"/>
        </w:rPr>
      </w:pPr>
      <w:r>
        <w:rPr>
          <w:rFonts w:ascii="Arial" w:cs="Arial" w:eastAsia="Arial" w:hAnsi="Arial"/>
          <w:sz w:val="22"/>
          <w:szCs w:val="22"/>
          <w:color w:val="auto"/>
        </w:rPr>
        <w:t>unfavorable currency translation of approximately $45 million (roughly 4 percent revenue decline); and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-99060</wp:posOffset>
            </wp:positionV>
            <wp:extent cx="68580" cy="685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105" w:lineRule="exact"/>
        <w:rPr>
          <w:sz w:val="20"/>
          <w:szCs w:val="20"/>
          <w:color w:val="auto"/>
        </w:rPr>
      </w:pPr>
    </w:p>
    <w:p>
      <w:pPr>
        <w:ind w:left="540"/>
        <w:spacing w:after="0" w:line="251" w:lineRule="auto"/>
        <w:rPr>
          <w:sz w:val="20"/>
          <w:szCs w:val="20"/>
          <w:color w:val="auto"/>
        </w:rPr>
      </w:pPr>
      <w:r>
        <w:rPr>
          <w:rFonts w:ascii="Arial" w:cs="Arial" w:eastAsia="Arial" w:hAnsi="Arial"/>
          <w:sz w:val="22"/>
          <w:szCs w:val="22"/>
          <w:color w:val="auto"/>
        </w:rPr>
        <w:t>reduced demand for marketing and tourism services due to the economic recession, partially offset by market share gains (8.5 percent to 13.5 percent revenue decline).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-274320</wp:posOffset>
            </wp:positionV>
            <wp:extent cx="68580" cy="685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153" w:lineRule="exact"/>
        <w:rPr>
          <w:sz w:val="20"/>
          <w:szCs w:val="20"/>
          <w:color w:val="auto"/>
        </w:rPr>
      </w:pPr>
    </w:p>
    <w:p>
      <w:pPr>
        <w:ind w:right="240"/>
        <w:spacing w:after="0" w:line="251" w:lineRule="auto"/>
        <w:rPr>
          <w:sz w:val="20"/>
          <w:szCs w:val="20"/>
          <w:color w:val="auto"/>
        </w:rPr>
      </w:pPr>
      <w:r>
        <w:rPr>
          <w:rFonts w:ascii="Arial" w:cs="Arial" w:eastAsia="Arial" w:hAnsi="Arial"/>
          <w:sz w:val="22"/>
          <w:szCs w:val="22"/>
          <w:color w:val="auto"/>
        </w:rPr>
        <w:t>Full year operating income is expected to decrease by 55 percent to 65 percent from 2008 operating income of $82.0 million as a result of the decline in revenues, partially offset by cost reductions.</w:t>
      </w:r>
    </w:p>
    <w:p>
      <w:pPr>
        <w:spacing w:after="0" w:line="173" w:lineRule="exact"/>
        <w:rPr>
          <w:sz w:val="20"/>
          <w:szCs w:val="20"/>
          <w:color w:val="auto"/>
        </w:rPr>
      </w:pPr>
    </w:p>
    <w:p>
      <w:pPr>
        <w:spacing w:after="0"/>
        <w:rPr>
          <w:sz w:val="20"/>
          <w:szCs w:val="20"/>
          <w:color w:val="auto"/>
        </w:rPr>
      </w:pPr>
      <w:r>
        <w:rPr>
          <w:rFonts w:ascii="Arial" w:cs="Arial" w:eastAsia="Arial" w:hAnsi="Arial"/>
          <w:sz w:val="22"/>
          <w:szCs w:val="22"/>
          <w:color w:val="auto"/>
        </w:rPr>
        <w:t>Additional full year 2009 guidance is as follows:</w:t>
      </w:r>
    </w:p>
    <w:p>
      <w:pPr>
        <w:spacing w:after="0" w:line="206" w:lineRule="exact"/>
        <w:rPr>
          <w:sz w:val="20"/>
          <w:szCs w:val="20"/>
          <w:color w:val="auto"/>
        </w:rPr>
      </w:pPr>
    </w:p>
    <w:p>
      <w:pPr>
        <w:ind w:left="540" w:right="360"/>
        <w:spacing w:after="0" w:line="251" w:lineRule="auto"/>
        <w:rPr>
          <w:sz w:val="20"/>
          <w:szCs w:val="20"/>
          <w:color w:val="auto"/>
        </w:rPr>
      </w:pPr>
      <w:r>
        <w:rPr>
          <w:rFonts w:ascii="Arial" w:cs="Arial" w:eastAsia="Arial" w:hAnsi="Arial"/>
          <w:sz w:val="22"/>
          <w:szCs w:val="22"/>
          <w:color w:val="auto"/>
        </w:rPr>
        <w:t>Foreign Exchange Rates – Exchange rates are assumed to approximate $0.82 U.S. Dollars per Canadian Dollar and $1.45 U.S. Dollars per British Pound.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-274320</wp:posOffset>
            </wp:positionV>
            <wp:extent cx="68580" cy="685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72" w:lineRule="exact"/>
        <w:rPr>
          <w:sz w:val="20"/>
          <w:szCs w:val="20"/>
          <w:color w:val="auto"/>
        </w:rPr>
      </w:pPr>
    </w:p>
    <w:p>
      <w:pPr>
        <w:ind w:left="540" w:right="160"/>
        <w:spacing w:after="0" w:line="252" w:lineRule="auto"/>
        <w:rPr>
          <w:sz w:val="20"/>
          <w:szCs w:val="20"/>
          <w:color w:val="auto"/>
        </w:rPr>
      </w:pPr>
      <w:r>
        <w:rPr>
          <w:rFonts w:ascii="Arial" w:cs="Arial" w:eastAsia="Arial" w:hAnsi="Arial"/>
          <w:sz w:val="21"/>
          <w:szCs w:val="21"/>
          <w:color w:val="auto"/>
        </w:rPr>
        <w:t>GES – Revenue is expected to decrease by 23 percent to 27 percent from 2008, driven by negative annual show rotation revenue of about $85 million, unfavorable currency translation of approximately $27 million and the assumption that same-show revenue will decline by roughly 20 percent. Operating margins are expected to be in the range of 3.5 percent to 4 percent, reflecting aggressive cost reduction efforts to help offset the revenue decline.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-582295</wp:posOffset>
            </wp:positionV>
            <wp:extent cx="68580" cy="685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73" w:lineRule="exact"/>
        <w:rPr>
          <w:sz w:val="20"/>
          <w:szCs w:val="20"/>
          <w:color w:val="auto"/>
        </w:rPr>
      </w:pPr>
    </w:p>
    <w:p>
      <w:pPr>
        <w:ind w:left="540" w:right="140"/>
        <w:spacing w:after="0" w:line="297" w:lineRule="auto"/>
        <w:rPr>
          <w:sz w:val="20"/>
          <w:szCs w:val="20"/>
          <w:color w:val="auto"/>
        </w:rPr>
      </w:pPr>
      <w:r>
        <w:rPr>
          <w:rFonts w:ascii="Arial" w:cs="Arial" w:eastAsia="Arial" w:hAnsi="Arial"/>
          <w:sz w:val="19"/>
          <w:szCs w:val="19"/>
          <w:color w:val="auto"/>
        </w:rPr>
        <w:t>Experiential Marketing Services – Revenue is expected to decline by $25 million to $35 million (11 percent to 16 percent) from 2008, driven by unfavorable currency translation of approximately $11 million and reductions in existing client spend, partially offset by continued market share gains. Operating income is expected to decline by $6.0 million to $9.0 million.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-453390</wp:posOffset>
            </wp:positionV>
            <wp:extent cx="68580" cy="685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33" w:lineRule="exact"/>
        <w:rPr>
          <w:sz w:val="20"/>
          <w:szCs w:val="20"/>
          <w:color w:val="auto"/>
        </w:rPr>
      </w:pPr>
    </w:p>
    <w:p>
      <w:pPr>
        <w:jc w:val="both"/>
        <w:ind w:left="540" w:right="840"/>
        <w:spacing w:after="0"/>
        <w:rPr>
          <w:sz w:val="20"/>
          <w:szCs w:val="20"/>
          <w:color w:val="auto"/>
        </w:rPr>
      </w:pPr>
      <w:r>
        <w:rPr>
          <w:rFonts w:ascii="Arial" w:cs="Arial" w:eastAsia="Arial" w:hAnsi="Arial"/>
          <w:sz w:val="22"/>
          <w:szCs w:val="22"/>
          <w:color w:val="auto"/>
        </w:rPr>
        <w:t>Travel and Recreation Services – Revenue is expected to decrease by 15 percent to 20 percent from 2008, driven by unfavorable currency translation of approximately $8 million as well as declines in tourism within Western Canada. Operating margins are expected to approximate 23 percent.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119380</wp:posOffset>
            </wp:positionV>
            <wp:extent cx="7272020" cy="596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72020" cy="59690"/>
                    </a:xfrm>
                    <a:prstGeom prst="rect">
                      <a:avLst/>
                    </a:prstGeom>
                    <a:noFill/>
                  </pic:spPr>
                </pic:pic>
              </a:graphicData>
            </a:graphic>
          </wp:anchor>
        </w:drawing>
        <w:drawing>
          <wp:anchor simplePos="0" relativeHeight="251657728" behindDoc="1" locked="0" layoutInCell="0" allowOverlap="1">
            <wp:simplePos x="0" y="0"/>
            <wp:positionH relativeFrom="column">
              <wp:posOffset>198120</wp:posOffset>
            </wp:positionH>
            <wp:positionV relativeFrom="paragraph">
              <wp:posOffset>-420370</wp:posOffset>
            </wp:positionV>
            <wp:extent cx="68580" cy="6858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ectPr>
          <w:pgSz w:w="11900" w:h="16838" w:orient="portrait"/>
          <w:cols w:equalWidth="0" w:num="1">
            <w:col w:w="11400"/>
          </w:cols>
          <w:pgMar w:left="240" w:top="118" w:right="259" w:bottom="1440" w:gutter="0" w:footer="0" w:header="0"/>
        </w:sectPr>
      </w:pPr>
    </w:p>
    <w:bookmarkStart w:id="8" w:name="page9"/>
    <w:bookmarkEnd w:id="8"/>
    <w:p>
      <w:pPr>
        <w:ind w:left="540" w:right="20"/>
        <w:spacing w:after="0" w:line="282" w:lineRule="auto"/>
        <w:rPr>
          <w:sz w:val="20"/>
          <w:szCs w:val="20"/>
          <w:color w:val="auto"/>
        </w:rPr>
      </w:pPr>
      <w:r>
        <w:rPr>
          <w:rFonts w:ascii="Arial" w:cs="Arial" w:eastAsia="Arial" w:hAnsi="Arial"/>
          <w:sz w:val="19"/>
          <w:szCs w:val="19"/>
          <w:color w:val="auto"/>
        </w:rPr>
        <w:t>Show Rotation – The quarterly show rotation pattern for GES is expected to be as follows: negative $31 million in the first quarter; negative $10 million in the second quarter; negative $60 million in the third quarter; and positive $10 million in the fourth quarter. At Exhibitgroup/Giltspur, show rotation is expected to positively impact second quarter revenues by about $11 million and negatively impact third quarter revenues by about $13 million. Show rotation refers to shows that occur less frequently than annually and annual shows that shift quarters from one year to the next.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-753110</wp:posOffset>
            </wp:positionV>
            <wp:extent cx="68580" cy="6858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47" w:lineRule="exact"/>
        <w:rPr>
          <w:sz w:val="20"/>
          <w:szCs w:val="20"/>
          <w:color w:val="auto"/>
        </w:rPr>
      </w:pPr>
    </w:p>
    <w:p>
      <w:pPr>
        <w:ind w:left="540" w:right="240"/>
        <w:spacing w:after="0" w:line="251" w:lineRule="auto"/>
        <w:rPr>
          <w:sz w:val="20"/>
          <w:szCs w:val="20"/>
          <w:color w:val="auto"/>
        </w:rPr>
      </w:pPr>
      <w:r>
        <w:rPr>
          <w:rFonts w:ascii="Arial" w:cs="Arial" w:eastAsia="Arial" w:hAnsi="Arial"/>
          <w:sz w:val="22"/>
          <w:szCs w:val="22"/>
          <w:color w:val="auto"/>
        </w:rPr>
        <w:t>Effective Tax Rate - The effective tax rate is expected to be in the range of 38.0 percent to 39.0 percent, as compared to the 2008 effective tax rate on income before other items of 37.4 percent.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-274320</wp:posOffset>
            </wp:positionV>
            <wp:extent cx="68580" cy="6858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147"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Second Quarter 2009</w:t>
      </w:r>
    </w:p>
    <w:p>
      <w:pPr>
        <w:spacing w:after="0" w:line="212" w:lineRule="exact"/>
        <w:rPr>
          <w:sz w:val="20"/>
          <w:szCs w:val="20"/>
          <w:color w:val="auto"/>
        </w:rPr>
      </w:pPr>
    </w:p>
    <w:p>
      <w:pPr>
        <w:ind w:right="20"/>
        <w:spacing w:after="0" w:line="235" w:lineRule="auto"/>
        <w:rPr>
          <w:sz w:val="20"/>
          <w:szCs w:val="20"/>
          <w:color w:val="auto"/>
        </w:rPr>
      </w:pPr>
      <w:r>
        <w:rPr>
          <w:rFonts w:ascii="Arial" w:cs="Arial" w:eastAsia="Arial" w:hAnsi="Arial"/>
          <w:sz w:val="22"/>
          <w:szCs w:val="22"/>
          <w:color w:val="auto"/>
        </w:rPr>
        <w:t>For the second quarter, Viad’s income per diluted share is expected to be in the range of $0.17 to $0.32. This compares to income before other items of $0.59 per share in the 2008 second quarter. Revenue is expected to be in the range of $210 million to $230 million as compared to the 2008 amount of $277.2 million. Segment operating income is expected to be in the range of $7.0 million to $12.0 million, as compared to $21.1 million in the 2008 second quarter. The declines from 2008 are expected to be driven primarily by an approximate $17 million revenue decline due to unfavorable currency translation and expected declines in trade show marketing spend.</w:t>
      </w:r>
    </w:p>
    <w:p>
      <w:pPr>
        <w:spacing w:after="0" w:line="188" w:lineRule="exact"/>
        <w:rPr>
          <w:sz w:val="20"/>
          <w:szCs w:val="20"/>
          <w:color w:val="auto"/>
        </w:rPr>
      </w:pPr>
    </w:p>
    <w:p>
      <w:pPr>
        <w:spacing w:after="0"/>
        <w:rPr>
          <w:sz w:val="20"/>
          <w:szCs w:val="20"/>
          <w:color w:val="auto"/>
        </w:rPr>
      </w:pPr>
      <w:r>
        <w:rPr>
          <w:rFonts w:ascii="Arial" w:cs="Arial" w:eastAsia="Arial" w:hAnsi="Arial"/>
          <w:sz w:val="22"/>
          <w:szCs w:val="22"/>
          <w:color w:val="auto"/>
        </w:rPr>
        <w:t>Implicit within this guidance, are the following segment revenue and operating income expectations.</w:t>
      </w:r>
    </w:p>
    <w:p>
      <w:pPr>
        <w:spacing w:after="0" w:line="20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5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640" w:type="dxa"/>
            <w:vAlign w:val="bottom"/>
          </w:tcPr>
          <w:p>
            <w:pPr>
              <w:ind w:left="20"/>
              <w:spacing w:after="0"/>
              <w:rPr>
                <w:sz w:val="20"/>
                <w:szCs w:val="20"/>
                <w:color w:val="auto"/>
              </w:rPr>
            </w:pPr>
            <w:r>
              <w:rPr>
                <w:rFonts w:ascii="Arial" w:cs="Arial" w:eastAsia="Arial" w:hAnsi="Arial"/>
                <w:sz w:val="14"/>
                <w:szCs w:val="14"/>
                <w:b w:val="1"/>
                <w:bCs w:val="1"/>
                <w:color w:val="auto"/>
              </w:rPr>
              <w:t>Segment</w:t>
            </w:r>
          </w:p>
        </w:tc>
        <w:tc>
          <w:tcPr>
            <w:tcW w:w="22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60" w:type="dxa"/>
            <w:vAlign w:val="bottom"/>
          </w:tcPr>
          <w:p>
            <w:pPr>
              <w:jc w:val="center"/>
              <w:ind w:right="188"/>
              <w:spacing w:after="0"/>
              <w:rPr>
                <w:sz w:val="20"/>
                <w:szCs w:val="20"/>
                <w:color w:val="auto"/>
              </w:rPr>
            </w:pPr>
            <w:r>
              <w:rPr>
                <w:rFonts w:ascii="Arial" w:cs="Arial" w:eastAsia="Arial" w:hAnsi="Arial"/>
                <w:sz w:val="14"/>
                <w:szCs w:val="14"/>
                <w:b w:val="1"/>
                <w:bCs w:val="1"/>
                <w:color w:val="auto"/>
                <w:w w:val="87"/>
              </w:rPr>
              <w:t>Segment</w:t>
            </w:r>
          </w:p>
        </w:tc>
        <w:tc>
          <w:tcPr>
            <w:tcW w:w="8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20" w:type="dxa"/>
            <w:vAlign w:val="bottom"/>
          </w:tcPr>
          <w:p>
            <w:pPr>
              <w:spacing w:after="0"/>
              <w:rPr>
                <w:sz w:val="14"/>
                <w:szCs w:val="14"/>
                <w:color w:val="auto"/>
              </w:rPr>
            </w:pPr>
          </w:p>
        </w:tc>
      </w:tr>
      <w:tr>
        <w:trPr>
          <w:trHeight w:val="185"/>
        </w:trPr>
        <w:tc>
          <w:tcPr>
            <w:tcW w:w="452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spacing w:after="0"/>
              <w:rPr>
                <w:sz w:val="16"/>
                <w:szCs w:val="16"/>
                <w:color w:val="auto"/>
              </w:rPr>
            </w:pPr>
          </w:p>
        </w:tc>
        <w:tc>
          <w:tcPr>
            <w:tcW w:w="64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rPr>
              <w:t>Revenue</w:t>
            </w:r>
          </w:p>
        </w:tc>
        <w:tc>
          <w:tcPr>
            <w:tcW w:w="22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spacing w:after="0"/>
              <w:rPr>
                <w:sz w:val="16"/>
                <w:szCs w:val="16"/>
                <w:color w:val="auto"/>
              </w:rPr>
            </w:pPr>
          </w:p>
        </w:tc>
        <w:tc>
          <w:tcPr>
            <w:tcW w:w="44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74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gridSpan w:val="2"/>
          </w:tcPr>
          <w:p>
            <w:pPr>
              <w:jc w:val="center"/>
              <w:ind w:left="8"/>
              <w:spacing w:after="0"/>
              <w:rPr>
                <w:sz w:val="20"/>
                <w:szCs w:val="20"/>
                <w:color w:val="auto"/>
              </w:rPr>
            </w:pPr>
            <w:r>
              <w:rPr>
                <w:rFonts w:ascii="Arial" w:cs="Arial" w:eastAsia="Arial" w:hAnsi="Arial"/>
                <w:sz w:val="14"/>
                <w:szCs w:val="14"/>
                <w:b w:val="1"/>
                <w:bCs w:val="1"/>
                <w:color w:val="auto"/>
                <w:w w:val="94"/>
              </w:rPr>
              <w:t>Operating Income</w:t>
            </w:r>
          </w:p>
        </w:tc>
        <w:tc>
          <w:tcPr>
            <w:tcW w:w="8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spacing w:after="0"/>
              <w:rPr>
                <w:sz w:val="16"/>
                <w:szCs w:val="16"/>
                <w:color w:val="auto"/>
              </w:rPr>
            </w:pPr>
          </w:p>
        </w:tc>
        <w:tc>
          <w:tcPr>
            <w:tcW w:w="20" w:type="dxa"/>
            <w:vAlign w:val="bottom"/>
          </w:tcPr>
          <w:p>
            <w:pPr>
              <w:spacing w:after="0"/>
              <w:rPr>
                <w:sz w:val="16"/>
                <w:szCs w:val="16"/>
                <w:color w:val="auto"/>
              </w:rPr>
            </w:pPr>
          </w:p>
        </w:tc>
      </w:tr>
      <w:tr>
        <w:trPr>
          <w:trHeight w:val="164"/>
        </w:trPr>
        <w:tc>
          <w:tcPr>
            <w:tcW w:w="45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020" w:type="dxa"/>
            <w:vAlign w:val="bottom"/>
          </w:tcPr>
          <w:p>
            <w:pPr>
              <w:jc w:val="right"/>
              <w:ind w:right="328"/>
              <w:spacing w:after="0"/>
              <w:rPr>
                <w:sz w:val="20"/>
                <w:szCs w:val="20"/>
                <w:color w:val="auto"/>
              </w:rPr>
            </w:pPr>
            <w:r>
              <w:rPr>
                <w:rFonts w:ascii="Arial" w:cs="Arial" w:eastAsia="Arial" w:hAnsi="Arial"/>
                <w:sz w:val="14"/>
                <w:szCs w:val="14"/>
                <w:b w:val="1"/>
                <w:bCs w:val="1"/>
                <w:color w:val="auto"/>
              </w:rPr>
              <w:t>Low End</w:t>
            </w:r>
          </w:p>
        </w:tc>
        <w:tc>
          <w:tcPr>
            <w:tcW w:w="6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40" w:type="dxa"/>
            <w:vAlign w:val="bottom"/>
          </w:tcPr>
          <w:p>
            <w:pPr>
              <w:jc w:val="right"/>
              <w:ind w:right="308"/>
              <w:spacing w:after="0"/>
              <w:rPr>
                <w:sz w:val="20"/>
                <w:szCs w:val="20"/>
                <w:color w:val="auto"/>
              </w:rPr>
            </w:pPr>
            <w:r>
              <w:rPr>
                <w:rFonts w:ascii="Arial" w:cs="Arial" w:eastAsia="Arial" w:hAnsi="Arial"/>
                <w:sz w:val="14"/>
                <w:szCs w:val="14"/>
                <w:b w:val="1"/>
                <w:bCs w:val="1"/>
                <w:color w:val="auto"/>
              </w:rPr>
              <w:t>High End</w:t>
            </w:r>
          </w:p>
        </w:tc>
        <w:tc>
          <w:tcPr>
            <w:tcW w:w="4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740" w:type="dxa"/>
            <w:vAlign w:val="bottom"/>
          </w:tcPr>
          <w:p>
            <w:pPr>
              <w:jc w:val="right"/>
              <w:spacing w:after="0"/>
              <w:rPr>
                <w:sz w:val="20"/>
                <w:szCs w:val="20"/>
                <w:color w:val="auto"/>
              </w:rPr>
            </w:pPr>
            <w:r>
              <w:rPr>
                <w:rFonts w:ascii="Arial" w:cs="Arial" w:eastAsia="Arial" w:hAnsi="Arial"/>
                <w:sz w:val="14"/>
                <w:szCs w:val="14"/>
                <w:b w:val="1"/>
                <w:bCs w:val="1"/>
                <w:color w:val="auto"/>
              </w:rPr>
              <w:t>Low End</w:t>
            </w:r>
          </w:p>
        </w:tc>
        <w:tc>
          <w:tcPr>
            <w:tcW w:w="34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0" w:type="dxa"/>
            <w:vAlign w:val="bottom"/>
          </w:tcPr>
          <w:p>
            <w:pPr>
              <w:jc w:val="right"/>
              <w:ind w:right="328"/>
              <w:spacing w:after="0"/>
              <w:rPr>
                <w:sz w:val="20"/>
                <w:szCs w:val="20"/>
                <w:color w:val="auto"/>
              </w:rPr>
            </w:pPr>
            <w:r>
              <w:rPr>
                <w:rFonts w:ascii="Arial" w:cs="Arial" w:eastAsia="Arial" w:hAnsi="Arial"/>
                <w:sz w:val="14"/>
                <w:szCs w:val="14"/>
                <w:b w:val="1"/>
                <w:bCs w:val="1"/>
                <w:color w:val="auto"/>
                <w:w w:val="94"/>
              </w:rPr>
              <w:t>High End</w:t>
            </w:r>
          </w:p>
        </w:tc>
        <w:tc>
          <w:tcPr>
            <w:tcW w:w="20" w:type="dxa"/>
            <w:vAlign w:val="bottom"/>
          </w:tcPr>
          <w:p>
            <w:pPr>
              <w:spacing w:after="0"/>
              <w:rPr>
                <w:sz w:val="14"/>
                <w:szCs w:val="14"/>
                <w:color w:val="auto"/>
              </w:rPr>
            </w:pPr>
          </w:p>
        </w:tc>
      </w:tr>
      <w:tr>
        <w:trPr>
          <w:trHeight w:val="182"/>
        </w:trPr>
        <w:tc>
          <w:tcPr>
            <w:tcW w:w="45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720" w:type="dxa"/>
            <w:vAlign w:val="bottom"/>
            <w:gridSpan w:val="3"/>
          </w:tcPr>
          <w:p>
            <w:pPr>
              <w:ind w:left="880"/>
              <w:spacing w:after="0"/>
              <w:rPr>
                <w:sz w:val="20"/>
                <w:szCs w:val="20"/>
                <w:color w:val="auto"/>
              </w:rPr>
            </w:pPr>
            <w:r>
              <w:rPr>
                <w:rFonts w:ascii="Arial" w:cs="Arial" w:eastAsia="Arial" w:hAnsi="Arial"/>
                <w:sz w:val="14"/>
                <w:szCs w:val="14"/>
                <w:i w:val="1"/>
                <w:iCs w:val="1"/>
                <w:color w:val="auto"/>
                <w:w w:val="99"/>
              </w:rPr>
              <w:t>($ in millions)</w:t>
            </w:r>
          </w:p>
        </w:tc>
        <w:tc>
          <w:tcPr>
            <w:tcW w:w="74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20" w:type="dxa"/>
            <w:vAlign w:val="bottom"/>
          </w:tcPr>
          <w:p>
            <w:pPr>
              <w:spacing w:after="0"/>
              <w:rPr>
                <w:sz w:val="15"/>
                <w:szCs w:val="15"/>
                <w:color w:val="auto"/>
              </w:rPr>
            </w:pPr>
          </w:p>
        </w:tc>
      </w:tr>
      <w:tr>
        <w:trPr>
          <w:trHeight w:val="344"/>
        </w:trPr>
        <w:tc>
          <w:tcPr>
            <w:tcW w:w="4520" w:type="dxa"/>
            <w:vAlign w:val="bottom"/>
          </w:tcPr>
          <w:p>
            <w:pPr>
              <w:ind w:left="80"/>
              <w:spacing w:after="0"/>
              <w:rPr>
                <w:sz w:val="20"/>
                <w:szCs w:val="20"/>
                <w:color w:val="auto"/>
              </w:rPr>
            </w:pPr>
            <w:r>
              <w:rPr>
                <w:rFonts w:ascii="Arial" w:cs="Arial" w:eastAsia="Arial" w:hAnsi="Arial"/>
                <w:sz w:val="14"/>
                <w:szCs w:val="14"/>
                <w:color w:val="auto"/>
              </w:rPr>
              <w:t>GES</w:t>
            </w:r>
          </w:p>
        </w:tc>
        <w:tc>
          <w:tcPr>
            <w:tcW w:w="280" w:type="dxa"/>
            <w:vAlign w:val="bottom"/>
          </w:tcPr>
          <w:p>
            <w:pPr>
              <w:jc w:val="right"/>
              <w:spacing w:after="0"/>
              <w:rPr>
                <w:sz w:val="20"/>
                <w:szCs w:val="20"/>
                <w:color w:val="auto"/>
              </w:rPr>
            </w:pPr>
            <w:r>
              <w:rPr>
                <w:rFonts w:ascii="Arial" w:cs="Arial" w:eastAsia="Arial" w:hAnsi="Arial"/>
                <w:sz w:val="14"/>
                <w:szCs w:val="14"/>
                <w:color w:val="auto"/>
              </w:rPr>
              <w:t>$</w:t>
            </w:r>
          </w:p>
        </w:tc>
        <w:tc>
          <w:tcPr>
            <w:tcW w:w="1020" w:type="dxa"/>
            <w:vAlign w:val="bottom"/>
          </w:tcPr>
          <w:p>
            <w:pPr>
              <w:jc w:val="right"/>
              <w:spacing w:after="0"/>
              <w:rPr>
                <w:sz w:val="20"/>
                <w:szCs w:val="20"/>
                <w:color w:val="auto"/>
              </w:rPr>
            </w:pPr>
            <w:r>
              <w:rPr>
                <w:rFonts w:ascii="Arial" w:cs="Arial" w:eastAsia="Arial" w:hAnsi="Arial"/>
                <w:sz w:val="14"/>
                <w:szCs w:val="14"/>
                <w:color w:val="auto"/>
              </w:rPr>
              <w:t>135.0</w:t>
            </w:r>
          </w:p>
        </w:tc>
        <w:tc>
          <w:tcPr>
            <w:tcW w:w="640" w:type="dxa"/>
            <w:vAlign w:val="bottom"/>
          </w:tcPr>
          <w:p>
            <w:pPr>
              <w:ind w:left="180"/>
              <w:spacing w:after="0"/>
              <w:rPr>
                <w:sz w:val="20"/>
                <w:szCs w:val="20"/>
                <w:color w:val="auto"/>
              </w:rPr>
            </w:pPr>
            <w:r>
              <w:rPr>
                <w:rFonts w:ascii="Arial" w:cs="Arial" w:eastAsia="Arial" w:hAnsi="Arial"/>
                <w:sz w:val="14"/>
                <w:szCs w:val="14"/>
                <w:color w:val="auto"/>
              </w:rPr>
              <w:t>to</w:t>
            </w:r>
          </w:p>
        </w:tc>
        <w:tc>
          <w:tcPr>
            <w:tcW w:w="220" w:type="dxa"/>
            <w:vAlign w:val="bottom"/>
          </w:tcPr>
          <w:p>
            <w:pPr>
              <w:jc w:val="right"/>
              <w:spacing w:after="0"/>
              <w:rPr>
                <w:sz w:val="20"/>
                <w:szCs w:val="20"/>
                <w:color w:val="auto"/>
              </w:rPr>
            </w:pPr>
            <w:r>
              <w:rPr>
                <w:rFonts w:ascii="Arial" w:cs="Arial" w:eastAsia="Arial" w:hAnsi="Arial"/>
                <w:sz w:val="14"/>
                <w:szCs w:val="14"/>
                <w:color w:val="auto"/>
              </w:rPr>
              <w:t>$</w:t>
            </w:r>
          </w:p>
        </w:tc>
        <w:tc>
          <w:tcPr>
            <w:tcW w:w="1480" w:type="dxa"/>
            <w:vAlign w:val="bottom"/>
            <w:gridSpan w:val="2"/>
          </w:tcPr>
          <w:p>
            <w:pPr>
              <w:jc w:val="right"/>
              <w:ind w:right="440"/>
              <w:spacing w:after="0"/>
              <w:rPr>
                <w:sz w:val="20"/>
                <w:szCs w:val="20"/>
                <w:color w:val="auto"/>
              </w:rPr>
            </w:pPr>
            <w:r>
              <w:rPr>
                <w:rFonts w:ascii="Arial" w:cs="Arial" w:eastAsia="Arial" w:hAnsi="Arial"/>
                <w:sz w:val="14"/>
                <w:szCs w:val="14"/>
                <w:color w:val="auto"/>
              </w:rPr>
              <w:t>145.0</w:t>
            </w:r>
          </w:p>
        </w:tc>
        <w:tc>
          <w:tcPr>
            <w:tcW w:w="240" w:type="dxa"/>
            <w:vAlign w:val="bottom"/>
          </w:tcPr>
          <w:p>
            <w:pPr>
              <w:spacing w:after="0"/>
              <w:rPr>
                <w:sz w:val="24"/>
                <w:szCs w:val="24"/>
                <w:color w:val="auto"/>
              </w:rPr>
            </w:pPr>
          </w:p>
        </w:tc>
        <w:tc>
          <w:tcPr>
            <w:tcW w:w="740" w:type="dxa"/>
            <w:vAlign w:val="bottom"/>
          </w:tcPr>
          <w:p>
            <w:pPr>
              <w:jc w:val="right"/>
              <w:ind w:right="548"/>
              <w:spacing w:after="0"/>
              <w:rPr>
                <w:sz w:val="20"/>
                <w:szCs w:val="20"/>
                <w:color w:val="auto"/>
              </w:rPr>
            </w:pPr>
            <w:r>
              <w:rPr>
                <w:rFonts w:ascii="Arial" w:cs="Arial" w:eastAsia="Arial" w:hAnsi="Arial"/>
                <w:sz w:val="14"/>
                <w:szCs w:val="14"/>
                <w:color w:val="auto"/>
              </w:rPr>
              <w:t>$</w:t>
            </w:r>
          </w:p>
        </w:tc>
        <w:tc>
          <w:tcPr>
            <w:tcW w:w="340" w:type="dxa"/>
            <w:vAlign w:val="bottom"/>
          </w:tcPr>
          <w:p>
            <w:pPr>
              <w:jc w:val="right"/>
              <w:spacing w:after="0"/>
              <w:rPr>
                <w:sz w:val="20"/>
                <w:szCs w:val="20"/>
                <w:color w:val="auto"/>
              </w:rPr>
            </w:pPr>
            <w:r>
              <w:rPr>
                <w:rFonts w:ascii="Arial" w:cs="Arial" w:eastAsia="Arial" w:hAnsi="Arial"/>
                <w:sz w:val="14"/>
                <w:szCs w:val="14"/>
                <w:color w:val="auto"/>
              </w:rPr>
              <w:t>4.0</w:t>
            </w:r>
          </w:p>
        </w:tc>
        <w:tc>
          <w:tcPr>
            <w:tcW w:w="860" w:type="dxa"/>
            <w:vAlign w:val="bottom"/>
          </w:tcPr>
          <w:p>
            <w:pPr>
              <w:ind w:left="180"/>
              <w:spacing w:after="0"/>
              <w:rPr>
                <w:sz w:val="20"/>
                <w:szCs w:val="20"/>
                <w:color w:val="auto"/>
              </w:rPr>
            </w:pPr>
            <w:r>
              <w:rPr>
                <w:rFonts w:ascii="Arial" w:cs="Arial" w:eastAsia="Arial" w:hAnsi="Arial"/>
                <w:sz w:val="14"/>
                <w:szCs w:val="14"/>
                <w:color w:val="auto"/>
              </w:rPr>
              <w:t>to</w:t>
            </w:r>
          </w:p>
        </w:tc>
        <w:tc>
          <w:tcPr>
            <w:tcW w:w="8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1020" w:type="dxa"/>
            <w:vAlign w:val="bottom"/>
            <w:gridSpan w:val="2"/>
          </w:tcPr>
          <w:p>
            <w:pPr>
              <w:jc w:val="right"/>
              <w:ind w:right="20"/>
              <w:spacing w:after="0"/>
              <w:rPr>
                <w:sz w:val="20"/>
                <w:szCs w:val="20"/>
                <w:color w:val="auto"/>
              </w:rPr>
            </w:pPr>
            <w:r>
              <w:rPr>
                <w:rFonts w:ascii="Arial" w:cs="Arial" w:eastAsia="Arial" w:hAnsi="Arial"/>
                <w:sz w:val="14"/>
                <w:szCs w:val="14"/>
                <w:color w:val="auto"/>
              </w:rPr>
              <w:t>7.0</w:t>
            </w:r>
          </w:p>
        </w:tc>
      </w:tr>
      <w:tr>
        <w:trPr>
          <w:trHeight w:val="176"/>
        </w:trPr>
        <w:tc>
          <w:tcPr>
            <w:tcW w:w="4520" w:type="dxa"/>
            <w:vAlign w:val="bottom"/>
          </w:tcPr>
          <w:p>
            <w:pPr>
              <w:ind w:left="80"/>
              <w:spacing w:after="0"/>
              <w:rPr>
                <w:sz w:val="20"/>
                <w:szCs w:val="20"/>
                <w:color w:val="auto"/>
              </w:rPr>
            </w:pPr>
            <w:r>
              <w:rPr>
                <w:rFonts w:ascii="Arial" w:cs="Arial" w:eastAsia="Arial" w:hAnsi="Arial"/>
                <w:sz w:val="14"/>
                <w:szCs w:val="14"/>
                <w:color w:val="auto"/>
              </w:rPr>
              <w:t>Experiential Marketing Services</w:t>
            </w:r>
          </w:p>
        </w:tc>
        <w:tc>
          <w:tcPr>
            <w:tcW w:w="280" w:type="dxa"/>
            <w:vAlign w:val="bottom"/>
          </w:tcPr>
          <w:p>
            <w:pPr>
              <w:jc w:val="right"/>
              <w:spacing w:after="0"/>
              <w:rPr>
                <w:sz w:val="20"/>
                <w:szCs w:val="20"/>
                <w:color w:val="auto"/>
              </w:rPr>
            </w:pPr>
            <w:r>
              <w:rPr>
                <w:rFonts w:ascii="Arial" w:cs="Arial" w:eastAsia="Arial" w:hAnsi="Arial"/>
                <w:sz w:val="14"/>
                <w:szCs w:val="14"/>
                <w:color w:val="auto"/>
              </w:rPr>
              <w:t>$</w:t>
            </w:r>
          </w:p>
        </w:tc>
        <w:tc>
          <w:tcPr>
            <w:tcW w:w="1020" w:type="dxa"/>
            <w:vAlign w:val="bottom"/>
          </w:tcPr>
          <w:p>
            <w:pPr>
              <w:jc w:val="right"/>
              <w:spacing w:after="0"/>
              <w:rPr>
                <w:sz w:val="20"/>
                <w:szCs w:val="20"/>
                <w:color w:val="auto"/>
              </w:rPr>
            </w:pPr>
            <w:r>
              <w:rPr>
                <w:rFonts w:ascii="Arial" w:cs="Arial" w:eastAsia="Arial" w:hAnsi="Arial"/>
                <w:sz w:val="14"/>
                <w:szCs w:val="14"/>
                <w:color w:val="auto"/>
              </w:rPr>
              <w:t>59.0</w:t>
            </w:r>
          </w:p>
        </w:tc>
        <w:tc>
          <w:tcPr>
            <w:tcW w:w="640" w:type="dxa"/>
            <w:vAlign w:val="bottom"/>
          </w:tcPr>
          <w:p>
            <w:pPr>
              <w:ind w:left="180"/>
              <w:spacing w:after="0"/>
              <w:rPr>
                <w:sz w:val="20"/>
                <w:szCs w:val="20"/>
                <w:color w:val="auto"/>
              </w:rPr>
            </w:pPr>
            <w:r>
              <w:rPr>
                <w:rFonts w:ascii="Arial" w:cs="Arial" w:eastAsia="Arial" w:hAnsi="Arial"/>
                <w:sz w:val="14"/>
                <w:szCs w:val="14"/>
                <w:color w:val="auto"/>
              </w:rPr>
              <w:t>to</w:t>
            </w:r>
          </w:p>
        </w:tc>
        <w:tc>
          <w:tcPr>
            <w:tcW w:w="220" w:type="dxa"/>
            <w:vAlign w:val="bottom"/>
          </w:tcPr>
          <w:p>
            <w:pPr>
              <w:jc w:val="right"/>
              <w:spacing w:after="0"/>
              <w:rPr>
                <w:sz w:val="20"/>
                <w:szCs w:val="20"/>
                <w:color w:val="auto"/>
              </w:rPr>
            </w:pPr>
            <w:r>
              <w:rPr>
                <w:rFonts w:ascii="Arial" w:cs="Arial" w:eastAsia="Arial" w:hAnsi="Arial"/>
                <w:sz w:val="14"/>
                <w:szCs w:val="14"/>
                <w:color w:val="auto"/>
              </w:rPr>
              <w:t>$</w:t>
            </w:r>
          </w:p>
        </w:tc>
        <w:tc>
          <w:tcPr>
            <w:tcW w:w="1480" w:type="dxa"/>
            <w:vAlign w:val="bottom"/>
            <w:gridSpan w:val="2"/>
          </w:tcPr>
          <w:p>
            <w:pPr>
              <w:jc w:val="right"/>
              <w:ind w:right="440"/>
              <w:spacing w:after="0"/>
              <w:rPr>
                <w:sz w:val="20"/>
                <w:szCs w:val="20"/>
                <w:color w:val="auto"/>
              </w:rPr>
            </w:pPr>
            <w:r>
              <w:rPr>
                <w:rFonts w:ascii="Arial" w:cs="Arial" w:eastAsia="Arial" w:hAnsi="Arial"/>
                <w:sz w:val="14"/>
                <w:szCs w:val="14"/>
                <w:color w:val="auto"/>
              </w:rPr>
              <w:t>65.0</w:t>
            </w:r>
          </w:p>
        </w:tc>
        <w:tc>
          <w:tcPr>
            <w:tcW w:w="240" w:type="dxa"/>
            <w:vAlign w:val="bottom"/>
          </w:tcPr>
          <w:p>
            <w:pPr>
              <w:spacing w:after="0"/>
              <w:rPr>
                <w:sz w:val="15"/>
                <w:szCs w:val="15"/>
                <w:color w:val="auto"/>
              </w:rPr>
            </w:pPr>
          </w:p>
        </w:tc>
        <w:tc>
          <w:tcPr>
            <w:tcW w:w="740" w:type="dxa"/>
            <w:vAlign w:val="bottom"/>
          </w:tcPr>
          <w:p>
            <w:pPr>
              <w:jc w:val="right"/>
              <w:ind w:right="548"/>
              <w:spacing w:after="0"/>
              <w:rPr>
                <w:sz w:val="20"/>
                <w:szCs w:val="20"/>
                <w:color w:val="auto"/>
              </w:rPr>
            </w:pPr>
            <w:r>
              <w:rPr>
                <w:rFonts w:ascii="Arial" w:cs="Arial" w:eastAsia="Arial" w:hAnsi="Arial"/>
                <w:sz w:val="14"/>
                <w:szCs w:val="14"/>
                <w:color w:val="auto"/>
              </w:rPr>
              <w:t>$</w:t>
            </w:r>
          </w:p>
        </w:tc>
        <w:tc>
          <w:tcPr>
            <w:tcW w:w="340" w:type="dxa"/>
            <w:vAlign w:val="bottom"/>
          </w:tcPr>
          <w:p>
            <w:pPr>
              <w:jc w:val="right"/>
              <w:spacing w:after="0"/>
              <w:rPr>
                <w:sz w:val="20"/>
                <w:szCs w:val="20"/>
                <w:color w:val="auto"/>
              </w:rPr>
            </w:pPr>
            <w:r>
              <w:rPr>
                <w:rFonts w:ascii="Arial" w:cs="Arial" w:eastAsia="Arial" w:hAnsi="Arial"/>
                <w:sz w:val="14"/>
                <w:szCs w:val="14"/>
                <w:color w:val="auto"/>
              </w:rPr>
              <w:t>-</w:t>
            </w:r>
          </w:p>
        </w:tc>
        <w:tc>
          <w:tcPr>
            <w:tcW w:w="860" w:type="dxa"/>
            <w:vAlign w:val="bottom"/>
          </w:tcPr>
          <w:p>
            <w:pPr>
              <w:ind w:left="180"/>
              <w:spacing w:after="0"/>
              <w:rPr>
                <w:sz w:val="20"/>
                <w:szCs w:val="20"/>
                <w:color w:val="auto"/>
              </w:rPr>
            </w:pPr>
            <w:r>
              <w:rPr>
                <w:rFonts w:ascii="Arial" w:cs="Arial" w:eastAsia="Arial" w:hAnsi="Arial"/>
                <w:sz w:val="14"/>
                <w:szCs w:val="14"/>
                <w:color w:val="auto"/>
              </w:rPr>
              <w:t>to</w:t>
            </w:r>
          </w:p>
        </w:tc>
        <w:tc>
          <w:tcPr>
            <w:tcW w:w="8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1020" w:type="dxa"/>
            <w:vAlign w:val="bottom"/>
            <w:gridSpan w:val="2"/>
          </w:tcPr>
          <w:p>
            <w:pPr>
              <w:jc w:val="right"/>
              <w:ind w:right="20"/>
              <w:spacing w:after="0"/>
              <w:rPr>
                <w:sz w:val="20"/>
                <w:szCs w:val="20"/>
                <w:color w:val="auto"/>
              </w:rPr>
            </w:pPr>
            <w:r>
              <w:rPr>
                <w:rFonts w:ascii="Arial" w:cs="Arial" w:eastAsia="Arial" w:hAnsi="Arial"/>
                <w:sz w:val="14"/>
                <w:szCs w:val="14"/>
                <w:color w:val="auto"/>
              </w:rPr>
              <w:t>2.0</w:t>
            </w:r>
          </w:p>
        </w:tc>
      </w:tr>
      <w:tr>
        <w:trPr>
          <w:trHeight w:val="182"/>
        </w:trPr>
        <w:tc>
          <w:tcPr>
            <w:tcW w:w="4520" w:type="dxa"/>
            <w:vAlign w:val="bottom"/>
          </w:tcPr>
          <w:p>
            <w:pPr>
              <w:ind w:left="80"/>
              <w:spacing w:after="0"/>
              <w:rPr>
                <w:sz w:val="20"/>
                <w:szCs w:val="20"/>
                <w:color w:val="auto"/>
              </w:rPr>
            </w:pPr>
            <w:r>
              <w:rPr>
                <w:rFonts w:ascii="Arial" w:cs="Arial" w:eastAsia="Arial" w:hAnsi="Arial"/>
                <w:sz w:val="14"/>
                <w:szCs w:val="14"/>
                <w:color w:val="auto"/>
              </w:rPr>
              <w:t>Travel &amp; Recreation</w:t>
            </w:r>
          </w:p>
        </w:tc>
        <w:tc>
          <w:tcPr>
            <w:tcW w:w="280" w:type="dxa"/>
            <w:vAlign w:val="bottom"/>
          </w:tcPr>
          <w:p>
            <w:pPr>
              <w:jc w:val="right"/>
              <w:spacing w:after="0"/>
              <w:rPr>
                <w:sz w:val="20"/>
                <w:szCs w:val="20"/>
                <w:color w:val="auto"/>
              </w:rPr>
            </w:pPr>
            <w:r>
              <w:rPr>
                <w:rFonts w:ascii="Arial" w:cs="Arial" w:eastAsia="Arial" w:hAnsi="Arial"/>
                <w:sz w:val="14"/>
                <w:szCs w:val="14"/>
                <w:color w:val="auto"/>
              </w:rPr>
              <w:t>$</w:t>
            </w:r>
          </w:p>
        </w:tc>
        <w:tc>
          <w:tcPr>
            <w:tcW w:w="1020" w:type="dxa"/>
            <w:vAlign w:val="bottom"/>
          </w:tcPr>
          <w:p>
            <w:pPr>
              <w:jc w:val="right"/>
              <w:spacing w:after="0"/>
              <w:rPr>
                <w:sz w:val="20"/>
                <w:szCs w:val="20"/>
                <w:color w:val="auto"/>
              </w:rPr>
            </w:pPr>
            <w:r>
              <w:rPr>
                <w:rFonts w:ascii="Arial" w:cs="Arial" w:eastAsia="Arial" w:hAnsi="Arial"/>
                <w:sz w:val="14"/>
                <w:szCs w:val="14"/>
                <w:color w:val="auto"/>
              </w:rPr>
              <w:t>17.0</w:t>
            </w:r>
          </w:p>
        </w:tc>
        <w:tc>
          <w:tcPr>
            <w:tcW w:w="640" w:type="dxa"/>
            <w:vAlign w:val="bottom"/>
          </w:tcPr>
          <w:p>
            <w:pPr>
              <w:ind w:left="180"/>
              <w:spacing w:after="0"/>
              <w:rPr>
                <w:sz w:val="20"/>
                <w:szCs w:val="20"/>
                <w:color w:val="auto"/>
              </w:rPr>
            </w:pPr>
            <w:r>
              <w:rPr>
                <w:rFonts w:ascii="Arial" w:cs="Arial" w:eastAsia="Arial" w:hAnsi="Arial"/>
                <w:sz w:val="14"/>
                <w:szCs w:val="14"/>
                <w:color w:val="auto"/>
              </w:rPr>
              <w:t>to</w:t>
            </w:r>
          </w:p>
        </w:tc>
        <w:tc>
          <w:tcPr>
            <w:tcW w:w="220" w:type="dxa"/>
            <w:vAlign w:val="bottom"/>
          </w:tcPr>
          <w:p>
            <w:pPr>
              <w:jc w:val="right"/>
              <w:spacing w:after="0"/>
              <w:rPr>
                <w:sz w:val="20"/>
                <w:szCs w:val="20"/>
                <w:color w:val="auto"/>
              </w:rPr>
            </w:pPr>
            <w:r>
              <w:rPr>
                <w:rFonts w:ascii="Arial" w:cs="Arial" w:eastAsia="Arial" w:hAnsi="Arial"/>
                <w:sz w:val="14"/>
                <w:szCs w:val="14"/>
                <w:color w:val="auto"/>
              </w:rPr>
              <w:t>$</w:t>
            </w:r>
          </w:p>
        </w:tc>
        <w:tc>
          <w:tcPr>
            <w:tcW w:w="1480" w:type="dxa"/>
            <w:vAlign w:val="bottom"/>
            <w:gridSpan w:val="2"/>
          </w:tcPr>
          <w:p>
            <w:pPr>
              <w:jc w:val="right"/>
              <w:ind w:right="440"/>
              <w:spacing w:after="0"/>
              <w:rPr>
                <w:sz w:val="20"/>
                <w:szCs w:val="20"/>
                <w:color w:val="auto"/>
              </w:rPr>
            </w:pPr>
            <w:r>
              <w:rPr>
                <w:rFonts w:ascii="Arial" w:cs="Arial" w:eastAsia="Arial" w:hAnsi="Arial"/>
                <w:sz w:val="14"/>
                <w:szCs w:val="14"/>
                <w:color w:val="auto"/>
              </w:rPr>
              <w:t>19.0</w:t>
            </w:r>
          </w:p>
        </w:tc>
        <w:tc>
          <w:tcPr>
            <w:tcW w:w="240" w:type="dxa"/>
            <w:vAlign w:val="bottom"/>
          </w:tcPr>
          <w:p>
            <w:pPr>
              <w:spacing w:after="0"/>
              <w:rPr>
                <w:sz w:val="15"/>
                <w:szCs w:val="15"/>
                <w:color w:val="auto"/>
              </w:rPr>
            </w:pPr>
          </w:p>
        </w:tc>
        <w:tc>
          <w:tcPr>
            <w:tcW w:w="740" w:type="dxa"/>
            <w:vAlign w:val="bottom"/>
          </w:tcPr>
          <w:p>
            <w:pPr>
              <w:jc w:val="right"/>
              <w:ind w:right="548"/>
              <w:spacing w:after="0"/>
              <w:rPr>
                <w:sz w:val="20"/>
                <w:szCs w:val="20"/>
                <w:color w:val="auto"/>
              </w:rPr>
            </w:pPr>
            <w:r>
              <w:rPr>
                <w:rFonts w:ascii="Arial" w:cs="Arial" w:eastAsia="Arial" w:hAnsi="Arial"/>
                <w:sz w:val="14"/>
                <w:szCs w:val="14"/>
                <w:color w:val="auto"/>
              </w:rPr>
              <w:t>$</w:t>
            </w:r>
          </w:p>
        </w:tc>
        <w:tc>
          <w:tcPr>
            <w:tcW w:w="340" w:type="dxa"/>
            <w:vAlign w:val="bottom"/>
          </w:tcPr>
          <w:p>
            <w:pPr>
              <w:jc w:val="right"/>
              <w:spacing w:after="0"/>
              <w:rPr>
                <w:sz w:val="20"/>
                <w:szCs w:val="20"/>
                <w:color w:val="auto"/>
              </w:rPr>
            </w:pPr>
            <w:r>
              <w:rPr>
                <w:rFonts w:ascii="Arial" w:cs="Arial" w:eastAsia="Arial" w:hAnsi="Arial"/>
                <w:sz w:val="14"/>
                <w:szCs w:val="14"/>
                <w:color w:val="auto"/>
              </w:rPr>
              <w:t>2.5</w:t>
            </w:r>
          </w:p>
        </w:tc>
        <w:tc>
          <w:tcPr>
            <w:tcW w:w="860" w:type="dxa"/>
            <w:vAlign w:val="bottom"/>
          </w:tcPr>
          <w:p>
            <w:pPr>
              <w:ind w:left="180"/>
              <w:spacing w:after="0"/>
              <w:rPr>
                <w:sz w:val="20"/>
                <w:szCs w:val="20"/>
                <w:color w:val="auto"/>
              </w:rPr>
            </w:pPr>
            <w:r>
              <w:rPr>
                <w:rFonts w:ascii="Arial" w:cs="Arial" w:eastAsia="Arial" w:hAnsi="Arial"/>
                <w:sz w:val="14"/>
                <w:szCs w:val="14"/>
                <w:color w:val="auto"/>
              </w:rPr>
              <w:t>to</w:t>
            </w:r>
          </w:p>
        </w:tc>
        <w:tc>
          <w:tcPr>
            <w:tcW w:w="8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1020" w:type="dxa"/>
            <w:vAlign w:val="bottom"/>
            <w:gridSpan w:val="2"/>
          </w:tcPr>
          <w:p>
            <w:pPr>
              <w:jc w:val="right"/>
              <w:ind w:right="20"/>
              <w:spacing w:after="0"/>
              <w:rPr>
                <w:sz w:val="20"/>
                <w:szCs w:val="20"/>
                <w:color w:val="auto"/>
              </w:rPr>
            </w:pPr>
            <w:r>
              <w:rPr>
                <w:rFonts w:ascii="Arial" w:cs="Arial" w:eastAsia="Arial" w:hAnsi="Arial"/>
                <w:sz w:val="14"/>
                <w:szCs w:val="14"/>
                <w:color w:val="auto"/>
              </w:rPr>
              <w:t>3.5</w:t>
            </w:r>
          </w:p>
        </w:tc>
      </w:tr>
      <w:tr>
        <w:trPr>
          <w:trHeight w:val="134"/>
        </w:trPr>
        <w:tc>
          <w:tcPr>
            <w:tcW w:w="4520" w:type="dxa"/>
            <w:vAlign w:val="bottom"/>
            <w:tcBorders>
              <w:bottom w:val="single" w:sz="8" w:color="9A9A9A"/>
            </w:tcBorders>
          </w:tcPr>
          <w:p>
            <w:pPr>
              <w:spacing w:after="0"/>
              <w:rPr>
                <w:sz w:val="11"/>
                <w:szCs w:val="11"/>
                <w:color w:val="auto"/>
              </w:rPr>
            </w:pPr>
          </w:p>
        </w:tc>
        <w:tc>
          <w:tcPr>
            <w:tcW w:w="280" w:type="dxa"/>
            <w:vAlign w:val="bottom"/>
            <w:tcBorders>
              <w:bottom w:val="single" w:sz="8" w:color="9A9A9A"/>
            </w:tcBorders>
          </w:tcPr>
          <w:p>
            <w:pPr>
              <w:spacing w:after="0"/>
              <w:rPr>
                <w:sz w:val="11"/>
                <w:szCs w:val="11"/>
                <w:color w:val="auto"/>
              </w:rPr>
            </w:pPr>
          </w:p>
        </w:tc>
        <w:tc>
          <w:tcPr>
            <w:tcW w:w="1020" w:type="dxa"/>
            <w:vAlign w:val="bottom"/>
            <w:tcBorders>
              <w:bottom w:val="single" w:sz="8" w:color="9A9A9A"/>
            </w:tcBorders>
          </w:tcPr>
          <w:p>
            <w:pPr>
              <w:spacing w:after="0"/>
              <w:rPr>
                <w:sz w:val="11"/>
                <w:szCs w:val="11"/>
                <w:color w:val="auto"/>
              </w:rPr>
            </w:pPr>
          </w:p>
        </w:tc>
        <w:tc>
          <w:tcPr>
            <w:tcW w:w="640" w:type="dxa"/>
            <w:vAlign w:val="bottom"/>
            <w:tcBorders>
              <w:bottom w:val="single" w:sz="8" w:color="9A9A9A"/>
            </w:tcBorders>
          </w:tcPr>
          <w:p>
            <w:pPr>
              <w:spacing w:after="0"/>
              <w:rPr>
                <w:sz w:val="11"/>
                <w:szCs w:val="11"/>
                <w:color w:val="auto"/>
              </w:rPr>
            </w:pPr>
          </w:p>
        </w:tc>
        <w:tc>
          <w:tcPr>
            <w:tcW w:w="220" w:type="dxa"/>
            <w:vAlign w:val="bottom"/>
            <w:tcBorders>
              <w:bottom w:val="single" w:sz="8" w:color="9A9A9A"/>
            </w:tcBorders>
          </w:tcPr>
          <w:p>
            <w:pPr>
              <w:spacing w:after="0"/>
              <w:rPr>
                <w:sz w:val="11"/>
                <w:szCs w:val="11"/>
                <w:color w:val="auto"/>
              </w:rPr>
            </w:pPr>
          </w:p>
        </w:tc>
        <w:tc>
          <w:tcPr>
            <w:tcW w:w="1040" w:type="dxa"/>
            <w:vAlign w:val="bottom"/>
            <w:tcBorders>
              <w:bottom w:val="single" w:sz="8" w:color="9A9A9A"/>
            </w:tcBorders>
          </w:tcPr>
          <w:p>
            <w:pPr>
              <w:spacing w:after="0"/>
              <w:rPr>
                <w:sz w:val="11"/>
                <w:szCs w:val="11"/>
                <w:color w:val="auto"/>
              </w:rPr>
            </w:pPr>
          </w:p>
        </w:tc>
        <w:tc>
          <w:tcPr>
            <w:tcW w:w="440" w:type="dxa"/>
            <w:vAlign w:val="bottom"/>
            <w:tcBorders>
              <w:bottom w:val="single" w:sz="8" w:color="9A9A9A"/>
            </w:tcBorders>
          </w:tcPr>
          <w:p>
            <w:pPr>
              <w:spacing w:after="0"/>
              <w:rPr>
                <w:sz w:val="11"/>
                <w:szCs w:val="11"/>
                <w:color w:val="auto"/>
              </w:rPr>
            </w:pPr>
          </w:p>
        </w:tc>
        <w:tc>
          <w:tcPr>
            <w:tcW w:w="240" w:type="dxa"/>
            <w:vAlign w:val="bottom"/>
            <w:tcBorders>
              <w:bottom w:val="single" w:sz="8" w:color="9A9A9A"/>
            </w:tcBorders>
          </w:tcPr>
          <w:p>
            <w:pPr>
              <w:spacing w:after="0"/>
              <w:rPr>
                <w:sz w:val="11"/>
                <w:szCs w:val="11"/>
                <w:color w:val="auto"/>
              </w:rPr>
            </w:pPr>
          </w:p>
        </w:tc>
        <w:tc>
          <w:tcPr>
            <w:tcW w:w="740" w:type="dxa"/>
            <w:vAlign w:val="bottom"/>
            <w:tcBorders>
              <w:bottom w:val="single" w:sz="8" w:color="9A9A9A"/>
            </w:tcBorders>
          </w:tcPr>
          <w:p>
            <w:pPr>
              <w:spacing w:after="0"/>
              <w:rPr>
                <w:sz w:val="11"/>
                <w:szCs w:val="11"/>
                <w:color w:val="auto"/>
              </w:rPr>
            </w:pPr>
          </w:p>
        </w:tc>
        <w:tc>
          <w:tcPr>
            <w:tcW w:w="340" w:type="dxa"/>
            <w:vAlign w:val="bottom"/>
            <w:tcBorders>
              <w:bottom w:val="single" w:sz="8" w:color="9A9A9A"/>
            </w:tcBorders>
          </w:tcPr>
          <w:p>
            <w:pPr>
              <w:spacing w:after="0"/>
              <w:rPr>
                <w:sz w:val="11"/>
                <w:szCs w:val="11"/>
                <w:color w:val="auto"/>
              </w:rPr>
            </w:pPr>
          </w:p>
        </w:tc>
        <w:tc>
          <w:tcPr>
            <w:tcW w:w="860" w:type="dxa"/>
            <w:vAlign w:val="bottom"/>
            <w:tcBorders>
              <w:bottom w:val="single" w:sz="8" w:color="9A9A9A"/>
            </w:tcBorders>
          </w:tcPr>
          <w:p>
            <w:pPr>
              <w:spacing w:after="0"/>
              <w:rPr>
                <w:sz w:val="11"/>
                <w:szCs w:val="11"/>
                <w:color w:val="auto"/>
              </w:rPr>
            </w:pPr>
          </w:p>
        </w:tc>
        <w:tc>
          <w:tcPr>
            <w:tcW w:w="80" w:type="dxa"/>
            <w:vAlign w:val="bottom"/>
            <w:tcBorders>
              <w:bottom w:val="single" w:sz="8" w:color="9A9A9A"/>
            </w:tcBorders>
          </w:tcPr>
          <w:p>
            <w:pPr>
              <w:spacing w:after="0"/>
              <w:rPr>
                <w:sz w:val="11"/>
                <w:szCs w:val="11"/>
                <w:color w:val="auto"/>
              </w:rPr>
            </w:pPr>
          </w:p>
        </w:tc>
        <w:tc>
          <w:tcPr>
            <w:tcW w:w="1000" w:type="dxa"/>
            <w:vAlign w:val="bottom"/>
            <w:tcBorders>
              <w:bottom w:val="single" w:sz="8" w:color="9A9A9A"/>
            </w:tcBorders>
          </w:tcPr>
          <w:p>
            <w:pPr>
              <w:spacing w:after="0"/>
              <w:rPr>
                <w:sz w:val="11"/>
                <w:szCs w:val="11"/>
                <w:color w:val="auto"/>
              </w:rPr>
            </w:pPr>
          </w:p>
        </w:tc>
        <w:tc>
          <w:tcPr>
            <w:tcW w:w="20" w:type="dxa"/>
            <w:vAlign w:val="bottom"/>
            <w:tcBorders>
              <w:bottom w:val="single" w:sz="8" w:color="9A9A9A"/>
            </w:tcBorders>
          </w:tcPr>
          <w:p>
            <w:pPr>
              <w:spacing w:after="0"/>
              <w:rPr>
                <w:sz w:val="11"/>
                <w:szCs w:val="11"/>
                <w:color w:val="auto"/>
              </w:rPr>
            </w:pPr>
          </w:p>
        </w:tc>
      </w:tr>
      <w:tr>
        <w:trPr>
          <w:trHeight w:val="21"/>
        </w:trPr>
        <w:tc>
          <w:tcPr>
            <w:tcW w:w="4520" w:type="dxa"/>
            <w:vAlign w:val="bottom"/>
            <w:tcBorders>
              <w:bottom w:val="single" w:sz="8" w:color="EEEEEE"/>
            </w:tcBorders>
          </w:tcPr>
          <w:p>
            <w:pPr>
              <w:spacing w:after="0" w:line="20" w:lineRule="exact"/>
              <w:rPr>
                <w:sz w:val="1"/>
                <w:szCs w:val="1"/>
                <w:color w:val="auto"/>
              </w:rPr>
            </w:pPr>
          </w:p>
        </w:tc>
        <w:tc>
          <w:tcPr>
            <w:tcW w:w="280" w:type="dxa"/>
            <w:vAlign w:val="bottom"/>
            <w:tcBorders>
              <w:bottom w:val="single" w:sz="8" w:color="EEEEEE"/>
            </w:tcBorders>
          </w:tcPr>
          <w:p>
            <w:pPr>
              <w:spacing w:after="0" w:line="20" w:lineRule="exact"/>
              <w:rPr>
                <w:sz w:val="1"/>
                <w:szCs w:val="1"/>
                <w:color w:val="auto"/>
              </w:rPr>
            </w:pPr>
          </w:p>
        </w:tc>
        <w:tc>
          <w:tcPr>
            <w:tcW w:w="1020" w:type="dxa"/>
            <w:vAlign w:val="bottom"/>
            <w:tcBorders>
              <w:bottom w:val="single" w:sz="8" w:color="EEEEEE"/>
            </w:tcBorders>
          </w:tcPr>
          <w:p>
            <w:pPr>
              <w:spacing w:after="0" w:line="20" w:lineRule="exact"/>
              <w:rPr>
                <w:sz w:val="1"/>
                <w:szCs w:val="1"/>
                <w:color w:val="auto"/>
              </w:rPr>
            </w:pPr>
          </w:p>
        </w:tc>
        <w:tc>
          <w:tcPr>
            <w:tcW w:w="640" w:type="dxa"/>
            <w:vAlign w:val="bottom"/>
            <w:tcBorders>
              <w:bottom w:val="single" w:sz="8" w:color="EEEEEE"/>
            </w:tcBorders>
          </w:tcPr>
          <w:p>
            <w:pPr>
              <w:spacing w:after="0" w:line="20" w:lineRule="exact"/>
              <w:rPr>
                <w:sz w:val="1"/>
                <w:szCs w:val="1"/>
                <w:color w:val="auto"/>
              </w:rPr>
            </w:pPr>
          </w:p>
        </w:tc>
        <w:tc>
          <w:tcPr>
            <w:tcW w:w="220" w:type="dxa"/>
            <w:vAlign w:val="bottom"/>
            <w:tcBorders>
              <w:bottom w:val="single" w:sz="8" w:color="EEEEEE"/>
            </w:tcBorders>
          </w:tcPr>
          <w:p>
            <w:pPr>
              <w:spacing w:after="0" w:line="20" w:lineRule="exact"/>
              <w:rPr>
                <w:sz w:val="1"/>
                <w:szCs w:val="1"/>
                <w:color w:val="auto"/>
              </w:rPr>
            </w:pPr>
          </w:p>
        </w:tc>
        <w:tc>
          <w:tcPr>
            <w:tcW w:w="1040" w:type="dxa"/>
            <w:vAlign w:val="bottom"/>
            <w:tcBorders>
              <w:bottom w:val="single" w:sz="8" w:color="EEEEEE"/>
            </w:tcBorders>
          </w:tcPr>
          <w:p>
            <w:pPr>
              <w:spacing w:after="0" w:line="20" w:lineRule="exact"/>
              <w:rPr>
                <w:sz w:val="1"/>
                <w:szCs w:val="1"/>
                <w:color w:val="auto"/>
              </w:rPr>
            </w:pPr>
          </w:p>
        </w:tc>
        <w:tc>
          <w:tcPr>
            <w:tcW w:w="440" w:type="dxa"/>
            <w:vAlign w:val="bottom"/>
            <w:tcBorders>
              <w:bottom w:val="single" w:sz="8" w:color="EEEEEE"/>
            </w:tcBorders>
          </w:tcPr>
          <w:p>
            <w:pPr>
              <w:spacing w:after="0" w:line="20" w:lineRule="exact"/>
              <w:rPr>
                <w:sz w:val="1"/>
                <w:szCs w:val="1"/>
                <w:color w:val="auto"/>
              </w:rPr>
            </w:pPr>
          </w:p>
        </w:tc>
        <w:tc>
          <w:tcPr>
            <w:tcW w:w="240" w:type="dxa"/>
            <w:vAlign w:val="bottom"/>
            <w:tcBorders>
              <w:bottom w:val="single" w:sz="8" w:color="EEEEEE"/>
            </w:tcBorders>
          </w:tcPr>
          <w:p>
            <w:pPr>
              <w:spacing w:after="0" w:line="20" w:lineRule="exact"/>
              <w:rPr>
                <w:sz w:val="1"/>
                <w:szCs w:val="1"/>
                <w:color w:val="auto"/>
              </w:rPr>
            </w:pPr>
          </w:p>
        </w:tc>
        <w:tc>
          <w:tcPr>
            <w:tcW w:w="740" w:type="dxa"/>
            <w:vAlign w:val="bottom"/>
            <w:tcBorders>
              <w:bottom w:val="single" w:sz="8" w:color="EEEEEE"/>
            </w:tcBorders>
          </w:tcPr>
          <w:p>
            <w:pPr>
              <w:spacing w:after="0" w:line="20" w:lineRule="exact"/>
              <w:rPr>
                <w:sz w:val="1"/>
                <w:szCs w:val="1"/>
                <w:color w:val="auto"/>
              </w:rPr>
            </w:pPr>
          </w:p>
        </w:tc>
        <w:tc>
          <w:tcPr>
            <w:tcW w:w="340" w:type="dxa"/>
            <w:vAlign w:val="bottom"/>
            <w:tcBorders>
              <w:bottom w:val="single" w:sz="8" w:color="EEEEEE"/>
            </w:tcBorders>
          </w:tcPr>
          <w:p>
            <w:pPr>
              <w:spacing w:after="0" w:line="20" w:lineRule="exact"/>
              <w:rPr>
                <w:sz w:val="1"/>
                <w:szCs w:val="1"/>
                <w:color w:val="auto"/>
              </w:rPr>
            </w:pPr>
          </w:p>
        </w:tc>
        <w:tc>
          <w:tcPr>
            <w:tcW w:w="860" w:type="dxa"/>
            <w:vAlign w:val="bottom"/>
            <w:tcBorders>
              <w:bottom w:val="single" w:sz="8" w:color="EEEEEE"/>
            </w:tcBorders>
          </w:tcPr>
          <w:p>
            <w:pPr>
              <w:spacing w:after="0" w:line="20" w:lineRule="exact"/>
              <w:rPr>
                <w:sz w:val="1"/>
                <w:szCs w:val="1"/>
                <w:color w:val="auto"/>
              </w:rPr>
            </w:pPr>
          </w:p>
        </w:tc>
        <w:tc>
          <w:tcPr>
            <w:tcW w:w="80" w:type="dxa"/>
            <w:vAlign w:val="bottom"/>
            <w:tcBorders>
              <w:bottom w:val="single" w:sz="8" w:color="EEEEEE"/>
            </w:tcBorders>
          </w:tcPr>
          <w:p>
            <w:pPr>
              <w:spacing w:after="0" w:line="20" w:lineRule="exact"/>
              <w:rPr>
                <w:sz w:val="1"/>
                <w:szCs w:val="1"/>
                <w:color w:val="auto"/>
              </w:rPr>
            </w:pPr>
          </w:p>
        </w:tc>
        <w:tc>
          <w:tcPr>
            <w:tcW w:w="1000" w:type="dxa"/>
            <w:vAlign w:val="bottom"/>
            <w:tcBorders>
              <w:bottom w:val="single" w:sz="8" w:color="EEEEEE"/>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7230110</wp:posOffset>
            </wp:positionH>
            <wp:positionV relativeFrom="paragraph">
              <wp:posOffset>-46355</wp:posOffset>
            </wp:positionV>
            <wp:extent cx="34290" cy="596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34290" cy="59690"/>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-46355</wp:posOffset>
            </wp:positionV>
            <wp:extent cx="34290" cy="596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34290" cy="59690"/>
                    </a:xfrm>
                    <a:prstGeom prst="rect">
                      <a:avLst/>
                    </a:prstGeom>
                    <a:noFill/>
                  </pic:spPr>
                </pic:pic>
              </a:graphicData>
            </a:graphic>
          </wp:anchor>
        </w:drawing>
      </w:r>
    </w:p>
    <w:p>
      <w:pPr>
        <w:sectPr>
          <w:pgSz w:w="11900" w:h="16838" w:orient="portrait"/>
          <w:cols w:equalWidth="0" w:num="1">
            <w:col w:w="11420"/>
          </w:cols>
          <w:pgMar w:left="240" w:top="118" w:right="239" w:bottom="1440" w:gutter="0" w:footer="0" w:header="0"/>
        </w:sectPr>
      </w:pPr>
    </w:p>
    <w:bookmarkStart w:id="9" w:name="page10"/>
    <w:bookmarkEnd w:id="9"/>
    <w:p>
      <w:pPr>
        <w:spacing w:after="0"/>
        <w:rPr>
          <w:sz w:val="20"/>
          <w:szCs w:val="20"/>
          <w:color w:val="auto"/>
        </w:rPr>
      </w:pPr>
      <w:r>
        <w:rPr>
          <w:rFonts w:ascii="Arial" w:cs="Arial" w:eastAsia="Arial" w:hAnsi="Arial"/>
          <w:sz w:val="22"/>
          <w:szCs w:val="22"/>
          <w:b w:val="1"/>
          <w:bCs w:val="1"/>
          <w:color w:val="auto"/>
        </w:rPr>
        <w:t>Summary</w:t>
      </w:r>
    </w:p>
    <w:p>
      <w:pPr>
        <w:spacing w:after="0" w:line="213" w:lineRule="exact"/>
        <w:rPr>
          <w:sz w:val="20"/>
          <w:szCs w:val="20"/>
          <w:color w:val="auto"/>
        </w:rPr>
      </w:pPr>
    </w:p>
    <w:p>
      <w:pPr>
        <w:ind w:right="380"/>
        <w:spacing w:after="0" w:line="247" w:lineRule="auto"/>
        <w:rPr>
          <w:sz w:val="20"/>
          <w:szCs w:val="20"/>
          <w:color w:val="auto"/>
        </w:rPr>
      </w:pPr>
      <w:r>
        <w:rPr>
          <w:rFonts w:ascii="Arial" w:cs="Arial" w:eastAsia="Arial" w:hAnsi="Arial"/>
          <w:sz w:val="21"/>
          <w:szCs w:val="21"/>
          <w:color w:val="auto"/>
        </w:rPr>
        <w:t>Dykstra said, “As a result of the significant and abrupt pull back in trade show spending and larger than expected same-show revenue decline of 20 percent at GES during the first quarter, we are approaching the rest of the year with greater caution and a reduced outlook. Our Travel and Recreation businesses are getting ready for their peak seasons. Based on feedback from Brewster’s tour operator clients in various international markets, we are expecting a marked decline in group tour volume as compared to 2008. Overall, there is much uncertainty in the marketplace, and our current guidance for 2009 reflects our best estimates based on information available at this time. As we progress through the year, we will continue to evaluate additional opportunities to reduce costs and improve efficiencies.”</w:t>
      </w:r>
    </w:p>
    <w:p>
      <w:pPr>
        <w:spacing w:after="0" w:line="178" w:lineRule="exact"/>
        <w:rPr>
          <w:sz w:val="20"/>
          <w:szCs w:val="20"/>
          <w:color w:val="auto"/>
        </w:rPr>
      </w:pPr>
    </w:p>
    <w:p>
      <w:pPr>
        <w:spacing w:after="0" w:line="275" w:lineRule="auto"/>
        <w:rPr>
          <w:sz w:val="20"/>
          <w:szCs w:val="20"/>
          <w:color w:val="auto"/>
        </w:rPr>
      </w:pPr>
      <w:r>
        <w:rPr>
          <w:rFonts w:ascii="Arial" w:cs="Arial" w:eastAsia="Arial" w:hAnsi="Arial"/>
          <w:sz w:val="19"/>
          <w:szCs w:val="19"/>
          <w:color w:val="auto"/>
        </w:rPr>
        <w:t>Dykstra added, “Even in this tough environment, however, we expect opportunities. Our leading market positions, talented and hard-working employees, culture of innovation and integrity, and financial strength are key advantages for us relative to many of our competitors. We fully intend to capitalize on those advantages. All of our companies are focused not only on reducing costs but also on increasing service levels, winning new business and increasing market share. The near-term will clearly be difficult. But the long-term fundamentals of our businesses remain strong. Our goal right now is clear. Do the best job possible to manage through the downturn while positioning our businesses to emerge from this recession even stronger. We remain committed to driving long-term growth and shareholder value. And our strong balance sheet affords us the strength to weather the uncertainties of this economic storm. We remain committed to delivering substantial shareholder value and growing our earnings over the long term.”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100965</wp:posOffset>
            </wp:positionV>
            <wp:extent cx="7272020" cy="596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72020" cy="59690"/>
                    </a:xfrm>
                    <a:prstGeom prst="rect">
                      <a:avLst/>
                    </a:prstGeom>
                    <a:noFill/>
                  </pic:spPr>
                </pic:pic>
              </a:graphicData>
            </a:graphic>
          </wp:anchor>
        </w:drawing>
      </w:r>
    </w:p>
    <w:p>
      <w:pPr>
        <w:sectPr>
          <w:pgSz w:w="11900" w:h="16838" w:orient="portrait"/>
          <w:cols w:equalWidth="0" w:num="1">
            <w:col w:w="11380"/>
          </w:cols>
          <w:pgMar w:left="240" w:top="111" w:right="279" w:bottom="1440" w:gutter="0" w:footer="0" w:header="0"/>
        </w:sectPr>
      </w:pPr>
    </w:p>
    <w:bookmarkStart w:id="10" w:name="page11"/>
    <w:bookmarkEnd w:id="10"/>
    <w:p>
      <w:pPr>
        <w:spacing w:after="0"/>
        <w:rPr>
          <w:sz w:val="20"/>
          <w:szCs w:val="20"/>
          <w:color w:val="auto"/>
        </w:rPr>
      </w:pPr>
      <w:r>
        <w:rPr>
          <w:rFonts w:ascii="Arial" w:cs="Arial" w:eastAsia="Arial" w:hAnsi="Arial"/>
          <w:sz w:val="22"/>
          <w:szCs w:val="22"/>
          <w:b w:val="1"/>
          <w:bCs w:val="1"/>
          <w:color w:val="auto"/>
        </w:rPr>
        <w:t>Conference Call and Web Cast</w:t>
      </w:r>
    </w:p>
    <w:p>
      <w:pPr>
        <w:spacing w:after="0" w:line="213" w:lineRule="exact"/>
        <w:rPr>
          <w:sz w:val="20"/>
          <w:szCs w:val="20"/>
          <w:color w:val="auto"/>
        </w:rPr>
      </w:pPr>
    </w:p>
    <w:p>
      <w:pPr>
        <w:ind w:right="60"/>
        <w:spacing w:after="0" w:line="238" w:lineRule="auto"/>
        <w:rPr>
          <w:sz w:val="20"/>
          <w:szCs w:val="20"/>
          <w:color w:val="auto"/>
        </w:rPr>
      </w:pPr>
      <w:r>
        <w:rPr>
          <w:rFonts w:ascii="Arial" w:cs="Arial" w:eastAsia="Arial" w:hAnsi="Arial"/>
          <w:sz w:val="22"/>
          <w:szCs w:val="22"/>
          <w:color w:val="auto"/>
        </w:rPr>
        <w:t xml:space="preserve">Viad Corp will hold a conference call with investors and analysts for a review of first quarter 2009 results on Friday, May 1, 2009 at 9 a.m. (ET). To join the live conference call (800) 857-5472, passcode “Viad” or access the Web cast through Viad’s Web site at </w:t>
      </w:r>
      <w:r>
        <w:rPr>
          <w:rFonts w:ascii="Arial" w:cs="Arial" w:eastAsia="Arial" w:hAnsi="Arial"/>
          <w:sz w:val="22"/>
          <w:szCs w:val="22"/>
          <w:u w:val="single" w:color="auto"/>
          <w:color w:val="auto"/>
        </w:rPr>
        <w:t>www.viad.com</w:t>
      </w:r>
      <w:r>
        <w:rPr>
          <w:rFonts w:ascii="Arial" w:cs="Arial" w:eastAsia="Arial" w:hAnsi="Arial"/>
          <w:sz w:val="22"/>
          <w:szCs w:val="22"/>
          <w:color w:val="auto"/>
        </w:rPr>
        <w:t>. A replay will be available for a limited time at (800) 839-2236 (no passcode required) or visit the Viad Web site and link to a replay of the Web cast.</w:t>
      </w:r>
    </w:p>
    <w:p>
      <w:pPr>
        <w:spacing w:after="0" w:line="185" w:lineRule="exact"/>
        <w:rPr>
          <w:sz w:val="20"/>
          <w:szCs w:val="20"/>
          <w:color w:val="auto"/>
        </w:rPr>
      </w:pPr>
    </w:p>
    <w:p>
      <w:pPr>
        <w:ind w:right="420"/>
        <w:spacing w:after="0" w:line="328" w:lineRule="auto"/>
        <w:rPr>
          <w:sz w:val="20"/>
          <w:szCs w:val="20"/>
          <w:color w:val="auto"/>
        </w:rPr>
      </w:pPr>
      <w:r>
        <w:rPr>
          <w:rFonts w:ascii="Arial" w:cs="Arial" w:eastAsia="Arial" w:hAnsi="Arial"/>
          <w:sz w:val="19"/>
          <w:szCs w:val="19"/>
          <w:color w:val="auto"/>
        </w:rPr>
        <w:t xml:space="preserve">Viad is an S&amp;P SmallCap 600 company. Major operating companies include GES Exposition Services, Exhibitgroup/Giltspur, Brewster and Glacier Park, Inc. For more information, visit the company's Web site at </w:t>
      </w:r>
      <w:r>
        <w:rPr>
          <w:rFonts w:ascii="Arial" w:cs="Arial" w:eastAsia="Arial" w:hAnsi="Arial"/>
          <w:sz w:val="19"/>
          <w:szCs w:val="19"/>
          <w:u w:val="single" w:color="auto"/>
          <w:color w:val="auto"/>
        </w:rPr>
        <w:t>www.viad.com</w:t>
      </w:r>
      <w:r>
        <w:rPr>
          <w:rFonts w:ascii="Arial" w:cs="Arial" w:eastAsia="Arial" w:hAnsi="Arial"/>
          <w:sz w:val="19"/>
          <w:szCs w:val="19"/>
          <w:color w:val="auto"/>
        </w:rPr>
        <w:t>.</w:t>
      </w:r>
    </w:p>
    <w:p>
      <w:pPr>
        <w:spacing w:after="0" w:line="105"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Forward-Looking Statements</w:t>
      </w:r>
    </w:p>
    <w:p>
      <w:pPr>
        <w:spacing w:after="0" w:line="206" w:lineRule="exact"/>
        <w:rPr>
          <w:sz w:val="20"/>
          <w:szCs w:val="20"/>
          <w:color w:val="auto"/>
        </w:rPr>
      </w:pPr>
    </w:p>
    <w:p>
      <w:pPr>
        <w:spacing w:after="0" w:line="271" w:lineRule="auto"/>
        <w:rPr>
          <w:sz w:val="20"/>
          <w:szCs w:val="20"/>
          <w:color w:val="auto"/>
        </w:rPr>
      </w:pPr>
      <w:r>
        <w:rPr>
          <w:rFonts w:ascii="Arial" w:cs="Arial" w:eastAsia="Arial" w:hAnsi="Arial"/>
          <w:sz w:val="19"/>
          <w:szCs w:val="19"/>
          <w:i w:val="1"/>
          <w:iCs w:val="1"/>
          <w:color w:val="auto"/>
        </w:rPr>
        <w:t>As provided by the safe harbor provision under the “Private Securities Litigation Reform Act of 1995,” Viad cautions readers that, in addition to historical information contained herein, this press release includes certain information, assumptions and discussions that may constitute forward-looking statements. These forward-looking statements are not historical facts, but reflect current estimates, projections, expectations, or trends concerning future growth, operating cash flows, availability of short-term borrowings, consumer demand, new business, investment policies, productivity improvements, ongoing cost reduction efforts, efficiency, competitiveness, legal expenses, tax rates and other tax matters, foreign exchange rates, and the realization of restructuring cost savings. Actual results could differ materially from those discussed in the forward-looking statements. Viad’s businesses can be affected by a host of risks and uncertainties. Among other things, natural disasters, gains and losses of customers, consumer demand patterns, labor relations, purchasing decisions related to customer demand for exhibition and event services, existing and new competition, industry alliances, consolidation and growth patterns within the industries in which Viad competes, acquisitions, adverse developments in liabilities associated with discontinued operations and any deterioration in the economy, may individually or in combination impact future results. In addition to factors mentioned elsewhere, economic, competitive, governmental, technological, capital marketplace and other factors, including terrorist activities or war, a pandemic health crisis and international conditions, could affect the forward-looking statements in this press release. Additional information concerning business and other risk factors that could cause actual results to materially differ from those in the forward-looking statements can be found in Viad’s annual and quarterly reports filed with the Securities and Exchange Commission.</w:t>
      </w:r>
    </w:p>
    <w:p>
      <w:pPr>
        <w:spacing w:after="0" w:line="158" w:lineRule="exact"/>
        <w:rPr>
          <w:sz w:val="20"/>
          <w:szCs w:val="20"/>
          <w:color w:val="auto"/>
        </w:rPr>
      </w:pPr>
    </w:p>
    <w:p>
      <w:pPr>
        <w:ind w:right="200"/>
        <w:spacing w:after="0" w:line="236" w:lineRule="auto"/>
        <w:rPr>
          <w:sz w:val="20"/>
          <w:szCs w:val="20"/>
          <w:color w:val="auto"/>
        </w:rPr>
      </w:pPr>
      <w:r>
        <w:rPr>
          <w:rFonts w:ascii="Arial" w:cs="Arial" w:eastAsia="Arial" w:hAnsi="Arial"/>
          <w:sz w:val="22"/>
          <w:szCs w:val="22"/>
          <w:i w:val="1"/>
          <w:iCs w:val="1"/>
          <w:color w:val="auto"/>
        </w:rPr>
        <w:t>Information about Viad Corp obtained from sources other than the company may be out-of-date or incorrect. Please rely only on company press releases, SEC filings and other information provided by the company, keeping in mind that forward-looking statements speak only as of the date made. Viad undertakes no obligation to update any forward-looking statements, including prior forward-looking statements, to reflect events or circumstances arising after the date as of which the forward-looking statements were made.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120015</wp:posOffset>
            </wp:positionV>
            <wp:extent cx="7272020" cy="596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72020" cy="59690"/>
                    </a:xfrm>
                    <a:prstGeom prst="rect">
                      <a:avLst/>
                    </a:prstGeom>
                    <a:noFill/>
                  </pic:spPr>
                </pic:pic>
              </a:graphicData>
            </a:graphic>
          </wp:anchor>
        </w:drawing>
      </w:r>
    </w:p>
    <w:p>
      <w:pPr>
        <w:sectPr>
          <w:pgSz w:w="11900" w:h="16838" w:orient="portrait"/>
          <w:cols w:equalWidth="0" w:num="1">
            <w:col w:w="11340"/>
          </w:cols>
          <w:pgMar w:left="240" w:top="112" w:right="319" w:bottom="1440" w:gutter="0" w:footer="0" w:header="0"/>
        </w:sectPr>
      </w:pPr>
    </w:p>
    <w:bookmarkStart w:id="11" w:name="page12"/>
    <w:bookmarkEnd w:id="11"/>
    <w:p>
      <w:pPr>
        <w:jc w:val="center"/>
        <w:spacing w:after="0"/>
        <w:rPr>
          <w:sz w:val="20"/>
          <w:szCs w:val="20"/>
          <w:color w:val="auto"/>
        </w:rPr>
      </w:pPr>
      <w:r>
        <w:rPr>
          <w:rFonts w:ascii="Arial" w:cs="Arial" w:eastAsia="Arial" w:hAnsi="Arial"/>
          <w:sz w:val="14"/>
          <w:szCs w:val="14"/>
          <w:b w:val="1"/>
          <w:bCs w:val="1"/>
          <w:color w:val="auto"/>
        </w:rPr>
        <w:t>VIAD CORP AND SUBSIDIARIES</w:t>
      </w:r>
    </w:p>
    <w:p>
      <w:pPr>
        <w:spacing w:after="0" w:line="25"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TABLE ONE - QUARTERLY RESULTS</w:t>
      </w:r>
    </w:p>
    <w:p>
      <w:pPr>
        <w:spacing w:after="0" w:line="15"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(UNAUDITED)</w:t>
      </w:r>
    </w:p>
    <w:p>
      <w:pPr>
        <w:spacing w:after="0" w:line="359" w:lineRule="exact"/>
        <w:rPr>
          <w:sz w:val="20"/>
          <w:szCs w:val="20"/>
          <w:color w:val="auto"/>
        </w:rPr>
      </w:pPr>
    </w:p>
    <w:tbl>
      <w:tblPr>
        <w:tblLayout w:type="fixed"/>
        <w:tblInd w:w="0" w:type="dxa"/>
        <w:tblCellMar>
          <w:top w:w="0" w:type="dxa"/>
          <w:left w:w="0" w:type="dxa"/>
          <w:bottom w:w="0" w:type="dxa"/>
          <w:right w:w="0" w:type="dxa"/>
        </w:tblCellMar>
      </w:tblPr>
      <w:tr>
        <w:trPr>
          <w:trHeight w:val="181"/>
        </w:trPr>
        <w:tc>
          <w:tcPr>
            <w:tcW w:w="7980" w:type="dxa"/>
            <w:vAlign w:val="bottom"/>
          </w:tcPr>
          <w:p>
            <w:pPr>
              <w:spacing w:after="0"/>
              <w:rPr>
                <w:sz w:val="15"/>
                <w:szCs w:val="15"/>
                <w:color w:val="auto"/>
              </w:rPr>
            </w:pPr>
          </w:p>
        </w:tc>
        <w:tc>
          <w:tcPr>
            <w:tcW w:w="300" w:type="dxa"/>
            <w:vAlign w:val="bottom"/>
            <w:tcBorders>
              <w:bottom w:val="single" w:sz="8" w:color="auto"/>
            </w:tcBorders>
          </w:tcPr>
          <w:p>
            <w:pPr>
              <w:spacing w:after="0"/>
              <w:rPr>
                <w:sz w:val="15"/>
                <w:szCs w:val="15"/>
                <w:color w:val="auto"/>
              </w:rPr>
            </w:pPr>
          </w:p>
        </w:tc>
        <w:tc>
          <w:tcPr>
            <w:tcW w:w="2440" w:type="dxa"/>
            <w:vAlign w:val="bottom"/>
            <w:tcBorders>
              <w:bottom w:val="single" w:sz="8" w:color="auto"/>
            </w:tcBorders>
            <w:gridSpan w:val="6"/>
          </w:tcPr>
          <w:p>
            <w:pPr>
              <w:ind w:left="520"/>
              <w:spacing w:after="0"/>
              <w:rPr>
                <w:sz w:val="20"/>
                <w:szCs w:val="20"/>
                <w:color w:val="auto"/>
              </w:rPr>
            </w:pPr>
            <w:r>
              <w:rPr>
                <w:rFonts w:ascii="Arial" w:cs="Arial" w:eastAsia="Arial" w:hAnsi="Arial"/>
                <w:sz w:val="14"/>
                <w:szCs w:val="14"/>
                <w:color w:val="auto"/>
                <w:w w:val="97"/>
              </w:rPr>
              <w:t>Three months ended March 31,</w:t>
            </w:r>
          </w:p>
        </w:tc>
        <w:tc>
          <w:tcPr>
            <w:tcW w:w="70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69"/>
        </w:trPr>
        <w:tc>
          <w:tcPr>
            <w:tcW w:w="7980" w:type="dxa"/>
            <w:vAlign w:val="bottom"/>
          </w:tcPr>
          <w:p>
            <w:pPr>
              <w:spacing w:after="0"/>
              <w:rPr>
                <w:sz w:val="20"/>
                <w:szCs w:val="20"/>
                <w:color w:val="auto"/>
              </w:rPr>
            </w:pPr>
            <w:r>
              <w:rPr>
                <w:rFonts w:ascii="Arial" w:cs="Arial" w:eastAsia="Arial" w:hAnsi="Arial"/>
                <w:sz w:val="14"/>
                <w:szCs w:val="14"/>
                <w:color w:val="auto"/>
              </w:rPr>
              <w:t>(000 omitted, except per share data)</w:t>
            </w:r>
          </w:p>
        </w:tc>
        <w:tc>
          <w:tcPr>
            <w:tcW w:w="30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tcPr>
          <w:p>
            <w:pPr>
              <w:jc w:val="right"/>
              <w:ind w:right="368"/>
              <w:spacing w:after="0"/>
              <w:rPr>
                <w:sz w:val="20"/>
                <w:szCs w:val="20"/>
                <w:color w:val="auto"/>
              </w:rPr>
            </w:pPr>
            <w:r>
              <w:rPr>
                <w:rFonts w:ascii="Arial" w:cs="Arial" w:eastAsia="Arial" w:hAnsi="Arial"/>
                <w:sz w:val="14"/>
                <w:szCs w:val="14"/>
                <w:color w:val="auto"/>
              </w:rPr>
              <w:t>2009</w:t>
            </w:r>
          </w:p>
        </w:tc>
        <w:tc>
          <w:tcPr>
            <w:tcW w:w="120" w:type="dxa"/>
            <w:vAlign w:val="bottom"/>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tcPr>
          <w:p>
            <w:pPr>
              <w:jc w:val="right"/>
              <w:ind w:right="368"/>
              <w:spacing w:after="0"/>
              <w:rPr>
                <w:sz w:val="20"/>
                <w:szCs w:val="20"/>
                <w:color w:val="auto"/>
              </w:rPr>
            </w:pPr>
            <w:r>
              <w:rPr>
                <w:rFonts w:ascii="Arial" w:cs="Arial" w:eastAsia="Arial" w:hAnsi="Arial"/>
                <w:sz w:val="14"/>
                <w:szCs w:val="14"/>
                <w:color w:val="auto"/>
              </w:rPr>
              <w:t>2008</w:t>
            </w:r>
          </w:p>
        </w:tc>
        <w:tc>
          <w:tcPr>
            <w:tcW w:w="12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right"/>
              <w:ind w:right="30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520"/>
        </w:trPr>
        <w:tc>
          <w:tcPr>
            <w:tcW w:w="7980" w:type="dxa"/>
            <w:vAlign w:val="bottom"/>
          </w:tcPr>
          <w:p>
            <w:pPr>
              <w:spacing w:after="0"/>
              <w:rPr>
                <w:sz w:val="20"/>
                <w:szCs w:val="20"/>
                <w:color w:val="auto"/>
              </w:rPr>
            </w:pPr>
            <w:r>
              <w:rPr>
                <w:rFonts w:ascii="Arial" w:cs="Arial" w:eastAsia="Arial" w:hAnsi="Arial"/>
                <w:sz w:val="14"/>
                <w:szCs w:val="14"/>
                <w:b w:val="1"/>
                <w:bCs w:val="1"/>
                <w:color w:val="auto"/>
              </w:rPr>
              <w:t>Revenues (Note A)</w:t>
            </w:r>
          </w:p>
        </w:tc>
        <w:tc>
          <w:tcPr>
            <w:tcW w:w="30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b w:val="1"/>
                <w:bCs w:val="1"/>
                <w:color w:val="auto"/>
              </w:rPr>
              <w:t>$</w:t>
            </w:r>
          </w:p>
        </w:tc>
        <w:tc>
          <w:tcPr>
            <w:tcW w:w="8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b w:val="1"/>
                <w:bCs w:val="1"/>
                <w:color w:val="auto"/>
              </w:rPr>
              <w:t>240,949</w:t>
            </w:r>
          </w:p>
        </w:tc>
        <w:tc>
          <w:tcPr>
            <w:tcW w:w="120" w:type="dxa"/>
            <w:vAlign w:val="bottom"/>
          </w:tcPr>
          <w:p>
            <w:pPr>
              <w:spacing w:after="0"/>
              <w:rPr>
                <w:sz w:val="24"/>
                <w:szCs w:val="24"/>
                <w:color w:val="auto"/>
              </w:rPr>
            </w:pPr>
          </w:p>
        </w:tc>
        <w:tc>
          <w:tcPr>
            <w:tcW w:w="30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b w:val="1"/>
                <w:bCs w:val="1"/>
                <w:color w:val="auto"/>
              </w:rPr>
              <w:t>$</w:t>
            </w:r>
          </w:p>
        </w:tc>
        <w:tc>
          <w:tcPr>
            <w:tcW w:w="8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b w:val="1"/>
                <w:bCs w:val="1"/>
                <w:color w:val="auto"/>
              </w:rPr>
              <w:t>335,445</w:t>
            </w:r>
          </w:p>
        </w:tc>
        <w:tc>
          <w:tcPr>
            <w:tcW w:w="120" w:type="dxa"/>
            <w:vAlign w:val="bottom"/>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70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b w:val="1"/>
                <w:bCs w:val="1"/>
                <w:color w:val="auto"/>
              </w:rPr>
              <w:t>-28.2%</w:t>
            </w:r>
          </w:p>
        </w:tc>
        <w:tc>
          <w:tcPr>
            <w:tcW w:w="0" w:type="dxa"/>
            <w:vAlign w:val="bottom"/>
          </w:tcPr>
          <w:p>
            <w:pPr>
              <w:spacing w:after="0"/>
              <w:rPr>
                <w:sz w:val="1"/>
                <w:szCs w:val="1"/>
                <w:color w:val="auto"/>
              </w:rPr>
            </w:pPr>
          </w:p>
        </w:tc>
      </w:tr>
      <w:tr>
        <w:trPr>
          <w:trHeight w:val="20"/>
        </w:trPr>
        <w:tc>
          <w:tcPr>
            <w:tcW w:w="798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02"/>
        </w:trPr>
        <w:tc>
          <w:tcPr>
            <w:tcW w:w="7980" w:type="dxa"/>
            <w:vAlign w:val="bottom"/>
          </w:tcPr>
          <w:p>
            <w:pPr>
              <w:spacing w:after="0"/>
              <w:rPr>
                <w:sz w:val="20"/>
                <w:szCs w:val="20"/>
                <w:color w:val="auto"/>
              </w:rPr>
            </w:pPr>
            <w:r>
              <w:rPr>
                <w:rFonts w:ascii="Arial" w:cs="Arial" w:eastAsia="Arial" w:hAnsi="Arial"/>
                <w:sz w:val="14"/>
                <w:szCs w:val="14"/>
                <w:b w:val="1"/>
                <w:bCs w:val="1"/>
                <w:color w:val="auto"/>
              </w:rPr>
              <w:t>Segment operating income (Note A)</w:t>
            </w:r>
          </w:p>
        </w:tc>
        <w:tc>
          <w:tcPr>
            <w:tcW w:w="300" w:type="dxa"/>
            <w:vAlign w:val="bottom"/>
          </w:tcPr>
          <w:p>
            <w:pPr>
              <w:jc w:val="right"/>
              <w:ind w:right="68"/>
              <w:spacing w:after="0"/>
              <w:rPr>
                <w:sz w:val="20"/>
                <w:szCs w:val="20"/>
                <w:color w:val="auto"/>
              </w:rPr>
            </w:pPr>
            <w:r>
              <w:rPr>
                <w:rFonts w:ascii="Arial" w:cs="Arial" w:eastAsia="Arial" w:hAnsi="Arial"/>
                <w:sz w:val="14"/>
                <w:szCs w:val="14"/>
                <w:b w:val="1"/>
                <w:bCs w:val="1"/>
                <w:color w:val="auto"/>
              </w:rPr>
              <w:t>$</w:t>
            </w:r>
          </w:p>
        </w:tc>
        <w:tc>
          <w:tcPr>
            <w:tcW w:w="860" w:type="dxa"/>
            <w:vAlign w:val="bottom"/>
          </w:tcPr>
          <w:p>
            <w:pPr>
              <w:jc w:val="right"/>
              <w:ind w:right="48"/>
              <w:spacing w:after="0"/>
              <w:rPr>
                <w:sz w:val="20"/>
                <w:szCs w:val="20"/>
                <w:color w:val="auto"/>
              </w:rPr>
            </w:pPr>
            <w:r>
              <w:rPr>
                <w:rFonts w:ascii="Arial" w:cs="Arial" w:eastAsia="Arial" w:hAnsi="Arial"/>
                <w:sz w:val="14"/>
                <w:szCs w:val="14"/>
                <w:b w:val="1"/>
                <w:bCs w:val="1"/>
                <w:color w:val="auto"/>
              </w:rPr>
              <w:t>6,667</w:t>
            </w:r>
          </w:p>
        </w:tc>
        <w:tc>
          <w:tcPr>
            <w:tcW w:w="420" w:type="dxa"/>
            <w:vAlign w:val="bottom"/>
            <w:gridSpan w:val="2"/>
          </w:tcPr>
          <w:p>
            <w:pPr>
              <w:jc w:val="right"/>
              <w:ind w:right="88"/>
              <w:spacing w:after="0"/>
              <w:rPr>
                <w:sz w:val="20"/>
                <w:szCs w:val="20"/>
                <w:color w:val="auto"/>
              </w:rPr>
            </w:pPr>
            <w:r>
              <w:rPr>
                <w:rFonts w:ascii="Arial" w:cs="Arial" w:eastAsia="Arial" w:hAnsi="Arial"/>
                <w:sz w:val="14"/>
                <w:szCs w:val="14"/>
                <w:b w:val="1"/>
                <w:bCs w:val="1"/>
                <w:color w:val="auto"/>
              </w:rPr>
              <w:t>$</w:t>
            </w:r>
          </w:p>
        </w:tc>
        <w:tc>
          <w:tcPr>
            <w:tcW w:w="860" w:type="dxa"/>
            <w:vAlign w:val="bottom"/>
          </w:tcPr>
          <w:p>
            <w:pPr>
              <w:jc w:val="right"/>
              <w:ind w:right="48"/>
              <w:spacing w:after="0"/>
              <w:rPr>
                <w:sz w:val="20"/>
                <w:szCs w:val="20"/>
                <w:color w:val="auto"/>
              </w:rPr>
            </w:pPr>
            <w:r>
              <w:rPr>
                <w:rFonts w:ascii="Arial" w:cs="Arial" w:eastAsia="Arial" w:hAnsi="Arial"/>
                <w:sz w:val="14"/>
                <w:szCs w:val="14"/>
                <w:b w:val="1"/>
                <w:bCs w:val="1"/>
                <w:color w:val="auto"/>
              </w:rPr>
              <w:t>28,580</w:t>
            </w: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00" w:type="dxa"/>
            <w:vAlign w:val="bottom"/>
          </w:tcPr>
          <w:p>
            <w:pPr>
              <w:jc w:val="right"/>
              <w:ind w:right="88"/>
              <w:spacing w:after="0"/>
              <w:rPr>
                <w:sz w:val="20"/>
                <w:szCs w:val="20"/>
                <w:color w:val="auto"/>
              </w:rPr>
            </w:pPr>
            <w:r>
              <w:rPr>
                <w:rFonts w:ascii="Arial" w:cs="Arial" w:eastAsia="Arial" w:hAnsi="Arial"/>
                <w:sz w:val="14"/>
                <w:szCs w:val="14"/>
                <w:b w:val="1"/>
                <w:bCs w:val="1"/>
                <w:color w:val="auto"/>
              </w:rPr>
              <w:t>-76.7%</w:t>
            </w:r>
          </w:p>
        </w:tc>
        <w:tc>
          <w:tcPr>
            <w:tcW w:w="0" w:type="dxa"/>
            <w:vAlign w:val="bottom"/>
          </w:tcPr>
          <w:p>
            <w:pPr>
              <w:spacing w:after="0"/>
              <w:rPr>
                <w:sz w:val="1"/>
                <w:szCs w:val="1"/>
                <w:color w:val="auto"/>
              </w:rPr>
            </w:pPr>
          </w:p>
        </w:tc>
      </w:tr>
      <w:tr>
        <w:trPr>
          <w:trHeight w:val="176"/>
        </w:trPr>
        <w:tc>
          <w:tcPr>
            <w:tcW w:w="7980" w:type="dxa"/>
            <w:vAlign w:val="bottom"/>
          </w:tcPr>
          <w:p>
            <w:pPr>
              <w:spacing w:after="0"/>
              <w:rPr>
                <w:sz w:val="20"/>
                <w:szCs w:val="20"/>
                <w:color w:val="auto"/>
              </w:rPr>
            </w:pPr>
            <w:r>
              <w:rPr>
                <w:rFonts w:ascii="Arial" w:cs="Arial" w:eastAsia="Arial" w:hAnsi="Arial"/>
                <w:sz w:val="14"/>
                <w:szCs w:val="14"/>
                <w:color w:val="auto"/>
              </w:rPr>
              <w:t>Corporate activities</w:t>
            </w:r>
          </w:p>
        </w:tc>
        <w:tc>
          <w:tcPr>
            <w:tcW w:w="300" w:type="dxa"/>
            <w:vAlign w:val="bottom"/>
          </w:tcPr>
          <w:p>
            <w:pPr>
              <w:spacing w:after="0"/>
              <w:rPr>
                <w:sz w:val="15"/>
                <w:szCs w:val="15"/>
                <w:color w:val="auto"/>
              </w:rPr>
            </w:pPr>
          </w:p>
        </w:tc>
        <w:tc>
          <w:tcPr>
            <w:tcW w:w="860" w:type="dxa"/>
            <w:vAlign w:val="bottom"/>
          </w:tcPr>
          <w:p>
            <w:pPr>
              <w:jc w:val="right"/>
              <w:ind w:right="8"/>
              <w:spacing w:after="0"/>
              <w:rPr>
                <w:sz w:val="20"/>
                <w:szCs w:val="20"/>
                <w:color w:val="auto"/>
              </w:rPr>
            </w:pPr>
            <w:r>
              <w:rPr>
                <w:rFonts w:ascii="Arial" w:cs="Arial" w:eastAsia="Arial" w:hAnsi="Arial"/>
                <w:sz w:val="14"/>
                <w:szCs w:val="14"/>
                <w:color w:val="auto"/>
              </w:rPr>
              <w:t>(1,503)</w:t>
            </w:r>
          </w:p>
        </w:tc>
        <w:tc>
          <w:tcPr>
            <w:tcW w:w="12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860" w:type="dxa"/>
            <w:vAlign w:val="bottom"/>
          </w:tcPr>
          <w:p>
            <w:pPr>
              <w:jc w:val="right"/>
              <w:ind w:right="8"/>
              <w:spacing w:after="0"/>
              <w:rPr>
                <w:sz w:val="20"/>
                <w:szCs w:val="20"/>
                <w:color w:val="auto"/>
              </w:rPr>
            </w:pPr>
            <w:r>
              <w:rPr>
                <w:rFonts w:ascii="Arial" w:cs="Arial" w:eastAsia="Arial" w:hAnsi="Arial"/>
                <w:sz w:val="14"/>
                <w:szCs w:val="14"/>
                <w:color w:val="auto"/>
              </w:rPr>
              <w:t>(2,434)</w:t>
            </w:r>
          </w:p>
        </w:tc>
        <w:tc>
          <w:tcPr>
            <w:tcW w:w="1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700" w:type="dxa"/>
            <w:vAlign w:val="bottom"/>
          </w:tcPr>
          <w:p>
            <w:pPr>
              <w:jc w:val="right"/>
              <w:ind w:right="108"/>
              <w:spacing w:after="0"/>
              <w:rPr>
                <w:sz w:val="20"/>
                <w:szCs w:val="20"/>
                <w:color w:val="auto"/>
              </w:rPr>
            </w:pPr>
            <w:r>
              <w:rPr>
                <w:rFonts w:ascii="Arial" w:cs="Arial" w:eastAsia="Arial" w:hAnsi="Arial"/>
                <w:sz w:val="14"/>
                <w:szCs w:val="14"/>
                <w:color w:val="auto"/>
              </w:rPr>
              <w:t>38.2%</w:t>
            </w:r>
          </w:p>
        </w:tc>
        <w:tc>
          <w:tcPr>
            <w:tcW w:w="0" w:type="dxa"/>
            <w:vAlign w:val="bottom"/>
          </w:tcPr>
          <w:p>
            <w:pPr>
              <w:spacing w:after="0"/>
              <w:rPr>
                <w:sz w:val="1"/>
                <w:szCs w:val="1"/>
                <w:color w:val="auto"/>
              </w:rPr>
            </w:pPr>
          </w:p>
        </w:tc>
      </w:tr>
      <w:tr>
        <w:trPr>
          <w:trHeight w:val="176"/>
        </w:trPr>
        <w:tc>
          <w:tcPr>
            <w:tcW w:w="7980" w:type="dxa"/>
            <w:vAlign w:val="bottom"/>
          </w:tcPr>
          <w:p>
            <w:pPr>
              <w:spacing w:after="0"/>
              <w:rPr>
                <w:sz w:val="20"/>
                <w:szCs w:val="20"/>
                <w:color w:val="auto"/>
              </w:rPr>
            </w:pPr>
            <w:r>
              <w:rPr>
                <w:rFonts w:ascii="Arial" w:cs="Arial" w:eastAsia="Arial" w:hAnsi="Arial"/>
                <w:sz w:val="14"/>
                <w:szCs w:val="14"/>
                <w:color w:val="auto"/>
              </w:rPr>
              <w:t>Restructuring charges (Note B)</w:t>
            </w:r>
          </w:p>
        </w:tc>
        <w:tc>
          <w:tcPr>
            <w:tcW w:w="300" w:type="dxa"/>
            <w:vAlign w:val="bottom"/>
          </w:tcPr>
          <w:p>
            <w:pPr>
              <w:spacing w:after="0"/>
              <w:rPr>
                <w:sz w:val="15"/>
                <w:szCs w:val="15"/>
                <w:color w:val="auto"/>
              </w:rPr>
            </w:pPr>
          </w:p>
        </w:tc>
        <w:tc>
          <w:tcPr>
            <w:tcW w:w="860" w:type="dxa"/>
            <w:vAlign w:val="bottom"/>
          </w:tcPr>
          <w:p>
            <w:pPr>
              <w:jc w:val="right"/>
              <w:ind w:right="8"/>
              <w:spacing w:after="0"/>
              <w:rPr>
                <w:sz w:val="20"/>
                <w:szCs w:val="20"/>
                <w:color w:val="auto"/>
              </w:rPr>
            </w:pPr>
            <w:r>
              <w:rPr>
                <w:rFonts w:ascii="Arial" w:cs="Arial" w:eastAsia="Arial" w:hAnsi="Arial"/>
                <w:sz w:val="14"/>
                <w:szCs w:val="14"/>
                <w:color w:val="auto"/>
              </w:rPr>
              <w:t>(2,732)</w:t>
            </w:r>
          </w:p>
        </w:tc>
        <w:tc>
          <w:tcPr>
            <w:tcW w:w="12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700" w:type="dxa"/>
            <w:vAlign w:val="bottom"/>
          </w:tcPr>
          <w:p>
            <w:pPr>
              <w:jc w:val="right"/>
              <w:ind w:right="30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81"/>
        </w:trPr>
        <w:tc>
          <w:tcPr>
            <w:tcW w:w="7980" w:type="dxa"/>
            <w:vAlign w:val="bottom"/>
          </w:tcPr>
          <w:p>
            <w:pPr>
              <w:spacing w:after="0"/>
              <w:rPr>
                <w:sz w:val="20"/>
                <w:szCs w:val="20"/>
                <w:color w:val="auto"/>
              </w:rPr>
            </w:pPr>
            <w:r>
              <w:rPr>
                <w:rFonts w:ascii="Arial" w:cs="Arial" w:eastAsia="Arial" w:hAnsi="Arial"/>
                <w:sz w:val="14"/>
                <w:szCs w:val="14"/>
                <w:color w:val="auto"/>
              </w:rPr>
              <w:t>Net interest income (expense)</w:t>
            </w:r>
          </w:p>
        </w:tc>
        <w:tc>
          <w:tcPr>
            <w:tcW w:w="300" w:type="dxa"/>
            <w:vAlign w:val="bottom"/>
            <w:tcBorders>
              <w:bottom w:val="single" w:sz="8" w:color="auto"/>
            </w:tcBorders>
          </w:tcPr>
          <w:p>
            <w:pPr>
              <w:spacing w:after="0"/>
              <w:rPr>
                <w:sz w:val="15"/>
                <w:szCs w:val="15"/>
                <w:color w:val="auto"/>
              </w:rPr>
            </w:pPr>
          </w:p>
        </w:tc>
        <w:tc>
          <w:tcPr>
            <w:tcW w:w="86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(159)</w:t>
            </w:r>
          </w:p>
        </w:tc>
        <w:tc>
          <w:tcPr>
            <w:tcW w:w="120" w:type="dxa"/>
            <w:vAlign w:val="bottom"/>
          </w:tcPr>
          <w:p>
            <w:pPr>
              <w:spacing w:after="0"/>
              <w:rPr>
                <w:sz w:val="15"/>
                <w:szCs w:val="15"/>
                <w:color w:val="auto"/>
              </w:rPr>
            </w:pPr>
          </w:p>
        </w:tc>
        <w:tc>
          <w:tcPr>
            <w:tcW w:w="300" w:type="dxa"/>
            <w:vAlign w:val="bottom"/>
            <w:tcBorders>
              <w:bottom w:val="single" w:sz="8" w:color="auto"/>
            </w:tcBorders>
          </w:tcPr>
          <w:p>
            <w:pPr>
              <w:spacing w:after="0"/>
              <w:rPr>
                <w:sz w:val="15"/>
                <w:szCs w:val="15"/>
                <w:color w:val="auto"/>
              </w:rPr>
            </w:pPr>
          </w:p>
        </w:tc>
        <w:tc>
          <w:tcPr>
            <w:tcW w:w="8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637</w:t>
            </w:r>
          </w:p>
        </w:tc>
        <w:tc>
          <w:tcPr>
            <w:tcW w:w="120" w:type="dxa"/>
            <w:vAlign w:val="bottom"/>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700" w:type="dxa"/>
            <w:vAlign w:val="bottom"/>
            <w:tcBorders>
              <w:bottom w:val="single" w:sz="8" w:color="auto"/>
            </w:tcBorders>
          </w:tcPr>
          <w:p>
            <w:pPr>
              <w:jc w:val="right"/>
              <w:ind w:right="30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64"/>
        </w:trPr>
        <w:tc>
          <w:tcPr>
            <w:tcW w:w="7980" w:type="dxa"/>
            <w:vAlign w:val="bottom"/>
          </w:tcPr>
          <w:p>
            <w:pPr>
              <w:spacing w:after="0"/>
              <w:rPr>
                <w:sz w:val="20"/>
                <w:szCs w:val="20"/>
                <w:color w:val="auto"/>
              </w:rPr>
            </w:pPr>
            <w:r>
              <w:rPr>
                <w:rFonts w:ascii="Arial" w:cs="Arial" w:eastAsia="Arial" w:hAnsi="Arial"/>
                <w:sz w:val="14"/>
                <w:szCs w:val="14"/>
                <w:color w:val="auto"/>
              </w:rPr>
              <w:t>Income before income taxes</w:t>
            </w:r>
          </w:p>
        </w:tc>
        <w:tc>
          <w:tcPr>
            <w:tcW w:w="300" w:type="dxa"/>
            <w:vAlign w:val="bottom"/>
          </w:tcPr>
          <w:p>
            <w:pPr>
              <w:spacing w:after="0"/>
              <w:rPr>
                <w:sz w:val="14"/>
                <w:szCs w:val="14"/>
                <w:color w:val="auto"/>
              </w:rPr>
            </w:pP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2,273</w:t>
            </w:r>
          </w:p>
        </w:tc>
        <w:tc>
          <w:tcPr>
            <w:tcW w:w="1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26,783</w:t>
            </w:r>
          </w:p>
        </w:tc>
        <w:tc>
          <w:tcPr>
            <w:tcW w:w="1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00" w:type="dxa"/>
            <w:vAlign w:val="bottom"/>
          </w:tcPr>
          <w:p>
            <w:pPr>
              <w:jc w:val="right"/>
              <w:ind w:right="108"/>
              <w:spacing w:after="0"/>
              <w:rPr>
                <w:sz w:val="20"/>
                <w:szCs w:val="20"/>
                <w:color w:val="auto"/>
              </w:rPr>
            </w:pPr>
            <w:r>
              <w:rPr>
                <w:rFonts w:ascii="Arial" w:cs="Arial" w:eastAsia="Arial" w:hAnsi="Arial"/>
                <w:sz w:val="14"/>
                <w:szCs w:val="14"/>
                <w:color w:val="auto"/>
              </w:rPr>
              <w:t>-91.5%</w:t>
            </w:r>
          </w:p>
        </w:tc>
        <w:tc>
          <w:tcPr>
            <w:tcW w:w="0" w:type="dxa"/>
            <w:vAlign w:val="bottom"/>
          </w:tcPr>
          <w:p>
            <w:pPr>
              <w:spacing w:after="0"/>
              <w:rPr>
                <w:sz w:val="1"/>
                <w:szCs w:val="1"/>
                <w:color w:val="auto"/>
              </w:rPr>
            </w:pPr>
          </w:p>
        </w:tc>
      </w:tr>
      <w:tr>
        <w:trPr>
          <w:trHeight w:val="181"/>
        </w:trPr>
        <w:tc>
          <w:tcPr>
            <w:tcW w:w="7980" w:type="dxa"/>
            <w:vAlign w:val="bottom"/>
          </w:tcPr>
          <w:p>
            <w:pPr>
              <w:spacing w:after="0"/>
              <w:rPr>
                <w:sz w:val="20"/>
                <w:szCs w:val="20"/>
                <w:color w:val="auto"/>
              </w:rPr>
            </w:pPr>
            <w:r>
              <w:rPr>
                <w:rFonts w:ascii="Arial" w:cs="Arial" w:eastAsia="Arial" w:hAnsi="Arial"/>
                <w:sz w:val="14"/>
                <w:szCs w:val="14"/>
                <w:color w:val="auto"/>
              </w:rPr>
              <w:t>Income tax expense</w:t>
            </w:r>
          </w:p>
        </w:tc>
        <w:tc>
          <w:tcPr>
            <w:tcW w:w="300" w:type="dxa"/>
            <w:vAlign w:val="bottom"/>
            <w:tcBorders>
              <w:bottom w:val="single" w:sz="8" w:color="auto"/>
            </w:tcBorders>
          </w:tcPr>
          <w:p>
            <w:pPr>
              <w:spacing w:after="0"/>
              <w:rPr>
                <w:sz w:val="15"/>
                <w:szCs w:val="15"/>
                <w:color w:val="auto"/>
              </w:rPr>
            </w:pPr>
          </w:p>
        </w:tc>
        <w:tc>
          <w:tcPr>
            <w:tcW w:w="86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(901)</w:t>
            </w:r>
          </w:p>
        </w:tc>
        <w:tc>
          <w:tcPr>
            <w:tcW w:w="120" w:type="dxa"/>
            <w:vAlign w:val="bottom"/>
          </w:tcPr>
          <w:p>
            <w:pPr>
              <w:spacing w:after="0"/>
              <w:rPr>
                <w:sz w:val="15"/>
                <w:szCs w:val="15"/>
                <w:color w:val="auto"/>
              </w:rPr>
            </w:pPr>
          </w:p>
        </w:tc>
        <w:tc>
          <w:tcPr>
            <w:tcW w:w="300" w:type="dxa"/>
            <w:vAlign w:val="bottom"/>
            <w:tcBorders>
              <w:bottom w:val="single" w:sz="8" w:color="auto"/>
            </w:tcBorders>
          </w:tcPr>
          <w:p>
            <w:pPr>
              <w:spacing w:after="0"/>
              <w:rPr>
                <w:sz w:val="15"/>
                <w:szCs w:val="15"/>
                <w:color w:val="auto"/>
              </w:rPr>
            </w:pPr>
          </w:p>
        </w:tc>
        <w:tc>
          <w:tcPr>
            <w:tcW w:w="86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(10,190)</w:t>
            </w:r>
          </w:p>
        </w:tc>
        <w:tc>
          <w:tcPr>
            <w:tcW w:w="120" w:type="dxa"/>
            <w:vAlign w:val="bottom"/>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70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91.2%</w:t>
            </w:r>
          </w:p>
        </w:tc>
        <w:tc>
          <w:tcPr>
            <w:tcW w:w="0" w:type="dxa"/>
            <w:vAlign w:val="bottom"/>
          </w:tcPr>
          <w:p>
            <w:pPr>
              <w:spacing w:after="0"/>
              <w:rPr>
                <w:sz w:val="1"/>
                <w:szCs w:val="1"/>
                <w:color w:val="auto"/>
              </w:rPr>
            </w:pPr>
          </w:p>
        </w:tc>
      </w:tr>
      <w:tr>
        <w:trPr>
          <w:trHeight w:val="164"/>
        </w:trPr>
        <w:tc>
          <w:tcPr>
            <w:tcW w:w="7980" w:type="dxa"/>
            <w:vAlign w:val="bottom"/>
          </w:tcPr>
          <w:p>
            <w:pPr>
              <w:spacing w:after="0"/>
              <w:rPr>
                <w:sz w:val="20"/>
                <w:szCs w:val="20"/>
                <w:color w:val="auto"/>
              </w:rPr>
            </w:pPr>
            <w:r>
              <w:rPr>
                <w:rFonts w:ascii="Arial" w:cs="Arial" w:eastAsia="Arial" w:hAnsi="Arial"/>
                <w:sz w:val="14"/>
                <w:szCs w:val="14"/>
                <w:color w:val="auto"/>
              </w:rPr>
              <w:t>Net income</w:t>
            </w:r>
          </w:p>
        </w:tc>
        <w:tc>
          <w:tcPr>
            <w:tcW w:w="300" w:type="dxa"/>
            <w:vAlign w:val="bottom"/>
          </w:tcPr>
          <w:p>
            <w:pPr>
              <w:spacing w:after="0"/>
              <w:rPr>
                <w:sz w:val="14"/>
                <w:szCs w:val="14"/>
                <w:color w:val="auto"/>
              </w:rPr>
            </w:pP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1,372</w:t>
            </w:r>
          </w:p>
        </w:tc>
        <w:tc>
          <w:tcPr>
            <w:tcW w:w="1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16,593</w:t>
            </w:r>
          </w:p>
        </w:tc>
        <w:tc>
          <w:tcPr>
            <w:tcW w:w="1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00" w:type="dxa"/>
            <w:vAlign w:val="bottom"/>
          </w:tcPr>
          <w:p>
            <w:pPr>
              <w:jc w:val="right"/>
              <w:ind w:right="108"/>
              <w:spacing w:after="0"/>
              <w:rPr>
                <w:sz w:val="20"/>
                <w:szCs w:val="20"/>
                <w:color w:val="auto"/>
              </w:rPr>
            </w:pPr>
            <w:r>
              <w:rPr>
                <w:rFonts w:ascii="Arial" w:cs="Arial" w:eastAsia="Arial" w:hAnsi="Arial"/>
                <w:sz w:val="14"/>
                <w:szCs w:val="14"/>
                <w:color w:val="auto"/>
              </w:rPr>
              <w:t>-91.7%</w:t>
            </w:r>
          </w:p>
        </w:tc>
        <w:tc>
          <w:tcPr>
            <w:tcW w:w="0" w:type="dxa"/>
            <w:vAlign w:val="bottom"/>
          </w:tcPr>
          <w:p>
            <w:pPr>
              <w:spacing w:after="0"/>
              <w:rPr>
                <w:sz w:val="1"/>
                <w:szCs w:val="1"/>
                <w:color w:val="auto"/>
              </w:rPr>
            </w:pPr>
          </w:p>
        </w:tc>
      </w:tr>
      <w:tr>
        <w:trPr>
          <w:trHeight w:val="181"/>
        </w:trPr>
        <w:tc>
          <w:tcPr>
            <w:tcW w:w="7980" w:type="dxa"/>
            <w:vAlign w:val="bottom"/>
          </w:tcPr>
          <w:p>
            <w:pPr>
              <w:spacing w:after="0"/>
              <w:rPr>
                <w:sz w:val="20"/>
                <w:szCs w:val="20"/>
                <w:color w:val="auto"/>
              </w:rPr>
            </w:pPr>
            <w:r>
              <w:rPr>
                <w:rFonts w:ascii="Arial" w:cs="Arial" w:eastAsia="Arial" w:hAnsi="Arial"/>
                <w:sz w:val="14"/>
                <w:szCs w:val="14"/>
                <w:color w:val="auto"/>
              </w:rPr>
              <w:t>Net loss attributable to noncontrolling interest</w:t>
            </w:r>
          </w:p>
        </w:tc>
        <w:tc>
          <w:tcPr>
            <w:tcW w:w="300" w:type="dxa"/>
            <w:vAlign w:val="bottom"/>
            <w:tcBorders>
              <w:bottom w:val="single" w:sz="8" w:color="auto"/>
            </w:tcBorders>
          </w:tcPr>
          <w:p>
            <w:pPr>
              <w:spacing w:after="0"/>
              <w:rPr>
                <w:sz w:val="15"/>
                <w:szCs w:val="15"/>
                <w:color w:val="auto"/>
              </w:rPr>
            </w:pPr>
          </w:p>
        </w:tc>
        <w:tc>
          <w:tcPr>
            <w:tcW w:w="8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131</w:t>
            </w:r>
          </w:p>
        </w:tc>
        <w:tc>
          <w:tcPr>
            <w:tcW w:w="120" w:type="dxa"/>
            <w:vAlign w:val="bottom"/>
          </w:tcPr>
          <w:p>
            <w:pPr>
              <w:spacing w:after="0"/>
              <w:rPr>
                <w:sz w:val="15"/>
                <w:szCs w:val="15"/>
                <w:color w:val="auto"/>
              </w:rPr>
            </w:pPr>
          </w:p>
        </w:tc>
        <w:tc>
          <w:tcPr>
            <w:tcW w:w="300" w:type="dxa"/>
            <w:vAlign w:val="bottom"/>
            <w:tcBorders>
              <w:bottom w:val="single" w:sz="8" w:color="auto"/>
            </w:tcBorders>
          </w:tcPr>
          <w:p>
            <w:pPr>
              <w:spacing w:after="0"/>
              <w:rPr>
                <w:sz w:val="15"/>
                <w:szCs w:val="15"/>
                <w:color w:val="auto"/>
              </w:rPr>
            </w:pPr>
          </w:p>
        </w:tc>
        <w:tc>
          <w:tcPr>
            <w:tcW w:w="8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152</w:t>
            </w:r>
          </w:p>
        </w:tc>
        <w:tc>
          <w:tcPr>
            <w:tcW w:w="120" w:type="dxa"/>
            <w:vAlign w:val="bottom"/>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70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13.8%</w:t>
            </w:r>
          </w:p>
        </w:tc>
        <w:tc>
          <w:tcPr>
            <w:tcW w:w="0" w:type="dxa"/>
            <w:vAlign w:val="bottom"/>
          </w:tcPr>
          <w:p>
            <w:pPr>
              <w:spacing w:after="0"/>
              <w:rPr>
                <w:sz w:val="1"/>
                <w:szCs w:val="1"/>
                <w:color w:val="auto"/>
              </w:rPr>
            </w:pPr>
          </w:p>
        </w:tc>
      </w:tr>
      <w:tr>
        <w:trPr>
          <w:trHeight w:val="169"/>
        </w:trPr>
        <w:tc>
          <w:tcPr>
            <w:tcW w:w="7980" w:type="dxa"/>
            <w:vAlign w:val="bottom"/>
          </w:tcPr>
          <w:p>
            <w:pPr>
              <w:spacing w:after="0"/>
              <w:rPr>
                <w:sz w:val="20"/>
                <w:szCs w:val="20"/>
                <w:color w:val="auto"/>
              </w:rPr>
            </w:pPr>
            <w:r>
              <w:rPr>
                <w:rFonts w:ascii="Arial" w:cs="Arial" w:eastAsia="Arial" w:hAnsi="Arial"/>
                <w:sz w:val="14"/>
                <w:szCs w:val="14"/>
                <w:b w:val="1"/>
                <w:bCs w:val="1"/>
                <w:color w:val="auto"/>
              </w:rPr>
              <w:t>Net income attributable to Viad</w:t>
            </w:r>
          </w:p>
        </w:tc>
        <w:tc>
          <w:tcPr>
            <w:tcW w:w="30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b w:val="1"/>
                <w:bCs w:val="1"/>
                <w:color w:val="auto"/>
              </w:rPr>
              <w:t>$</w:t>
            </w:r>
          </w:p>
        </w:tc>
        <w:tc>
          <w:tcPr>
            <w:tcW w:w="8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b w:val="1"/>
                <w:bCs w:val="1"/>
                <w:color w:val="auto"/>
              </w:rPr>
              <w:t>1,503</w:t>
            </w:r>
          </w:p>
        </w:tc>
        <w:tc>
          <w:tcPr>
            <w:tcW w:w="120" w:type="dxa"/>
            <w:vAlign w:val="bottom"/>
          </w:tcPr>
          <w:p>
            <w:pPr>
              <w:spacing w:after="0"/>
              <w:rPr>
                <w:sz w:val="14"/>
                <w:szCs w:val="14"/>
                <w:color w:val="auto"/>
              </w:rPr>
            </w:pPr>
          </w:p>
        </w:tc>
        <w:tc>
          <w:tcPr>
            <w:tcW w:w="30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b w:val="1"/>
                <w:bCs w:val="1"/>
                <w:color w:val="auto"/>
              </w:rPr>
              <w:t>$</w:t>
            </w:r>
          </w:p>
        </w:tc>
        <w:tc>
          <w:tcPr>
            <w:tcW w:w="8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b w:val="1"/>
                <w:bCs w:val="1"/>
                <w:color w:val="auto"/>
              </w:rPr>
              <w:t>16,745</w:t>
            </w:r>
          </w:p>
        </w:tc>
        <w:tc>
          <w:tcPr>
            <w:tcW w:w="12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b w:val="1"/>
                <w:bCs w:val="1"/>
                <w:color w:val="auto"/>
              </w:rPr>
              <w:t>-91.0%</w:t>
            </w:r>
          </w:p>
        </w:tc>
        <w:tc>
          <w:tcPr>
            <w:tcW w:w="0" w:type="dxa"/>
            <w:vAlign w:val="bottom"/>
          </w:tcPr>
          <w:p>
            <w:pPr>
              <w:spacing w:after="0"/>
              <w:rPr>
                <w:sz w:val="1"/>
                <w:szCs w:val="1"/>
                <w:color w:val="auto"/>
              </w:rPr>
            </w:pPr>
          </w:p>
        </w:tc>
      </w:tr>
      <w:tr>
        <w:trPr>
          <w:trHeight w:val="20"/>
        </w:trPr>
        <w:tc>
          <w:tcPr>
            <w:tcW w:w="7980" w:type="dxa"/>
            <w:vAlign w:val="bottom"/>
            <w:vMerge w:val="restart"/>
          </w:tcPr>
          <w:p>
            <w:pPr>
              <w:spacing w:after="0"/>
              <w:rPr>
                <w:sz w:val="20"/>
                <w:szCs w:val="20"/>
                <w:color w:val="auto"/>
              </w:rPr>
            </w:pPr>
            <w:r>
              <w:rPr>
                <w:rFonts w:ascii="Arial" w:cs="Arial" w:eastAsia="Arial" w:hAnsi="Arial"/>
                <w:sz w:val="14"/>
                <w:szCs w:val="14"/>
                <w:color w:val="auto"/>
              </w:rPr>
              <w:t>Diluted income per common share:</w:t>
            </w:r>
          </w:p>
        </w:tc>
        <w:tc>
          <w:tcPr>
            <w:tcW w:w="30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22"/>
        </w:trPr>
        <w:tc>
          <w:tcPr>
            <w:tcW w:w="7980" w:type="dxa"/>
            <w:vAlign w:val="bottom"/>
            <w:vMerge w:val="continue"/>
          </w:tcPr>
          <w:p>
            <w:pPr>
              <w:spacing w:after="0"/>
              <w:rPr>
                <w:sz w:val="24"/>
                <w:szCs w:val="24"/>
                <w:color w:val="auto"/>
              </w:rPr>
            </w:pPr>
          </w:p>
        </w:tc>
        <w:tc>
          <w:tcPr>
            <w:tcW w:w="3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85"/>
        </w:trPr>
        <w:tc>
          <w:tcPr>
            <w:tcW w:w="7980" w:type="dxa"/>
            <w:vAlign w:val="bottom"/>
          </w:tcPr>
          <w:p>
            <w:pPr>
              <w:ind w:left="120"/>
              <w:spacing w:after="0"/>
              <w:rPr>
                <w:sz w:val="20"/>
                <w:szCs w:val="20"/>
                <w:color w:val="auto"/>
              </w:rPr>
            </w:pPr>
            <w:r>
              <w:rPr>
                <w:rFonts w:ascii="Arial" w:cs="Arial" w:eastAsia="Arial" w:hAnsi="Arial"/>
                <w:sz w:val="14"/>
                <w:szCs w:val="14"/>
                <w:b w:val="1"/>
                <w:bCs w:val="1"/>
                <w:color w:val="auto"/>
              </w:rPr>
              <w:t>Net income attributable to Viad common shareholders</w:t>
            </w:r>
          </w:p>
        </w:tc>
        <w:tc>
          <w:tcPr>
            <w:tcW w:w="300" w:type="dxa"/>
            <w:vAlign w:val="bottom"/>
          </w:tcPr>
          <w:p>
            <w:pPr>
              <w:jc w:val="right"/>
              <w:ind w:right="68"/>
              <w:spacing w:after="0"/>
              <w:rPr>
                <w:sz w:val="20"/>
                <w:szCs w:val="20"/>
                <w:color w:val="auto"/>
              </w:rPr>
            </w:pPr>
            <w:r>
              <w:rPr>
                <w:rFonts w:ascii="Arial" w:cs="Arial" w:eastAsia="Arial" w:hAnsi="Arial"/>
                <w:sz w:val="14"/>
                <w:szCs w:val="14"/>
                <w:b w:val="1"/>
                <w:bCs w:val="1"/>
                <w:color w:val="auto"/>
              </w:rPr>
              <w:t>$</w:t>
            </w:r>
          </w:p>
        </w:tc>
        <w:tc>
          <w:tcPr>
            <w:tcW w:w="860" w:type="dxa"/>
            <w:vAlign w:val="bottom"/>
          </w:tcPr>
          <w:p>
            <w:pPr>
              <w:jc w:val="right"/>
              <w:ind w:right="48"/>
              <w:spacing w:after="0"/>
              <w:rPr>
                <w:sz w:val="20"/>
                <w:szCs w:val="20"/>
                <w:color w:val="auto"/>
              </w:rPr>
            </w:pPr>
            <w:r>
              <w:rPr>
                <w:rFonts w:ascii="Arial" w:cs="Arial" w:eastAsia="Arial" w:hAnsi="Arial"/>
                <w:sz w:val="14"/>
                <w:szCs w:val="14"/>
                <w:b w:val="1"/>
                <w:bCs w:val="1"/>
                <w:color w:val="auto"/>
              </w:rPr>
              <w:t>0.07</w:t>
            </w:r>
          </w:p>
        </w:tc>
        <w:tc>
          <w:tcPr>
            <w:tcW w:w="420" w:type="dxa"/>
            <w:vAlign w:val="bottom"/>
            <w:gridSpan w:val="2"/>
          </w:tcPr>
          <w:p>
            <w:pPr>
              <w:jc w:val="right"/>
              <w:ind w:right="88"/>
              <w:spacing w:after="0"/>
              <w:rPr>
                <w:sz w:val="20"/>
                <w:szCs w:val="20"/>
                <w:color w:val="auto"/>
              </w:rPr>
            </w:pPr>
            <w:r>
              <w:rPr>
                <w:rFonts w:ascii="Arial" w:cs="Arial" w:eastAsia="Arial" w:hAnsi="Arial"/>
                <w:sz w:val="14"/>
                <w:szCs w:val="14"/>
                <w:b w:val="1"/>
                <w:bCs w:val="1"/>
                <w:color w:val="auto"/>
              </w:rPr>
              <w:t>$</w:t>
            </w:r>
          </w:p>
        </w:tc>
        <w:tc>
          <w:tcPr>
            <w:tcW w:w="860" w:type="dxa"/>
            <w:vAlign w:val="bottom"/>
          </w:tcPr>
          <w:p>
            <w:pPr>
              <w:jc w:val="right"/>
              <w:ind w:right="48"/>
              <w:spacing w:after="0"/>
              <w:rPr>
                <w:sz w:val="20"/>
                <w:szCs w:val="20"/>
                <w:color w:val="auto"/>
              </w:rPr>
            </w:pPr>
            <w:r>
              <w:rPr>
                <w:rFonts w:ascii="Arial" w:cs="Arial" w:eastAsia="Arial" w:hAnsi="Arial"/>
                <w:sz w:val="14"/>
                <w:szCs w:val="14"/>
                <w:b w:val="1"/>
                <w:bCs w:val="1"/>
                <w:color w:val="auto"/>
              </w:rPr>
              <w:t>0.81</w:t>
            </w:r>
          </w:p>
        </w:tc>
        <w:tc>
          <w:tcPr>
            <w:tcW w:w="1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700" w:type="dxa"/>
            <w:vAlign w:val="bottom"/>
          </w:tcPr>
          <w:p>
            <w:pPr>
              <w:jc w:val="right"/>
              <w:ind w:right="88"/>
              <w:spacing w:after="0"/>
              <w:rPr>
                <w:sz w:val="20"/>
                <w:szCs w:val="20"/>
                <w:color w:val="auto"/>
              </w:rPr>
            </w:pPr>
            <w:r>
              <w:rPr>
                <w:rFonts w:ascii="Arial" w:cs="Arial" w:eastAsia="Arial" w:hAnsi="Arial"/>
                <w:sz w:val="14"/>
                <w:szCs w:val="14"/>
                <w:b w:val="1"/>
                <w:bCs w:val="1"/>
                <w:color w:val="auto"/>
              </w:rPr>
              <w:t>-91.4%</w:t>
            </w:r>
          </w:p>
        </w:tc>
        <w:tc>
          <w:tcPr>
            <w:tcW w:w="0" w:type="dxa"/>
            <w:vAlign w:val="bottom"/>
          </w:tcPr>
          <w:p>
            <w:pPr>
              <w:spacing w:after="0"/>
              <w:rPr>
                <w:sz w:val="1"/>
                <w:szCs w:val="1"/>
                <w:color w:val="auto"/>
              </w:rPr>
            </w:pPr>
          </w:p>
        </w:tc>
      </w:tr>
      <w:tr>
        <w:trPr>
          <w:trHeight w:val="20"/>
        </w:trPr>
        <w:tc>
          <w:tcPr>
            <w:tcW w:w="7980" w:type="dxa"/>
            <w:vAlign w:val="bottom"/>
            <w:vMerge w:val="restart"/>
          </w:tcPr>
          <w:p>
            <w:pPr>
              <w:spacing w:after="0"/>
              <w:rPr>
                <w:sz w:val="20"/>
                <w:szCs w:val="20"/>
                <w:color w:val="auto"/>
              </w:rPr>
            </w:pPr>
            <w:r>
              <w:rPr>
                <w:rFonts w:ascii="Arial" w:cs="Arial" w:eastAsia="Arial" w:hAnsi="Arial"/>
                <w:sz w:val="14"/>
                <w:szCs w:val="14"/>
                <w:color w:val="auto"/>
              </w:rPr>
              <w:t>Basic income per common share (Note C):</w:t>
            </w:r>
          </w:p>
        </w:tc>
        <w:tc>
          <w:tcPr>
            <w:tcW w:w="30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22"/>
        </w:trPr>
        <w:tc>
          <w:tcPr>
            <w:tcW w:w="7980" w:type="dxa"/>
            <w:vAlign w:val="bottom"/>
            <w:vMerge w:val="continue"/>
          </w:tcPr>
          <w:p>
            <w:pPr>
              <w:spacing w:after="0"/>
              <w:rPr>
                <w:sz w:val="24"/>
                <w:szCs w:val="24"/>
                <w:color w:val="auto"/>
              </w:rPr>
            </w:pPr>
          </w:p>
        </w:tc>
        <w:tc>
          <w:tcPr>
            <w:tcW w:w="3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85"/>
        </w:trPr>
        <w:tc>
          <w:tcPr>
            <w:tcW w:w="7980" w:type="dxa"/>
            <w:vAlign w:val="bottom"/>
          </w:tcPr>
          <w:p>
            <w:pPr>
              <w:ind w:left="120"/>
              <w:spacing w:after="0"/>
              <w:rPr>
                <w:sz w:val="20"/>
                <w:szCs w:val="20"/>
                <w:color w:val="auto"/>
              </w:rPr>
            </w:pPr>
            <w:r>
              <w:rPr>
                <w:rFonts w:ascii="Arial" w:cs="Arial" w:eastAsia="Arial" w:hAnsi="Arial"/>
                <w:sz w:val="14"/>
                <w:szCs w:val="14"/>
                <w:b w:val="1"/>
                <w:bCs w:val="1"/>
                <w:color w:val="auto"/>
              </w:rPr>
              <w:t>Net income attributable to Viad common shareholders</w:t>
            </w:r>
          </w:p>
        </w:tc>
        <w:tc>
          <w:tcPr>
            <w:tcW w:w="300" w:type="dxa"/>
            <w:vAlign w:val="bottom"/>
          </w:tcPr>
          <w:p>
            <w:pPr>
              <w:jc w:val="right"/>
              <w:ind w:right="68"/>
              <w:spacing w:after="0"/>
              <w:rPr>
                <w:sz w:val="20"/>
                <w:szCs w:val="20"/>
                <w:color w:val="auto"/>
              </w:rPr>
            </w:pPr>
            <w:r>
              <w:rPr>
                <w:rFonts w:ascii="Arial" w:cs="Arial" w:eastAsia="Arial" w:hAnsi="Arial"/>
                <w:sz w:val="14"/>
                <w:szCs w:val="14"/>
                <w:b w:val="1"/>
                <w:bCs w:val="1"/>
                <w:color w:val="auto"/>
              </w:rPr>
              <w:t>$</w:t>
            </w:r>
          </w:p>
        </w:tc>
        <w:tc>
          <w:tcPr>
            <w:tcW w:w="860" w:type="dxa"/>
            <w:vAlign w:val="bottom"/>
          </w:tcPr>
          <w:p>
            <w:pPr>
              <w:jc w:val="right"/>
              <w:ind w:right="48"/>
              <w:spacing w:after="0"/>
              <w:rPr>
                <w:sz w:val="20"/>
                <w:szCs w:val="20"/>
                <w:color w:val="auto"/>
              </w:rPr>
            </w:pPr>
            <w:r>
              <w:rPr>
                <w:rFonts w:ascii="Arial" w:cs="Arial" w:eastAsia="Arial" w:hAnsi="Arial"/>
                <w:sz w:val="14"/>
                <w:szCs w:val="14"/>
                <w:b w:val="1"/>
                <w:bCs w:val="1"/>
                <w:color w:val="auto"/>
              </w:rPr>
              <w:t>0.07</w:t>
            </w:r>
          </w:p>
        </w:tc>
        <w:tc>
          <w:tcPr>
            <w:tcW w:w="420" w:type="dxa"/>
            <w:vAlign w:val="bottom"/>
            <w:gridSpan w:val="2"/>
          </w:tcPr>
          <w:p>
            <w:pPr>
              <w:jc w:val="right"/>
              <w:ind w:right="88"/>
              <w:spacing w:after="0"/>
              <w:rPr>
                <w:sz w:val="20"/>
                <w:szCs w:val="20"/>
                <w:color w:val="auto"/>
              </w:rPr>
            </w:pPr>
            <w:r>
              <w:rPr>
                <w:rFonts w:ascii="Arial" w:cs="Arial" w:eastAsia="Arial" w:hAnsi="Arial"/>
                <w:sz w:val="14"/>
                <w:szCs w:val="14"/>
                <w:b w:val="1"/>
                <w:bCs w:val="1"/>
                <w:color w:val="auto"/>
              </w:rPr>
              <w:t>$</w:t>
            </w:r>
          </w:p>
        </w:tc>
        <w:tc>
          <w:tcPr>
            <w:tcW w:w="860" w:type="dxa"/>
            <w:vAlign w:val="bottom"/>
          </w:tcPr>
          <w:p>
            <w:pPr>
              <w:jc w:val="right"/>
              <w:ind w:right="48"/>
              <w:spacing w:after="0"/>
              <w:rPr>
                <w:sz w:val="20"/>
                <w:szCs w:val="20"/>
                <w:color w:val="auto"/>
              </w:rPr>
            </w:pPr>
            <w:r>
              <w:rPr>
                <w:rFonts w:ascii="Arial" w:cs="Arial" w:eastAsia="Arial" w:hAnsi="Arial"/>
                <w:sz w:val="14"/>
                <w:szCs w:val="14"/>
                <w:b w:val="1"/>
                <w:bCs w:val="1"/>
                <w:color w:val="auto"/>
              </w:rPr>
              <w:t>0.81</w:t>
            </w:r>
          </w:p>
        </w:tc>
        <w:tc>
          <w:tcPr>
            <w:tcW w:w="1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700" w:type="dxa"/>
            <w:vAlign w:val="bottom"/>
          </w:tcPr>
          <w:p>
            <w:pPr>
              <w:jc w:val="right"/>
              <w:ind w:right="88"/>
              <w:spacing w:after="0"/>
              <w:rPr>
                <w:sz w:val="20"/>
                <w:szCs w:val="20"/>
                <w:color w:val="auto"/>
              </w:rPr>
            </w:pPr>
            <w:r>
              <w:rPr>
                <w:rFonts w:ascii="Arial" w:cs="Arial" w:eastAsia="Arial" w:hAnsi="Arial"/>
                <w:sz w:val="14"/>
                <w:szCs w:val="14"/>
                <w:b w:val="1"/>
                <w:bCs w:val="1"/>
                <w:color w:val="auto"/>
              </w:rPr>
              <w:t>-91.4%</w:t>
            </w:r>
          </w:p>
        </w:tc>
        <w:tc>
          <w:tcPr>
            <w:tcW w:w="0" w:type="dxa"/>
            <w:vAlign w:val="bottom"/>
          </w:tcPr>
          <w:p>
            <w:pPr>
              <w:spacing w:after="0"/>
              <w:rPr>
                <w:sz w:val="1"/>
                <w:szCs w:val="1"/>
                <w:color w:val="auto"/>
              </w:rPr>
            </w:pPr>
          </w:p>
        </w:tc>
      </w:tr>
      <w:tr>
        <w:trPr>
          <w:trHeight w:val="20"/>
        </w:trPr>
        <w:tc>
          <w:tcPr>
            <w:tcW w:w="7980" w:type="dxa"/>
            <w:vAlign w:val="bottom"/>
            <w:vMerge w:val="restart"/>
          </w:tcPr>
          <w:p>
            <w:pPr>
              <w:spacing w:after="0"/>
              <w:rPr>
                <w:sz w:val="20"/>
                <w:szCs w:val="20"/>
                <w:color w:val="auto"/>
              </w:rPr>
            </w:pPr>
            <w:r>
              <w:rPr>
                <w:rFonts w:ascii="Arial" w:cs="Arial" w:eastAsia="Arial" w:hAnsi="Arial"/>
                <w:sz w:val="14"/>
                <w:szCs w:val="14"/>
                <w:color w:val="auto"/>
              </w:rPr>
              <w:t>Common shares treated as outstanding for income per share calculations:</w:t>
            </w:r>
          </w:p>
        </w:tc>
        <w:tc>
          <w:tcPr>
            <w:tcW w:w="30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26"/>
        </w:trPr>
        <w:tc>
          <w:tcPr>
            <w:tcW w:w="7980" w:type="dxa"/>
            <w:vAlign w:val="bottom"/>
            <w:vMerge w:val="continue"/>
          </w:tcPr>
          <w:p>
            <w:pPr>
              <w:spacing w:after="0"/>
              <w:rPr>
                <w:sz w:val="24"/>
                <w:szCs w:val="24"/>
                <w:color w:val="auto"/>
              </w:rPr>
            </w:pPr>
          </w:p>
        </w:tc>
        <w:tc>
          <w:tcPr>
            <w:tcW w:w="3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81"/>
        </w:trPr>
        <w:tc>
          <w:tcPr>
            <w:tcW w:w="7980" w:type="dxa"/>
            <w:vAlign w:val="bottom"/>
          </w:tcPr>
          <w:p>
            <w:pPr>
              <w:ind w:left="260"/>
              <w:spacing w:after="0"/>
              <w:rPr>
                <w:sz w:val="20"/>
                <w:szCs w:val="20"/>
                <w:color w:val="auto"/>
              </w:rPr>
            </w:pPr>
            <w:r>
              <w:rPr>
                <w:rFonts w:ascii="Arial" w:cs="Arial" w:eastAsia="Arial" w:hAnsi="Arial"/>
                <w:sz w:val="14"/>
                <w:szCs w:val="14"/>
                <w:color w:val="auto"/>
              </w:rPr>
              <w:t>Weighted-average outstanding shares</w:t>
            </w:r>
          </w:p>
        </w:tc>
        <w:tc>
          <w:tcPr>
            <w:tcW w:w="300" w:type="dxa"/>
            <w:vAlign w:val="bottom"/>
            <w:tcBorders>
              <w:bottom w:val="single" w:sz="8" w:color="auto"/>
            </w:tcBorders>
          </w:tcPr>
          <w:p>
            <w:pPr>
              <w:spacing w:after="0"/>
              <w:rPr>
                <w:sz w:val="15"/>
                <w:szCs w:val="15"/>
                <w:color w:val="auto"/>
              </w:rPr>
            </w:pPr>
          </w:p>
        </w:tc>
        <w:tc>
          <w:tcPr>
            <w:tcW w:w="8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19,893</w:t>
            </w:r>
          </w:p>
        </w:tc>
        <w:tc>
          <w:tcPr>
            <w:tcW w:w="120" w:type="dxa"/>
            <w:vAlign w:val="bottom"/>
          </w:tcPr>
          <w:p>
            <w:pPr>
              <w:spacing w:after="0"/>
              <w:rPr>
                <w:sz w:val="15"/>
                <w:szCs w:val="15"/>
                <w:color w:val="auto"/>
              </w:rPr>
            </w:pPr>
          </w:p>
        </w:tc>
        <w:tc>
          <w:tcPr>
            <w:tcW w:w="300" w:type="dxa"/>
            <w:vAlign w:val="bottom"/>
            <w:tcBorders>
              <w:bottom w:val="single" w:sz="8" w:color="auto"/>
            </w:tcBorders>
          </w:tcPr>
          <w:p>
            <w:pPr>
              <w:spacing w:after="0"/>
              <w:rPr>
                <w:sz w:val="15"/>
                <w:szCs w:val="15"/>
                <w:color w:val="auto"/>
              </w:rPr>
            </w:pPr>
          </w:p>
        </w:tc>
        <w:tc>
          <w:tcPr>
            <w:tcW w:w="8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20,196</w:t>
            </w:r>
          </w:p>
        </w:tc>
        <w:tc>
          <w:tcPr>
            <w:tcW w:w="120" w:type="dxa"/>
            <w:vAlign w:val="bottom"/>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70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-1.5%</w:t>
            </w:r>
          </w:p>
        </w:tc>
        <w:tc>
          <w:tcPr>
            <w:tcW w:w="0" w:type="dxa"/>
            <w:vAlign w:val="bottom"/>
          </w:tcPr>
          <w:p>
            <w:pPr>
              <w:spacing w:after="0"/>
              <w:rPr>
                <w:sz w:val="1"/>
                <w:szCs w:val="1"/>
                <w:color w:val="auto"/>
              </w:rPr>
            </w:pPr>
          </w:p>
        </w:tc>
      </w:tr>
      <w:tr>
        <w:trPr>
          <w:trHeight w:val="20"/>
        </w:trPr>
        <w:tc>
          <w:tcPr>
            <w:tcW w:w="798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32"/>
        </w:trPr>
        <w:tc>
          <w:tcPr>
            <w:tcW w:w="7980" w:type="dxa"/>
            <w:vAlign w:val="bottom"/>
          </w:tcPr>
          <w:p>
            <w:pPr>
              <w:ind w:left="260"/>
              <w:spacing w:after="0"/>
              <w:rPr>
                <w:sz w:val="20"/>
                <w:szCs w:val="20"/>
                <w:color w:val="auto"/>
              </w:rPr>
            </w:pPr>
            <w:r>
              <w:rPr>
                <w:rFonts w:ascii="Arial" w:cs="Arial" w:eastAsia="Arial" w:hAnsi="Arial"/>
                <w:sz w:val="14"/>
                <w:szCs w:val="14"/>
                <w:color w:val="auto"/>
              </w:rPr>
              <w:t>Weighted-average outstanding and potentially dilutive shares</w:t>
            </w:r>
          </w:p>
        </w:tc>
        <w:tc>
          <w:tcPr>
            <w:tcW w:w="30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20,139</w:t>
            </w:r>
          </w:p>
        </w:tc>
        <w:tc>
          <w:tcPr>
            <w:tcW w:w="120" w:type="dxa"/>
            <w:vAlign w:val="bottom"/>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20,612</w:t>
            </w:r>
          </w:p>
        </w:tc>
        <w:tc>
          <w:tcPr>
            <w:tcW w:w="120" w:type="dxa"/>
            <w:vAlign w:val="bottom"/>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70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-2.3%</w:t>
            </w:r>
          </w:p>
        </w:tc>
        <w:tc>
          <w:tcPr>
            <w:tcW w:w="0" w:type="dxa"/>
            <w:vAlign w:val="bottom"/>
          </w:tcPr>
          <w:p>
            <w:pPr>
              <w:spacing w:after="0"/>
              <w:rPr>
                <w:sz w:val="1"/>
                <w:szCs w:val="1"/>
                <w:color w:val="auto"/>
              </w:rPr>
            </w:pPr>
          </w:p>
        </w:tc>
      </w:tr>
      <w:tr>
        <w:trPr>
          <w:trHeight w:val="20"/>
        </w:trPr>
        <w:tc>
          <w:tcPr>
            <w:tcW w:w="7980" w:type="dxa"/>
            <w:vAlign w:val="bottom"/>
            <w:vMerge w:val="restart"/>
          </w:tcPr>
          <w:p>
            <w:pPr>
              <w:spacing w:after="0"/>
              <w:rPr>
                <w:sz w:val="20"/>
                <w:szCs w:val="20"/>
                <w:color w:val="auto"/>
              </w:rPr>
            </w:pPr>
            <w:r>
              <w:rPr>
                <w:rFonts w:ascii="Arial" w:cs="Arial" w:eastAsia="Arial" w:hAnsi="Arial"/>
                <w:sz w:val="14"/>
                <w:szCs w:val="14"/>
                <w:color w:val="auto"/>
              </w:rPr>
              <w:t>** Change is greater than +/- 100 percent.</w:t>
            </w:r>
          </w:p>
        </w:tc>
        <w:tc>
          <w:tcPr>
            <w:tcW w:w="30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33"/>
        </w:trPr>
        <w:tc>
          <w:tcPr>
            <w:tcW w:w="7980" w:type="dxa"/>
            <w:vAlign w:val="bottom"/>
            <w:vMerge w:val="continue"/>
          </w:tcPr>
          <w:p>
            <w:pPr>
              <w:spacing w:after="0"/>
              <w:rPr>
                <w:sz w:val="24"/>
                <w:szCs w:val="24"/>
                <w:color w:val="auto"/>
              </w:rPr>
            </w:pPr>
          </w:p>
        </w:tc>
        <w:tc>
          <w:tcPr>
            <w:tcW w:w="3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4"/>
        </w:trPr>
        <w:tc>
          <w:tcPr>
            <w:tcW w:w="7980" w:type="dxa"/>
            <w:vAlign w:val="bottom"/>
            <w:tcBorders>
              <w:bottom w:val="single" w:sz="8" w:color="9A9A9A"/>
            </w:tcBorders>
          </w:tcPr>
          <w:p>
            <w:pPr>
              <w:spacing w:after="0"/>
              <w:rPr>
                <w:sz w:val="11"/>
                <w:szCs w:val="11"/>
                <w:color w:val="auto"/>
              </w:rPr>
            </w:pPr>
          </w:p>
        </w:tc>
        <w:tc>
          <w:tcPr>
            <w:tcW w:w="300" w:type="dxa"/>
            <w:vAlign w:val="bottom"/>
            <w:tcBorders>
              <w:bottom w:val="single" w:sz="8" w:color="9A9A9A"/>
            </w:tcBorders>
          </w:tcPr>
          <w:p>
            <w:pPr>
              <w:spacing w:after="0"/>
              <w:rPr>
                <w:sz w:val="11"/>
                <w:szCs w:val="11"/>
                <w:color w:val="auto"/>
              </w:rPr>
            </w:pPr>
          </w:p>
        </w:tc>
        <w:tc>
          <w:tcPr>
            <w:tcW w:w="860" w:type="dxa"/>
            <w:vAlign w:val="bottom"/>
            <w:tcBorders>
              <w:bottom w:val="single" w:sz="8" w:color="9A9A9A"/>
            </w:tcBorders>
          </w:tcPr>
          <w:p>
            <w:pPr>
              <w:spacing w:after="0"/>
              <w:rPr>
                <w:sz w:val="11"/>
                <w:szCs w:val="11"/>
                <w:color w:val="auto"/>
              </w:rPr>
            </w:pPr>
          </w:p>
        </w:tc>
        <w:tc>
          <w:tcPr>
            <w:tcW w:w="120" w:type="dxa"/>
            <w:vAlign w:val="bottom"/>
            <w:tcBorders>
              <w:bottom w:val="single" w:sz="8" w:color="9A9A9A"/>
            </w:tcBorders>
          </w:tcPr>
          <w:p>
            <w:pPr>
              <w:spacing w:after="0"/>
              <w:rPr>
                <w:sz w:val="11"/>
                <w:szCs w:val="11"/>
                <w:color w:val="auto"/>
              </w:rPr>
            </w:pPr>
          </w:p>
        </w:tc>
        <w:tc>
          <w:tcPr>
            <w:tcW w:w="300" w:type="dxa"/>
            <w:vAlign w:val="bottom"/>
            <w:tcBorders>
              <w:bottom w:val="single" w:sz="8" w:color="9A9A9A"/>
            </w:tcBorders>
          </w:tcPr>
          <w:p>
            <w:pPr>
              <w:spacing w:after="0"/>
              <w:rPr>
                <w:sz w:val="11"/>
                <w:szCs w:val="11"/>
                <w:color w:val="auto"/>
              </w:rPr>
            </w:pPr>
          </w:p>
        </w:tc>
        <w:tc>
          <w:tcPr>
            <w:tcW w:w="860" w:type="dxa"/>
            <w:vAlign w:val="bottom"/>
            <w:tcBorders>
              <w:bottom w:val="single" w:sz="8" w:color="9A9A9A"/>
            </w:tcBorders>
          </w:tcPr>
          <w:p>
            <w:pPr>
              <w:spacing w:after="0"/>
              <w:rPr>
                <w:sz w:val="11"/>
                <w:szCs w:val="11"/>
                <w:color w:val="auto"/>
              </w:rPr>
            </w:pPr>
          </w:p>
        </w:tc>
        <w:tc>
          <w:tcPr>
            <w:tcW w:w="120" w:type="dxa"/>
            <w:vAlign w:val="bottom"/>
            <w:tcBorders>
              <w:bottom w:val="single" w:sz="8" w:color="9A9A9A"/>
            </w:tcBorders>
          </w:tcPr>
          <w:p>
            <w:pPr>
              <w:spacing w:after="0"/>
              <w:rPr>
                <w:sz w:val="11"/>
                <w:szCs w:val="11"/>
                <w:color w:val="auto"/>
              </w:rPr>
            </w:pPr>
          </w:p>
        </w:tc>
        <w:tc>
          <w:tcPr>
            <w:tcW w:w="180" w:type="dxa"/>
            <w:vAlign w:val="bottom"/>
            <w:tcBorders>
              <w:bottom w:val="single" w:sz="8" w:color="9A9A9A"/>
            </w:tcBorders>
          </w:tcPr>
          <w:p>
            <w:pPr>
              <w:spacing w:after="0"/>
              <w:rPr>
                <w:sz w:val="11"/>
                <w:szCs w:val="11"/>
                <w:color w:val="auto"/>
              </w:rPr>
            </w:pPr>
          </w:p>
        </w:tc>
        <w:tc>
          <w:tcPr>
            <w:tcW w:w="700" w:type="dxa"/>
            <w:vAlign w:val="bottom"/>
            <w:tcBorders>
              <w:bottom w:val="single" w:sz="8" w:color="9A9A9A"/>
            </w:tcBorders>
          </w:tcPr>
          <w:p>
            <w:pPr>
              <w:spacing w:after="0"/>
              <w:rPr>
                <w:sz w:val="11"/>
                <w:szCs w:val="11"/>
                <w:color w:val="auto"/>
              </w:rPr>
            </w:pPr>
          </w:p>
        </w:tc>
        <w:tc>
          <w:tcPr>
            <w:tcW w:w="0" w:type="dxa"/>
            <w:vAlign w:val="bottom"/>
          </w:tcPr>
          <w:p>
            <w:pPr>
              <w:spacing w:after="0"/>
              <w:rPr>
                <w:sz w:val="1"/>
                <w:szCs w:val="1"/>
                <w:color w:val="auto"/>
              </w:rPr>
            </w:pPr>
          </w:p>
        </w:tc>
      </w:tr>
      <w:tr>
        <w:trPr>
          <w:trHeight w:val="21"/>
        </w:trPr>
        <w:tc>
          <w:tcPr>
            <w:tcW w:w="7980" w:type="dxa"/>
            <w:vAlign w:val="bottom"/>
            <w:tcBorders>
              <w:bottom w:val="single" w:sz="8" w:color="EEEEEE"/>
            </w:tcBorders>
          </w:tcPr>
          <w:p>
            <w:pPr>
              <w:spacing w:after="0" w:line="20" w:lineRule="exact"/>
              <w:rPr>
                <w:sz w:val="1"/>
                <w:szCs w:val="1"/>
                <w:color w:val="auto"/>
              </w:rPr>
            </w:pPr>
          </w:p>
        </w:tc>
        <w:tc>
          <w:tcPr>
            <w:tcW w:w="300" w:type="dxa"/>
            <w:vAlign w:val="bottom"/>
            <w:tcBorders>
              <w:bottom w:val="single" w:sz="8" w:color="EEEEEE"/>
            </w:tcBorders>
          </w:tcPr>
          <w:p>
            <w:pPr>
              <w:spacing w:after="0" w:line="20" w:lineRule="exact"/>
              <w:rPr>
                <w:sz w:val="1"/>
                <w:szCs w:val="1"/>
                <w:color w:val="auto"/>
              </w:rPr>
            </w:pPr>
          </w:p>
        </w:tc>
        <w:tc>
          <w:tcPr>
            <w:tcW w:w="860" w:type="dxa"/>
            <w:vAlign w:val="bottom"/>
            <w:tcBorders>
              <w:bottom w:val="single" w:sz="8" w:color="EEEEEE"/>
            </w:tcBorders>
          </w:tcPr>
          <w:p>
            <w:pPr>
              <w:spacing w:after="0" w:line="20" w:lineRule="exact"/>
              <w:rPr>
                <w:sz w:val="1"/>
                <w:szCs w:val="1"/>
                <w:color w:val="auto"/>
              </w:rPr>
            </w:pPr>
          </w:p>
        </w:tc>
        <w:tc>
          <w:tcPr>
            <w:tcW w:w="120" w:type="dxa"/>
            <w:vAlign w:val="bottom"/>
            <w:tcBorders>
              <w:bottom w:val="single" w:sz="8" w:color="EEEEEE"/>
            </w:tcBorders>
          </w:tcPr>
          <w:p>
            <w:pPr>
              <w:spacing w:after="0" w:line="20" w:lineRule="exact"/>
              <w:rPr>
                <w:sz w:val="1"/>
                <w:szCs w:val="1"/>
                <w:color w:val="auto"/>
              </w:rPr>
            </w:pPr>
          </w:p>
        </w:tc>
        <w:tc>
          <w:tcPr>
            <w:tcW w:w="300" w:type="dxa"/>
            <w:vAlign w:val="bottom"/>
            <w:tcBorders>
              <w:bottom w:val="single" w:sz="8" w:color="EEEEEE"/>
            </w:tcBorders>
          </w:tcPr>
          <w:p>
            <w:pPr>
              <w:spacing w:after="0" w:line="20" w:lineRule="exact"/>
              <w:rPr>
                <w:sz w:val="1"/>
                <w:szCs w:val="1"/>
                <w:color w:val="auto"/>
              </w:rPr>
            </w:pPr>
          </w:p>
        </w:tc>
        <w:tc>
          <w:tcPr>
            <w:tcW w:w="860" w:type="dxa"/>
            <w:vAlign w:val="bottom"/>
            <w:tcBorders>
              <w:bottom w:val="single" w:sz="8" w:color="EEEEEE"/>
            </w:tcBorders>
          </w:tcPr>
          <w:p>
            <w:pPr>
              <w:spacing w:after="0" w:line="20" w:lineRule="exact"/>
              <w:rPr>
                <w:sz w:val="1"/>
                <w:szCs w:val="1"/>
                <w:color w:val="auto"/>
              </w:rPr>
            </w:pPr>
          </w:p>
        </w:tc>
        <w:tc>
          <w:tcPr>
            <w:tcW w:w="120" w:type="dxa"/>
            <w:vAlign w:val="bottom"/>
            <w:tcBorders>
              <w:bottom w:val="single" w:sz="8" w:color="EEEEEE"/>
            </w:tcBorders>
          </w:tcPr>
          <w:p>
            <w:pPr>
              <w:spacing w:after="0" w:line="20" w:lineRule="exact"/>
              <w:rPr>
                <w:sz w:val="1"/>
                <w:szCs w:val="1"/>
                <w:color w:val="auto"/>
              </w:rPr>
            </w:pPr>
          </w:p>
        </w:tc>
        <w:tc>
          <w:tcPr>
            <w:tcW w:w="180" w:type="dxa"/>
            <w:vAlign w:val="bottom"/>
            <w:tcBorders>
              <w:bottom w:val="single" w:sz="8" w:color="EEEEEE"/>
            </w:tcBorders>
          </w:tcPr>
          <w:p>
            <w:pPr>
              <w:spacing w:after="0" w:line="20" w:lineRule="exact"/>
              <w:rPr>
                <w:sz w:val="1"/>
                <w:szCs w:val="1"/>
                <w:color w:val="auto"/>
              </w:rPr>
            </w:pPr>
          </w:p>
        </w:tc>
        <w:tc>
          <w:tcPr>
            <w:tcW w:w="700" w:type="dxa"/>
            <w:vAlign w:val="bottom"/>
            <w:tcBorders>
              <w:bottom w:val="single" w:sz="8" w:color="EEEEEE"/>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7230110</wp:posOffset>
            </wp:positionH>
            <wp:positionV relativeFrom="paragraph">
              <wp:posOffset>-46355</wp:posOffset>
            </wp:positionV>
            <wp:extent cx="34290" cy="596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34290" cy="59690"/>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-46355</wp:posOffset>
            </wp:positionV>
            <wp:extent cx="34290" cy="596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34290" cy="59690"/>
                    </a:xfrm>
                    <a:prstGeom prst="rect">
                      <a:avLst/>
                    </a:prstGeom>
                    <a:noFill/>
                  </pic:spPr>
                </pic:pic>
              </a:graphicData>
            </a:graphic>
          </wp:anchor>
        </w:drawing>
      </w:r>
    </w:p>
    <w:p>
      <w:pPr>
        <w:sectPr>
          <w:pgSz w:w="11900" w:h="16838" w:orient="portrait"/>
          <w:cols w:equalWidth="0" w:num="1">
            <w:col w:w="11420"/>
          </w:cols>
          <w:pgMar w:left="240" w:top="130" w:right="239" w:bottom="1440" w:gutter="0" w:footer="0" w:header="0"/>
        </w:sectPr>
      </w:pPr>
    </w:p>
    <w:bookmarkStart w:id="12" w:name="page13"/>
    <w:bookmarkEnd w:id="12"/>
    <w:p>
      <w:pPr>
        <w:jc w:val="center"/>
        <w:spacing w:after="0"/>
        <w:rPr>
          <w:sz w:val="20"/>
          <w:szCs w:val="20"/>
          <w:color w:val="auto"/>
        </w:rPr>
      </w:pPr>
      <w:r>
        <w:rPr>
          <w:rFonts w:ascii="Arial" w:cs="Arial" w:eastAsia="Arial" w:hAnsi="Arial"/>
          <w:sz w:val="14"/>
          <w:szCs w:val="14"/>
          <w:b w:val="1"/>
          <w:bCs w:val="1"/>
          <w:color w:val="auto"/>
        </w:rPr>
        <w:t>VIAD CORP AND SUBSIDIARIES</w:t>
      </w:r>
    </w:p>
    <w:p>
      <w:pPr>
        <w:spacing w:after="0" w:line="25"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TABLE ONE - NOTES TO QUARTERLY RESULTS</w:t>
      </w:r>
    </w:p>
    <w:p>
      <w:pPr>
        <w:spacing w:after="0" w:line="15"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(UNAUDITED)</w:t>
      </w:r>
    </w:p>
    <w:p>
      <w:pPr>
        <w:spacing w:after="0" w:line="183" w:lineRule="exact"/>
        <w:rPr>
          <w:sz w:val="20"/>
          <w:szCs w:val="20"/>
          <w:color w:val="auto"/>
        </w:rPr>
      </w:pPr>
    </w:p>
    <w:tbl>
      <w:tblPr>
        <w:tblLayout w:type="fixed"/>
        <w:tblInd w:w="0" w:type="dxa"/>
        <w:tblCellMar>
          <w:top w:w="0" w:type="dxa"/>
          <w:left w:w="0" w:type="dxa"/>
          <w:bottom w:w="0" w:type="dxa"/>
          <w:right w:w="0" w:type="dxa"/>
        </w:tblCellMar>
      </w:tblPr>
      <w:tr>
        <w:trPr>
          <w:trHeight w:val="182"/>
        </w:trPr>
        <w:tc>
          <w:tcPr>
            <w:tcW w:w="7700" w:type="dxa"/>
            <w:vAlign w:val="bottom"/>
          </w:tcPr>
          <w:p>
            <w:pPr>
              <w:spacing w:after="0"/>
              <w:rPr>
                <w:sz w:val="20"/>
                <w:szCs w:val="20"/>
                <w:color w:val="auto"/>
              </w:rPr>
            </w:pPr>
            <w:r>
              <w:rPr>
                <w:rFonts w:ascii="Arial" w:cs="Arial" w:eastAsia="Arial" w:hAnsi="Arial"/>
                <w:sz w:val="14"/>
                <w:szCs w:val="14"/>
                <w:color w:val="auto"/>
              </w:rPr>
              <w:t>(A) Reportable Segments</w:t>
            </w:r>
          </w:p>
        </w:tc>
        <w:tc>
          <w:tcPr>
            <w:tcW w:w="320" w:type="dxa"/>
            <w:vAlign w:val="bottom"/>
          </w:tcPr>
          <w:p>
            <w:pPr>
              <w:spacing w:after="0"/>
              <w:rPr>
                <w:sz w:val="15"/>
                <w:szCs w:val="15"/>
                <w:color w:val="auto"/>
              </w:rPr>
            </w:pPr>
          </w:p>
        </w:tc>
        <w:tc>
          <w:tcPr>
            <w:tcW w:w="2500" w:type="dxa"/>
            <w:vAlign w:val="bottom"/>
            <w:gridSpan w:val="4"/>
            <w:vMerge w:val="restart"/>
          </w:tcPr>
          <w:p>
            <w:pPr>
              <w:jc w:val="right"/>
              <w:spacing w:after="0"/>
              <w:rPr>
                <w:sz w:val="20"/>
                <w:szCs w:val="20"/>
                <w:color w:val="auto"/>
              </w:rPr>
            </w:pPr>
            <w:r>
              <w:rPr>
                <w:rFonts w:ascii="Arial" w:cs="Arial" w:eastAsia="Arial" w:hAnsi="Arial"/>
                <w:sz w:val="14"/>
                <w:szCs w:val="14"/>
                <w:color w:val="auto"/>
              </w:rPr>
              <w:t>Three months ended March 31,</w:t>
            </w:r>
          </w:p>
        </w:tc>
        <w:tc>
          <w:tcPr>
            <w:tcW w:w="10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4"/>
        </w:trPr>
        <w:tc>
          <w:tcPr>
            <w:tcW w:w="7700" w:type="dxa"/>
            <w:vAlign w:val="bottom"/>
          </w:tcPr>
          <w:p>
            <w:pPr>
              <w:spacing w:after="0"/>
              <w:rPr>
                <w:sz w:val="15"/>
                <w:szCs w:val="15"/>
                <w:color w:val="auto"/>
              </w:rPr>
            </w:pPr>
          </w:p>
        </w:tc>
        <w:tc>
          <w:tcPr>
            <w:tcW w:w="320" w:type="dxa"/>
            <w:vAlign w:val="bottom"/>
            <w:tcBorders>
              <w:bottom w:val="single" w:sz="8" w:color="auto"/>
            </w:tcBorders>
          </w:tcPr>
          <w:p>
            <w:pPr>
              <w:spacing w:after="0"/>
              <w:rPr>
                <w:sz w:val="15"/>
                <w:szCs w:val="15"/>
                <w:color w:val="auto"/>
              </w:rPr>
            </w:pPr>
          </w:p>
        </w:tc>
        <w:tc>
          <w:tcPr>
            <w:tcW w:w="2500" w:type="dxa"/>
            <w:vAlign w:val="bottom"/>
            <w:tcBorders>
              <w:bottom w:val="single" w:sz="8" w:color="auto"/>
            </w:tcBorders>
            <w:gridSpan w:val="4"/>
            <w:vMerge w:val="continue"/>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80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69"/>
        </w:trPr>
        <w:tc>
          <w:tcPr>
            <w:tcW w:w="7700" w:type="dxa"/>
            <w:vAlign w:val="bottom"/>
          </w:tcPr>
          <w:p>
            <w:pPr>
              <w:ind w:left="220"/>
              <w:spacing w:after="0"/>
              <w:rPr>
                <w:sz w:val="20"/>
                <w:szCs w:val="20"/>
                <w:color w:val="auto"/>
              </w:rPr>
            </w:pPr>
            <w:r>
              <w:rPr>
                <w:rFonts w:ascii="Arial" w:cs="Arial" w:eastAsia="Arial" w:hAnsi="Arial"/>
                <w:sz w:val="14"/>
                <w:szCs w:val="14"/>
                <w:color w:val="auto"/>
              </w:rPr>
              <w:t>(000 omitted)</w:t>
            </w:r>
          </w:p>
        </w:tc>
        <w:tc>
          <w:tcPr>
            <w:tcW w:w="320" w:type="dxa"/>
            <w:vAlign w:val="bottom"/>
          </w:tcPr>
          <w:p>
            <w:pPr>
              <w:spacing w:after="0"/>
              <w:rPr>
                <w:sz w:val="14"/>
                <w:szCs w:val="14"/>
                <w:color w:val="auto"/>
              </w:rPr>
            </w:pPr>
          </w:p>
        </w:tc>
        <w:tc>
          <w:tcPr>
            <w:tcW w:w="980" w:type="dxa"/>
            <w:vAlign w:val="bottom"/>
          </w:tcPr>
          <w:p>
            <w:pPr>
              <w:jc w:val="right"/>
              <w:ind w:right="428"/>
              <w:spacing w:after="0"/>
              <w:rPr>
                <w:sz w:val="20"/>
                <w:szCs w:val="20"/>
                <w:color w:val="auto"/>
              </w:rPr>
            </w:pPr>
            <w:r>
              <w:rPr>
                <w:rFonts w:ascii="Arial" w:cs="Arial" w:eastAsia="Arial" w:hAnsi="Arial"/>
                <w:sz w:val="14"/>
                <w:szCs w:val="14"/>
                <w:color w:val="auto"/>
              </w:rPr>
              <w:t>2009</w:t>
            </w:r>
          </w:p>
        </w:tc>
        <w:tc>
          <w:tcPr>
            <w:tcW w:w="14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020" w:type="dxa"/>
            <w:vAlign w:val="bottom"/>
          </w:tcPr>
          <w:p>
            <w:pPr>
              <w:jc w:val="right"/>
              <w:ind w:right="468"/>
              <w:spacing w:after="0"/>
              <w:rPr>
                <w:sz w:val="20"/>
                <w:szCs w:val="20"/>
                <w:color w:val="auto"/>
              </w:rPr>
            </w:pPr>
            <w:r>
              <w:rPr>
                <w:rFonts w:ascii="Arial" w:cs="Arial" w:eastAsia="Arial" w:hAnsi="Arial"/>
                <w:sz w:val="14"/>
                <w:szCs w:val="14"/>
                <w:color w:val="auto"/>
              </w:rPr>
              <w:t>2008</w:t>
            </w:r>
          </w:p>
        </w:tc>
        <w:tc>
          <w:tcPr>
            <w:tcW w:w="900" w:type="dxa"/>
            <w:vAlign w:val="bottom"/>
            <w:gridSpan w:val="2"/>
          </w:tcPr>
          <w:p>
            <w:pPr>
              <w:jc w:val="right"/>
              <w:ind w:right="26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339"/>
        </w:trPr>
        <w:tc>
          <w:tcPr>
            <w:tcW w:w="7700" w:type="dxa"/>
            <w:vAlign w:val="bottom"/>
          </w:tcPr>
          <w:p>
            <w:pPr>
              <w:ind w:left="220"/>
              <w:spacing w:after="0"/>
              <w:rPr>
                <w:sz w:val="20"/>
                <w:szCs w:val="20"/>
                <w:color w:val="auto"/>
              </w:rPr>
            </w:pPr>
            <w:r>
              <w:rPr>
                <w:rFonts w:ascii="Arial" w:cs="Arial" w:eastAsia="Arial" w:hAnsi="Arial"/>
                <w:sz w:val="14"/>
                <w:szCs w:val="14"/>
                <w:color w:val="auto"/>
              </w:rPr>
              <w:t>Revenues:</w:t>
            </w:r>
          </w:p>
        </w:tc>
        <w:tc>
          <w:tcPr>
            <w:tcW w:w="320" w:type="dxa"/>
            <w:vAlign w:val="bottom"/>
            <w:tcBorders>
              <w:top w:val="single" w:sz="8" w:color="auto"/>
            </w:tcBorders>
          </w:tcPr>
          <w:p>
            <w:pPr>
              <w:spacing w:after="0"/>
              <w:rPr>
                <w:sz w:val="24"/>
                <w:szCs w:val="24"/>
                <w:color w:val="auto"/>
              </w:rPr>
            </w:pPr>
          </w:p>
        </w:tc>
        <w:tc>
          <w:tcPr>
            <w:tcW w:w="980" w:type="dxa"/>
            <w:vAlign w:val="bottom"/>
            <w:tcBorders>
              <w:top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360" w:type="dxa"/>
            <w:vAlign w:val="bottom"/>
            <w:tcBorders>
              <w:top w:val="single" w:sz="8" w:color="auto"/>
            </w:tcBorders>
          </w:tcPr>
          <w:p>
            <w:pPr>
              <w:spacing w:after="0"/>
              <w:rPr>
                <w:sz w:val="24"/>
                <w:szCs w:val="24"/>
                <w:color w:val="auto"/>
              </w:rPr>
            </w:pPr>
          </w:p>
        </w:tc>
        <w:tc>
          <w:tcPr>
            <w:tcW w:w="1020" w:type="dxa"/>
            <w:vAlign w:val="bottom"/>
            <w:tcBorders>
              <w:top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800" w:type="dxa"/>
            <w:vAlign w:val="bottom"/>
            <w:tcBorders>
              <w:top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76"/>
        </w:trPr>
        <w:tc>
          <w:tcPr>
            <w:tcW w:w="7700" w:type="dxa"/>
            <w:vAlign w:val="bottom"/>
          </w:tcPr>
          <w:p>
            <w:pPr>
              <w:ind w:left="320"/>
              <w:spacing w:after="0"/>
              <w:rPr>
                <w:sz w:val="20"/>
                <w:szCs w:val="20"/>
                <w:color w:val="auto"/>
              </w:rPr>
            </w:pPr>
            <w:r>
              <w:rPr>
                <w:rFonts w:ascii="Arial" w:cs="Arial" w:eastAsia="Arial" w:hAnsi="Arial"/>
                <w:sz w:val="14"/>
                <w:szCs w:val="14"/>
                <w:color w:val="auto"/>
              </w:rPr>
              <w:t>GES Exposition Services</w:t>
            </w:r>
          </w:p>
        </w:tc>
        <w:tc>
          <w:tcPr>
            <w:tcW w:w="32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980" w:type="dxa"/>
            <w:vAlign w:val="bottom"/>
          </w:tcPr>
          <w:p>
            <w:pPr>
              <w:jc w:val="right"/>
              <w:ind w:right="68"/>
              <w:spacing w:after="0"/>
              <w:rPr>
                <w:sz w:val="20"/>
                <w:szCs w:val="20"/>
                <w:color w:val="auto"/>
              </w:rPr>
            </w:pPr>
            <w:r>
              <w:rPr>
                <w:rFonts w:ascii="Arial" w:cs="Arial" w:eastAsia="Arial" w:hAnsi="Arial"/>
                <w:sz w:val="14"/>
                <w:szCs w:val="14"/>
                <w:color w:val="auto"/>
              </w:rPr>
              <w:t>205,646</w:t>
            </w:r>
          </w:p>
        </w:tc>
        <w:tc>
          <w:tcPr>
            <w:tcW w:w="500" w:type="dxa"/>
            <w:vAlign w:val="bottom"/>
            <w:gridSpan w:val="2"/>
          </w:tcPr>
          <w:p>
            <w:pPr>
              <w:jc w:val="right"/>
              <w:ind w:right="128"/>
              <w:spacing w:after="0"/>
              <w:rPr>
                <w:sz w:val="20"/>
                <w:szCs w:val="20"/>
                <w:color w:val="auto"/>
              </w:rPr>
            </w:pPr>
            <w:r>
              <w:rPr>
                <w:rFonts w:ascii="Arial" w:cs="Arial" w:eastAsia="Arial" w:hAnsi="Arial"/>
                <w:sz w:val="14"/>
                <w:szCs w:val="14"/>
                <w:color w:val="auto"/>
              </w:rPr>
              <w:t>$</w:t>
            </w:r>
          </w:p>
        </w:tc>
        <w:tc>
          <w:tcPr>
            <w:tcW w:w="1020" w:type="dxa"/>
            <w:vAlign w:val="bottom"/>
          </w:tcPr>
          <w:p>
            <w:pPr>
              <w:jc w:val="right"/>
              <w:ind w:right="88"/>
              <w:spacing w:after="0"/>
              <w:rPr>
                <w:sz w:val="20"/>
                <w:szCs w:val="20"/>
                <w:color w:val="auto"/>
              </w:rPr>
            </w:pPr>
            <w:r>
              <w:rPr>
                <w:rFonts w:ascii="Arial" w:cs="Arial" w:eastAsia="Arial" w:hAnsi="Arial"/>
                <w:sz w:val="14"/>
                <w:szCs w:val="14"/>
                <w:color w:val="auto"/>
              </w:rPr>
              <w:t>285,675</w:t>
            </w:r>
          </w:p>
        </w:tc>
        <w:tc>
          <w:tcPr>
            <w:tcW w:w="900" w:type="dxa"/>
            <w:vAlign w:val="bottom"/>
            <w:gridSpan w:val="2"/>
          </w:tcPr>
          <w:p>
            <w:pPr>
              <w:jc w:val="right"/>
              <w:ind w:right="88"/>
              <w:spacing w:after="0"/>
              <w:rPr>
                <w:sz w:val="20"/>
                <w:szCs w:val="20"/>
                <w:color w:val="auto"/>
              </w:rPr>
            </w:pPr>
            <w:r>
              <w:rPr>
                <w:rFonts w:ascii="Arial" w:cs="Arial" w:eastAsia="Arial" w:hAnsi="Arial"/>
                <w:sz w:val="14"/>
                <w:szCs w:val="14"/>
                <w:color w:val="auto"/>
              </w:rPr>
              <w:t>-28.0%</w:t>
            </w:r>
          </w:p>
        </w:tc>
        <w:tc>
          <w:tcPr>
            <w:tcW w:w="0" w:type="dxa"/>
            <w:vAlign w:val="bottom"/>
          </w:tcPr>
          <w:p>
            <w:pPr>
              <w:spacing w:after="0"/>
              <w:rPr>
                <w:sz w:val="1"/>
                <w:szCs w:val="1"/>
                <w:color w:val="auto"/>
              </w:rPr>
            </w:pPr>
          </w:p>
        </w:tc>
      </w:tr>
      <w:tr>
        <w:trPr>
          <w:trHeight w:val="176"/>
        </w:trPr>
        <w:tc>
          <w:tcPr>
            <w:tcW w:w="7700" w:type="dxa"/>
            <w:vAlign w:val="bottom"/>
          </w:tcPr>
          <w:p>
            <w:pPr>
              <w:ind w:left="320"/>
              <w:spacing w:after="0"/>
              <w:rPr>
                <w:sz w:val="20"/>
                <w:szCs w:val="20"/>
                <w:color w:val="auto"/>
              </w:rPr>
            </w:pPr>
            <w:r>
              <w:rPr>
                <w:rFonts w:ascii="Arial" w:cs="Arial" w:eastAsia="Arial" w:hAnsi="Arial"/>
                <w:sz w:val="14"/>
                <w:szCs w:val="14"/>
                <w:color w:val="auto"/>
              </w:rPr>
              <w:t>Experiential Marketing Services</w:t>
            </w:r>
          </w:p>
        </w:tc>
        <w:tc>
          <w:tcPr>
            <w:tcW w:w="320" w:type="dxa"/>
            <w:vAlign w:val="bottom"/>
          </w:tcPr>
          <w:p>
            <w:pPr>
              <w:spacing w:after="0"/>
              <w:rPr>
                <w:sz w:val="15"/>
                <w:szCs w:val="15"/>
                <w:color w:val="auto"/>
              </w:rPr>
            </w:pPr>
          </w:p>
        </w:tc>
        <w:tc>
          <w:tcPr>
            <w:tcW w:w="980" w:type="dxa"/>
            <w:vAlign w:val="bottom"/>
          </w:tcPr>
          <w:p>
            <w:pPr>
              <w:jc w:val="right"/>
              <w:ind w:right="68"/>
              <w:spacing w:after="0"/>
              <w:rPr>
                <w:sz w:val="20"/>
                <w:szCs w:val="20"/>
                <w:color w:val="auto"/>
              </w:rPr>
            </w:pPr>
            <w:r>
              <w:rPr>
                <w:rFonts w:ascii="Arial" w:cs="Arial" w:eastAsia="Arial" w:hAnsi="Arial"/>
                <w:sz w:val="14"/>
                <w:szCs w:val="14"/>
                <w:color w:val="auto"/>
              </w:rPr>
              <w:t>30,416</w:t>
            </w:r>
          </w:p>
        </w:tc>
        <w:tc>
          <w:tcPr>
            <w:tcW w:w="1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020" w:type="dxa"/>
            <w:vAlign w:val="bottom"/>
          </w:tcPr>
          <w:p>
            <w:pPr>
              <w:jc w:val="right"/>
              <w:ind w:right="88"/>
              <w:spacing w:after="0"/>
              <w:rPr>
                <w:sz w:val="20"/>
                <w:szCs w:val="20"/>
                <w:color w:val="auto"/>
              </w:rPr>
            </w:pPr>
            <w:r>
              <w:rPr>
                <w:rFonts w:ascii="Arial" w:cs="Arial" w:eastAsia="Arial" w:hAnsi="Arial"/>
                <w:sz w:val="14"/>
                <w:szCs w:val="14"/>
                <w:color w:val="auto"/>
              </w:rPr>
              <w:t>43,918</w:t>
            </w:r>
          </w:p>
        </w:tc>
        <w:tc>
          <w:tcPr>
            <w:tcW w:w="900" w:type="dxa"/>
            <w:vAlign w:val="bottom"/>
            <w:gridSpan w:val="2"/>
          </w:tcPr>
          <w:p>
            <w:pPr>
              <w:jc w:val="right"/>
              <w:ind w:right="88"/>
              <w:spacing w:after="0"/>
              <w:rPr>
                <w:sz w:val="20"/>
                <w:szCs w:val="20"/>
                <w:color w:val="auto"/>
              </w:rPr>
            </w:pPr>
            <w:r>
              <w:rPr>
                <w:rFonts w:ascii="Arial" w:cs="Arial" w:eastAsia="Arial" w:hAnsi="Arial"/>
                <w:sz w:val="14"/>
                <w:szCs w:val="14"/>
                <w:color w:val="auto"/>
              </w:rPr>
              <w:t>-30.7%</w:t>
            </w:r>
          </w:p>
        </w:tc>
        <w:tc>
          <w:tcPr>
            <w:tcW w:w="0" w:type="dxa"/>
            <w:vAlign w:val="bottom"/>
          </w:tcPr>
          <w:p>
            <w:pPr>
              <w:spacing w:after="0"/>
              <w:rPr>
                <w:sz w:val="1"/>
                <w:szCs w:val="1"/>
                <w:color w:val="auto"/>
              </w:rPr>
            </w:pPr>
          </w:p>
        </w:tc>
      </w:tr>
      <w:tr>
        <w:trPr>
          <w:trHeight w:val="181"/>
        </w:trPr>
        <w:tc>
          <w:tcPr>
            <w:tcW w:w="7700" w:type="dxa"/>
            <w:vAlign w:val="bottom"/>
          </w:tcPr>
          <w:p>
            <w:pPr>
              <w:ind w:left="320"/>
              <w:spacing w:after="0"/>
              <w:rPr>
                <w:sz w:val="20"/>
                <w:szCs w:val="20"/>
                <w:color w:val="auto"/>
              </w:rPr>
            </w:pPr>
            <w:r>
              <w:rPr>
                <w:rFonts w:ascii="Arial" w:cs="Arial" w:eastAsia="Arial" w:hAnsi="Arial"/>
                <w:sz w:val="14"/>
                <w:szCs w:val="14"/>
                <w:color w:val="auto"/>
              </w:rPr>
              <w:t>Travel and Recreation Services</w:t>
            </w:r>
          </w:p>
        </w:tc>
        <w:tc>
          <w:tcPr>
            <w:tcW w:w="320" w:type="dxa"/>
            <w:vAlign w:val="bottom"/>
          </w:tcPr>
          <w:p>
            <w:pPr>
              <w:spacing w:after="0"/>
              <w:rPr>
                <w:sz w:val="15"/>
                <w:szCs w:val="15"/>
                <w:color w:val="auto"/>
              </w:rPr>
            </w:pPr>
          </w:p>
        </w:tc>
        <w:tc>
          <w:tcPr>
            <w:tcW w:w="980" w:type="dxa"/>
            <w:vAlign w:val="bottom"/>
          </w:tcPr>
          <w:p>
            <w:pPr>
              <w:jc w:val="right"/>
              <w:ind w:right="68"/>
              <w:spacing w:after="0"/>
              <w:rPr>
                <w:sz w:val="20"/>
                <w:szCs w:val="20"/>
                <w:color w:val="auto"/>
              </w:rPr>
            </w:pPr>
            <w:r>
              <w:rPr>
                <w:rFonts w:ascii="Arial" w:cs="Arial" w:eastAsia="Arial" w:hAnsi="Arial"/>
                <w:sz w:val="14"/>
                <w:szCs w:val="14"/>
                <w:color w:val="auto"/>
              </w:rPr>
              <w:t>4,887</w:t>
            </w:r>
          </w:p>
        </w:tc>
        <w:tc>
          <w:tcPr>
            <w:tcW w:w="1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020" w:type="dxa"/>
            <w:vAlign w:val="bottom"/>
          </w:tcPr>
          <w:p>
            <w:pPr>
              <w:jc w:val="right"/>
              <w:ind w:right="88"/>
              <w:spacing w:after="0"/>
              <w:rPr>
                <w:sz w:val="20"/>
                <w:szCs w:val="20"/>
                <w:color w:val="auto"/>
              </w:rPr>
            </w:pPr>
            <w:r>
              <w:rPr>
                <w:rFonts w:ascii="Arial" w:cs="Arial" w:eastAsia="Arial" w:hAnsi="Arial"/>
                <w:sz w:val="14"/>
                <w:szCs w:val="14"/>
                <w:color w:val="auto"/>
              </w:rPr>
              <w:t>5,852</w:t>
            </w:r>
          </w:p>
        </w:tc>
        <w:tc>
          <w:tcPr>
            <w:tcW w:w="900" w:type="dxa"/>
            <w:vAlign w:val="bottom"/>
            <w:gridSpan w:val="2"/>
          </w:tcPr>
          <w:p>
            <w:pPr>
              <w:jc w:val="right"/>
              <w:ind w:right="88"/>
              <w:spacing w:after="0"/>
              <w:rPr>
                <w:sz w:val="20"/>
                <w:szCs w:val="20"/>
                <w:color w:val="auto"/>
              </w:rPr>
            </w:pPr>
            <w:r>
              <w:rPr>
                <w:rFonts w:ascii="Arial" w:cs="Arial" w:eastAsia="Arial" w:hAnsi="Arial"/>
                <w:sz w:val="14"/>
                <w:szCs w:val="14"/>
                <w:color w:val="auto"/>
              </w:rPr>
              <w:t>-16.5%</w:t>
            </w:r>
          </w:p>
        </w:tc>
        <w:tc>
          <w:tcPr>
            <w:tcW w:w="0" w:type="dxa"/>
            <w:vAlign w:val="bottom"/>
          </w:tcPr>
          <w:p>
            <w:pPr>
              <w:spacing w:after="0"/>
              <w:rPr>
                <w:sz w:val="1"/>
                <w:szCs w:val="1"/>
                <w:color w:val="auto"/>
              </w:rPr>
            </w:pPr>
          </w:p>
        </w:tc>
      </w:tr>
      <w:tr>
        <w:trPr>
          <w:trHeight w:val="169"/>
        </w:trPr>
        <w:tc>
          <w:tcPr>
            <w:tcW w:w="7700" w:type="dxa"/>
            <w:vAlign w:val="bottom"/>
          </w:tcPr>
          <w:p>
            <w:pPr>
              <w:spacing w:after="0"/>
              <w:rPr>
                <w:sz w:val="14"/>
                <w:szCs w:val="14"/>
                <w:color w:val="auto"/>
              </w:rPr>
            </w:pPr>
          </w:p>
        </w:tc>
        <w:tc>
          <w:tcPr>
            <w:tcW w:w="320" w:type="dxa"/>
            <w:vAlign w:val="bottom"/>
            <w:tcBorders>
              <w:top w:val="single" w:sz="8" w:color="auto"/>
              <w:bottom w:val="single" w:sz="8" w:color="auto"/>
            </w:tcBorders>
          </w:tcPr>
          <w:p>
            <w:pPr>
              <w:jc w:val="right"/>
              <w:ind w:right="88"/>
              <w:spacing w:after="0"/>
              <w:rPr>
                <w:sz w:val="20"/>
                <w:szCs w:val="20"/>
                <w:color w:val="auto"/>
              </w:rPr>
            </w:pPr>
            <w:r>
              <w:rPr>
                <w:rFonts w:ascii="Arial" w:cs="Arial" w:eastAsia="Arial" w:hAnsi="Arial"/>
                <w:sz w:val="14"/>
                <w:szCs w:val="14"/>
                <w:b w:val="1"/>
                <w:bCs w:val="1"/>
                <w:color w:val="auto"/>
              </w:rPr>
              <w:t>$</w:t>
            </w:r>
          </w:p>
        </w:tc>
        <w:tc>
          <w:tcPr>
            <w:tcW w:w="980" w:type="dxa"/>
            <w:vAlign w:val="bottom"/>
            <w:tcBorders>
              <w:top w:val="single" w:sz="8" w:color="auto"/>
              <w:bottom w:val="single" w:sz="8" w:color="auto"/>
            </w:tcBorders>
          </w:tcPr>
          <w:p>
            <w:pPr>
              <w:jc w:val="right"/>
              <w:ind w:right="68"/>
              <w:spacing w:after="0"/>
              <w:rPr>
                <w:sz w:val="20"/>
                <w:szCs w:val="20"/>
                <w:color w:val="auto"/>
              </w:rPr>
            </w:pPr>
            <w:r>
              <w:rPr>
                <w:rFonts w:ascii="Arial" w:cs="Arial" w:eastAsia="Arial" w:hAnsi="Arial"/>
                <w:sz w:val="14"/>
                <w:szCs w:val="14"/>
                <w:b w:val="1"/>
                <w:bCs w:val="1"/>
                <w:color w:val="auto"/>
              </w:rPr>
              <w:t>240,949</w:t>
            </w:r>
          </w:p>
        </w:tc>
        <w:tc>
          <w:tcPr>
            <w:tcW w:w="140" w:type="dxa"/>
            <w:vAlign w:val="bottom"/>
          </w:tcPr>
          <w:p>
            <w:pPr>
              <w:spacing w:after="0"/>
              <w:rPr>
                <w:sz w:val="14"/>
                <w:szCs w:val="14"/>
                <w:color w:val="auto"/>
              </w:rPr>
            </w:pPr>
          </w:p>
        </w:tc>
        <w:tc>
          <w:tcPr>
            <w:tcW w:w="360" w:type="dxa"/>
            <w:vAlign w:val="bottom"/>
            <w:tcBorders>
              <w:top w:val="single" w:sz="8" w:color="auto"/>
              <w:bottom w:val="single" w:sz="8" w:color="auto"/>
            </w:tcBorders>
          </w:tcPr>
          <w:p>
            <w:pPr>
              <w:jc w:val="right"/>
              <w:ind w:right="128"/>
              <w:spacing w:after="0"/>
              <w:rPr>
                <w:sz w:val="20"/>
                <w:szCs w:val="20"/>
                <w:color w:val="auto"/>
              </w:rPr>
            </w:pPr>
            <w:r>
              <w:rPr>
                <w:rFonts w:ascii="Arial" w:cs="Arial" w:eastAsia="Arial" w:hAnsi="Arial"/>
                <w:sz w:val="14"/>
                <w:szCs w:val="14"/>
                <w:b w:val="1"/>
                <w:bCs w:val="1"/>
                <w:color w:val="auto"/>
              </w:rPr>
              <w:t>$</w:t>
            </w:r>
          </w:p>
        </w:tc>
        <w:tc>
          <w:tcPr>
            <w:tcW w:w="1020" w:type="dxa"/>
            <w:vAlign w:val="bottom"/>
            <w:tcBorders>
              <w:top w:val="single" w:sz="8" w:color="auto"/>
              <w:bottom w:val="single" w:sz="8" w:color="auto"/>
            </w:tcBorders>
          </w:tcPr>
          <w:p>
            <w:pPr>
              <w:jc w:val="right"/>
              <w:ind w:right="88"/>
              <w:spacing w:after="0"/>
              <w:rPr>
                <w:sz w:val="20"/>
                <w:szCs w:val="20"/>
                <w:color w:val="auto"/>
              </w:rPr>
            </w:pPr>
            <w:r>
              <w:rPr>
                <w:rFonts w:ascii="Arial" w:cs="Arial" w:eastAsia="Arial" w:hAnsi="Arial"/>
                <w:sz w:val="14"/>
                <w:szCs w:val="14"/>
                <w:b w:val="1"/>
                <w:bCs w:val="1"/>
                <w:color w:val="auto"/>
              </w:rPr>
              <w:t>335,445</w:t>
            </w:r>
          </w:p>
        </w:tc>
        <w:tc>
          <w:tcPr>
            <w:tcW w:w="100" w:type="dxa"/>
            <w:vAlign w:val="bottom"/>
          </w:tcPr>
          <w:p>
            <w:pPr>
              <w:spacing w:after="0"/>
              <w:rPr>
                <w:sz w:val="14"/>
                <w:szCs w:val="14"/>
                <w:color w:val="auto"/>
              </w:rPr>
            </w:pPr>
          </w:p>
        </w:tc>
        <w:tc>
          <w:tcPr>
            <w:tcW w:w="800" w:type="dxa"/>
            <w:vAlign w:val="bottom"/>
            <w:tcBorders>
              <w:top w:val="single" w:sz="8" w:color="auto"/>
              <w:bottom w:val="single" w:sz="8" w:color="auto"/>
            </w:tcBorders>
          </w:tcPr>
          <w:p>
            <w:pPr>
              <w:jc w:val="right"/>
              <w:ind w:right="48"/>
              <w:spacing w:after="0"/>
              <w:rPr>
                <w:sz w:val="20"/>
                <w:szCs w:val="20"/>
                <w:color w:val="auto"/>
              </w:rPr>
            </w:pPr>
            <w:r>
              <w:rPr>
                <w:rFonts w:ascii="Arial" w:cs="Arial" w:eastAsia="Arial" w:hAnsi="Arial"/>
                <w:sz w:val="14"/>
                <w:szCs w:val="14"/>
                <w:b w:val="1"/>
                <w:bCs w:val="1"/>
                <w:color w:val="auto"/>
              </w:rPr>
              <w:t>-28.2%</w:t>
            </w:r>
          </w:p>
        </w:tc>
        <w:tc>
          <w:tcPr>
            <w:tcW w:w="0" w:type="dxa"/>
            <w:vAlign w:val="bottom"/>
          </w:tcPr>
          <w:p>
            <w:pPr>
              <w:spacing w:after="0"/>
              <w:rPr>
                <w:sz w:val="1"/>
                <w:szCs w:val="1"/>
                <w:color w:val="auto"/>
              </w:rPr>
            </w:pPr>
          </w:p>
        </w:tc>
      </w:tr>
      <w:tr>
        <w:trPr>
          <w:trHeight w:val="20"/>
        </w:trPr>
        <w:tc>
          <w:tcPr>
            <w:tcW w:w="7700" w:type="dxa"/>
            <w:vAlign w:val="bottom"/>
            <w:vMerge w:val="restart"/>
          </w:tcPr>
          <w:p>
            <w:pPr>
              <w:ind w:left="220"/>
              <w:spacing w:after="0"/>
              <w:rPr>
                <w:sz w:val="20"/>
                <w:szCs w:val="20"/>
                <w:color w:val="auto"/>
              </w:rPr>
            </w:pPr>
            <w:r>
              <w:rPr>
                <w:rFonts w:ascii="Arial" w:cs="Arial" w:eastAsia="Arial" w:hAnsi="Arial"/>
                <w:sz w:val="14"/>
                <w:szCs w:val="14"/>
                <w:color w:val="auto"/>
              </w:rPr>
              <w:t>Segment operating income (loss):</w:t>
            </w:r>
          </w:p>
        </w:tc>
        <w:tc>
          <w:tcPr>
            <w:tcW w:w="32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26"/>
        </w:trPr>
        <w:tc>
          <w:tcPr>
            <w:tcW w:w="7700" w:type="dxa"/>
            <w:vAlign w:val="bottom"/>
            <w:vMerge w:val="continue"/>
          </w:tcPr>
          <w:p>
            <w:pPr>
              <w:spacing w:after="0"/>
              <w:rPr>
                <w:sz w:val="24"/>
                <w:szCs w:val="24"/>
                <w:color w:val="auto"/>
              </w:rPr>
            </w:pPr>
          </w:p>
        </w:tc>
        <w:tc>
          <w:tcPr>
            <w:tcW w:w="3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6"/>
        </w:trPr>
        <w:tc>
          <w:tcPr>
            <w:tcW w:w="7700" w:type="dxa"/>
            <w:vAlign w:val="bottom"/>
          </w:tcPr>
          <w:p>
            <w:pPr>
              <w:ind w:left="320"/>
              <w:spacing w:after="0"/>
              <w:rPr>
                <w:sz w:val="20"/>
                <w:szCs w:val="20"/>
                <w:color w:val="auto"/>
              </w:rPr>
            </w:pPr>
            <w:r>
              <w:rPr>
                <w:rFonts w:ascii="Arial" w:cs="Arial" w:eastAsia="Arial" w:hAnsi="Arial"/>
                <w:sz w:val="14"/>
                <w:szCs w:val="14"/>
                <w:color w:val="auto"/>
              </w:rPr>
              <w:t>GES Exposition Services</w:t>
            </w:r>
          </w:p>
        </w:tc>
        <w:tc>
          <w:tcPr>
            <w:tcW w:w="32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980" w:type="dxa"/>
            <w:vAlign w:val="bottom"/>
          </w:tcPr>
          <w:p>
            <w:pPr>
              <w:jc w:val="right"/>
              <w:ind w:right="68"/>
              <w:spacing w:after="0"/>
              <w:rPr>
                <w:sz w:val="20"/>
                <w:szCs w:val="20"/>
                <w:color w:val="auto"/>
              </w:rPr>
            </w:pPr>
            <w:r>
              <w:rPr>
                <w:rFonts w:ascii="Arial" w:cs="Arial" w:eastAsia="Arial" w:hAnsi="Arial"/>
                <w:sz w:val="14"/>
                <w:szCs w:val="14"/>
                <w:color w:val="auto"/>
              </w:rPr>
              <w:t>16,393</w:t>
            </w:r>
          </w:p>
        </w:tc>
        <w:tc>
          <w:tcPr>
            <w:tcW w:w="500" w:type="dxa"/>
            <w:vAlign w:val="bottom"/>
            <w:gridSpan w:val="2"/>
          </w:tcPr>
          <w:p>
            <w:pPr>
              <w:jc w:val="right"/>
              <w:ind w:right="128"/>
              <w:spacing w:after="0"/>
              <w:rPr>
                <w:sz w:val="20"/>
                <w:szCs w:val="20"/>
                <w:color w:val="auto"/>
              </w:rPr>
            </w:pPr>
            <w:r>
              <w:rPr>
                <w:rFonts w:ascii="Arial" w:cs="Arial" w:eastAsia="Arial" w:hAnsi="Arial"/>
                <w:sz w:val="14"/>
                <w:szCs w:val="14"/>
                <w:color w:val="auto"/>
              </w:rPr>
              <w:t>$</w:t>
            </w:r>
          </w:p>
        </w:tc>
        <w:tc>
          <w:tcPr>
            <w:tcW w:w="1020" w:type="dxa"/>
            <w:vAlign w:val="bottom"/>
          </w:tcPr>
          <w:p>
            <w:pPr>
              <w:jc w:val="right"/>
              <w:ind w:right="88"/>
              <w:spacing w:after="0"/>
              <w:rPr>
                <w:sz w:val="20"/>
                <w:szCs w:val="20"/>
                <w:color w:val="auto"/>
              </w:rPr>
            </w:pPr>
            <w:r>
              <w:rPr>
                <w:rFonts w:ascii="Arial" w:cs="Arial" w:eastAsia="Arial" w:hAnsi="Arial"/>
                <w:sz w:val="14"/>
                <w:szCs w:val="14"/>
                <w:color w:val="auto"/>
              </w:rPr>
              <w:t>35,848</w:t>
            </w:r>
          </w:p>
        </w:tc>
        <w:tc>
          <w:tcPr>
            <w:tcW w:w="900" w:type="dxa"/>
            <w:vAlign w:val="bottom"/>
            <w:gridSpan w:val="2"/>
          </w:tcPr>
          <w:p>
            <w:pPr>
              <w:jc w:val="right"/>
              <w:ind w:right="88"/>
              <w:spacing w:after="0"/>
              <w:rPr>
                <w:sz w:val="20"/>
                <w:szCs w:val="20"/>
                <w:color w:val="auto"/>
              </w:rPr>
            </w:pPr>
            <w:r>
              <w:rPr>
                <w:rFonts w:ascii="Arial" w:cs="Arial" w:eastAsia="Arial" w:hAnsi="Arial"/>
                <w:sz w:val="14"/>
                <w:szCs w:val="14"/>
                <w:color w:val="auto"/>
              </w:rPr>
              <w:t>-54.3%</w:t>
            </w:r>
          </w:p>
        </w:tc>
        <w:tc>
          <w:tcPr>
            <w:tcW w:w="0" w:type="dxa"/>
            <w:vAlign w:val="bottom"/>
          </w:tcPr>
          <w:p>
            <w:pPr>
              <w:spacing w:after="0"/>
              <w:rPr>
                <w:sz w:val="1"/>
                <w:szCs w:val="1"/>
                <w:color w:val="auto"/>
              </w:rPr>
            </w:pPr>
          </w:p>
        </w:tc>
      </w:tr>
      <w:tr>
        <w:trPr>
          <w:trHeight w:val="176"/>
        </w:trPr>
        <w:tc>
          <w:tcPr>
            <w:tcW w:w="7700" w:type="dxa"/>
            <w:vAlign w:val="bottom"/>
          </w:tcPr>
          <w:p>
            <w:pPr>
              <w:ind w:left="320"/>
              <w:spacing w:after="0"/>
              <w:rPr>
                <w:sz w:val="20"/>
                <w:szCs w:val="20"/>
                <w:color w:val="auto"/>
              </w:rPr>
            </w:pPr>
            <w:r>
              <w:rPr>
                <w:rFonts w:ascii="Arial" w:cs="Arial" w:eastAsia="Arial" w:hAnsi="Arial"/>
                <w:sz w:val="14"/>
                <w:szCs w:val="14"/>
                <w:color w:val="auto"/>
              </w:rPr>
              <w:t>Experiential Marketing Services</w:t>
            </w:r>
          </w:p>
        </w:tc>
        <w:tc>
          <w:tcPr>
            <w:tcW w:w="320" w:type="dxa"/>
            <w:vAlign w:val="bottom"/>
          </w:tcPr>
          <w:p>
            <w:pPr>
              <w:spacing w:after="0"/>
              <w:rPr>
                <w:sz w:val="15"/>
                <w:szCs w:val="15"/>
                <w:color w:val="auto"/>
              </w:rPr>
            </w:pPr>
          </w:p>
        </w:tc>
        <w:tc>
          <w:tcPr>
            <w:tcW w:w="980" w:type="dxa"/>
            <w:vAlign w:val="bottom"/>
          </w:tcPr>
          <w:p>
            <w:pPr>
              <w:jc w:val="right"/>
              <w:ind w:right="8"/>
              <w:spacing w:after="0"/>
              <w:rPr>
                <w:sz w:val="20"/>
                <w:szCs w:val="20"/>
                <w:color w:val="auto"/>
              </w:rPr>
            </w:pPr>
            <w:r>
              <w:rPr>
                <w:rFonts w:ascii="Arial" w:cs="Arial" w:eastAsia="Arial" w:hAnsi="Arial"/>
                <w:sz w:val="14"/>
                <w:szCs w:val="14"/>
                <w:color w:val="auto"/>
              </w:rPr>
              <w:t>(7,322)</w:t>
            </w:r>
          </w:p>
        </w:tc>
        <w:tc>
          <w:tcPr>
            <w:tcW w:w="1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020" w:type="dxa"/>
            <w:vAlign w:val="bottom"/>
          </w:tcPr>
          <w:p>
            <w:pPr>
              <w:jc w:val="right"/>
              <w:ind w:right="28"/>
              <w:spacing w:after="0"/>
              <w:rPr>
                <w:sz w:val="20"/>
                <w:szCs w:val="20"/>
                <w:color w:val="auto"/>
              </w:rPr>
            </w:pPr>
            <w:r>
              <w:rPr>
                <w:rFonts w:ascii="Arial" w:cs="Arial" w:eastAsia="Arial" w:hAnsi="Arial"/>
                <w:sz w:val="14"/>
                <w:szCs w:val="14"/>
                <w:color w:val="auto"/>
              </w:rPr>
              <w:t>(4,121)</w:t>
            </w:r>
          </w:p>
        </w:tc>
        <w:tc>
          <w:tcPr>
            <w:tcW w:w="900" w:type="dxa"/>
            <w:vAlign w:val="bottom"/>
            <w:gridSpan w:val="2"/>
          </w:tcPr>
          <w:p>
            <w:pPr>
              <w:jc w:val="right"/>
              <w:ind w:right="88"/>
              <w:spacing w:after="0"/>
              <w:rPr>
                <w:sz w:val="20"/>
                <w:szCs w:val="20"/>
                <w:color w:val="auto"/>
              </w:rPr>
            </w:pPr>
            <w:r>
              <w:rPr>
                <w:rFonts w:ascii="Arial" w:cs="Arial" w:eastAsia="Arial" w:hAnsi="Arial"/>
                <w:sz w:val="14"/>
                <w:szCs w:val="14"/>
                <w:color w:val="auto"/>
              </w:rPr>
              <w:t>-77.7%</w:t>
            </w:r>
          </w:p>
        </w:tc>
        <w:tc>
          <w:tcPr>
            <w:tcW w:w="0" w:type="dxa"/>
            <w:vAlign w:val="bottom"/>
          </w:tcPr>
          <w:p>
            <w:pPr>
              <w:spacing w:after="0"/>
              <w:rPr>
                <w:sz w:val="1"/>
                <w:szCs w:val="1"/>
                <w:color w:val="auto"/>
              </w:rPr>
            </w:pPr>
          </w:p>
        </w:tc>
      </w:tr>
      <w:tr>
        <w:trPr>
          <w:trHeight w:val="181"/>
        </w:trPr>
        <w:tc>
          <w:tcPr>
            <w:tcW w:w="7700" w:type="dxa"/>
            <w:vAlign w:val="bottom"/>
          </w:tcPr>
          <w:p>
            <w:pPr>
              <w:ind w:left="320"/>
              <w:spacing w:after="0"/>
              <w:rPr>
                <w:sz w:val="20"/>
                <w:szCs w:val="20"/>
                <w:color w:val="auto"/>
              </w:rPr>
            </w:pPr>
            <w:r>
              <w:rPr>
                <w:rFonts w:ascii="Arial" w:cs="Arial" w:eastAsia="Arial" w:hAnsi="Arial"/>
                <w:sz w:val="14"/>
                <w:szCs w:val="14"/>
                <w:color w:val="auto"/>
              </w:rPr>
              <w:t>Travel and Recreation Services</w:t>
            </w:r>
          </w:p>
        </w:tc>
        <w:tc>
          <w:tcPr>
            <w:tcW w:w="320" w:type="dxa"/>
            <w:vAlign w:val="bottom"/>
          </w:tcPr>
          <w:p>
            <w:pPr>
              <w:spacing w:after="0"/>
              <w:rPr>
                <w:sz w:val="15"/>
                <w:szCs w:val="15"/>
                <w:color w:val="auto"/>
              </w:rPr>
            </w:pPr>
          </w:p>
        </w:tc>
        <w:tc>
          <w:tcPr>
            <w:tcW w:w="980" w:type="dxa"/>
            <w:vAlign w:val="bottom"/>
          </w:tcPr>
          <w:p>
            <w:pPr>
              <w:jc w:val="right"/>
              <w:ind w:right="8"/>
              <w:spacing w:after="0"/>
              <w:rPr>
                <w:sz w:val="20"/>
                <w:szCs w:val="20"/>
                <w:color w:val="auto"/>
              </w:rPr>
            </w:pPr>
            <w:r>
              <w:rPr>
                <w:rFonts w:ascii="Arial" w:cs="Arial" w:eastAsia="Arial" w:hAnsi="Arial"/>
                <w:sz w:val="14"/>
                <w:szCs w:val="14"/>
                <w:color w:val="auto"/>
              </w:rPr>
              <w:t>(2,404)</w:t>
            </w:r>
          </w:p>
        </w:tc>
        <w:tc>
          <w:tcPr>
            <w:tcW w:w="1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020" w:type="dxa"/>
            <w:vAlign w:val="bottom"/>
          </w:tcPr>
          <w:p>
            <w:pPr>
              <w:jc w:val="right"/>
              <w:ind w:right="28"/>
              <w:spacing w:after="0"/>
              <w:rPr>
                <w:sz w:val="20"/>
                <w:szCs w:val="20"/>
                <w:color w:val="auto"/>
              </w:rPr>
            </w:pPr>
            <w:r>
              <w:rPr>
                <w:rFonts w:ascii="Arial" w:cs="Arial" w:eastAsia="Arial" w:hAnsi="Arial"/>
                <w:sz w:val="14"/>
                <w:szCs w:val="14"/>
                <w:color w:val="auto"/>
              </w:rPr>
              <w:t>(3,147)</w:t>
            </w:r>
          </w:p>
        </w:tc>
        <w:tc>
          <w:tcPr>
            <w:tcW w:w="900" w:type="dxa"/>
            <w:vAlign w:val="bottom"/>
            <w:gridSpan w:val="2"/>
          </w:tcPr>
          <w:p>
            <w:pPr>
              <w:jc w:val="right"/>
              <w:ind w:right="88"/>
              <w:spacing w:after="0"/>
              <w:rPr>
                <w:sz w:val="20"/>
                <w:szCs w:val="20"/>
                <w:color w:val="auto"/>
              </w:rPr>
            </w:pPr>
            <w:r>
              <w:rPr>
                <w:rFonts w:ascii="Arial" w:cs="Arial" w:eastAsia="Arial" w:hAnsi="Arial"/>
                <w:sz w:val="14"/>
                <w:szCs w:val="14"/>
                <w:color w:val="auto"/>
              </w:rPr>
              <w:t>23.6%</w:t>
            </w:r>
          </w:p>
        </w:tc>
        <w:tc>
          <w:tcPr>
            <w:tcW w:w="0" w:type="dxa"/>
            <w:vAlign w:val="bottom"/>
          </w:tcPr>
          <w:p>
            <w:pPr>
              <w:spacing w:after="0"/>
              <w:rPr>
                <w:sz w:val="1"/>
                <w:szCs w:val="1"/>
                <w:color w:val="auto"/>
              </w:rPr>
            </w:pPr>
          </w:p>
        </w:tc>
      </w:tr>
      <w:tr>
        <w:trPr>
          <w:trHeight w:val="169"/>
        </w:trPr>
        <w:tc>
          <w:tcPr>
            <w:tcW w:w="7700" w:type="dxa"/>
            <w:vAlign w:val="bottom"/>
          </w:tcPr>
          <w:p>
            <w:pPr>
              <w:spacing w:after="0"/>
              <w:rPr>
                <w:sz w:val="14"/>
                <w:szCs w:val="14"/>
                <w:color w:val="auto"/>
              </w:rPr>
            </w:pPr>
          </w:p>
        </w:tc>
        <w:tc>
          <w:tcPr>
            <w:tcW w:w="320" w:type="dxa"/>
            <w:vAlign w:val="bottom"/>
            <w:tcBorders>
              <w:top w:val="single" w:sz="8" w:color="auto"/>
              <w:bottom w:val="single" w:sz="8" w:color="auto"/>
            </w:tcBorders>
          </w:tcPr>
          <w:p>
            <w:pPr>
              <w:jc w:val="right"/>
              <w:ind w:right="88"/>
              <w:spacing w:after="0"/>
              <w:rPr>
                <w:sz w:val="20"/>
                <w:szCs w:val="20"/>
                <w:color w:val="auto"/>
              </w:rPr>
            </w:pPr>
            <w:r>
              <w:rPr>
                <w:rFonts w:ascii="Arial" w:cs="Arial" w:eastAsia="Arial" w:hAnsi="Arial"/>
                <w:sz w:val="14"/>
                <w:szCs w:val="14"/>
                <w:b w:val="1"/>
                <w:bCs w:val="1"/>
                <w:color w:val="auto"/>
              </w:rPr>
              <w:t>$</w:t>
            </w:r>
          </w:p>
        </w:tc>
        <w:tc>
          <w:tcPr>
            <w:tcW w:w="980" w:type="dxa"/>
            <w:vAlign w:val="bottom"/>
            <w:tcBorders>
              <w:top w:val="single" w:sz="8" w:color="auto"/>
              <w:bottom w:val="single" w:sz="8" w:color="auto"/>
            </w:tcBorders>
          </w:tcPr>
          <w:p>
            <w:pPr>
              <w:jc w:val="right"/>
              <w:ind w:right="68"/>
              <w:spacing w:after="0"/>
              <w:rPr>
                <w:sz w:val="20"/>
                <w:szCs w:val="20"/>
                <w:color w:val="auto"/>
              </w:rPr>
            </w:pPr>
            <w:r>
              <w:rPr>
                <w:rFonts w:ascii="Arial" w:cs="Arial" w:eastAsia="Arial" w:hAnsi="Arial"/>
                <w:sz w:val="14"/>
                <w:szCs w:val="14"/>
                <w:b w:val="1"/>
                <w:bCs w:val="1"/>
                <w:color w:val="auto"/>
              </w:rPr>
              <w:t>6,667</w:t>
            </w:r>
          </w:p>
        </w:tc>
        <w:tc>
          <w:tcPr>
            <w:tcW w:w="140" w:type="dxa"/>
            <w:vAlign w:val="bottom"/>
          </w:tcPr>
          <w:p>
            <w:pPr>
              <w:spacing w:after="0"/>
              <w:rPr>
                <w:sz w:val="14"/>
                <w:szCs w:val="14"/>
                <w:color w:val="auto"/>
              </w:rPr>
            </w:pPr>
          </w:p>
        </w:tc>
        <w:tc>
          <w:tcPr>
            <w:tcW w:w="360" w:type="dxa"/>
            <w:vAlign w:val="bottom"/>
            <w:tcBorders>
              <w:top w:val="single" w:sz="8" w:color="auto"/>
              <w:bottom w:val="single" w:sz="8" w:color="auto"/>
            </w:tcBorders>
          </w:tcPr>
          <w:p>
            <w:pPr>
              <w:jc w:val="right"/>
              <w:ind w:right="128"/>
              <w:spacing w:after="0"/>
              <w:rPr>
                <w:sz w:val="20"/>
                <w:szCs w:val="20"/>
                <w:color w:val="auto"/>
              </w:rPr>
            </w:pPr>
            <w:r>
              <w:rPr>
                <w:rFonts w:ascii="Arial" w:cs="Arial" w:eastAsia="Arial" w:hAnsi="Arial"/>
                <w:sz w:val="14"/>
                <w:szCs w:val="14"/>
                <w:b w:val="1"/>
                <w:bCs w:val="1"/>
                <w:color w:val="auto"/>
              </w:rPr>
              <w:t>$</w:t>
            </w:r>
          </w:p>
        </w:tc>
        <w:tc>
          <w:tcPr>
            <w:tcW w:w="1020" w:type="dxa"/>
            <w:vAlign w:val="bottom"/>
            <w:tcBorders>
              <w:top w:val="single" w:sz="8" w:color="auto"/>
              <w:bottom w:val="single" w:sz="8" w:color="auto"/>
            </w:tcBorders>
          </w:tcPr>
          <w:p>
            <w:pPr>
              <w:jc w:val="right"/>
              <w:ind w:right="88"/>
              <w:spacing w:after="0"/>
              <w:rPr>
                <w:sz w:val="20"/>
                <w:szCs w:val="20"/>
                <w:color w:val="auto"/>
              </w:rPr>
            </w:pPr>
            <w:r>
              <w:rPr>
                <w:rFonts w:ascii="Arial" w:cs="Arial" w:eastAsia="Arial" w:hAnsi="Arial"/>
                <w:sz w:val="14"/>
                <w:szCs w:val="14"/>
                <w:b w:val="1"/>
                <w:bCs w:val="1"/>
                <w:color w:val="auto"/>
              </w:rPr>
              <w:t>28,580</w:t>
            </w:r>
          </w:p>
        </w:tc>
        <w:tc>
          <w:tcPr>
            <w:tcW w:w="100" w:type="dxa"/>
            <w:vAlign w:val="bottom"/>
          </w:tcPr>
          <w:p>
            <w:pPr>
              <w:spacing w:after="0"/>
              <w:rPr>
                <w:sz w:val="14"/>
                <w:szCs w:val="14"/>
                <w:color w:val="auto"/>
              </w:rPr>
            </w:pPr>
          </w:p>
        </w:tc>
        <w:tc>
          <w:tcPr>
            <w:tcW w:w="800" w:type="dxa"/>
            <w:vAlign w:val="bottom"/>
            <w:tcBorders>
              <w:top w:val="single" w:sz="8" w:color="auto"/>
              <w:bottom w:val="single" w:sz="8" w:color="auto"/>
            </w:tcBorders>
          </w:tcPr>
          <w:p>
            <w:pPr>
              <w:jc w:val="right"/>
              <w:ind w:right="48"/>
              <w:spacing w:after="0"/>
              <w:rPr>
                <w:sz w:val="20"/>
                <w:szCs w:val="20"/>
                <w:color w:val="auto"/>
              </w:rPr>
            </w:pPr>
            <w:r>
              <w:rPr>
                <w:rFonts w:ascii="Arial" w:cs="Arial" w:eastAsia="Arial" w:hAnsi="Arial"/>
                <w:sz w:val="14"/>
                <w:szCs w:val="14"/>
                <w:b w:val="1"/>
                <w:bCs w:val="1"/>
                <w:color w:val="auto"/>
              </w:rPr>
              <w:t>-76.7%</w:t>
            </w:r>
          </w:p>
        </w:tc>
        <w:tc>
          <w:tcPr>
            <w:tcW w:w="0" w:type="dxa"/>
            <w:vAlign w:val="bottom"/>
          </w:tcPr>
          <w:p>
            <w:pPr>
              <w:spacing w:after="0"/>
              <w:rPr>
                <w:sz w:val="1"/>
                <w:szCs w:val="1"/>
                <w:color w:val="auto"/>
              </w:rPr>
            </w:pPr>
          </w:p>
        </w:tc>
      </w:tr>
      <w:tr>
        <w:trPr>
          <w:trHeight w:val="20"/>
        </w:trPr>
        <w:tc>
          <w:tcPr>
            <w:tcW w:w="77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70" w:lineRule="exact"/>
        <w:rPr>
          <w:sz w:val="20"/>
          <w:szCs w:val="20"/>
          <w:color w:val="auto"/>
        </w:rPr>
      </w:pPr>
    </w:p>
    <w:p>
      <w:pPr>
        <w:ind w:left="220" w:right="180" w:hanging="212"/>
        <w:spacing w:after="0" w:line="253" w:lineRule="auto"/>
        <w:tabs>
          <w:tab w:leader="none" w:pos="220" w:val="left"/>
        </w:tabs>
        <w:numPr>
          <w:ilvl w:val="0"/>
          <w:numId w:val="3"/>
        </w:numPr>
        <w:rPr>
          <w:rFonts w:ascii="Arial" w:cs="Arial" w:eastAsia="Arial" w:hAnsi="Arial"/>
          <w:sz w:val="14"/>
          <w:szCs w:val="14"/>
          <w:color w:val="auto"/>
        </w:rPr>
      </w:pPr>
      <w:r>
        <w:rPr>
          <w:rFonts w:ascii="Arial" w:cs="Arial" w:eastAsia="Arial" w:hAnsi="Arial"/>
          <w:sz w:val="14"/>
          <w:szCs w:val="14"/>
          <w:color w:val="auto"/>
        </w:rPr>
        <w:t>Restructuring Charges — In the first quarter of 2009, Viad recorded restructuring charges of $2.7 million ($1.7 million after-tax) related to the rationalization of certain positions in connection with the integration of Becker Group and Exhibitgroup/Giltspur and the consolidation of certain leased office space.</w:t>
      </w:r>
    </w:p>
    <w:p>
      <w:pPr>
        <w:spacing w:after="0" w:line="160" w:lineRule="exact"/>
        <w:rPr>
          <w:rFonts w:ascii="Arial" w:cs="Arial" w:eastAsia="Arial" w:hAnsi="Arial"/>
          <w:sz w:val="14"/>
          <w:szCs w:val="14"/>
          <w:color w:val="auto"/>
        </w:rPr>
      </w:pPr>
    </w:p>
    <w:p>
      <w:pPr>
        <w:ind w:left="220" w:right="140" w:hanging="212"/>
        <w:spacing w:after="0" w:line="253" w:lineRule="auto"/>
        <w:tabs>
          <w:tab w:leader="none" w:pos="220" w:val="left"/>
        </w:tabs>
        <w:numPr>
          <w:ilvl w:val="0"/>
          <w:numId w:val="3"/>
        </w:numPr>
        <w:rPr>
          <w:rFonts w:ascii="Arial" w:cs="Arial" w:eastAsia="Arial" w:hAnsi="Arial"/>
          <w:sz w:val="14"/>
          <w:szCs w:val="14"/>
          <w:color w:val="auto"/>
        </w:rPr>
      </w:pPr>
      <w:r>
        <w:rPr>
          <w:rFonts w:ascii="Arial" w:cs="Arial" w:eastAsia="Arial" w:hAnsi="Arial"/>
          <w:sz w:val="14"/>
          <w:szCs w:val="14"/>
          <w:color w:val="auto"/>
        </w:rPr>
        <w:t>Basic Earnings per Share — In the first quarter of 2009, Viad adopted FSP EITF 03-6-1 which affects Viad's basic earnings per share. Following is a reconciliation of net income attributable to Viad to net income allocated to Viad common shareholders:</w:t>
      </w:r>
    </w:p>
    <w:p>
      <w:pPr>
        <w:spacing w:after="0" w:line="160" w:lineRule="exact"/>
        <w:rPr>
          <w:sz w:val="20"/>
          <w:szCs w:val="20"/>
          <w:color w:val="auto"/>
        </w:rPr>
      </w:pPr>
    </w:p>
    <w:tbl>
      <w:tblPr>
        <w:tblLayout w:type="fixed"/>
        <w:tblInd w:w="0" w:type="dxa"/>
        <w:tblCellMar>
          <w:top w:w="0" w:type="dxa"/>
          <w:left w:w="0" w:type="dxa"/>
          <w:bottom w:w="0" w:type="dxa"/>
          <w:right w:w="0" w:type="dxa"/>
        </w:tblCellMar>
      </w:tblPr>
      <w:tr>
        <w:trPr>
          <w:trHeight w:val="181"/>
        </w:trPr>
        <w:tc>
          <w:tcPr>
            <w:tcW w:w="7700" w:type="dxa"/>
            <w:vAlign w:val="bottom"/>
          </w:tcPr>
          <w:p>
            <w:pPr>
              <w:spacing w:after="0"/>
              <w:rPr>
                <w:sz w:val="15"/>
                <w:szCs w:val="15"/>
                <w:color w:val="auto"/>
              </w:rPr>
            </w:pPr>
          </w:p>
        </w:tc>
        <w:tc>
          <w:tcPr>
            <w:tcW w:w="320" w:type="dxa"/>
            <w:vAlign w:val="bottom"/>
            <w:tcBorders>
              <w:bottom w:val="single" w:sz="8" w:color="auto"/>
            </w:tcBorders>
          </w:tcPr>
          <w:p>
            <w:pPr>
              <w:spacing w:after="0"/>
              <w:rPr>
                <w:sz w:val="15"/>
                <w:szCs w:val="15"/>
                <w:color w:val="auto"/>
              </w:rPr>
            </w:pPr>
          </w:p>
        </w:tc>
        <w:tc>
          <w:tcPr>
            <w:tcW w:w="2500" w:type="dxa"/>
            <w:vAlign w:val="bottom"/>
            <w:tcBorders>
              <w:bottom w:val="single" w:sz="8" w:color="auto"/>
            </w:tcBorders>
            <w:gridSpan w:val="4"/>
          </w:tcPr>
          <w:p>
            <w:pPr>
              <w:jc w:val="right"/>
              <w:ind w:right="448"/>
              <w:spacing w:after="0"/>
              <w:rPr>
                <w:sz w:val="20"/>
                <w:szCs w:val="20"/>
                <w:color w:val="auto"/>
              </w:rPr>
            </w:pPr>
            <w:r>
              <w:rPr>
                <w:rFonts w:ascii="Arial" w:cs="Arial" w:eastAsia="Arial" w:hAnsi="Arial"/>
                <w:sz w:val="14"/>
                <w:szCs w:val="14"/>
                <w:color w:val="auto"/>
              </w:rPr>
              <w:t>Three months ended March 31,</w:t>
            </w:r>
          </w:p>
        </w:tc>
        <w:tc>
          <w:tcPr>
            <w:tcW w:w="900" w:type="dxa"/>
            <w:vAlign w:val="bottom"/>
          </w:tcPr>
          <w:p>
            <w:pPr>
              <w:spacing w:after="0"/>
              <w:rPr>
                <w:sz w:val="15"/>
                <w:szCs w:val="15"/>
                <w:color w:val="auto"/>
              </w:rPr>
            </w:pPr>
          </w:p>
        </w:tc>
      </w:tr>
      <w:tr>
        <w:trPr>
          <w:trHeight w:val="169"/>
        </w:trPr>
        <w:tc>
          <w:tcPr>
            <w:tcW w:w="7700" w:type="dxa"/>
            <w:vAlign w:val="bottom"/>
          </w:tcPr>
          <w:p>
            <w:pPr>
              <w:ind w:left="220"/>
              <w:spacing w:after="0"/>
              <w:rPr>
                <w:sz w:val="20"/>
                <w:szCs w:val="20"/>
                <w:color w:val="auto"/>
              </w:rPr>
            </w:pPr>
            <w:r>
              <w:rPr>
                <w:rFonts w:ascii="Arial" w:cs="Arial" w:eastAsia="Arial" w:hAnsi="Arial"/>
                <w:sz w:val="14"/>
                <w:szCs w:val="14"/>
                <w:color w:val="auto"/>
              </w:rPr>
              <w:t>(000 omitted, except per share data)</w:t>
            </w:r>
          </w:p>
        </w:tc>
        <w:tc>
          <w:tcPr>
            <w:tcW w:w="320" w:type="dxa"/>
            <w:vAlign w:val="bottom"/>
            <w:tcBorders>
              <w:bottom w:val="single" w:sz="8" w:color="auto"/>
            </w:tcBorders>
          </w:tcPr>
          <w:p>
            <w:pPr>
              <w:spacing w:after="0"/>
              <w:rPr>
                <w:sz w:val="14"/>
                <w:szCs w:val="14"/>
                <w:color w:val="auto"/>
              </w:rPr>
            </w:pPr>
          </w:p>
        </w:tc>
        <w:tc>
          <w:tcPr>
            <w:tcW w:w="980" w:type="dxa"/>
            <w:vAlign w:val="bottom"/>
            <w:tcBorders>
              <w:bottom w:val="single" w:sz="8" w:color="auto"/>
            </w:tcBorders>
          </w:tcPr>
          <w:p>
            <w:pPr>
              <w:jc w:val="right"/>
              <w:ind w:right="428"/>
              <w:spacing w:after="0"/>
              <w:rPr>
                <w:sz w:val="20"/>
                <w:szCs w:val="20"/>
                <w:color w:val="auto"/>
              </w:rPr>
            </w:pPr>
            <w:r>
              <w:rPr>
                <w:rFonts w:ascii="Arial" w:cs="Arial" w:eastAsia="Arial" w:hAnsi="Arial"/>
                <w:sz w:val="14"/>
                <w:szCs w:val="14"/>
                <w:color w:val="auto"/>
              </w:rPr>
              <w:t>2009</w:t>
            </w:r>
          </w:p>
        </w:tc>
        <w:tc>
          <w:tcPr>
            <w:tcW w:w="140" w:type="dxa"/>
            <w:vAlign w:val="bottom"/>
          </w:tcPr>
          <w:p>
            <w:pPr>
              <w:spacing w:after="0"/>
              <w:rPr>
                <w:sz w:val="14"/>
                <w:szCs w:val="14"/>
                <w:color w:val="auto"/>
              </w:rPr>
            </w:pPr>
          </w:p>
        </w:tc>
        <w:tc>
          <w:tcPr>
            <w:tcW w:w="360" w:type="dxa"/>
            <w:vAlign w:val="bottom"/>
            <w:tcBorders>
              <w:bottom w:val="single" w:sz="8" w:color="auto"/>
            </w:tcBorders>
          </w:tcPr>
          <w:p>
            <w:pPr>
              <w:spacing w:after="0"/>
              <w:rPr>
                <w:sz w:val="14"/>
                <w:szCs w:val="14"/>
                <w:color w:val="auto"/>
              </w:rPr>
            </w:pPr>
          </w:p>
        </w:tc>
        <w:tc>
          <w:tcPr>
            <w:tcW w:w="1020" w:type="dxa"/>
            <w:vAlign w:val="bottom"/>
            <w:tcBorders>
              <w:bottom w:val="single" w:sz="8" w:color="auto"/>
            </w:tcBorders>
          </w:tcPr>
          <w:p>
            <w:pPr>
              <w:jc w:val="right"/>
              <w:ind w:right="468"/>
              <w:spacing w:after="0"/>
              <w:rPr>
                <w:sz w:val="20"/>
                <w:szCs w:val="20"/>
                <w:color w:val="auto"/>
              </w:rPr>
            </w:pPr>
            <w:r>
              <w:rPr>
                <w:rFonts w:ascii="Arial" w:cs="Arial" w:eastAsia="Arial" w:hAnsi="Arial"/>
                <w:sz w:val="14"/>
                <w:szCs w:val="14"/>
                <w:color w:val="auto"/>
              </w:rPr>
              <w:t>2008</w:t>
            </w:r>
          </w:p>
        </w:tc>
        <w:tc>
          <w:tcPr>
            <w:tcW w:w="900" w:type="dxa"/>
            <w:vAlign w:val="bottom"/>
          </w:tcPr>
          <w:p>
            <w:pPr>
              <w:spacing w:after="0"/>
              <w:rPr>
                <w:sz w:val="14"/>
                <w:szCs w:val="14"/>
                <w:color w:val="auto"/>
              </w:rPr>
            </w:pPr>
          </w:p>
        </w:tc>
      </w:tr>
      <w:tr>
        <w:trPr>
          <w:trHeight w:val="339"/>
        </w:trPr>
        <w:tc>
          <w:tcPr>
            <w:tcW w:w="7700" w:type="dxa"/>
            <w:vAlign w:val="bottom"/>
          </w:tcPr>
          <w:p>
            <w:pPr>
              <w:ind w:left="320"/>
              <w:spacing w:after="0"/>
              <w:rPr>
                <w:sz w:val="20"/>
                <w:szCs w:val="20"/>
                <w:color w:val="auto"/>
              </w:rPr>
            </w:pPr>
            <w:r>
              <w:rPr>
                <w:rFonts w:ascii="Arial" w:cs="Arial" w:eastAsia="Arial" w:hAnsi="Arial"/>
                <w:sz w:val="14"/>
                <w:szCs w:val="14"/>
                <w:b w:val="1"/>
                <w:bCs w:val="1"/>
                <w:color w:val="auto"/>
              </w:rPr>
              <w:t>Net income attributable to Viad</w:t>
            </w:r>
          </w:p>
        </w:tc>
        <w:tc>
          <w:tcPr>
            <w:tcW w:w="320" w:type="dxa"/>
            <w:vAlign w:val="bottom"/>
          </w:tcPr>
          <w:p>
            <w:pPr>
              <w:jc w:val="right"/>
              <w:ind w:right="88"/>
              <w:spacing w:after="0"/>
              <w:rPr>
                <w:sz w:val="20"/>
                <w:szCs w:val="20"/>
                <w:color w:val="auto"/>
              </w:rPr>
            </w:pPr>
            <w:r>
              <w:rPr>
                <w:rFonts w:ascii="Arial" w:cs="Arial" w:eastAsia="Arial" w:hAnsi="Arial"/>
                <w:sz w:val="14"/>
                <w:szCs w:val="14"/>
                <w:b w:val="1"/>
                <w:bCs w:val="1"/>
                <w:color w:val="auto"/>
              </w:rPr>
              <w:t>$</w:t>
            </w:r>
          </w:p>
        </w:tc>
        <w:tc>
          <w:tcPr>
            <w:tcW w:w="980" w:type="dxa"/>
            <w:vAlign w:val="bottom"/>
          </w:tcPr>
          <w:p>
            <w:pPr>
              <w:jc w:val="right"/>
              <w:ind w:right="68"/>
              <w:spacing w:after="0"/>
              <w:rPr>
                <w:sz w:val="20"/>
                <w:szCs w:val="20"/>
                <w:color w:val="auto"/>
              </w:rPr>
            </w:pPr>
            <w:r>
              <w:rPr>
                <w:rFonts w:ascii="Arial" w:cs="Arial" w:eastAsia="Arial" w:hAnsi="Arial"/>
                <w:sz w:val="14"/>
                <w:szCs w:val="14"/>
                <w:b w:val="1"/>
                <w:bCs w:val="1"/>
                <w:color w:val="auto"/>
              </w:rPr>
              <w:t>1,503</w:t>
            </w:r>
          </w:p>
        </w:tc>
        <w:tc>
          <w:tcPr>
            <w:tcW w:w="500" w:type="dxa"/>
            <w:vAlign w:val="bottom"/>
            <w:gridSpan w:val="2"/>
          </w:tcPr>
          <w:p>
            <w:pPr>
              <w:jc w:val="right"/>
              <w:ind w:right="200"/>
              <w:spacing w:after="0"/>
              <w:rPr>
                <w:sz w:val="20"/>
                <w:szCs w:val="20"/>
                <w:color w:val="auto"/>
              </w:rPr>
            </w:pPr>
            <w:r>
              <w:rPr>
                <w:rFonts w:ascii="Arial" w:cs="Arial" w:eastAsia="Arial" w:hAnsi="Arial"/>
                <w:sz w:val="14"/>
                <w:szCs w:val="14"/>
                <w:b w:val="1"/>
                <w:bCs w:val="1"/>
                <w:color w:val="auto"/>
              </w:rPr>
              <w:t>$</w:t>
            </w:r>
          </w:p>
        </w:tc>
        <w:tc>
          <w:tcPr>
            <w:tcW w:w="1020" w:type="dxa"/>
            <w:vAlign w:val="bottom"/>
          </w:tcPr>
          <w:p>
            <w:pPr>
              <w:jc w:val="right"/>
              <w:ind w:right="88"/>
              <w:spacing w:after="0"/>
              <w:rPr>
                <w:sz w:val="20"/>
                <w:szCs w:val="20"/>
                <w:color w:val="auto"/>
              </w:rPr>
            </w:pPr>
            <w:r>
              <w:rPr>
                <w:rFonts w:ascii="Arial" w:cs="Arial" w:eastAsia="Arial" w:hAnsi="Arial"/>
                <w:sz w:val="14"/>
                <w:szCs w:val="14"/>
                <w:b w:val="1"/>
                <w:bCs w:val="1"/>
                <w:color w:val="auto"/>
              </w:rPr>
              <w:t>16,745</w:t>
            </w:r>
          </w:p>
        </w:tc>
        <w:tc>
          <w:tcPr>
            <w:tcW w:w="900" w:type="dxa"/>
            <w:vAlign w:val="bottom"/>
          </w:tcPr>
          <w:p>
            <w:pPr>
              <w:spacing w:after="0"/>
              <w:rPr>
                <w:sz w:val="24"/>
                <w:szCs w:val="24"/>
                <w:color w:val="auto"/>
              </w:rPr>
            </w:pPr>
          </w:p>
        </w:tc>
      </w:tr>
      <w:tr>
        <w:trPr>
          <w:trHeight w:val="181"/>
        </w:trPr>
        <w:tc>
          <w:tcPr>
            <w:tcW w:w="7700" w:type="dxa"/>
            <w:vAlign w:val="bottom"/>
          </w:tcPr>
          <w:p>
            <w:pPr>
              <w:ind w:left="320"/>
              <w:spacing w:after="0"/>
              <w:rPr>
                <w:sz w:val="20"/>
                <w:szCs w:val="20"/>
                <w:color w:val="auto"/>
              </w:rPr>
            </w:pPr>
            <w:r>
              <w:rPr>
                <w:rFonts w:ascii="Arial" w:cs="Arial" w:eastAsia="Arial" w:hAnsi="Arial"/>
                <w:sz w:val="14"/>
                <w:szCs w:val="14"/>
                <w:color w:val="auto"/>
              </w:rPr>
              <w:t>Less: Allocation to nonvested shares</w:t>
            </w:r>
          </w:p>
        </w:tc>
        <w:tc>
          <w:tcPr>
            <w:tcW w:w="320" w:type="dxa"/>
            <w:vAlign w:val="bottom"/>
            <w:tcBorders>
              <w:bottom w:val="single" w:sz="8" w:color="auto"/>
            </w:tcBorders>
          </w:tcPr>
          <w:p>
            <w:pPr>
              <w:spacing w:after="0"/>
              <w:rPr>
                <w:sz w:val="15"/>
                <w:szCs w:val="15"/>
                <w:color w:val="auto"/>
              </w:rPr>
            </w:pPr>
          </w:p>
        </w:tc>
        <w:tc>
          <w:tcPr>
            <w:tcW w:w="9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(37)</w:t>
            </w:r>
          </w:p>
        </w:tc>
        <w:tc>
          <w:tcPr>
            <w:tcW w:w="140" w:type="dxa"/>
            <w:vAlign w:val="bottom"/>
          </w:tcPr>
          <w:p>
            <w:pPr>
              <w:spacing w:after="0"/>
              <w:rPr>
                <w:sz w:val="15"/>
                <w:szCs w:val="15"/>
                <w:color w:val="auto"/>
              </w:rPr>
            </w:pPr>
          </w:p>
        </w:tc>
        <w:tc>
          <w:tcPr>
            <w:tcW w:w="36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(344)</w:t>
            </w:r>
          </w:p>
        </w:tc>
        <w:tc>
          <w:tcPr>
            <w:tcW w:w="900" w:type="dxa"/>
            <w:vAlign w:val="bottom"/>
          </w:tcPr>
          <w:p>
            <w:pPr>
              <w:spacing w:after="0"/>
              <w:rPr>
                <w:sz w:val="15"/>
                <w:szCs w:val="15"/>
                <w:color w:val="auto"/>
              </w:rPr>
            </w:pPr>
          </w:p>
        </w:tc>
      </w:tr>
      <w:tr>
        <w:trPr>
          <w:trHeight w:val="196"/>
        </w:trPr>
        <w:tc>
          <w:tcPr>
            <w:tcW w:w="7700" w:type="dxa"/>
            <w:vAlign w:val="bottom"/>
          </w:tcPr>
          <w:p>
            <w:pPr>
              <w:ind w:left="320"/>
              <w:spacing w:after="0"/>
              <w:rPr>
                <w:sz w:val="20"/>
                <w:szCs w:val="20"/>
                <w:color w:val="auto"/>
              </w:rPr>
            </w:pPr>
            <w:r>
              <w:rPr>
                <w:rFonts w:ascii="Arial" w:cs="Arial" w:eastAsia="Arial" w:hAnsi="Arial"/>
                <w:sz w:val="14"/>
                <w:szCs w:val="14"/>
                <w:color w:val="auto"/>
              </w:rPr>
              <w:t>Net income allocated to Viad common shareholders</w:t>
            </w:r>
          </w:p>
        </w:tc>
        <w:tc>
          <w:tcPr>
            <w:tcW w:w="32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980" w:type="dxa"/>
            <w:vAlign w:val="bottom"/>
          </w:tcPr>
          <w:p>
            <w:pPr>
              <w:jc w:val="right"/>
              <w:ind w:right="68"/>
              <w:spacing w:after="0"/>
              <w:rPr>
                <w:sz w:val="20"/>
                <w:szCs w:val="20"/>
                <w:color w:val="auto"/>
              </w:rPr>
            </w:pPr>
            <w:r>
              <w:rPr>
                <w:rFonts w:ascii="Arial" w:cs="Arial" w:eastAsia="Arial" w:hAnsi="Arial"/>
                <w:sz w:val="14"/>
                <w:szCs w:val="14"/>
                <w:color w:val="auto"/>
              </w:rPr>
              <w:t>1,466</w:t>
            </w:r>
          </w:p>
        </w:tc>
        <w:tc>
          <w:tcPr>
            <w:tcW w:w="50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020" w:type="dxa"/>
            <w:vAlign w:val="bottom"/>
          </w:tcPr>
          <w:p>
            <w:pPr>
              <w:jc w:val="right"/>
              <w:ind w:right="88"/>
              <w:spacing w:after="0"/>
              <w:rPr>
                <w:sz w:val="20"/>
                <w:szCs w:val="20"/>
                <w:color w:val="auto"/>
              </w:rPr>
            </w:pPr>
            <w:r>
              <w:rPr>
                <w:rFonts w:ascii="Arial" w:cs="Arial" w:eastAsia="Arial" w:hAnsi="Arial"/>
                <w:sz w:val="14"/>
                <w:szCs w:val="14"/>
                <w:color w:val="auto"/>
              </w:rPr>
              <w:t>16,401</w:t>
            </w:r>
          </w:p>
        </w:tc>
        <w:tc>
          <w:tcPr>
            <w:tcW w:w="900" w:type="dxa"/>
            <w:vAlign w:val="bottom"/>
          </w:tcPr>
          <w:p>
            <w:pPr>
              <w:spacing w:after="0"/>
              <w:rPr>
                <w:sz w:val="17"/>
                <w:szCs w:val="17"/>
                <w:color w:val="auto"/>
              </w:rPr>
            </w:pPr>
          </w:p>
        </w:tc>
      </w:tr>
      <w:tr>
        <w:trPr>
          <w:trHeight w:val="20"/>
        </w:trPr>
        <w:tc>
          <w:tcPr>
            <w:tcW w:w="770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r>
      <w:tr>
        <w:trPr>
          <w:trHeight w:val="333"/>
        </w:trPr>
        <w:tc>
          <w:tcPr>
            <w:tcW w:w="7700" w:type="dxa"/>
            <w:vAlign w:val="bottom"/>
          </w:tcPr>
          <w:p>
            <w:pPr>
              <w:ind w:left="320"/>
              <w:spacing w:after="0"/>
              <w:rPr>
                <w:sz w:val="20"/>
                <w:szCs w:val="20"/>
                <w:color w:val="auto"/>
              </w:rPr>
            </w:pPr>
            <w:r>
              <w:rPr>
                <w:rFonts w:ascii="Arial" w:cs="Arial" w:eastAsia="Arial" w:hAnsi="Arial"/>
                <w:sz w:val="14"/>
                <w:szCs w:val="14"/>
                <w:color w:val="auto"/>
              </w:rPr>
              <w:t>Weighted-average outstanding shares</w:t>
            </w:r>
          </w:p>
        </w:tc>
        <w:tc>
          <w:tcPr>
            <w:tcW w:w="320" w:type="dxa"/>
            <w:vAlign w:val="bottom"/>
          </w:tcPr>
          <w:p>
            <w:pPr>
              <w:spacing w:after="0"/>
              <w:rPr>
                <w:sz w:val="24"/>
                <w:szCs w:val="24"/>
                <w:color w:val="auto"/>
              </w:rPr>
            </w:pPr>
          </w:p>
        </w:tc>
        <w:tc>
          <w:tcPr>
            <w:tcW w:w="980" w:type="dxa"/>
            <w:vAlign w:val="bottom"/>
          </w:tcPr>
          <w:p>
            <w:pPr>
              <w:jc w:val="right"/>
              <w:ind w:right="68"/>
              <w:spacing w:after="0"/>
              <w:rPr>
                <w:sz w:val="20"/>
                <w:szCs w:val="20"/>
                <w:color w:val="auto"/>
              </w:rPr>
            </w:pPr>
            <w:r>
              <w:rPr>
                <w:rFonts w:ascii="Arial" w:cs="Arial" w:eastAsia="Arial" w:hAnsi="Arial"/>
                <w:sz w:val="14"/>
                <w:szCs w:val="14"/>
                <w:color w:val="auto"/>
              </w:rPr>
              <w:t>19,893</w:t>
            </w:r>
          </w:p>
        </w:tc>
        <w:tc>
          <w:tcPr>
            <w:tcW w:w="1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20" w:type="dxa"/>
            <w:vAlign w:val="bottom"/>
          </w:tcPr>
          <w:p>
            <w:pPr>
              <w:jc w:val="right"/>
              <w:ind w:right="88"/>
              <w:spacing w:after="0"/>
              <w:rPr>
                <w:sz w:val="20"/>
                <w:szCs w:val="20"/>
                <w:color w:val="auto"/>
              </w:rPr>
            </w:pPr>
            <w:r>
              <w:rPr>
                <w:rFonts w:ascii="Arial" w:cs="Arial" w:eastAsia="Arial" w:hAnsi="Arial"/>
                <w:sz w:val="14"/>
                <w:szCs w:val="14"/>
                <w:color w:val="auto"/>
              </w:rPr>
              <w:t>20,196</w:t>
            </w:r>
          </w:p>
        </w:tc>
        <w:tc>
          <w:tcPr>
            <w:tcW w:w="900" w:type="dxa"/>
            <w:vAlign w:val="bottom"/>
          </w:tcPr>
          <w:p>
            <w:pPr>
              <w:spacing w:after="0"/>
              <w:rPr>
                <w:sz w:val="24"/>
                <w:szCs w:val="24"/>
                <w:color w:val="auto"/>
              </w:rPr>
            </w:pPr>
          </w:p>
        </w:tc>
      </w:tr>
      <w:tr>
        <w:trPr>
          <w:trHeight w:val="351"/>
        </w:trPr>
        <w:tc>
          <w:tcPr>
            <w:tcW w:w="7700" w:type="dxa"/>
            <w:vAlign w:val="bottom"/>
          </w:tcPr>
          <w:p>
            <w:pPr>
              <w:ind w:left="320"/>
              <w:spacing w:after="0"/>
              <w:rPr>
                <w:sz w:val="20"/>
                <w:szCs w:val="20"/>
                <w:color w:val="auto"/>
              </w:rPr>
            </w:pPr>
            <w:r>
              <w:rPr>
                <w:rFonts w:ascii="Arial" w:cs="Arial" w:eastAsia="Arial" w:hAnsi="Arial"/>
                <w:sz w:val="14"/>
                <w:szCs w:val="14"/>
                <w:b w:val="1"/>
                <w:bCs w:val="1"/>
                <w:color w:val="auto"/>
              </w:rPr>
              <w:t>Basic income per common share attributable to Viad common shareholders</w:t>
            </w:r>
          </w:p>
        </w:tc>
        <w:tc>
          <w:tcPr>
            <w:tcW w:w="3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900" w:type="dxa"/>
            <w:vAlign w:val="bottom"/>
          </w:tcPr>
          <w:p>
            <w:pPr>
              <w:spacing w:after="0"/>
              <w:rPr>
                <w:sz w:val="24"/>
                <w:szCs w:val="24"/>
                <w:color w:val="auto"/>
              </w:rPr>
            </w:pPr>
          </w:p>
        </w:tc>
      </w:tr>
      <w:tr>
        <w:trPr>
          <w:trHeight w:val="201"/>
        </w:trPr>
        <w:tc>
          <w:tcPr>
            <w:tcW w:w="7700" w:type="dxa"/>
            <w:vAlign w:val="bottom"/>
          </w:tcPr>
          <w:p>
            <w:pPr>
              <w:spacing w:after="0"/>
              <w:rPr>
                <w:sz w:val="17"/>
                <w:szCs w:val="17"/>
                <w:color w:val="auto"/>
              </w:rPr>
            </w:pPr>
          </w:p>
        </w:tc>
        <w:tc>
          <w:tcPr>
            <w:tcW w:w="320" w:type="dxa"/>
            <w:vAlign w:val="bottom"/>
          </w:tcPr>
          <w:p>
            <w:pPr>
              <w:jc w:val="right"/>
              <w:ind w:right="88"/>
              <w:spacing w:after="0"/>
              <w:rPr>
                <w:sz w:val="20"/>
                <w:szCs w:val="20"/>
                <w:color w:val="auto"/>
              </w:rPr>
            </w:pPr>
            <w:r>
              <w:rPr>
                <w:rFonts w:ascii="Arial" w:cs="Arial" w:eastAsia="Arial" w:hAnsi="Arial"/>
                <w:sz w:val="14"/>
                <w:szCs w:val="14"/>
                <w:b w:val="1"/>
                <w:bCs w:val="1"/>
                <w:color w:val="auto"/>
              </w:rPr>
              <w:t>$</w:t>
            </w:r>
          </w:p>
        </w:tc>
        <w:tc>
          <w:tcPr>
            <w:tcW w:w="980" w:type="dxa"/>
            <w:vAlign w:val="bottom"/>
          </w:tcPr>
          <w:p>
            <w:pPr>
              <w:jc w:val="right"/>
              <w:ind w:right="68"/>
              <w:spacing w:after="0"/>
              <w:rPr>
                <w:sz w:val="20"/>
                <w:szCs w:val="20"/>
                <w:color w:val="auto"/>
              </w:rPr>
            </w:pPr>
            <w:r>
              <w:rPr>
                <w:rFonts w:ascii="Arial" w:cs="Arial" w:eastAsia="Arial" w:hAnsi="Arial"/>
                <w:sz w:val="14"/>
                <w:szCs w:val="14"/>
                <w:b w:val="1"/>
                <w:bCs w:val="1"/>
                <w:color w:val="auto"/>
              </w:rPr>
              <w:t>0.07</w:t>
            </w:r>
          </w:p>
        </w:tc>
        <w:tc>
          <w:tcPr>
            <w:tcW w:w="500" w:type="dxa"/>
            <w:vAlign w:val="bottom"/>
            <w:gridSpan w:val="2"/>
          </w:tcPr>
          <w:p>
            <w:pPr>
              <w:jc w:val="right"/>
              <w:ind w:right="200"/>
              <w:spacing w:after="0"/>
              <w:rPr>
                <w:sz w:val="20"/>
                <w:szCs w:val="20"/>
                <w:color w:val="auto"/>
              </w:rPr>
            </w:pPr>
            <w:r>
              <w:rPr>
                <w:rFonts w:ascii="Arial" w:cs="Arial" w:eastAsia="Arial" w:hAnsi="Arial"/>
                <w:sz w:val="14"/>
                <w:szCs w:val="14"/>
                <w:b w:val="1"/>
                <w:bCs w:val="1"/>
                <w:color w:val="auto"/>
              </w:rPr>
              <w:t>$</w:t>
            </w:r>
          </w:p>
        </w:tc>
        <w:tc>
          <w:tcPr>
            <w:tcW w:w="1020" w:type="dxa"/>
            <w:vAlign w:val="bottom"/>
          </w:tcPr>
          <w:p>
            <w:pPr>
              <w:jc w:val="right"/>
              <w:ind w:right="88"/>
              <w:spacing w:after="0"/>
              <w:rPr>
                <w:sz w:val="20"/>
                <w:szCs w:val="20"/>
                <w:color w:val="auto"/>
              </w:rPr>
            </w:pPr>
            <w:r>
              <w:rPr>
                <w:rFonts w:ascii="Arial" w:cs="Arial" w:eastAsia="Arial" w:hAnsi="Arial"/>
                <w:sz w:val="14"/>
                <w:szCs w:val="14"/>
                <w:b w:val="1"/>
                <w:bCs w:val="1"/>
                <w:color w:val="auto"/>
              </w:rPr>
              <w:t>0.81</w:t>
            </w:r>
          </w:p>
        </w:tc>
        <w:tc>
          <w:tcPr>
            <w:tcW w:w="900" w:type="dxa"/>
            <w:vAlign w:val="bottom"/>
          </w:tcPr>
          <w:p>
            <w:pPr>
              <w:spacing w:after="0"/>
              <w:rPr>
                <w:sz w:val="17"/>
                <w:szCs w:val="17"/>
                <w:color w:val="auto"/>
              </w:rPr>
            </w:pPr>
          </w:p>
        </w:tc>
      </w:tr>
      <w:tr>
        <w:trPr>
          <w:trHeight w:val="20"/>
        </w:trPr>
        <w:tc>
          <w:tcPr>
            <w:tcW w:w="770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r>
      <w:tr>
        <w:trPr>
          <w:trHeight w:val="116"/>
        </w:trPr>
        <w:tc>
          <w:tcPr>
            <w:tcW w:w="7700" w:type="dxa"/>
            <w:vAlign w:val="bottom"/>
            <w:tcBorders>
              <w:bottom w:val="single" w:sz="8" w:color="9A9A9A"/>
            </w:tcBorders>
          </w:tcPr>
          <w:p>
            <w:pPr>
              <w:spacing w:after="0"/>
              <w:rPr>
                <w:sz w:val="10"/>
                <w:szCs w:val="10"/>
                <w:color w:val="auto"/>
              </w:rPr>
            </w:pPr>
          </w:p>
        </w:tc>
        <w:tc>
          <w:tcPr>
            <w:tcW w:w="320" w:type="dxa"/>
            <w:vAlign w:val="bottom"/>
            <w:tcBorders>
              <w:bottom w:val="single" w:sz="8" w:color="9A9A9A"/>
            </w:tcBorders>
          </w:tcPr>
          <w:p>
            <w:pPr>
              <w:spacing w:after="0"/>
              <w:rPr>
                <w:sz w:val="10"/>
                <w:szCs w:val="10"/>
                <w:color w:val="auto"/>
              </w:rPr>
            </w:pPr>
          </w:p>
        </w:tc>
        <w:tc>
          <w:tcPr>
            <w:tcW w:w="980" w:type="dxa"/>
            <w:vAlign w:val="bottom"/>
            <w:tcBorders>
              <w:bottom w:val="single" w:sz="8" w:color="9A9A9A"/>
            </w:tcBorders>
          </w:tcPr>
          <w:p>
            <w:pPr>
              <w:spacing w:after="0"/>
              <w:rPr>
                <w:sz w:val="10"/>
                <w:szCs w:val="10"/>
                <w:color w:val="auto"/>
              </w:rPr>
            </w:pPr>
          </w:p>
        </w:tc>
        <w:tc>
          <w:tcPr>
            <w:tcW w:w="140" w:type="dxa"/>
            <w:vAlign w:val="bottom"/>
            <w:tcBorders>
              <w:bottom w:val="single" w:sz="8" w:color="9A9A9A"/>
            </w:tcBorders>
          </w:tcPr>
          <w:p>
            <w:pPr>
              <w:spacing w:after="0"/>
              <w:rPr>
                <w:sz w:val="10"/>
                <w:szCs w:val="10"/>
                <w:color w:val="auto"/>
              </w:rPr>
            </w:pPr>
          </w:p>
        </w:tc>
        <w:tc>
          <w:tcPr>
            <w:tcW w:w="360" w:type="dxa"/>
            <w:vAlign w:val="bottom"/>
            <w:tcBorders>
              <w:bottom w:val="single" w:sz="8" w:color="9A9A9A"/>
            </w:tcBorders>
          </w:tcPr>
          <w:p>
            <w:pPr>
              <w:spacing w:after="0"/>
              <w:rPr>
                <w:sz w:val="10"/>
                <w:szCs w:val="10"/>
                <w:color w:val="auto"/>
              </w:rPr>
            </w:pPr>
          </w:p>
        </w:tc>
        <w:tc>
          <w:tcPr>
            <w:tcW w:w="1020" w:type="dxa"/>
            <w:vAlign w:val="bottom"/>
            <w:tcBorders>
              <w:bottom w:val="single" w:sz="8" w:color="9A9A9A"/>
            </w:tcBorders>
          </w:tcPr>
          <w:p>
            <w:pPr>
              <w:spacing w:after="0"/>
              <w:rPr>
                <w:sz w:val="10"/>
                <w:szCs w:val="10"/>
                <w:color w:val="auto"/>
              </w:rPr>
            </w:pPr>
          </w:p>
        </w:tc>
        <w:tc>
          <w:tcPr>
            <w:tcW w:w="900" w:type="dxa"/>
            <w:vAlign w:val="bottom"/>
            <w:tcBorders>
              <w:bottom w:val="single" w:sz="8" w:color="9A9A9A"/>
            </w:tcBorders>
          </w:tcPr>
          <w:p>
            <w:pPr>
              <w:spacing w:after="0"/>
              <w:rPr>
                <w:sz w:val="10"/>
                <w:szCs w:val="10"/>
                <w:color w:val="auto"/>
              </w:rPr>
            </w:pPr>
          </w:p>
        </w:tc>
      </w:tr>
      <w:tr>
        <w:trPr>
          <w:trHeight w:val="21"/>
        </w:trPr>
        <w:tc>
          <w:tcPr>
            <w:tcW w:w="7700" w:type="dxa"/>
            <w:vAlign w:val="bottom"/>
            <w:tcBorders>
              <w:bottom w:val="single" w:sz="8" w:color="EEEEEE"/>
            </w:tcBorders>
          </w:tcPr>
          <w:p>
            <w:pPr>
              <w:spacing w:after="0" w:line="20" w:lineRule="exact"/>
              <w:rPr>
                <w:sz w:val="1"/>
                <w:szCs w:val="1"/>
                <w:color w:val="auto"/>
              </w:rPr>
            </w:pPr>
          </w:p>
        </w:tc>
        <w:tc>
          <w:tcPr>
            <w:tcW w:w="320" w:type="dxa"/>
            <w:vAlign w:val="bottom"/>
            <w:tcBorders>
              <w:bottom w:val="single" w:sz="8" w:color="EEEEEE"/>
            </w:tcBorders>
          </w:tcPr>
          <w:p>
            <w:pPr>
              <w:spacing w:after="0" w:line="20" w:lineRule="exact"/>
              <w:rPr>
                <w:sz w:val="1"/>
                <w:szCs w:val="1"/>
                <w:color w:val="auto"/>
              </w:rPr>
            </w:pPr>
          </w:p>
        </w:tc>
        <w:tc>
          <w:tcPr>
            <w:tcW w:w="980" w:type="dxa"/>
            <w:vAlign w:val="bottom"/>
            <w:tcBorders>
              <w:bottom w:val="single" w:sz="8" w:color="EEEEEE"/>
            </w:tcBorders>
          </w:tcPr>
          <w:p>
            <w:pPr>
              <w:spacing w:after="0" w:line="20" w:lineRule="exact"/>
              <w:rPr>
                <w:sz w:val="1"/>
                <w:szCs w:val="1"/>
                <w:color w:val="auto"/>
              </w:rPr>
            </w:pPr>
          </w:p>
        </w:tc>
        <w:tc>
          <w:tcPr>
            <w:tcW w:w="140" w:type="dxa"/>
            <w:vAlign w:val="bottom"/>
            <w:tcBorders>
              <w:bottom w:val="single" w:sz="8" w:color="EEEEEE"/>
            </w:tcBorders>
          </w:tcPr>
          <w:p>
            <w:pPr>
              <w:spacing w:after="0" w:line="20" w:lineRule="exact"/>
              <w:rPr>
                <w:sz w:val="1"/>
                <w:szCs w:val="1"/>
                <w:color w:val="auto"/>
              </w:rPr>
            </w:pPr>
          </w:p>
        </w:tc>
        <w:tc>
          <w:tcPr>
            <w:tcW w:w="360" w:type="dxa"/>
            <w:vAlign w:val="bottom"/>
            <w:tcBorders>
              <w:bottom w:val="single" w:sz="8" w:color="EEEEEE"/>
            </w:tcBorders>
          </w:tcPr>
          <w:p>
            <w:pPr>
              <w:spacing w:after="0" w:line="20" w:lineRule="exact"/>
              <w:rPr>
                <w:sz w:val="1"/>
                <w:szCs w:val="1"/>
                <w:color w:val="auto"/>
              </w:rPr>
            </w:pPr>
          </w:p>
        </w:tc>
        <w:tc>
          <w:tcPr>
            <w:tcW w:w="1020" w:type="dxa"/>
            <w:vAlign w:val="bottom"/>
            <w:tcBorders>
              <w:bottom w:val="single" w:sz="8" w:color="EEEEEE"/>
            </w:tcBorders>
          </w:tcPr>
          <w:p>
            <w:pPr>
              <w:spacing w:after="0" w:line="20" w:lineRule="exact"/>
              <w:rPr>
                <w:sz w:val="1"/>
                <w:szCs w:val="1"/>
                <w:color w:val="auto"/>
              </w:rPr>
            </w:pPr>
          </w:p>
        </w:tc>
        <w:tc>
          <w:tcPr>
            <w:tcW w:w="900" w:type="dxa"/>
            <w:vAlign w:val="bottom"/>
            <w:tcBorders>
              <w:bottom w:val="single" w:sz="8" w:color="EEEEEE"/>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7230110</wp:posOffset>
            </wp:positionH>
            <wp:positionV relativeFrom="paragraph">
              <wp:posOffset>-46355</wp:posOffset>
            </wp:positionV>
            <wp:extent cx="34290" cy="596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34290" cy="59690"/>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-46355</wp:posOffset>
            </wp:positionV>
            <wp:extent cx="34290" cy="596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34290" cy="59690"/>
                    </a:xfrm>
                    <a:prstGeom prst="rect">
                      <a:avLst/>
                    </a:prstGeom>
                    <a:noFill/>
                  </pic:spPr>
                </pic:pic>
              </a:graphicData>
            </a:graphic>
          </wp:anchor>
        </w:drawing>
      </w:r>
    </w:p>
    <w:p>
      <w:pPr>
        <w:sectPr>
          <w:pgSz w:w="11900" w:h="16838" w:orient="portrait"/>
          <w:cols w:equalWidth="0" w:num="1">
            <w:col w:w="11420"/>
          </w:cols>
          <w:pgMar w:left="240" w:top="130" w:right="239" w:bottom="1440" w:gutter="0" w:footer="0" w:header="0"/>
        </w:sectPr>
      </w:pPr>
    </w:p>
    <w:bookmarkStart w:id="13" w:name="page14"/>
    <w:bookmarkEnd w:id="13"/>
    <w:p>
      <w:pPr>
        <w:jc w:val="center"/>
        <w:spacing w:after="0"/>
        <w:rPr>
          <w:sz w:val="20"/>
          <w:szCs w:val="20"/>
          <w:color w:val="auto"/>
        </w:rPr>
      </w:pPr>
      <w:r>
        <w:rPr>
          <w:rFonts w:ascii="Arial" w:cs="Arial" w:eastAsia="Arial" w:hAnsi="Arial"/>
          <w:sz w:val="14"/>
          <w:szCs w:val="14"/>
          <w:b w:val="1"/>
          <w:bCs w:val="1"/>
          <w:color w:val="auto"/>
        </w:rPr>
        <w:t>VIAD CORP AND SUBSIDIARIES</w:t>
      </w:r>
    </w:p>
    <w:p>
      <w:pPr>
        <w:spacing w:after="0" w:line="25"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TABLE TWO - ADJUSTED EBITDA AND FREE CASH FLOW</w:t>
      </w:r>
    </w:p>
    <w:p>
      <w:pPr>
        <w:spacing w:after="0" w:line="15"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(UNAUDITED)</w:t>
      </w:r>
    </w:p>
    <w:p>
      <w:pPr>
        <w:spacing w:after="0" w:line="359" w:lineRule="exact"/>
        <w:rPr>
          <w:sz w:val="20"/>
          <w:szCs w:val="20"/>
          <w:color w:val="auto"/>
        </w:rPr>
      </w:pPr>
    </w:p>
    <w:tbl>
      <w:tblPr>
        <w:tblLayout w:type="fixed"/>
        <w:tblInd w:w="0" w:type="dxa"/>
        <w:tblCellMar>
          <w:top w:w="0" w:type="dxa"/>
          <w:left w:w="0" w:type="dxa"/>
          <w:bottom w:w="0" w:type="dxa"/>
          <w:right w:w="0" w:type="dxa"/>
        </w:tblCellMar>
      </w:tblPr>
      <w:tr>
        <w:trPr>
          <w:trHeight w:val="181"/>
        </w:trPr>
        <w:tc>
          <w:tcPr>
            <w:tcW w:w="6280" w:type="dxa"/>
            <w:vAlign w:val="bottom"/>
          </w:tcPr>
          <w:p>
            <w:pPr>
              <w:spacing w:after="0"/>
              <w:rPr>
                <w:sz w:val="15"/>
                <w:szCs w:val="15"/>
                <w:color w:val="auto"/>
              </w:rPr>
            </w:pPr>
          </w:p>
        </w:tc>
        <w:tc>
          <w:tcPr>
            <w:tcW w:w="460" w:type="dxa"/>
            <w:vAlign w:val="bottom"/>
            <w:tcBorders>
              <w:bottom w:val="single" w:sz="8" w:color="auto"/>
            </w:tcBorders>
          </w:tcPr>
          <w:p>
            <w:pPr>
              <w:spacing w:after="0"/>
              <w:rPr>
                <w:sz w:val="15"/>
                <w:szCs w:val="15"/>
                <w:color w:val="auto"/>
              </w:rPr>
            </w:pPr>
          </w:p>
        </w:tc>
        <w:tc>
          <w:tcPr>
            <w:tcW w:w="1140" w:type="dxa"/>
            <w:vAlign w:val="bottom"/>
            <w:tcBorders>
              <w:bottom w:val="single" w:sz="8" w:color="auto"/>
            </w:tcBorders>
          </w:tcPr>
          <w:p>
            <w:pPr>
              <w:spacing w:after="0"/>
              <w:rPr>
                <w:sz w:val="15"/>
                <w:szCs w:val="15"/>
                <w:color w:val="auto"/>
              </w:rPr>
            </w:pPr>
          </w:p>
        </w:tc>
        <w:tc>
          <w:tcPr>
            <w:tcW w:w="1960" w:type="dxa"/>
            <w:vAlign w:val="bottom"/>
            <w:tcBorders>
              <w:bottom w:val="single" w:sz="8" w:color="auto"/>
            </w:tcBorders>
            <w:gridSpan w:val="4"/>
          </w:tcPr>
          <w:p>
            <w:pPr>
              <w:jc w:val="right"/>
              <w:ind w:right="28"/>
              <w:spacing w:after="0"/>
              <w:rPr>
                <w:sz w:val="20"/>
                <w:szCs w:val="20"/>
                <w:color w:val="auto"/>
              </w:rPr>
            </w:pPr>
            <w:r>
              <w:rPr>
                <w:rFonts w:ascii="Arial" w:cs="Arial" w:eastAsia="Arial" w:hAnsi="Arial"/>
                <w:sz w:val="14"/>
                <w:szCs w:val="14"/>
                <w:color w:val="auto"/>
                <w:w w:val="94"/>
              </w:rPr>
              <w:t>Three months ended March 31,</w:t>
            </w:r>
          </w:p>
        </w:tc>
        <w:tc>
          <w:tcPr>
            <w:tcW w:w="180" w:type="dxa"/>
            <w:vAlign w:val="bottom"/>
            <w:tcBorders>
              <w:bottom w:val="single" w:sz="8" w:color="auto"/>
            </w:tcBorders>
          </w:tcPr>
          <w:p>
            <w:pPr>
              <w:spacing w:after="0"/>
              <w:rPr>
                <w:sz w:val="15"/>
                <w:szCs w:val="15"/>
                <w:color w:val="auto"/>
              </w:rPr>
            </w:pPr>
          </w:p>
        </w:tc>
        <w:tc>
          <w:tcPr>
            <w:tcW w:w="1400" w:type="dxa"/>
            <w:vAlign w:val="bottom"/>
            <w:tcBorders>
              <w:bottom w:val="single" w:sz="8" w:color="auto"/>
            </w:tcBorders>
          </w:tcPr>
          <w:p>
            <w:pPr>
              <w:spacing w:after="0"/>
              <w:rPr>
                <w:sz w:val="15"/>
                <w:szCs w:val="15"/>
                <w:color w:val="auto"/>
              </w:rPr>
            </w:pPr>
          </w:p>
        </w:tc>
      </w:tr>
      <w:tr>
        <w:trPr>
          <w:trHeight w:val="169"/>
        </w:trPr>
        <w:tc>
          <w:tcPr>
            <w:tcW w:w="6280" w:type="dxa"/>
            <w:vAlign w:val="bottom"/>
          </w:tcPr>
          <w:p>
            <w:pPr>
              <w:spacing w:after="0"/>
              <w:rPr>
                <w:sz w:val="20"/>
                <w:szCs w:val="20"/>
                <w:color w:val="auto"/>
              </w:rPr>
            </w:pPr>
            <w:r>
              <w:rPr>
                <w:rFonts w:ascii="Arial" w:cs="Arial" w:eastAsia="Arial" w:hAnsi="Arial"/>
                <w:sz w:val="14"/>
                <w:szCs w:val="14"/>
                <w:color w:val="auto"/>
              </w:rPr>
              <w:t>(000 omitted)</w:t>
            </w:r>
          </w:p>
        </w:tc>
        <w:tc>
          <w:tcPr>
            <w:tcW w:w="460" w:type="dxa"/>
            <w:vAlign w:val="bottom"/>
          </w:tcPr>
          <w:p>
            <w:pPr>
              <w:spacing w:after="0"/>
              <w:rPr>
                <w:sz w:val="14"/>
                <w:szCs w:val="14"/>
                <w:color w:val="auto"/>
              </w:rPr>
            </w:pPr>
          </w:p>
        </w:tc>
        <w:tc>
          <w:tcPr>
            <w:tcW w:w="1140" w:type="dxa"/>
            <w:vAlign w:val="bottom"/>
          </w:tcPr>
          <w:p>
            <w:pPr>
              <w:jc w:val="right"/>
              <w:ind w:right="548"/>
              <w:spacing w:after="0"/>
              <w:rPr>
                <w:sz w:val="20"/>
                <w:szCs w:val="20"/>
                <w:color w:val="auto"/>
              </w:rPr>
            </w:pPr>
            <w:r>
              <w:rPr>
                <w:rFonts w:ascii="Arial" w:cs="Arial" w:eastAsia="Arial" w:hAnsi="Arial"/>
                <w:sz w:val="14"/>
                <w:szCs w:val="14"/>
                <w:color w:val="auto"/>
              </w:rPr>
              <w:t>2009</w:t>
            </w:r>
          </w:p>
        </w:tc>
        <w:tc>
          <w:tcPr>
            <w:tcW w:w="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1240" w:type="dxa"/>
            <w:vAlign w:val="bottom"/>
          </w:tcPr>
          <w:p>
            <w:pPr>
              <w:jc w:val="right"/>
              <w:ind w:right="628"/>
              <w:spacing w:after="0"/>
              <w:rPr>
                <w:sz w:val="20"/>
                <w:szCs w:val="20"/>
                <w:color w:val="auto"/>
              </w:rPr>
            </w:pPr>
            <w:r>
              <w:rPr>
                <w:rFonts w:ascii="Arial" w:cs="Arial" w:eastAsia="Arial" w:hAnsi="Arial"/>
                <w:sz w:val="14"/>
                <w:szCs w:val="14"/>
                <w:color w:val="auto"/>
              </w:rPr>
              <w:t>2008</w:t>
            </w:r>
          </w:p>
        </w:tc>
        <w:tc>
          <w:tcPr>
            <w:tcW w:w="1580" w:type="dxa"/>
            <w:vAlign w:val="bottom"/>
            <w:gridSpan w:val="2"/>
          </w:tcPr>
          <w:p>
            <w:pPr>
              <w:jc w:val="right"/>
              <w:ind w:right="568"/>
              <w:spacing w:after="0"/>
              <w:rPr>
                <w:sz w:val="20"/>
                <w:szCs w:val="20"/>
                <w:color w:val="auto"/>
              </w:rPr>
            </w:pPr>
            <w:r>
              <w:rPr>
                <w:rFonts w:ascii="Arial" w:cs="Arial" w:eastAsia="Arial" w:hAnsi="Arial"/>
                <w:sz w:val="14"/>
                <w:szCs w:val="14"/>
                <w:color w:val="auto"/>
              </w:rPr>
              <w:t>%</w:t>
            </w:r>
          </w:p>
        </w:tc>
      </w:tr>
      <w:tr>
        <w:trPr>
          <w:trHeight w:val="515"/>
        </w:trPr>
        <w:tc>
          <w:tcPr>
            <w:tcW w:w="6280" w:type="dxa"/>
            <w:vAlign w:val="bottom"/>
          </w:tcPr>
          <w:p>
            <w:pPr>
              <w:spacing w:after="0"/>
              <w:rPr>
                <w:sz w:val="20"/>
                <w:szCs w:val="20"/>
                <w:color w:val="auto"/>
              </w:rPr>
            </w:pPr>
            <w:r>
              <w:rPr>
                <w:rFonts w:ascii="Arial" w:cs="Arial" w:eastAsia="Arial" w:hAnsi="Arial"/>
                <w:sz w:val="14"/>
                <w:szCs w:val="14"/>
                <w:color w:val="auto"/>
              </w:rPr>
              <w:t>Adjusted EBITDA:</w:t>
            </w:r>
          </w:p>
        </w:tc>
        <w:tc>
          <w:tcPr>
            <w:tcW w:w="460" w:type="dxa"/>
            <w:vAlign w:val="bottom"/>
            <w:tcBorders>
              <w:top w:val="single" w:sz="8" w:color="auto"/>
            </w:tcBorders>
          </w:tcPr>
          <w:p>
            <w:pPr>
              <w:spacing w:after="0"/>
              <w:rPr>
                <w:sz w:val="24"/>
                <w:szCs w:val="24"/>
                <w:color w:val="auto"/>
              </w:rPr>
            </w:pPr>
          </w:p>
        </w:tc>
        <w:tc>
          <w:tcPr>
            <w:tcW w:w="1140" w:type="dxa"/>
            <w:vAlign w:val="bottom"/>
            <w:tcBorders>
              <w:top w:val="single" w:sz="8" w:color="auto"/>
            </w:tcBorders>
          </w:tcPr>
          <w:p>
            <w:pPr>
              <w:spacing w:after="0"/>
              <w:rPr>
                <w:sz w:val="24"/>
                <w:szCs w:val="24"/>
                <w:color w:val="auto"/>
              </w:rPr>
            </w:pPr>
          </w:p>
        </w:tc>
        <w:tc>
          <w:tcPr>
            <w:tcW w:w="60" w:type="dxa"/>
            <w:vAlign w:val="bottom"/>
            <w:tcBorders>
              <w:top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460" w:type="dxa"/>
            <w:vAlign w:val="bottom"/>
            <w:tcBorders>
              <w:top w:val="single" w:sz="8" w:color="auto"/>
            </w:tcBorders>
          </w:tcPr>
          <w:p>
            <w:pPr>
              <w:spacing w:after="0"/>
              <w:rPr>
                <w:sz w:val="24"/>
                <w:szCs w:val="24"/>
                <w:color w:val="auto"/>
              </w:rPr>
            </w:pPr>
          </w:p>
        </w:tc>
        <w:tc>
          <w:tcPr>
            <w:tcW w:w="1240" w:type="dxa"/>
            <w:vAlign w:val="bottom"/>
            <w:tcBorders>
              <w:top w:val="single" w:sz="8" w:color="auto"/>
            </w:tcBorders>
          </w:tcPr>
          <w:p>
            <w:pPr>
              <w:spacing w:after="0"/>
              <w:rPr>
                <w:sz w:val="24"/>
                <w:szCs w:val="24"/>
                <w:color w:val="auto"/>
              </w:rPr>
            </w:pPr>
          </w:p>
        </w:tc>
        <w:tc>
          <w:tcPr>
            <w:tcW w:w="180" w:type="dxa"/>
            <w:vAlign w:val="bottom"/>
          </w:tcPr>
          <w:p>
            <w:pPr>
              <w:spacing w:after="0"/>
              <w:rPr>
                <w:sz w:val="24"/>
                <w:szCs w:val="24"/>
                <w:color w:val="auto"/>
              </w:rPr>
            </w:pPr>
          </w:p>
        </w:tc>
        <w:tc>
          <w:tcPr>
            <w:tcW w:w="1400" w:type="dxa"/>
            <w:vAlign w:val="bottom"/>
            <w:tcBorders>
              <w:top w:val="single" w:sz="8" w:color="auto"/>
            </w:tcBorders>
          </w:tcPr>
          <w:p>
            <w:pPr>
              <w:spacing w:after="0"/>
              <w:rPr>
                <w:sz w:val="24"/>
                <w:szCs w:val="24"/>
                <w:color w:val="auto"/>
              </w:rPr>
            </w:pPr>
          </w:p>
        </w:tc>
      </w:tr>
      <w:tr>
        <w:trPr>
          <w:trHeight w:val="176"/>
        </w:trPr>
        <w:tc>
          <w:tcPr>
            <w:tcW w:w="6280" w:type="dxa"/>
            <w:vAlign w:val="bottom"/>
          </w:tcPr>
          <w:p>
            <w:pPr>
              <w:ind w:left="200"/>
              <w:spacing w:after="0"/>
              <w:rPr>
                <w:sz w:val="20"/>
                <w:szCs w:val="20"/>
                <w:color w:val="auto"/>
              </w:rPr>
            </w:pPr>
            <w:r>
              <w:rPr>
                <w:rFonts w:ascii="Arial" w:cs="Arial" w:eastAsia="Arial" w:hAnsi="Arial"/>
                <w:sz w:val="14"/>
                <w:szCs w:val="14"/>
                <w:color w:val="auto"/>
              </w:rPr>
              <w:t>Net income attributable to Viad</w:t>
            </w:r>
          </w:p>
        </w:tc>
        <w:tc>
          <w:tcPr>
            <w:tcW w:w="460" w:type="dxa"/>
            <w:vAlign w:val="bottom"/>
          </w:tcPr>
          <w:p>
            <w:pPr>
              <w:jc w:val="right"/>
              <w:ind w:right="168"/>
              <w:spacing w:after="0"/>
              <w:rPr>
                <w:sz w:val="20"/>
                <w:szCs w:val="20"/>
                <w:color w:val="auto"/>
              </w:rPr>
            </w:pPr>
            <w:r>
              <w:rPr>
                <w:rFonts w:ascii="Arial" w:cs="Arial" w:eastAsia="Arial" w:hAnsi="Arial"/>
                <w:sz w:val="14"/>
                <w:szCs w:val="14"/>
                <w:color w:val="auto"/>
              </w:rPr>
              <w:t>$</w:t>
            </w:r>
          </w:p>
        </w:tc>
        <w:tc>
          <w:tcPr>
            <w:tcW w:w="1140" w:type="dxa"/>
            <w:vAlign w:val="bottom"/>
          </w:tcPr>
          <w:p>
            <w:pPr>
              <w:jc w:val="right"/>
              <w:ind w:right="48"/>
              <w:spacing w:after="0"/>
              <w:rPr>
                <w:sz w:val="20"/>
                <w:szCs w:val="20"/>
                <w:color w:val="auto"/>
              </w:rPr>
            </w:pPr>
            <w:r>
              <w:rPr>
                <w:rFonts w:ascii="Arial" w:cs="Arial" w:eastAsia="Arial" w:hAnsi="Arial"/>
                <w:sz w:val="14"/>
                <w:szCs w:val="14"/>
                <w:color w:val="auto"/>
              </w:rPr>
              <w:t>1,503</w:t>
            </w:r>
          </w:p>
        </w:tc>
        <w:tc>
          <w:tcPr>
            <w:tcW w:w="720" w:type="dxa"/>
            <w:vAlign w:val="bottom"/>
            <w:gridSpan w:val="3"/>
          </w:tcPr>
          <w:p>
            <w:pPr>
              <w:jc w:val="right"/>
              <w:ind w:right="168"/>
              <w:spacing w:after="0"/>
              <w:rPr>
                <w:sz w:val="20"/>
                <w:szCs w:val="20"/>
                <w:color w:val="auto"/>
              </w:rPr>
            </w:pPr>
            <w:r>
              <w:rPr>
                <w:rFonts w:ascii="Arial" w:cs="Arial" w:eastAsia="Arial" w:hAnsi="Arial"/>
                <w:sz w:val="14"/>
                <w:szCs w:val="14"/>
                <w:color w:val="auto"/>
              </w:rPr>
              <w:t>$</w:t>
            </w:r>
          </w:p>
        </w:tc>
        <w:tc>
          <w:tcPr>
            <w:tcW w:w="1240" w:type="dxa"/>
            <w:vAlign w:val="bottom"/>
          </w:tcPr>
          <w:p>
            <w:pPr>
              <w:jc w:val="right"/>
              <w:ind w:right="108"/>
              <w:spacing w:after="0"/>
              <w:rPr>
                <w:sz w:val="20"/>
                <w:szCs w:val="20"/>
                <w:color w:val="auto"/>
              </w:rPr>
            </w:pPr>
            <w:r>
              <w:rPr>
                <w:rFonts w:ascii="Arial" w:cs="Arial" w:eastAsia="Arial" w:hAnsi="Arial"/>
                <w:sz w:val="14"/>
                <w:szCs w:val="14"/>
                <w:color w:val="auto"/>
              </w:rPr>
              <w:t>16,745</w:t>
            </w:r>
          </w:p>
        </w:tc>
        <w:tc>
          <w:tcPr>
            <w:tcW w:w="1580" w:type="dxa"/>
            <w:vAlign w:val="bottom"/>
            <w:gridSpan w:val="2"/>
          </w:tcPr>
          <w:p>
            <w:pPr>
              <w:jc w:val="right"/>
              <w:ind w:right="288"/>
              <w:spacing w:after="0"/>
              <w:rPr>
                <w:sz w:val="20"/>
                <w:szCs w:val="20"/>
                <w:color w:val="auto"/>
              </w:rPr>
            </w:pPr>
            <w:r>
              <w:rPr>
                <w:rFonts w:ascii="Arial" w:cs="Arial" w:eastAsia="Arial" w:hAnsi="Arial"/>
                <w:sz w:val="14"/>
                <w:szCs w:val="14"/>
                <w:color w:val="auto"/>
              </w:rPr>
              <w:t>-91.0%</w:t>
            </w:r>
          </w:p>
        </w:tc>
      </w:tr>
      <w:tr>
        <w:trPr>
          <w:trHeight w:val="176"/>
        </w:trPr>
        <w:tc>
          <w:tcPr>
            <w:tcW w:w="6280" w:type="dxa"/>
            <w:vAlign w:val="bottom"/>
          </w:tcPr>
          <w:p>
            <w:pPr>
              <w:ind w:left="200"/>
              <w:spacing w:after="0"/>
              <w:rPr>
                <w:sz w:val="20"/>
                <w:szCs w:val="20"/>
                <w:color w:val="auto"/>
              </w:rPr>
            </w:pPr>
            <w:r>
              <w:rPr>
                <w:rFonts w:ascii="Arial" w:cs="Arial" w:eastAsia="Arial" w:hAnsi="Arial"/>
                <w:sz w:val="14"/>
                <w:szCs w:val="14"/>
                <w:color w:val="auto"/>
              </w:rPr>
              <w:t>Interest expense</w:t>
            </w:r>
          </w:p>
        </w:tc>
        <w:tc>
          <w:tcPr>
            <w:tcW w:w="460" w:type="dxa"/>
            <w:vAlign w:val="bottom"/>
          </w:tcPr>
          <w:p>
            <w:pPr>
              <w:spacing w:after="0"/>
              <w:rPr>
                <w:sz w:val="15"/>
                <w:szCs w:val="15"/>
                <w:color w:val="auto"/>
              </w:rPr>
            </w:pPr>
          </w:p>
        </w:tc>
        <w:tc>
          <w:tcPr>
            <w:tcW w:w="1140" w:type="dxa"/>
            <w:vAlign w:val="bottom"/>
          </w:tcPr>
          <w:p>
            <w:pPr>
              <w:jc w:val="right"/>
              <w:ind w:right="48"/>
              <w:spacing w:after="0"/>
              <w:rPr>
                <w:sz w:val="20"/>
                <w:szCs w:val="20"/>
                <w:color w:val="auto"/>
              </w:rPr>
            </w:pPr>
            <w:r>
              <w:rPr>
                <w:rFonts w:ascii="Arial" w:cs="Arial" w:eastAsia="Arial" w:hAnsi="Arial"/>
                <w:sz w:val="14"/>
                <w:szCs w:val="14"/>
                <w:color w:val="auto"/>
              </w:rPr>
              <w:t>420</w:t>
            </w:r>
          </w:p>
        </w:tc>
        <w:tc>
          <w:tcPr>
            <w:tcW w:w="6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1240" w:type="dxa"/>
            <w:vAlign w:val="bottom"/>
          </w:tcPr>
          <w:p>
            <w:pPr>
              <w:jc w:val="right"/>
              <w:ind w:right="108"/>
              <w:spacing w:after="0"/>
              <w:rPr>
                <w:sz w:val="20"/>
                <w:szCs w:val="20"/>
                <w:color w:val="auto"/>
              </w:rPr>
            </w:pPr>
            <w:r>
              <w:rPr>
                <w:rFonts w:ascii="Arial" w:cs="Arial" w:eastAsia="Arial" w:hAnsi="Arial"/>
                <w:sz w:val="14"/>
                <w:szCs w:val="14"/>
                <w:color w:val="auto"/>
              </w:rPr>
              <w:t>463</w:t>
            </w:r>
          </w:p>
        </w:tc>
        <w:tc>
          <w:tcPr>
            <w:tcW w:w="1580" w:type="dxa"/>
            <w:vAlign w:val="bottom"/>
            <w:gridSpan w:val="2"/>
          </w:tcPr>
          <w:p>
            <w:pPr>
              <w:jc w:val="right"/>
              <w:ind w:right="288"/>
              <w:spacing w:after="0"/>
              <w:rPr>
                <w:sz w:val="20"/>
                <w:szCs w:val="20"/>
                <w:color w:val="auto"/>
              </w:rPr>
            </w:pPr>
            <w:r>
              <w:rPr>
                <w:rFonts w:ascii="Arial" w:cs="Arial" w:eastAsia="Arial" w:hAnsi="Arial"/>
                <w:sz w:val="14"/>
                <w:szCs w:val="14"/>
                <w:color w:val="auto"/>
              </w:rPr>
              <w:t>9.3%</w:t>
            </w:r>
          </w:p>
        </w:tc>
      </w:tr>
      <w:tr>
        <w:trPr>
          <w:trHeight w:val="176"/>
        </w:trPr>
        <w:tc>
          <w:tcPr>
            <w:tcW w:w="6280" w:type="dxa"/>
            <w:vAlign w:val="bottom"/>
          </w:tcPr>
          <w:p>
            <w:pPr>
              <w:ind w:left="200"/>
              <w:spacing w:after="0"/>
              <w:rPr>
                <w:sz w:val="20"/>
                <w:szCs w:val="20"/>
                <w:color w:val="auto"/>
              </w:rPr>
            </w:pPr>
            <w:r>
              <w:rPr>
                <w:rFonts w:ascii="Arial" w:cs="Arial" w:eastAsia="Arial" w:hAnsi="Arial"/>
                <w:sz w:val="14"/>
                <w:szCs w:val="14"/>
                <w:color w:val="auto"/>
              </w:rPr>
              <w:t>Income tax expense</w:t>
            </w:r>
          </w:p>
        </w:tc>
        <w:tc>
          <w:tcPr>
            <w:tcW w:w="460" w:type="dxa"/>
            <w:vAlign w:val="bottom"/>
          </w:tcPr>
          <w:p>
            <w:pPr>
              <w:spacing w:after="0"/>
              <w:rPr>
                <w:sz w:val="15"/>
                <w:szCs w:val="15"/>
                <w:color w:val="auto"/>
              </w:rPr>
            </w:pPr>
          </w:p>
        </w:tc>
        <w:tc>
          <w:tcPr>
            <w:tcW w:w="1140" w:type="dxa"/>
            <w:vAlign w:val="bottom"/>
          </w:tcPr>
          <w:p>
            <w:pPr>
              <w:jc w:val="right"/>
              <w:ind w:right="48"/>
              <w:spacing w:after="0"/>
              <w:rPr>
                <w:sz w:val="20"/>
                <w:szCs w:val="20"/>
                <w:color w:val="auto"/>
              </w:rPr>
            </w:pPr>
            <w:r>
              <w:rPr>
                <w:rFonts w:ascii="Arial" w:cs="Arial" w:eastAsia="Arial" w:hAnsi="Arial"/>
                <w:sz w:val="14"/>
                <w:szCs w:val="14"/>
                <w:color w:val="auto"/>
              </w:rPr>
              <w:t>901</w:t>
            </w:r>
          </w:p>
        </w:tc>
        <w:tc>
          <w:tcPr>
            <w:tcW w:w="6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1240" w:type="dxa"/>
            <w:vAlign w:val="bottom"/>
          </w:tcPr>
          <w:p>
            <w:pPr>
              <w:jc w:val="right"/>
              <w:ind w:right="108"/>
              <w:spacing w:after="0"/>
              <w:rPr>
                <w:sz w:val="20"/>
                <w:szCs w:val="20"/>
                <w:color w:val="auto"/>
              </w:rPr>
            </w:pPr>
            <w:r>
              <w:rPr>
                <w:rFonts w:ascii="Arial" w:cs="Arial" w:eastAsia="Arial" w:hAnsi="Arial"/>
                <w:sz w:val="14"/>
                <w:szCs w:val="14"/>
                <w:color w:val="auto"/>
              </w:rPr>
              <w:t>10,190</w:t>
            </w:r>
          </w:p>
        </w:tc>
        <w:tc>
          <w:tcPr>
            <w:tcW w:w="1580" w:type="dxa"/>
            <w:vAlign w:val="bottom"/>
            <w:gridSpan w:val="2"/>
          </w:tcPr>
          <w:p>
            <w:pPr>
              <w:jc w:val="right"/>
              <w:ind w:right="288"/>
              <w:spacing w:after="0"/>
              <w:rPr>
                <w:sz w:val="20"/>
                <w:szCs w:val="20"/>
                <w:color w:val="auto"/>
              </w:rPr>
            </w:pPr>
            <w:r>
              <w:rPr>
                <w:rFonts w:ascii="Arial" w:cs="Arial" w:eastAsia="Arial" w:hAnsi="Arial"/>
                <w:sz w:val="14"/>
                <w:szCs w:val="14"/>
                <w:color w:val="auto"/>
              </w:rPr>
              <w:t>91.2%</w:t>
            </w:r>
          </w:p>
        </w:tc>
      </w:tr>
      <w:tr>
        <w:trPr>
          <w:trHeight w:val="181"/>
        </w:trPr>
        <w:tc>
          <w:tcPr>
            <w:tcW w:w="6280" w:type="dxa"/>
            <w:vAlign w:val="bottom"/>
          </w:tcPr>
          <w:p>
            <w:pPr>
              <w:ind w:left="200"/>
              <w:spacing w:after="0"/>
              <w:rPr>
                <w:sz w:val="20"/>
                <w:szCs w:val="20"/>
                <w:color w:val="auto"/>
              </w:rPr>
            </w:pPr>
            <w:r>
              <w:rPr>
                <w:rFonts w:ascii="Arial" w:cs="Arial" w:eastAsia="Arial" w:hAnsi="Arial"/>
                <w:sz w:val="14"/>
                <w:szCs w:val="14"/>
                <w:color w:val="auto"/>
              </w:rPr>
              <w:t>Depreciation and amortization</w:t>
            </w:r>
          </w:p>
        </w:tc>
        <w:tc>
          <w:tcPr>
            <w:tcW w:w="460" w:type="dxa"/>
            <w:vAlign w:val="bottom"/>
          </w:tcPr>
          <w:p>
            <w:pPr>
              <w:spacing w:after="0"/>
              <w:rPr>
                <w:sz w:val="15"/>
                <w:szCs w:val="15"/>
                <w:color w:val="auto"/>
              </w:rPr>
            </w:pPr>
          </w:p>
        </w:tc>
        <w:tc>
          <w:tcPr>
            <w:tcW w:w="1140" w:type="dxa"/>
            <w:vAlign w:val="bottom"/>
          </w:tcPr>
          <w:p>
            <w:pPr>
              <w:jc w:val="right"/>
              <w:ind w:right="48"/>
              <w:spacing w:after="0"/>
              <w:rPr>
                <w:sz w:val="20"/>
                <w:szCs w:val="20"/>
                <w:color w:val="auto"/>
              </w:rPr>
            </w:pPr>
            <w:r>
              <w:rPr>
                <w:rFonts w:ascii="Arial" w:cs="Arial" w:eastAsia="Arial" w:hAnsi="Arial"/>
                <w:sz w:val="14"/>
                <w:szCs w:val="14"/>
                <w:color w:val="auto"/>
              </w:rPr>
              <w:t>6,365</w:t>
            </w:r>
          </w:p>
        </w:tc>
        <w:tc>
          <w:tcPr>
            <w:tcW w:w="6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1240" w:type="dxa"/>
            <w:vAlign w:val="bottom"/>
          </w:tcPr>
          <w:p>
            <w:pPr>
              <w:jc w:val="right"/>
              <w:ind w:right="108"/>
              <w:spacing w:after="0"/>
              <w:rPr>
                <w:sz w:val="20"/>
                <w:szCs w:val="20"/>
                <w:color w:val="auto"/>
              </w:rPr>
            </w:pPr>
            <w:r>
              <w:rPr>
                <w:rFonts w:ascii="Arial" w:cs="Arial" w:eastAsia="Arial" w:hAnsi="Arial"/>
                <w:sz w:val="14"/>
                <w:szCs w:val="14"/>
                <w:color w:val="auto"/>
              </w:rPr>
              <w:t>6,628</w:t>
            </w:r>
          </w:p>
        </w:tc>
        <w:tc>
          <w:tcPr>
            <w:tcW w:w="1580" w:type="dxa"/>
            <w:vAlign w:val="bottom"/>
            <w:gridSpan w:val="2"/>
          </w:tcPr>
          <w:p>
            <w:pPr>
              <w:jc w:val="right"/>
              <w:ind w:right="288"/>
              <w:spacing w:after="0"/>
              <w:rPr>
                <w:sz w:val="20"/>
                <w:szCs w:val="20"/>
                <w:color w:val="auto"/>
              </w:rPr>
            </w:pPr>
            <w:r>
              <w:rPr>
                <w:rFonts w:ascii="Arial" w:cs="Arial" w:eastAsia="Arial" w:hAnsi="Arial"/>
                <w:sz w:val="14"/>
                <w:szCs w:val="14"/>
                <w:color w:val="auto"/>
              </w:rPr>
              <w:t>4.0%</w:t>
            </w:r>
          </w:p>
        </w:tc>
      </w:tr>
      <w:tr>
        <w:trPr>
          <w:trHeight w:val="169"/>
        </w:trPr>
        <w:tc>
          <w:tcPr>
            <w:tcW w:w="6280" w:type="dxa"/>
            <w:vAlign w:val="bottom"/>
          </w:tcPr>
          <w:p>
            <w:pPr>
              <w:ind w:left="200"/>
              <w:spacing w:after="0"/>
              <w:rPr>
                <w:sz w:val="20"/>
                <w:szCs w:val="20"/>
                <w:color w:val="auto"/>
              </w:rPr>
            </w:pPr>
            <w:r>
              <w:rPr>
                <w:rFonts w:ascii="Arial" w:cs="Arial" w:eastAsia="Arial" w:hAnsi="Arial"/>
                <w:sz w:val="14"/>
                <w:szCs w:val="14"/>
                <w:b w:val="1"/>
                <w:bCs w:val="1"/>
                <w:color w:val="auto"/>
              </w:rPr>
              <w:t>Adjusted EBITDA</w:t>
            </w:r>
          </w:p>
        </w:tc>
        <w:tc>
          <w:tcPr>
            <w:tcW w:w="460" w:type="dxa"/>
            <w:vAlign w:val="bottom"/>
            <w:tcBorders>
              <w:top w:val="single" w:sz="8" w:color="auto"/>
              <w:bottom w:val="single" w:sz="8" w:color="auto"/>
            </w:tcBorders>
          </w:tcPr>
          <w:p>
            <w:pPr>
              <w:jc w:val="right"/>
              <w:ind w:right="168"/>
              <w:spacing w:after="0"/>
              <w:rPr>
                <w:sz w:val="20"/>
                <w:szCs w:val="20"/>
                <w:color w:val="auto"/>
              </w:rPr>
            </w:pPr>
            <w:r>
              <w:rPr>
                <w:rFonts w:ascii="Arial" w:cs="Arial" w:eastAsia="Arial" w:hAnsi="Arial"/>
                <w:sz w:val="14"/>
                <w:szCs w:val="14"/>
                <w:b w:val="1"/>
                <w:bCs w:val="1"/>
                <w:color w:val="auto"/>
              </w:rPr>
              <w:t>$</w:t>
            </w:r>
          </w:p>
        </w:tc>
        <w:tc>
          <w:tcPr>
            <w:tcW w:w="1140" w:type="dxa"/>
            <w:vAlign w:val="bottom"/>
            <w:tcBorders>
              <w:top w:val="single" w:sz="8" w:color="auto"/>
              <w:bottom w:val="single" w:sz="8" w:color="auto"/>
            </w:tcBorders>
          </w:tcPr>
          <w:p>
            <w:pPr>
              <w:jc w:val="right"/>
              <w:ind w:right="48"/>
              <w:spacing w:after="0"/>
              <w:rPr>
                <w:sz w:val="20"/>
                <w:szCs w:val="20"/>
                <w:color w:val="auto"/>
              </w:rPr>
            </w:pPr>
            <w:r>
              <w:rPr>
                <w:rFonts w:ascii="Arial" w:cs="Arial" w:eastAsia="Arial" w:hAnsi="Arial"/>
                <w:sz w:val="14"/>
                <w:szCs w:val="14"/>
                <w:b w:val="1"/>
                <w:bCs w:val="1"/>
                <w:color w:val="auto"/>
              </w:rPr>
              <w:t>9,189</w:t>
            </w:r>
          </w:p>
        </w:tc>
        <w:tc>
          <w:tcPr>
            <w:tcW w:w="60" w:type="dxa"/>
            <w:vAlign w:val="bottom"/>
            <w:tcBorders>
              <w:top w:val="single" w:sz="8" w:color="auto"/>
              <w:bottom w:val="single" w:sz="8" w:color="auto"/>
            </w:tcBorders>
          </w:tcPr>
          <w:p>
            <w:pPr>
              <w:spacing w:after="0"/>
              <w:rPr>
                <w:sz w:val="14"/>
                <w:szCs w:val="14"/>
                <w:color w:val="auto"/>
              </w:rPr>
            </w:pPr>
          </w:p>
        </w:tc>
        <w:tc>
          <w:tcPr>
            <w:tcW w:w="200" w:type="dxa"/>
            <w:vAlign w:val="bottom"/>
          </w:tcPr>
          <w:p>
            <w:pPr>
              <w:spacing w:after="0"/>
              <w:rPr>
                <w:sz w:val="14"/>
                <w:szCs w:val="14"/>
                <w:color w:val="auto"/>
              </w:rPr>
            </w:pPr>
          </w:p>
        </w:tc>
        <w:tc>
          <w:tcPr>
            <w:tcW w:w="460" w:type="dxa"/>
            <w:vAlign w:val="bottom"/>
            <w:tcBorders>
              <w:top w:val="single" w:sz="8" w:color="auto"/>
              <w:bottom w:val="single" w:sz="8" w:color="auto"/>
            </w:tcBorders>
          </w:tcPr>
          <w:p>
            <w:pPr>
              <w:jc w:val="right"/>
              <w:ind w:right="168"/>
              <w:spacing w:after="0"/>
              <w:rPr>
                <w:sz w:val="20"/>
                <w:szCs w:val="20"/>
                <w:color w:val="auto"/>
              </w:rPr>
            </w:pPr>
            <w:r>
              <w:rPr>
                <w:rFonts w:ascii="Arial" w:cs="Arial" w:eastAsia="Arial" w:hAnsi="Arial"/>
                <w:sz w:val="14"/>
                <w:szCs w:val="14"/>
                <w:b w:val="1"/>
                <w:bCs w:val="1"/>
                <w:color w:val="auto"/>
              </w:rPr>
              <w:t>$</w:t>
            </w:r>
          </w:p>
        </w:tc>
        <w:tc>
          <w:tcPr>
            <w:tcW w:w="1240" w:type="dxa"/>
            <w:vAlign w:val="bottom"/>
            <w:tcBorders>
              <w:top w:val="single" w:sz="8" w:color="auto"/>
              <w:bottom w:val="single" w:sz="8" w:color="auto"/>
            </w:tcBorders>
          </w:tcPr>
          <w:p>
            <w:pPr>
              <w:jc w:val="right"/>
              <w:ind w:right="108"/>
              <w:spacing w:after="0"/>
              <w:rPr>
                <w:sz w:val="20"/>
                <w:szCs w:val="20"/>
                <w:color w:val="auto"/>
              </w:rPr>
            </w:pPr>
            <w:r>
              <w:rPr>
                <w:rFonts w:ascii="Arial" w:cs="Arial" w:eastAsia="Arial" w:hAnsi="Arial"/>
                <w:sz w:val="14"/>
                <w:szCs w:val="14"/>
                <w:b w:val="1"/>
                <w:bCs w:val="1"/>
                <w:color w:val="auto"/>
              </w:rPr>
              <w:t>34,026</w:t>
            </w:r>
          </w:p>
        </w:tc>
        <w:tc>
          <w:tcPr>
            <w:tcW w:w="180" w:type="dxa"/>
            <w:vAlign w:val="bottom"/>
          </w:tcPr>
          <w:p>
            <w:pPr>
              <w:spacing w:after="0"/>
              <w:rPr>
                <w:sz w:val="14"/>
                <w:szCs w:val="14"/>
                <w:color w:val="auto"/>
              </w:rPr>
            </w:pPr>
          </w:p>
        </w:tc>
        <w:tc>
          <w:tcPr>
            <w:tcW w:w="1400" w:type="dxa"/>
            <w:vAlign w:val="bottom"/>
            <w:tcBorders>
              <w:top w:val="single" w:sz="8" w:color="auto"/>
              <w:bottom w:val="single" w:sz="8" w:color="auto"/>
            </w:tcBorders>
          </w:tcPr>
          <w:p>
            <w:pPr>
              <w:jc w:val="right"/>
              <w:ind w:right="248"/>
              <w:spacing w:after="0"/>
              <w:rPr>
                <w:sz w:val="20"/>
                <w:szCs w:val="20"/>
                <w:color w:val="auto"/>
              </w:rPr>
            </w:pPr>
            <w:r>
              <w:rPr>
                <w:rFonts w:ascii="Arial" w:cs="Arial" w:eastAsia="Arial" w:hAnsi="Arial"/>
                <w:sz w:val="14"/>
                <w:szCs w:val="14"/>
                <w:b w:val="1"/>
                <w:bCs w:val="1"/>
                <w:color w:val="auto"/>
              </w:rPr>
              <w:t>-73.0%</w:t>
            </w:r>
          </w:p>
        </w:tc>
      </w:tr>
      <w:tr>
        <w:trPr>
          <w:trHeight w:val="20"/>
        </w:trPr>
        <w:tc>
          <w:tcPr>
            <w:tcW w:w="628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700" w:type="dxa"/>
            <w:vAlign w:val="bottom"/>
            <w:tcBorders>
              <w:bottom w:val="single" w:sz="8" w:color="auto"/>
            </w:tcBorders>
            <w:gridSpan w:val="2"/>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0" w:type="dxa"/>
            <w:vAlign w:val="bottom"/>
            <w:tcBorders>
              <w:bottom w:val="single" w:sz="8" w:color="auto"/>
            </w:tcBorders>
          </w:tcPr>
          <w:p>
            <w:pPr>
              <w:spacing w:after="0" w:line="20" w:lineRule="exact"/>
              <w:rPr>
                <w:sz w:val="1"/>
                <w:szCs w:val="1"/>
                <w:color w:val="auto"/>
              </w:rPr>
            </w:pPr>
          </w:p>
        </w:tc>
      </w:tr>
      <w:tr>
        <w:trPr>
          <w:trHeight w:val="332"/>
        </w:trPr>
        <w:tc>
          <w:tcPr>
            <w:tcW w:w="6280" w:type="dxa"/>
            <w:vAlign w:val="bottom"/>
          </w:tcPr>
          <w:p>
            <w:pPr>
              <w:spacing w:after="0"/>
              <w:rPr>
                <w:sz w:val="24"/>
                <w:szCs w:val="24"/>
                <w:color w:val="auto"/>
              </w:rPr>
            </w:pPr>
          </w:p>
        </w:tc>
        <w:tc>
          <w:tcPr>
            <w:tcW w:w="460" w:type="dxa"/>
            <w:vAlign w:val="bottom"/>
            <w:tcBorders>
              <w:bottom w:val="single" w:sz="8" w:color="auto"/>
            </w:tcBorders>
          </w:tcPr>
          <w:p>
            <w:pPr>
              <w:spacing w:after="0"/>
              <w:rPr>
                <w:sz w:val="24"/>
                <w:szCs w:val="24"/>
                <w:color w:val="auto"/>
              </w:rPr>
            </w:pPr>
          </w:p>
        </w:tc>
        <w:tc>
          <w:tcPr>
            <w:tcW w:w="1140" w:type="dxa"/>
            <w:vAlign w:val="bottom"/>
            <w:tcBorders>
              <w:bottom w:val="single" w:sz="8" w:color="auto"/>
            </w:tcBorders>
          </w:tcPr>
          <w:p>
            <w:pPr>
              <w:spacing w:after="0"/>
              <w:rPr>
                <w:sz w:val="24"/>
                <w:szCs w:val="24"/>
                <w:color w:val="auto"/>
              </w:rPr>
            </w:pPr>
          </w:p>
        </w:tc>
        <w:tc>
          <w:tcPr>
            <w:tcW w:w="1960" w:type="dxa"/>
            <w:vAlign w:val="bottom"/>
            <w:tcBorders>
              <w:bottom w:val="single" w:sz="8" w:color="auto"/>
            </w:tcBorders>
            <w:gridSpan w:val="4"/>
          </w:tcPr>
          <w:p>
            <w:pPr>
              <w:jc w:val="right"/>
              <w:ind w:right="28"/>
              <w:spacing w:after="0"/>
              <w:rPr>
                <w:sz w:val="20"/>
                <w:szCs w:val="20"/>
                <w:color w:val="auto"/>
              </w:rPr>
            </w:pPr>
            <w:r>
              <w:rPr>
                <w:rFonts w:ascii="Arial" w:cs="Arial" w:eastAsia="Arial" w:hAnsi="Arial"/>
                <w:sz w:val="14"/>
                <w:szCs w:val="14"/>
                <w:color w:val="auto"/>
                <w:w w:val="94"/>
              </w:rPr>
              <w:t>Three months ended March 31,</w:t>
            </w:r>
          </w:p>
        </w:tc>
        <w:tc>
          <w:tcPr>
            <w:tcW w:w="180" w:type="dxa"/>
            <w:vAlign w:val="bottom"/>
            <w:tcBorders>
              <w:bottom w:val="single" w:sz="8" w:color="auto"/>
            </w:tcBorders>
          </w:tcPr>
          <w:p>
            <w:pPr>
              <w:spacing w:after="0"/>
              <w:rPr>
                <w:sz w:val="24"/>
                <w:szCs w:val="24"/>
                <w:color w:val="auto"/>
              </w:rPr>
            </w:pPr>
          </w:p>
        </w:tc>
        <w:tc>
          <w:tcPr>
            <w:tcW w:w="1400" w:type="dxa"/>
            <w:vAlign w:val="bottom"/>
            <w:tcBorders>
              <w:bottom w:val="single" w:sz="8" w:color="auto"/>
            </w:tcBorders>
          </w:tcPr>
          <w:p>
            <w:pPr>
              <w:spacing w:after="0"/>
              <w:rPr>
                <w:sz w:val="24"/>
                <w:szCs w:val="24"/>
                <w:color w:val="auto"/>
              </w:rPr>
            </w:pPr>
          </w:p>
        </w:tc>
      </w:tr>
      <w:tr>
        <w:trPr>
          <w:trHeight w:val="169"/>
        </w:trPr>
        <w:tc>
          <w:tcPr>
            <w:tcW w:w="6280" w:type="dxa"/>
            <w:vAlign w:val="bottom"/>
          </w:tcPr>
          <w:p>
            <w:pPr>
              <w:spacing w:after="0"/>
              <w:rPr>
                <w:sz w:val="20"/>
                <w:szCs w:val="20"/>
                <w:color w:val="auto"/>
              </w:rPr>
            </w:pPr>
            <w:r>
              <w:rPr>
                <w:rFonts w:ascii="Arial" w:cs="Arial" w:eastAsia="Arial" w:hAnsi="Arial"/>
                <w:sz w:val="14"/>
                <w:szCs w:val="14"/>
                <w:color w:val="auto"/>
              </w:rPr>
              <w:t>(000 omitted)</w:t>
            </w:r>
          </w:p>
        </w:tc>
        <w:tc>
          <w:tcPr>
            <w:tcW w:w="460" w:type="dxa"/>
            <w:vAlign w:val="bottom"/>
          </w:tcPr>
          <w:p>
            <w:pPr>
              <w:spacing w:after="0"/>
              <w:rPr>
                <w:sz w:val="14"/>
                <w:szCs w:val="14"/>
                <w:color w:val="auto"/>
              </w:rPr>
            </w:pPr>
          </w:p>
        </w:tc>
        <w:tc>
          <w:tcPr>
            <w:tcW w:w="1140" w:type="dxa"/>
            <w:vAlign w:val="bottom"/>
          </w:tcPr>
          <w:p>
            <w:pPr>
              <w:jc w:val="right"/>
              <w:ind w:right="548"/>
              <w:spacing w:after="0"/>
              <w:rPr>
                <w:sz w:val="20"/>
                <w:szCs w:val="20"/>
                <w:color w:val="auto"/>
              </w:rPr>
            </w:pPr>
            <w:r>
              <w:rPr>
                <w:rFonts w:ascii="Arial" w:cs="Arial" w:eastAsia="Arial" w:hAnsi="Arial"/>
                <w:sz w:val="14"/>
                <w:szCs w:val="14"/>
                <w:color w:val="auto"/>
              </w:rPr>
              <w:t>2009</w:t>
            </w:r>
          </w:p>
        </w:tc>
        <w:tc>
          <w:tcPr>
            <w:tcW w:w="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1240" w:type="dxa"/>
            <w:vAlign w:val="bottom"/>
          </w:tcPr>
          <w:p>
            <w:pPr>
              <w:jc w:val="right"/>
              <w:ind w:right="628"/>
              <w:spacing w:after="0"/>
              <w:rPr>
                <w:sz w:val="20"/>
                <w:szCs w:val="20"/>
                <w:color w:val="auto"/>
              </w:rPr>
            </w:pPr>
            <w:r>
              <w:rPr>
                <w:rFonts w:ascii="Arial" w:cs="Arial" w:eastAsia="Arial" w:hAnsi="Arial"/>
                <w:sz w:val="14"/>
                <w:szCs w:val="14"/>
                <w:color w:val="auto"/>
              </w:rPr>
              <w:t>2008</w:t>
            </w:r>
          </w:p>
        </w:tc>
        <w:tc>
          <w:tcPr>
            <w:tcW w:w="1580" w:type="dxa"/>
            <w:vAlign w:val="bottom"/>
            <w:gridSpan w:val="2"/>
          </w:tcPr>
          <w:p>
            <w:pPr>
              <w:jc w:val="right"/>
              <w:ind w:right="568"/>
              <w:spacing w:after="0"/>
              <w:rPr>
                <w:sz w:val="20"/>
                <w:szCs w:val="20"/>
                <w:color w:val="auto"/>
              </w:rPr>
            </w:pPr>
            <w:r>
              <w:rPr>
                <w:rFonts w:ascii="Arial" w:cs="Arial" w:eastAsia="Arial" w:hAnsi="Arial"/>
                <w:sz w:val="14"/>
                <w:szCs w:val="14"/>
                <w:color w:val="auto"/>
              </w:rPr>
              <w:t>%</w:t>
            </w:r>
          </w:p>
        </w:tc>
      </w:tr>
      <w:tr>
        <w:trPr>
          <w:trHeight w:val="339"/>
        </w:trPr>
        <w:tc>
          <w:tcPr>
            <w:tcW w:w="6280" w:type="dxa"/>
            <w:vAlign w:val="bottom"/>
          </w:tcPr>
          <w:p>
            <w:pPr>
              <w:spacing w:after="0"/>
              <w:rPr>
                <w:sz w:val="20"/>
                <w:szCs w:val="20"/>
                <w:color w:val="auto"/>
              </w:rPr>
            </w:pPr>
            <w:r>
              <w:rPr>
                <w:rFonts w:ascii="Arial" w:cs="Arial" w:eastAsia="Arial" w:hAnsi="Arial"/>
                <w:sz w:val="14"/>
                <w:szCs w:val="14"/>
                <w:color w:val="auto"/>
              </w:rPr>
              <w:t>Free Cash Flow:</w:t>
            </w:r>
          </w:p>
        </w:tc>
        <w:tc>
          <w:tcPr>
            <w:tcW w:w="460" w:type="dxa"/>
            <w:vAlign w:val="bottom"/>
            <w:tcBorders>
              <w:top w:val="single" w:sz="8" w:color="auto"/>
            </w:tcBorders>
          </w:tcPr>
          <w:p>
            <w:pPr>
              <w:spacing w:after="0"/>
              <w:rPr>
                <w:sz w:val="24"/>
                <w:szCs w:val="24"/>
                <w:color w:val="auto"/>
              </w:rPr>
            </w:pPr>
          </w:p>
        </w:tc>
        <w:tc>
          <w:tcPr>
            <w:tcW w:w="1140" w:type="dxa"/>
            <w:vAlign w:val="bottom"/>
            <w:tcBorders>
              <w:top w:val="single" w:sz="8" w:color="auto"/>
            </w:tcBorders>
          </w:tcPr>
          <w:p>
            <w:pPr>
              <w:spacing w:after="0"/>
              <w:rPr>
                <w:sz w:val="24"/>
                <w:szCs w:val="24"/>
                <w:color w:val="auto"/>
              </w:rPr>
            </w:pPr>
          </w:p>
        </w:tc>
        <w:tc>
          <w:tcPr>
            <w:tcW w:w="60" w:type="dxa"/>
            <w:vAlign w:val="bottom"/>
            <w:tcBorders>
              <w:top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460" w:type="dxa"/>
            <w:vAlign w:val="bottom"/>
            <w:tcBorders>
              <w:top w:val="single" w:sz="8" w:color="auto"/>
            </w:tcBorders>
          </w:tcPr>
          <w:p>
            <w:pPr>
              <w:spacing w:after="0"/>
              <w:rPr>
                <w:sz w:val="24"/>
                <w:szCs w:val="24"/>
                <w:color w:val="auto"/>
              </w:rPr>
            </w:pPr>
          </w:p>
        </w:tc>
        <w:tc>
          <w:tcPr>
            <w:tcW w:w="1240" w:type="dxa"/>
            <w:vAlign w:val="bottom"/>
            <w:tcBorders>
              <w:top w:val="single" w:sz="8" w:color="auto"/>
            </w:tcBorders>
          </w:tcPr>
          <w:p>
            <w:pPr>
              <w:spacing w:after="0"/>
              <w:rPr>
                <w:sz w:val="24"/>
                <w:szCs w:val="24"/>
                <w:color w:val="auto"/>
              </w:rPr>
            </w:pPr>
          </w:p>
        </w:tc>
        <w:tc>
          <w:tcPr>
            <w:tcW w:w="180" w:type="dxa"/>
            <w:vAlign w:val="bottom"/>
          </w:tcPr>
          <w:p>
            <w:pPr>
              <w:spacing w:after="0"/>
              <w:rPr>
                <w:sz w:val="24"/>
                <w:szCs w:val="24"/>
                <w:color w:val="auto"/>
              </w:rPr>
            </w:pPr>
          </w:p>
        </w:tc>
        <w:tc>
          <w:tcPr>
            <w:tcW w:w="1400" w:type="dxa"/>
            <w:vAlign w:val="bottom"/>
            <w:tcBorders>
              <w:top w:val="single" w:sz="8" w:color="auto"/>
            </w:tcBorders>
          </w:tcPr>
          <w:p>
            <w:pPr>
              <w:spacing w:after="0"/>
              <w:rPr>
                <w:sz w:val="24"/>
                <w:szCs w:val="24"/>
                <w:color w:val="auto"/>
              </w:rPr>
            </w:pPr>
          </w:p>
        </w:tc>
      </w:tr>
      <w:tr>
        <w:trPr>
          <w:trHeight w:val="176"/>
        </w:trPr>
        <w:tc>
          <w:tcPr>
            <w:tcW w:w="6280" w:type="dxa"/>
            <w:vAlign w:val="bottom"/>
          </w:tcPr>
          <w:p>
            <w:pPr>
              <w:ind w:left="200"/>
              <w:spacing w:after="0"/>
              <w:rPr>
                <w:sz w:val="20"/>
                <w:szCs w:val="20"/>
                <w:color w:val="auto"/>
              </w:rPr>
            </w:pPr>
            <w:r>
              <w:rPr>
                <w:rFonts w:ascii="Arial" w:cs="Arial" w:eastAsia="Arial" w:hAnsi="Arial"/>
                <w:sz w:val="14"/>
                <w:szCs w:val="14"/>
                <w:color w:val="auto"/>
              </w:rPr>
              <w:t>Net cash used in operating activities</w:t>
            </w:r>
          </w:p>
        </w:tc>
        <w:tc>
          <w:tcPr>
            <w:tcW w:w="460" w:type="dxa"/>
            <w:vAlign w:val="bottom"/>
          </w:tcPr>
          <w:p>
            <w:pPr>
              <w:jc w:val="right"/>
              <w:ind w:right="168"/>
              <w:spacing w:after="0"/>
              <w:rPr>
                <w:sz w:val="20"/>
                <w:szCs w:val="20"/>
                <w:color w:val="auto"/>
              </w:rPr>
            </w:pPr>
            <w:r>
              <w:rPr>
                <w:rFonts w:ascii="Arial" w:cs="Arial" w:eastAsia="Arial" w:hAnsi="Arial"/>
                <w:sz w:val="14"/>
                <w:szCs w:val="14"/>
                <w:color w:val="auto"/>
              </w:rPr>
              <w:t>$</w:t>
            </w:r>
          </w:p>
        </w:tc>
        <w:tc>
          <w:tcPr>
            <w:tcW w:w="1140" w:type="dxa"/>
            <w:vAlign w:val="bottom"/>
          </w:tcPr>
          <w:p>
            <w:pPr>
              <w:jc w:val="right"/>
              <w:ind w:right="8"/>
              <w:spacing w:after="0"/>
              <w:rPr>
                <w:sz w:val="20"/>
                <w:szCs w:val="20"/>
                <w:color w:val="auto"/>
              </w:rPr>
            </w:pPr>
            <w:r>
              <w:rPr>
                <w:rFonts w:ascii="Arial" w:cs="Arial" w:eastAsia="Arial" w:hAnsi="Arial"/>
                <w:sz w:val="14"/>
                <w:szCs w:val="14"/>
                <w:color w:val="auto"/>
              </w:rPr>
              <w:t>(16,039)</w:t>
            </w:r>
          </w:p>
        </w:tc>
        <w:tc>
          <w:tcPr>
            <w:tcW w:w="720" w:type="dxa"/>
            <w:vAlign w:val="bottom"/>
            <w:gridSpan w:val="3"/>
          </w:tcPr>
          <w:p>
            <w:pPr>
              <w:jc w:val="right"/>
              <w:ind w:right="168"/>
              <w:spacing w:after="0"/>
              <w:rPr>
                <w:sz w:val="20"/>
                <w:szCs w:val="20"/>
                <w:color w:val="auto"/>
              </w:rPr>
            </w:pPr>
            <w:r>
              <w:rPr>
                <w:rFonts w:ascii="Arial" w:cs="Arial" w:eastAsia="Arial" w:hAnsi="Arial"/>
                <w:sz w:val="14"/>
                <w:szCs w:val="14"/>
                <w:color w:val="auto"/>
              </w:rPr>
              <w:t>$</w:t>
            </w:r>
          </w:p>
        </w:tc>
        <w:tc>
          <w:tcPr>
            <w:tcW w:w="1240" w:type="dxa"/>
            <w:vAlign w:val="bottom"/>
          </w:tcPr>
          <w:p>
            <w:pPr>
              <w:jc w:val="right"/>
              <w:ind w:right="68"/>
              <w:spacing w:after="0"/>
              <w:rPr>
                <w:sz w:val="20"/>
                <w:szCs w:val="20"/>
                <w:color w:val="auto"/>
              </w:rPr>
            </w:pPr>
            <w:r>
              <w:rPr>
                <w:rFonts w:ascii="Arial" w:cs="Arial" w:eastAsia="Arial" w:hAnsi="Arial"/>
                <w:sz w:val="14"/>
                <w:szCs w:val="14"/>
                <w:color w:val="auto"/>
              </w:rPr>
              <w:t>(21,137)</w:t>
            </w:r>
          </w:p>
        </w:tc>
        <w:tc>
          <w:tcPr>
            <w:tcW w:w="1580" w:type="dxa"/>
            <w:vAlign w:val="bottom"/>
            <w:gridSpan w:val="2"/>
          </w:tcPr>
          <w:p>
            <w:pPr>
              <w:jc w:val="right"/>
              <w:ind w:right="288"/>
              <w:spacing w:after="0"/>
              <w:rPr>
                <w:sz w:val="20"/>
                <w:szCs w:val="20"/>
                <w:color w:val="auto"/>
              </w:rPr>
            </w:pPr>
            <w:r>
              <w:rPr>
                <w:rFonts w:ascii="Arial" w:cs="Arial" w:eastAsia="Arial" w:hAnsi="Arial"/>
                <w:sz w:val="14"/>
                <w:szCs w:val="14"/>
                <w:color w:val="auto"/>
              </w:rPr>
              <w:t>24.1%</w:t>
            </w:r>
          </w:p>
        </w:tc>
      </w:tr>
      <w:tr>
        <w:trPr>
          <w:trHeight w:val="176"/>
        </w:trPr>
        <w:tc>
          <w:tcPr>
            <w:tcW w:w="6280" w:type="dxa"/>
            <w:vAlign w:val="bottom"/>
          </w:tcPr>
          <w:p>
            <w:pPr>
              <w:ind w:left="200"/>
              <w:spacing w:after="0"/>
              <w:rPr>
                <w:sz w:val="20"/>
                <w:szCs w:val="20"/>
                <w:color w:val="auto"/>
              </w:rPr>
            </w:pPr>
            <w:r>
              <w:rPr>
                <w:rFonts w:ascii="Arial" w:cs="Arial" w:eastAsia="Arial" w:hAnsi="Arial"/>
                <w:sz w:val="14"/>
                <w:szCs w:val="14"/>
                <w:color w:val="auto"/>
              </w:rPr>
              <w:t>Less:</w:t>
            </w:r>
          </w:p>
        </w:tc>
        <w:tc>
          <w:tcPr>
            <w:tcW w:w="46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12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400" w:type="dxa"/>
            <w:vAlign w:val="bottom"/>
          </w:tcPr>
          <w:p>
            <w:pPr>
              <w:spacing w:after="0"/>
              <w:rPr>
                <w:sz w:val="15"/>
                <w:szCs w:val="15"/>
                <w:color w:val="auto"/>
              </w:rPr>
            </w:pPr>
          </w:p>
        </w:tc>
      </w:tr>
      <w:tr>
        <w:trPr>
          <w:trHeight w:val="176"/>
        </w:trPr>
        <w:tc>
          <w:tcPr>
            <w:tcW w:w="6280" w:type="dxa"/>
            <w:vAlign w:val="bottom"/>
          </w:tcPr>
          <w:p>
            <w:pPr>
              <w:ind w:left="500"/>
              <w:spacing w:after="0"/>
              <w:rPr>
                <w:sz w:val="20"/>
                <w:szCs w:val="20"/>
                <w:color w:val="auto"/>
              </w:rPr>
            </w:pPr>
            <w:r>
              <w:rPr>
                <w:rFonts w:ascii="Arial" w:cs="Arial" w:eastAsia="Arial" w:hAnsi="Arial"/>
                <w:sz w:val="14"/>
                <w:szCs w:val="14"/>
                <w:color w:val="auto"/>
              </w:rPr>
              <w:t>Capital expenditures</w:t>
            </w:r>
          </w:p>
        </w:tc>
        <w:tc>
          <w:tcPr>
            <w:tcW w:w="460" w:type="dxa"/>
            <w:vAlign w:val="bottom"/>
          </w:tcPr>
          <w:p>
            <w:pPr>
              <w:spacing w:after="0"/>
              <w:rPr>
                <w:sz w:val="15"/>
                <w:szCs w:val="15"/>
                <w:color w:val="auto"/>
              </w:rPr>
            </w:pPr>
          </w:p>
        </w:tc>
        <w:tc>
          <w:tcPr>
            <w:tcW w:w="1140" w:type="dxa"/>
            <w:vAlign w:val="bottom"/>
          </w:tcPr>
          <w:p>
            <w:pPr>
              <w:jc w:val="right"/>
              <w:ind w:right="8"/>
              <w:spacing w:after="0"/>
              <w:rPr>
                <w:sz w:val="20"/>
                <w:szCs w:val="20"/>
                <w:color w:val="auto"/>
              </w:rPr>
            </w:pPr>
            <w:r>
              <w:rPr>
                <w:rFonts w:ascii="Arial" w:cs="Arial" w:eastAsia="Arial" w:hAnsi="Arial"/>
                <w:sz w:val="14"/>
                <w:szCs w:val="14"/>
                <w:color w:val="auto"/>
              </w:rPr>
              <w:t>(10,604)</w:t>
            </w:r>
          </w:p>
        </w:tc>
        <w:tc>
          <w:tcPr>
            <w:tcW w:w="6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1240" w:type="dxa"/>
            <w:vAlign w:val="bottom"/>
          </w:tcPr>
          <w:p>
            <w:pPr>
              <w:jc w:val="right"/>
              <w:ind w:right="68"/>
              <w:spacing w:after="0"/>
              <w:rPr>
                <w:sz w:val="20"/>
                <w:szCs w:val="20"/>
                <w:color w:val="auto"/>
              </w:rPr>
            </w:pPr>
            <w:r>
              <w:rPr>
                <w:rFonts w:ascii="Arial" w:cs="Arial" w:eastAsia="Arial" w:hAnsi="Arial"/>
                <w:sz w:val="14"/>
                <w:szCs w:val="14"/>
                <w:color w:val="auto"/>
              </w:rPr>
              <w:t>(12,043)</w:t>
            </w:r>
          </w:p>
        </w:tc>
        <w:tc>
          <w:tcPr>
            <w:tcW w:w="1580" w:type="dxa"/>
            <w:vAlign w:val="bottom"/>
            <w:gridSpan w:val="2"/>
          </w:tcPr>
          <w:p>
            <w:pPr>
              <w:jc w:val="right"/>
              <w:ind w:right="288"/>
              <w:spacing w:after="0"/>
              <w:rPr>
                <w:sz w:val="20"/>
                <w:szCs w:val="20"/>
                <w:color w:val="auto"/>
              </w:rPr>
            </w:pPr>
            <w:r>
              <w:rPr>
                <w:rFonts w:ascii="Arial" w:cs="Arial" w:eastAsia="Arial" w:hAnsi="Arial"/>
                <w:sz w:val="14"/>
                <w:szCs w:val="14"/>
                <w:color w:val="auto"/>
              </w:rPr>
              <w:t>11.9%</w:t>
            </w:r>
          </w:p>
        </w:tc>
      </w:tr>
      <w:tr>
        <w:trPr>
          <w:trHeight w:val="181"/>
        </w:trPr>
        <w:tc>
          <w:tcPr>
            <w:tcW w:w="6280" w:type="dxa"/>
            <w:vAlign w:val="bottom"/>
          </w:tcPr>
          <w:p>
            <w:pPr>
              <w:ind w:left="500"/>
              <w:spacing w:after="0"/>
              <w:rPr>
                <w:sz w:val="20"/>
                <w:szCs w:val="20"/>
                <w:color w:val="auto"/>
              </w:rPr>
            </w:pPr>
            <w:r>
              <w:rPr>
                <w:rFonts w:ascii="Arial" w:cs="Arial" w:eastAsia="Arial" w:hAnsi="Arial"/>
                <w:sz w:val="14"/>
                <w:szCs w:val="14"/>
                <w:color w:val="auto"/>
              </w:rPr>
              <w:t>Dividends paid</w:t>
            </w:r>
          </w:p>
        </w:tc>
        <w:tc>
          <w:tcPr>
            <w:tcW w:w="460" w:type="dxa"/>
            <w:vAlign w:val="bottom"/>
          </w:tcPr>
          <w:p>
            <w:pPr>
              <w:spacing w:after="0"/>
              <w:rPr>
                <w:sz w:val="15"/>
                <w:szCs w:val="15"/>
                <w:color w:val="auto"/>
              </w:rPr>
            </w:pPr>
          </w:p>
        </w:tc>
        <w:tc>
          <w:tcPr>
            <w:tcW w:w="1140" w:type="dxa"/>
            <w:vAlign w:val="bottom"/>
          </w:tcPr>
          <w:p>
            <w:pPr>
              <w:jc w:val="right"/>
              <w:ind w:right="8"/>
              <w:spacing w:after="0"/>
              <w:rPr>
                <w:sz w:val="20"/>
                <w:szCs w:val="20"/>
                <w:color w:val="auto"/>
              </w:rPr>
            </w:pPr>
            <w:r>
              <w:rPr>
                <w:rFonts w:ascii="Arial" w:cs="Arial" w:eastAsia="Arial" w:hAnsi="Arial"/>
                <w:sz w:val="14"/>
                <w:szCs w:val="14"/>
                <w:color w:val="auto"/>
              </w:rPr>
              <w:t>(824)</w:t>
            </w:r>
          </w:p>
        </w:tc>
        <w:tc>
          <w:tcPr>
            <w:tcW w:w="6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1240" w:type="dxa"/>
            <w:vAlign w:val="bottom"/>
          </w:tcPr>
          <w:p>
            <w:pPr>
              <w:jc w:val="right"/>
              <w:ind w:right="68"/>
              <w:spacing w:after="0"/>
              <w:rPr>
                <w:sz w:val="20"/>
                <w:szCs w:val="20"/>
                <w:color w:val="auto"/>
              </w:rPr>
            </w:pPr>
            <w:r>
              <w:rPr>
                <w:rFonts w:ascii="Arial" w:cs="Arial" w:eastAsia="Arial" w:hAnsi="Arial"/>
                <w:sz w:val="14"/>
                <w:szCs w:val="14"/>
                <w:color w:val="auto"/>
              </w:rPr>
              <w:t>(828)</w:t>
            </w:r>
          </w:p>
        </w:tc>
        <w:tc>
          <w:tcPr>
            <w:tcW w:w="1580" w:type="dxa"/>
            <w:vAlign w:val="bottom"/>
            <w:gridSpan w:val="2"/>
          </w:tcPr>
          <w:p>
            <w:pPr>
              <w:jc w:val="right"/>
              <w:ind w:right="288"/>
              <w:spacing w:after="0"/>
              <w:rPr>
                <w:sz w:val="20"/>
                <w:szCs w:val="20"/>
                <w:color w:val="auto"/>
              </w:rPr>
            </w:pPr>
            <w:r>
              <w:rPr>
                <w:rFonts w:ascii="Arial" w:cs="Arial" w:eastAsia="Arial" w:hAnsi="Arial"/>
                <w:sz w:val="14"/>
                <w:szCs w:val="14"/>
                <w:color w:val="auto"/>
              </w:rPr>
              <w:t>0.5%</w:t>
            </w:r>
          </w:p>
        </w:tc>
      </w:tr>
      <w:tr>
        <w:trPr>
          <w:trHeight w:val="169"/>
        </w:trPr>
        <w:tc>
          <w:tcPr>
            <w:tcW w:w="6280" w:type="dxa"/>
            <w:vAlign w:val="bottom"/>
          </w:tcPr>
          <w:p>
            <w:pPr>
              <w:ind w:left="500"/>
              <w:spacing w:after="0"/>
              <w:rPr>
                <w:sz w:val="20"/>
                <w:szCs w:val="20"/>
                <w:color w:val="auto"/>
              </w:rPr>
            </w:pPr>
            <w:r>
              <w:rPr>
                <w:rFonts w:ascii="Arial" w:cs="Arial" w:eastAsia="Arial" w:hAnsi="Arial"/>
                <w:sz w:val="14"/>
                <w:szCs w:val="14"/>
                <w:b w:val="1"/>
                <w:bCs w:val="1"/>
                <w:color w:val="auto"/>
              </w:rPr>
              <w:t>Free cash outflow</w:t>
            </w:r>
          </w:p>
        </w:tc>
        <w:tc>
          <w:tcPr>
            <w:tcW w:w="460" w:type="dxa"/>
            <w:vAlign w:val="bottom"/>
            <w:tcBorders>
              <w:top w:val="single" w:sz="8" w:color="auto"/>
              <w:bottom w:val="single" w:sz="8" w:color="auto"/>
            </w:tcBorders>
          </w:tcPr>
          <w:p>
            <w:pPr>
              <w:jc w:val="right"/>
              <w:ind w:right="168"/>
              <w:spacing w:after="0"/>
              <w:rPr>
                <w:sz w:val="20"/>
                <w:szCs w:val="20"/>
                <w:color w:val="auto"/>
              </w:rPr>
            </w:pPr>
            <w:r>
              <w:rPr>
                <w:rFonts w:ascii="Arial" w:cs="Arial" w:eastAsia="Arial" w:hAnsi="Arial"/>
                <w:sz w:val="14"/>
                <w:szCs w:val="14"/>
                <w:b w:val="1"/>
                <w:bCs w:val="1"/>
                <w:color w:val="auto"/>
              </w:rPr>
              <w:t>$</w:t>
            </w:r>
          </w:p>
        </w:tc>
        <w:tc>
          <w:tcPr>
            <w:tcW w:w="1140" w:type="dxa"/>
            <w:vAlign w:val="bottom"/>
            <w:tcBorders>
              <w:top w:val="single" w:sz="8" w:color="auto"/>
              <w:bottom w:val="single" w:sz="8" w:color="auto"/>
            </w:tcBorders>
          </w:tcPr>
          <w:p>
            <w:pPr>
              <w:jc w:val="right"/>
              <w:ind w:right="8"/>
              <w:spacing w:after="0"/>
              <w:rPr>
                <w:sz w:val="20"/>
                <w:szCs w:val="20"/>
                <w:color w:val="auto"/>
              </w:rPr>
            </w:pPr>
            <w:r>
              <w:rPr>
                <w:rFonts w:ascii="Arial" w:cs="Arial" w:eastAsia="Arial" w:hAnsi="Arial"/>
                <w:sz w:val="14"/>
                <w:szCs w:val="14"/>
                <w:b w:val="1"/>
                <w:bCs w:val="1"/>
                <w:color w:val="auto"/>
              </w:rPr>
              <w:t>(27,467)</w:t>
            </w:r>
          </w:p>
        </w:tc>
        <w:tc>
          <w:tcPr>
            <w:tcW w:w="60" w:type="dxa"/>
            <w:vAlign w:val="bottom"/>
            <w:tcBorders>
              <w:top w:val="single" w:sz="8" w:color="auto"/>
              <w:bottom w:val="single" w:sz="8" w:color="auto"/>
            </w:tcBorders>
          </w:tcPr>
          <w:p>
            <w:pPr>
              <w:spacing w:after="0"/>
              <w:rPr>
                <w:sz w:val="14"/>
                <w:szCs w:val="14"/>
                <w:color w:val="auto"/>
              </w:rPr>
            </w:pPr>
          </w:p>
        </w:tc>
        <w:tc>
          <w:tcPr>
            <w:tcW w:w="200" w:type="dxa"/>
            <w:vAlign w:val="bottom"/>
          </w:tcPr>
          <w:p>
            <w:pPr>
              <w:spacing w:after="0"/>
              <w:rPr>
                <w:sz w:val="14"/>
                <w:szCs w:val="14"/>
                <w:color w:val="auto"/>
              </w:rPr>
            </w:pPr>
          </w:p>
        </w:tc>
        <w:tc>
          <w:tcPr>
            <w:tcW w:w="460" w:type="dxa"/>
            <w:vAlign w:val="bottom"/>
            <w:tcBorders>
              <w:top w:val="single" w:sz="8" w:color="auto"/>
              <w:bottom w:val="single" w:sz="8" w:color="auto"/>
            </w:tcBorders>
          </w:tcPr>
          <w:p>
            <w:pPr>
              <w:jc w:val="right"/>
              <w:ind w:right="168"/>
              <w:spacing w:after="0"/>
              <w:rPr>
                <w:sz w:val="20"/>
                <w:szCs w:val="20"/>
                <w:color w:val="auto"/>
              </w:rPr>
            </w:pPr>
            <w:r>
              <w:rPr>
                <w:rFonts w:ascii="Arial" w:cs="Arial" w:eastAsia="Arial" w:hAnsi="Arial"/>
                <w:sz w:val="14"/>
                <w:szCs w:val="14"/>
                <w:b w:val="1"/>
                <w:bCs w:val="1"/>
                <w:color w:val="auto"/>
              </w:rPr>
              <w:t>$</w:t>
            </w:r>
          </w:p>
        </w:tc>
        <w:tc>
          <w:tcPr>
            <w:tcW w:w="1240" w:type="dxa"/>
            <w:vAlign w:val="bottom"/>
            <w:tcBorders>
              <w:top w:val="single" w:sz="8" w:color="auto"/>
              <w:bottom w:val="single" w:sz="8" w:color="auto"/>
            </w:tcBorders>
          </w:tcPr>
          <w:p>
            <w:pPr>
              <w:jc w:val="right"/>
              <w:ind w:right="68"/>
              <w:spacing w:after="0"/>
              <w:rPr>
                <w:sz w:val="20"/>
                <w:szCs w:val="20"/>
                <w:color w:val="auto"/>
              </w:rPr>
            </w:pPr>
            <w:r>
              <w:rPr>
                <w:rFonts w:ascii="Arial" w:cs="Arial" w:eastAsia="Arial" w:hAnsi="Arial"/>
                <w:sz w:val="14"/>
                <w:szCs w:val="14"/>
                <w:b w:val="1"/>
                <w:bCs w:val="1"/>
                <w:color w:val="auto"/>
              </w:rPr>
              <w:t>(34,008)</w:t>
            </w:r>
          </w:p>
        </w:tc>
        <w:tc>
          <w:tcPr>
            <w:tcW w:w="180" w:type="dxa"/>
            <w:vAlign w:val="bottom"/>
          </w:tcPr>
          <w:p>
            <w:pPr>
              <w:spacing w:after="0"/>
              <w:rPr>
                <w:sz w:val="14"/>
                <w:szCs w:val="14"/>
                <w:color w:val="auto"/>
              </w:rPr>
            </w:pPr>
          </w:p>
        </w:tc>
        <w:tc>
          <w:tcPr>
            <w:tcW w:w="1400" w:type="dxa"/>
            <w:vAlign w:val="bottom"/>
            <w:tcBorders>
              <w:top w:val="single" w:sz="8" w:color="auto"/>
              <w:bottom w:val="single" w:sz="8" w:color="auto"/>
            </w:tcBorders>
          </w:tcPr>
          <w:p>
            <w:pPr>
              <w:jc w:val="right"/>
              <w:ind w:right="248"/>
              <w:spacing w:after="0"/>
              <w:rPr>
                <w:sz w:val="20"/>
                <w:szCs w:val="20"/>
                <w:color w:val="auto"/>
              </w:rPr>
            </w:pPr>
            <w:r>
              <w:rPr>
                <w:rFonts w:ascii="Arial" w:cs="Arial" w:eastAsia="Arial" w:hAnsi="Arial"/>
                <w:sz w:val="14"/>
                <w:szCs w:val="14"/>
                <w:b w:val="1"/>
                <w:bCs w:val="1"/>
                <w:color w:val="auto"/>
              </w:rPr>
              <w:t>19.2%</w:t>
            </w:r>
          </w:p>
        </w:tc>
      </w:tr>
      <w:tr>
        <w:trPr>
          <w:trHeight w:val="20"/>
        </w:trPr>
        <w:tc>
          <w:tcPr>
            <w:tcW w:w="628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0" w:type="dxa"/>
            <w:vAlign w:val="bottom"/>
            <w:tcBorders>
              <w:bottom w:val="single" w:sz="8" w:color="auto"/>
            </w:tcBorders>
          </w:tcPr>
          <w:p>
            <w:pPr>
              <w:spacing w:after="0" w:line="20" w:lineRule="exact"/>
              <w:rPr>
                <w:sz w:val="1"/>
                <w:szCs w:val="1"/>
                <w:color w:val="auto"/>
              </w:rPr>
            </w:pPr>
          </w:p>
        </w:tc>
      </w:tr>
    </w:tbl>
    <w:p>
      <w:pPr>
        <w:spacing w:after="0" w:line="195" w:lineRule="exact"/>
        <w:rPr>
          <w:sz w:val="20"/>
          <w:szCs w:val="20"/>
          <w:color w:val="auto"/>
        </w:rPr>
      </w:pPr>
    </w:p>
    <w:p>
      <w:pPr>
        <w:spacing w:after="0"/>
        <w:rPr>
          <w:sz w:val="20"/>
          <w:szCs w:val="20"/>
          <w:color w:val="auto"/>
        </w:rPr>
      </w:pPr>
      <w:r>
        <w:rPr>
          <w:rFonts w:ascii="Arial" w:cs="Arial" w:eastAsia="Arial" w:hAnsi="Arial"/>
          <w:sz w:val="22"/>
          <w:szCs w:val="22"/>
          <w:color w:val="auto"/>
        </w:rPr>
        <w:t>CONTACT:</w:t>
      </w:r>
    </w:p>
    <w:p>
      <w:pPr>
        <w:spacing w:after="0" w:line="238" w:lineRule="auto"/>
        <w:rPr>
          <w:sz w:val="20"/>
          <w:szCs w:val="20"/>
          <w:color w:val="auto"/>
        </w:rPr>
      </w:pPr>
      <w:r>
        <w:rPr>
          <w:rFonts w:ascii="Arial" w:cs="Arial" w:eastAsia="Arial" w:hAnsi="Arial"/>
          <w:sz w:val="22"/>
          <w:szCs w:val="22"/>
          <w:color w:val="auto"/>
        </w:rPr>
        <w:t>Viad Corp</w:t>
      </w:r>
    </w:p>
    <w:p>
      <w:pPr>
        <w:spacing w:after="0" w:line="230" w:lineRule="auto"/>
        <w:rPr>
          <w:sz w:val="20"/>
          <w:szCs w:val="20"/>
          <w:color w:val="auto"/>
        </w:rPr>
      </w:pPr>
      <w:r>
        <w:rPr>
          <w:rFonts w:ascii="Arial" w:cs="Arial" w:eastAsia="Arial" w:hAnsi="Arial"/>
          <w:sz w:val="22"/>
          <w:szCs w:val="22"/>
          <w:color w:val="auto"/>
        </w:rPr>
        <w:t>Carrie Long, Investor Relations, 602-207-2681</w:t>
      </w:r>
    </w:p>
    <w:p>
      <w:pPr>
        <w:spacing w:after="0" w:line="1" w:lineRule="exact"/>
        <w:rPr>
          <w:sz w:val="20"/>
          <w:szCs w:val="20"/>
          <w:color w:val="auto"/>
        </w:rPr>
      </w:pPr>
    </w:p>
    <w:p>
      <w:pPr>
        <w:spacing w:after="0"/>
        <w:rPr>
          <w:sz w:val="20"/>
          <w:szCs w:val="20"/>
          <w:color w:val="auto"/>
        </w:rPr>
      </w:pPr>
      <w:r>
        <w:rPr>
          <w:rFonts w:ascii="Arial" w:cs="Arial" w:eastAsia="Arial" w:hAnsi="Arial"/>
          <w:sz w:val="22"/>
          <w:szCs w:val="22"/>
          <w:u w:val="single" w:color="auto"/>
          <w:color w:val="auto"/>
        </w:rPr>
        <w:t>clong@viad.com</w:t>
      </w:r>
    </w:p>
    <w:sectPr>
      <w:pgSz w:w="11900" w:h="16838" w:orient="portrait"/>
      <w:cols w:equalWidth="0" w:num="1">
        <w:col w:w="11420"/>
      </w:cols>
      <w:pgMar w:left="240" w:top="130"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lowerLetter"/>
      <w:start w:val="3"/>
    </w:lvl>
  </w:abstractNum>
  <w:abstractNum w:abstractNumId="1">
    <w:nsid w:val="74B0DC51"/>
    <w:multiLevelType w:val="hybridMultilevel"/>
    <w:lvl w:ilvl="0">
      <w:lvlJc w:val="left"/>
      <w:lvlText w:val="(%1)"/>
      <w:numFmt w:val="upperLetter"/>
      <w:start w:val="1"/>
    </w:lvl>
  </w:abstractNum>
  <w:abstractNum w:abstractNumId="2">
    <w:nsid w:val="19495CFF"/>
    <w:multiLevelType w:val="hybridMultilevel"/>
    <w:lvl w:ilvl="0">
      <w:lvlJc w:val="left"/>
      <w:lvlText w:val="(%1)"/>
      <w:numFmt w:val="upperLetter"/>
      <w:start w:val="2"/>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2020-02-21T22:54:27Z</dcterms:created>
  <dcterms:modified xsi:type="dcterms:W3CDTF">2020-02-21T22:54:27Z</dcterms:modified>
</cp:coreProperties>
</file>