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Rabbitt Kevin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GES EXPOSITION SERVICES,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950 GRIER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01/03/2007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center"/>
        <w:ind w:right="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President &amp; CEO </w:t>
      </w:r>
      <w:r>
        <w:rPr>
          <w:rFonts w:ascii="Arial" w:cs="Arial" w:eastAsia="Arial" w:hAnsi="Arial"/>
          <w:sz w:val="20"/>
          <w:szCs w:val="20"/>
          <w:color w:val="000000"/>
        </w:rPr>
        <w:t>/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 GES Exposition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ind w:right="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Services, Inc.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LAS VEGAS</w:t>
            </w:r>
          </w:p>
        </w:tc>
        <w:tc>
          <w:tcPr>
            <w:tcW w:w="10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NV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89119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2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5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79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66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41.505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13,926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J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293.2075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744.3046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760" w:type="dxa"/>
            <w:vAlign w:val="bottom"/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7"/>
              </w:rPr>
              <w:t>1. Shares were surrendered for payment of taxes in connection with vesting of performance-based restricted stock granted February 18, 2004.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9"/>
              </w:rPr>
              <w:t>2. The information is current as of this filing date.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Scott E. Sayre, Attorney-in-</w:t>
            </w: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01/05/2007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6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2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Reminder: Report on a separate line for each class of securities beneficially owned directly or indirectly.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48551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2020-02-02T20:31:30Z</dcterms:created>
  <dcterms:modified xsi:type="dcterms:W3CDTF">2020-02-02T20:31:30Z</dcterms:modified>
</cp:coreProperties>
</file>